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2E26E824" w14:textId="77777777" w:rsidR="004B5B46" w:rsidRPr="00D26C66" w:rsidRDefault="004B5B46" w:rsidP="004B5B46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26C6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25A46846" w14:textId="77777777" w:rsidR="004B5B46" w:rsidRPr="00D26C66" w:rsidRDefault="004B5B46" w:rsidP="004B5B46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26C6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2F410BF0" w14:textId="77777777" w:rsidR="004B5B46" w:rsidRPr="00D26C66" w:rsidRDefault="004B5B46" w:rsidP="004B5B46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26C6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oбособена позиция №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14:paraId="39E52172" w14:textId="6D73CD1A" w:rsidR="00062813" w:rsidRPr="00D26C66" w:rsidRDefault="004B5B46" w:rsidP="004B5B46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26C66">
        <w:rPr>
          <w:rFonts w:ascii="Times New Roman" w:hAnsi="Times New Roman" w:cs="Times New Roman"/>
          <w:b/>
          <w:sz w:val="30"/>
          <w:szCs w:val="30"/>
        </w:rPr>
        <w:t>Многофамилна жилищна сграда в гр. Кърджали, кв. Възрожденци, бл. 61, вх. В, рег. № 235-14ПМ-009-245 и №РД-02-30-284/ 29.06.2015г.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8926" w:type="dxa"/>
        <w:tblLayout w:type="fixed"/>
        <w:tblLook w:val="04A0" w:firstRow="1" w:lastRow="0" w:firstColumn="1" w:lastColumn="0" w:noHBand="0" w:noVBand="1"/>
      </w:tblPr>
      <w:tblGrid>
        <w:gridCol w:w="4361"/>
        <w:gridCol w:w="4565"/>
      </w:tblGrid>
      <w:tr w:rsidR="007E3B86" w:rsidRPr="00D26C66" w14:paraId="02DFA868" w14:textId="77777777" w:rsidTr="00202B2F">
        <w:trPr>
          <w:trHeight w:val="210"/>
        </w:trPr>
        <w:tc>
          <w:tcPr>
            <w:tcW w:w="4361" w:type="dxa"/>
          </w:tcPr>
          <w:p w14:paraId="57D60279" w14:textId="77777777" w:rsidR="007E3B86" w:rsidRPr="00D26C6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6C6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565" w:type="dxa"/>
          </w:tcPr>
          <w:p w14:paraId="4829B3B3" w14:textId="77777777" w:rsidR="007E3B86" w:rsidRPr="00D26C6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26C6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RPr="00D26C66" w14:paraId="586F56EA" w14:textId="77777777" w:rsidTr="00202B2F">
        <w:trPr>
          <w:trHeight w:val="120"/>
        </w:trPr>
        <w:tc>
          <w:tcPr>
            <w:tcW w:w="4361" w:type="dxa"/>
          </w:tcPr>
          <w:p w14:paraId="594C511B" w14:textId="1A553B83" w:rsidR="007E3B86" w:rsidRPr="00D26C66" w:rsidRDefault="00AC5990" w:rsidP="003060A0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26C66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4B5B46" w:rsidRPr="00D26C66"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52D8DE11" wp14:editId="64CC04F8">
                  <wp:extent cx="1944632" cy="2752725"/>
                  <wp:effectExtent l="0" t="0" r="0" b="0"/>
                  <wp:docPr id="20" name="Картина 20" descr="D:\LILI_2015g\Krasi_2015g\61 - Vuzrojdenci Kurdj\sNIMKI_KARGALI_Vazrogdenzi 61\IMG_0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LILI_2015g\Krasi_2015g\61 - Vuzrojdenci Kurdj\sNIMKI_KARGALI_Vazrogdenzi 61\IMG_0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87" cy="2769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5" w:type="dxa"/>
          </w:tcPr>
          <w:p w14:paraId="5FD062E8" w14:textId="23B3EBCD" w:rsidR="007E3B86" w:rsidRPr="00D26C66" w:rsidRDefault="004B5B46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26C66">
              <w:rPr>
                <w:noProof/>
                <w:lang w:eastAsia="bg-BG"/>
              </w:rPr>
              <w:drawing>
                <wp:inline distT="0" distB="0" distL="0" distR="0" wp14:anchorId="4869E2A0" wp14:editId="2127F516">
                  <wp:extent cx="2167561" cy="2762250"/>
                  <wp:effectExtent l="0" t="0" r="4445" b="0"/>
                  <wp:docPr id="80" name="Картина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146" cy="2778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Pr="00D26C6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Pr="00D26C6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D26C66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Pr="00D26C66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Pr="00D26C66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Pr="00D26C66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Pr="00D26C66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Pr="00D26C66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Pr="00D26C66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19A0A278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4B5B46" w:rsidRPr="00D26C66">
        <w:rPr>
          <w:rFonts w:ascii="Times New Roman" w:hAnsi="Times New Roman" w:cs="Times New Roman"/>
          <w:sz w:val="24"/>
          <w:szCs w:val="24"/>
        </w:rPr>
        <w:t>Кърджали</w:t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D26C66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42A4539D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4B5B46" w:rsidRPr="00D26C66">
        <w:rPr>
          <w:rFonts w:ascii="Times New Roman" w:hAnsi="Times New Roman" w:cs="Times New Roman"/>
          <w:sz w:val="24"/>
          <w:szCs w:val="24"/>
        </w:rPr>
        <w:t>гр. Кърджали, кв. Възрожденци, бл. 61,вх. В, рег. № 235-14ПМ-009-245</w:t>
      </w:r>
      <w:r w:rsidR="002561DD" w:rsidRPr="00D26C66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D26C66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567763CC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4B5B46" w:rsidRPr="00D26C66">
        <w:rPr>
          <w:rFonts w:ascii="Times New Roman" w:hAnsi="Times New Roman" w:cs="Times New Roman"/>
          <w:b/>
          <w:i/>
          <w:sz w:val="24"/>
          <w:szCs w:val="24"/>
        </w:rPr>
        <w:t>гр. Кърджали, кв. Възрожденци, бл. 61,вх. В</w:t>
      </w:r>
      <w:r w:rsidR="00FF131E" w:rsidRPr="00D26C66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6BA6373" w14:textId="77777777" w:rsidR="004B5B46" w:rsidRPr="00D26C66" w:rsidRDefault="00B87CA7" w:rsidP="004B5B4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4B5B46" w:rsidRPr="00D26C66">
        <w:rPr>
          <w:rFonts w:ascii="Times New Roman" w:hAnsi="Times New Roman" w:cs="Times New Roman"/>
          <w:sz w:val="24"/>
          <w:szCs w:val="24"/>
        </w:rPr>
        <w:t xml:space="preserve">Жилищната сграда е въведена в експлоатация през 1986 год. Състои се от четири входа, като вход „В” е отделен с фуга от останалите входове. Основният подход към имота е откъм от север, като входът се намира от същата страна. </w:t>
      </w:r>
    </w:p>
    <w:p w14:paraId="2826682C" w14:textId="00CC2AF7" w:rsidR="00F0414E" w:rsidRPr="00D26C66" w:rsidRDefault="004B5B46" w:rsidP="004B5B4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lastRenderedPageBreak/>
        <w:tab/>
        <w:t>Сградата е 8-етажна със сутерен. Изпълнена е изцяло със сглобяема панелна конструкция.</w:t>
      </w:r>
    </w:p>
    <w:p w14:paraId="5D0BB7B2" w14:textId="3A1EFCE6" w:rsidR="008A022A" w:rsidRPr="00D26C66" w:rsidRDefault="00F0414E" w:rsidP="00F0414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 w:rsidRPr="00D26C66">
        <w:rPr>
          <w:rFonts w:ascii="Times New Roman" w:hAnsi="Times New Roman" w:cs="Times New Roman"/>
          <w:sz w:val="24"/>
          <w:szCs w:val="24"/>
        </w:rPr>
        <w:tab/>
      </w:r>
      <w:r w:rsidR="008A022A" w:rsidRPr="00D26C6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D26C66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C62861" w:rsidRPr="00D26C66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568931F0" w14:textId="06683FA5" w:rsidR="00506D6F" w:rsidRPr="00D26C66" w:rsidRDefault="00506D6F" w:rsidP="00506D6F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684DAA03" w14:textId="4E418C16" w:rsidR="00506D6F" w:rsidRPr="00D26C66" w:rsidRDefault="00506D6F" w:rsidP="00506D6F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06802F87" w14:textId="106FF133" w:rsidR="00506D6F" w:rsidRPr="00D26C66" w:rsidRDefault="00506D6F" w:rsidP="00506D6F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под;</w:t>
      </w:r>
    </w:p>
    <w:p w14:paraId="07750B53" w14:textId="77777777" w:rsidR="00506D6F" w:rsidRPr="00D26C66" w:rsidRDefault="00506D6F" w:rsidP="00506D6F">
      <w:pPr>
        <w:pStyle w:val="ListParagraph"/>
        <w:numPr>
          <w:ilvl w:val="0"/>
          <w:numId w:val="1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покрив.</w:t>
      </w:r>
      <w:r w:rsidR="00B87CA7" w:rsidRPr="00D26C66"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49014647" w14:textId="77777777" w:rsidR="00506D6F" w:rsidRPr="00D26C66" w:rsidRDefault="00506D6F" w:rsidP="00506D6F">
      <w:pPr>
        <w:pStyle w:val="ListParagraph"/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DC02DB4" w14:textId="3040204E" w:rsidR="00FF131E" w:rsidRPr="00D26C66" w:rsidRDefault="00FF131E" w:rsidP="00506D6F">
      <w:pPr>
        <w:pStyle w:val="ListParagraph"/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26C6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 w:rsidRPr="00D26C6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3EA80357" w14:textId="77777777" w:rsidR="00D26C66" w:rsidRPr="00D26C66" w:rsidRDefault="00B87CA7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D26C66" w:rsidRPr="00D26C66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14:paraId="4E94E3F7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40FA5FE2" w14:textId="77777777" w:rsidR="00D26C66" w:rsidRPr="00D26C66" w:rsidRDefault="00D26C66" w:rsidP="00D26C66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Част от дограмата в жилищата е подменена с PVC и алуминиева дограма. Старите неподменени прозорци и врати са от дървесина със слепени крила в жилищните апартаменти и дървени единични в общите части. Неподменената дограма е  недобре уплътнена и деформирана на места в резултат на дългия период на експлоатация.</w:t>
      </w:r>
    </w:p>
    <w:p w14:paraId="603D432E" w14:textId="77777777" w:rsidR="00D26C66" w:rsidRPr="00D26C66" w:rsidRDefault="00D26C66" w:rsidP="00D26C66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На места остъкляването на усвоените в отопляемото пространство тераси е извършено с единично остъклени прозорци с метална рамка.</w:t>
      </w:r>
    </w:p>
    <w:p w14:paraId="29473300" w14:textId="77777777" w:rsidR="00D26C66" w:rsidRPr="00D26C66" w:rsidRDefault="00D26C66" w:rsidP="00D26C66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Прозорците на неотопляемия сутерен са дървени единично остъклени.</w:t>
      </w:r>
    </w:p>
    <w:p w14:paraId="2B7C4112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Недоброто състояние на старата несменена дограма е предпоставка за увеличаване на инфилтрацията и загуби на енергия през остъклените части.</w:t>
      </w:r>
      <w:r w:rsidRPr="00D26C66">
        <w:rPr>
          <w:rFonts w:ascii="Times New Roman" w:hAnsi="Times New Roman" w:cs="Times New Roman"/>
          <w:i/>
          <w:sz w:val="24"/>
          <w:szCs w:val="24"/>
        </w:rPr>
        <w:tab/>
      </w:r>
    </w:p>
    <w:p w14:paraId="01894EF6" w14:textId="77777777" w:rsidR="00F109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</w:r>
    </w:p>
    <w:p w14:paraId="1A8E79B1" w14:textId="77777777" w:rsidR="00F10966" w:rsidRDefault="00F109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58D9209C" w14:textId="66DF3541" w:rsidR="00D26C66" w:rsidRPr="00D26C66" w:rsidRDefault="00F109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D26C66" w:rsidRPr="00D26C66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CC4EF0B" w14:textId="77777777" w:rsidR="00D26C66" w:rsidRPr="00D26C66" w:rsidRDefault="00D26C66" w:rsidP="00D26C66">
      <w:pPr>
        <w:spacing w:after="0" w:line="240" w:lineRule="auto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ab/>
        <w:t xml:space="preserve">Мярката включва подмяна на старата не сменена дограма с PVC петкамерна - двоен стъклопакет, с едно нискоемисионно стъкло, с коефициент на топлопреминаване 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val="en-US" w:eastAsia="ja-JP"/>
        </w:rPr>
        <w:t>U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≤1,70 W/m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К. Сменят се и входните врати с алуминиеви с прекъснат термомост с обобщен коефициент на топлопреминаване  ≤ 2,00 W/m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К.</w:t>
      </w:r>
    </w:p>
    <w:p w14:paraId="4A1341D3" w14:textId="77777777" w:rsidR="00D26C66" w:rsidRPr="00D26C66" w:rsidRDefault="00D26C66" w:rsidP="00D26C66">
      <w:pPr>
        <w:spacing w:after="0" w:line="240" w:lineRule="auto"/>
        <w:ind w:firstLine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Задължителните съпътстващи дейности са: </w:t>
      </w:r>
    </w:p>
    <w:p w14:paraId="5FD12AC5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Демонтаж на съществуваща дървена и метална дограма;</w:t>
      </w:r>
    </w:p>
    <w:p w14:paraId="7662AFB7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Монтаж на плътна стоманена самозатваряща се пожарозащитна врата (м/у стълбищна клетка и избени помещения) 90/200см -  EI-90;</w:t>
      </w:r>
    </w:p>
    <w:p w14:paraId="42FBEBC1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- Вътрешно обръщане на дограма; </w:t>
      </w:r>
    </w:p>
    <w:p w14:paraId="559010B8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Монтаж на външен алуминиев подпрозоречен перваз широчина до 30 см;</w:t>
      </w:r>
    </w:p>
    <w:p w14:paraId="12DE593C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Монтаж на вътрешен PVC подпрозоречен перваз ширина до 20 см;</w:t>
      </w:r>
    </w:p>
    <w:p w14:paraId="771205F8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Монтаж на автомат за затваряне на външна врата;</w:t>
      </w:r>
    </w:p>
    <w:p w14:paraId="097BFD9F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Почистване, грундиране и боядисване на вътрешни в стълбищна клетка и външни балконски парапети с блажна боя, двукратно;</w:t>
      </w:r>
    </w:p>
    <w:p w14:paraId="74BD806B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Сваляне на постна боя и грундиране по стени и тавани - стълбище и стълбищни площадки;</w:t>
      </w:r>
    </w:p>
    <w:p w14:paraId="24F489E6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Сваляне на стара блажна боя и грундиране по цокли - стълбище и стълбищни площадки;</w:t>
      </w:r>
    </w:p>
    <w:p w14:paraId="545B0E4D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Шпакловка стени и тавани с гипсово лепило - стълбище и стълбищни площадки;</w:t>
      </w:r>
    </w:p>
    <w:p w14:paraId="44408055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Боядисване шпакловани стени и тавани с цветен латекс. двукратно. вкл. грунд - стълбище и стълбищни площадки;</w:t>
      </w:r>
    </w:p>
    <w:p w14:paraId="798806FB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D26C66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Зидария от газобетонови блокчета при входна врата;</w:t>
      </w:r>
    </w:p>
    <w:p w14:paraId="7280BDAC" w14:textId="77777777" w:rsidR="00D26C66" w:rsidRPr="00D26C66" w:rsidRDefault="00D26C66" w:rsidP="00D26C66">
      <w:pPr>
        <w:spacing w:after="0" w:line="240" w:lineRule="auto"/>
        <w:ind w:left="360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</w:p>
    <w:p w14:paraId="4FF95E4D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2: Топлинно изолиране на външни стени</w:t>
      </w:r>
    </w:p>
    <w:p w14:paraId="2CA3A2B0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1CA5174D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sz w:val="23"/>
          <w:szCs w:val="23"/>
        </w:rPr>
        <w:tab/>
      </w:r>
      <w:r w:rsidRPr="00D26C66">
        <w:rPr>
          <w:rFonts w:ascii="Times New Roman" w:hAnsi="Times New Roman" w:cs="Times New Roman"/>
          <w:sz w:val="24"/>
          <w:szCs w:val="24"/>
        </w:rPr>
        <w:t>Външните стени на сградата в преобладаващата си част не са топлоизолирани. Обобщеният им коефициент на топлопреминаване е по-висок от референтния за 2015г.</w:t>
      </w:r>
      <w:r w:rsidRPr="00D26C66">
        <w:rPr>
          <w:rFonts w:ascii="Times New Roman" w:hAnsi="Times New Roman" w:cs="Times New Roman"/>
          <w:sz w:val="24"/>
          <w:szCs w:val="24"/>
        </w:rPr>
        <w:tab/>
      </w:r>
    </w:p>
    <w:p w14:paraId="047BA4E4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16716FFC" w14:textId="77777777" w:rsidR="00D26C66" w:rsidRPr="00D26C66" w:rsidRDefault="00D26C66" w:rsidP="00D26C6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Cs w:val="24"/>
        </w:rPr>
        <w:tab/>
      </w:r>
      <w:r w:rsidRPr="00D26C66">
        <w:rPr>
          <w:rFonts w:ascii="Times New Roman" w:hAnsi="Times New Roman" w:cs="Times New Roman"/>
          <w:sz w:val="24"/>
          <w:szCs w:val="24"/>
        </w:rPr>
        <w:t xml:space="preserve">Мярката включва топлоизолиране от външната страна на фасадни стени с експандиран пенополистирол (EPS) с дебелина 8 cm и коефициент на топлопроводност λ≤0,035W/mK (вкл. лепило, арм. мрежа, ъглови профили, крепежни елементи, грундиране и полагане на цветна екстериорна мазилка), както и топлоизолационна система пo страници на прозорци, тип XPS, δ=2 cm, ширина 20 сm с коеф. на </w:t>
      </w:r>
      <w:r w:rsidRPr="00D26C66">
        <w:rPr>
          <w:rFonts w:ascii="Times New Roman" w:hAnsi="Times New Roman" w:cs="Times New Roman"/>
          <w:sz w:val="24"/>
          <w:szCs w:val="24"/>
        </w:rPr>
        <w:lastRenderedPageBreak/>
        <w:t xml:space="preserve">топлопроводност λ≤0,035W/mK (вкл. лепило, арм. мрежа, шпакловка, ъглови профили, крепежни елементи, грундиране и полагане на цветна екстериорна мазилка). </w:t>
      </w:r>
    </w:p>
    <w:p w14:paraId="18E1D005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9F60F82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Задължителните съпътстващите дейности на мярката са:</w:t>
      </w:r>
    </w:p>
    <w:p w14:paraId="5FBDB0D6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дълбокопроникващ грунд преди монтаж на топлоизолационна система по фасади;</w:t>
      </w:r>
    </w:p>
    <w:p w14:paraId="0B35EDF1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цветна силикатна екстериорна мазилка (съгласно цветен проект) по външни стени. включително грундиране;</w:t>
      </w:r>
    </w:p>
    <w:p w14:paraId="2EF5F51E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цветна екстериорна мозайка (съгласно цветен проект) по цокъл сграда;</w:t>
      </w:r>
    </w:p>
    <w:p w14:paraId="2CC94D13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Доставка, монтаж и демонтаж на фасадно скеле;</w:t>
      </w:r>
    </w:p>
    <w:p w14:paraId="419EAF30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дълбокопроникващ грунд  преди шпакловка с мрежа на външни стени и дъна тераси на неотопляема част от фасадата;</w:t>
      </w:r>
    </w:p>
    <w:p w14:paraId="7FB3A3BE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Шпакловка на външни стени и и дъна тераси на неотопляема част от фасадата ;</w:t>
      </w:r>
    </w:p>
    <w:p w14:paraId="299DB207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цветна силикатна екстериорна мазилка (съгласно цветен проект) на външни стени и дъна тераси на неотопляема част от фасадата. включително грундиране;</w:t>
      </w:r>
    </w:p>
    <w:p w14:paraId="21C36FB7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Монтаж на водооткапващ профил по фасади и цокъл сграда;</w:t>
      </w:r>
    </w:p>
    <w:p w14:paraId="61A189A8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Демонтаж  и монтаж на климатици преди и след топлинно изолиране на фасади;</w:t>
      </w:r>
    </w:p>
    <w:p w14:paraId="0D2AEB7E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Изработка, доставка и монтаж на обшивки от ламарина с полиестерно покритие с ширина до 40см - защита на положената експандираща ПУ пяна по периметъра на дилатационната фуга;</w:t>
      </w:r>
    </w:p>
    <w:p w14:paraId="4299051C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Ремонт балконски парапети - стоманобетонова и метална част;</w:t>
      </w:r>
    </w:p>
    <w:p w14:paraId="0365CFD4" w14:textId="77777777" w:rsidR="00D26C66" w:rsidRPr="00D26C66" w:rsidRDefault="00D26C66" w:rsidP="00D26C66">
      <w:pPr>
        <w:spacing w:after="0" w:line="240" w:lineRule="auto"/>
        <w:jc w:val="both"/>
        <w:rPr>
          <w:rFonts w:ascii="Times New Roman" w:hAnsi="Times New Roman" w:cs="Times New Roman"/>
          <w:szCs w:val="24"/>
          <w:lang w:val="en-US"/>
        </w:rPr>
      </w:pPr>
    </w:p>
    <w:p w14:paraId="73E2A485" w14:textId="77777777" w:rsidR="00D26C66" w:rsidRPr="00D26C66" w:rsidRDefault="00D26C66" w:rsidP="00D26C66">
      <w:pPr>
        <w:spacing w:after="0" w:line="240" w:lineRule="auto"/>
        <w:jc w:val="both"/>
        <w:rPr>
          <w:rFonts w:ascii="Times New Roman" w:hAnsi="Times New Roman" w:cs="Times New Roman"/>
          <w:szCs w:val="24"/>
          <w:lang w:val="en-US"/>
        </w:rPr>
      </w:pPr>
    </w:p>
    <w:p w14:paraId="58CE7E79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под</w:t>
      </w:r>
    </w:p>
    <w:p w14:paraId="04D6C10D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3DB8C213" w14:textId="77777777" w:rsidR="00D26C66" w:rsidRPr="00D26C66" w:rsidRDefault="00D26C66" w:rsidP="00D26C66">
      <w:pPr>
        <w:spacing w:after="24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Подовете на жилищната сграда са 2 вида – под над неотопляем сутерен и под към външен въздух. Обобщеният коефициент на топлопреминаване на пода е по-висок от нормативния за 2015 г.</w:t>
      </w:r>
    </w:p>
    <w:p w14:paraId="73FA2F23" w14:textId="77777777" w:rsidR="00D26C66" w:rsidRPr="00D26C66" w:rsidRDefault="00D26C66" w:rsidP="00D26C66">
      <w:pPr>
        <w:spacing w:after="24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eastAsia="Times New Roman" w:hAnsi="Times New Roman" w:cs="Times New Roman"/>
          <w:i/>
          <w:sz w:val="24"/>
          <w:szCs w:val="24"/>
          <w:lang w:eastAsia="bg-BG"/>
        </w:rPr>
        <w:t>Описание на мярката</w:t>
      </w:r>
    </w:p>
    <w:p w14:paraId="5FEF428E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Подът към външен въздух се предвижда да се изолира с експандиран пенополистирол EPS, δ=8 cm и с коеф. на топлопроводност λ≤0,035W/mK.</w:t>
      </w:r>
    </w:p>
    <w:p w14:paraId="78D930B4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Задължителните съпътстващите дейности на мярката са:</w:t>
      </w:r>
    </w:p>
    <w:p w14:paraId="3F2E518B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Полагане на дълбокопроникващ грунд  преди монтаж на топлоизолационна система по таван сутерен и еркери;</w:t>
      </w:r>
    </w:p>
    <w:p w14:paraId="6EFB078D" w14:textId="77777777" w:rsidR="00D26C66" w:rsidRPr="00D26C66" w:rsidRDefault="00D26C66" w:rsidP="00D26C66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lastRenderedPageBreak/>
        <w:t>- Полагане на цветна силикатна екстериорна мазилка (съгласно цветен проект) по външни стени. включително грундиране;</w:t>
      </w:r>
    </w:p>
    <w:p w14:paraId="2F5DA60F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- Почистване, натоварване на камион и извозване на строителни отпадъци;</w:t>
      </w:r>
    </w:p>
    <w:p w14:paraId="36B84E6A" w14:textId="77777777" w:rsidR="00D26C66" w:rsidRPr="00D26C66" w:rsidRDefault="00D26C66" w:rsidP="00D26C66">
      <w:pPr>
        <w:spacing w:after="0" w:line="240" w:lineRule="auto"/>
        <w:ind w:firstLine="709"/>
        <w:jc w:val="both"/>
        <w:rPr>
          <w:rFonts w:ascii="Calibri" w:eastAsia="Times New Roman" w:hAnsi="Calibri" w:cs="Calibri"/>
          <w:sz w:val="24"/>
          <w:szCs w:val="20"/>
          <w:lang w:eastAsia="bg-BG"/>
        </w:rPr>
      </w:pPr>
    </w:p>
    <w:p w14:paraId="57A4FE7D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26C66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4: Топлинно изолиране на покрив</w:t>
      </w:r>
    </w:p>
    <w:p w14:paraId="6FC3F446" w14:textId="77777777" w:rsidR="00D26C66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4B7F0CBA" w14:textId="77777777" w:rsidR="00D26C66" w:rsidRPr="00D26C66" w:rsidRDefault="00D26C66" w:rsidP="00D26C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26C66">
        <w:rPr>
          <w:rFonts w:ascii="Times New Roman" w:hAnsi="Times New Roman" w:cs="Times New Roman"/>
          <w:sz w:val="24"/>
          <w:szCs w:val="24"/>
        </w:rPr>
        <w:t>Покривът е: двоен плосък, с междинно пространство със светла височина, което се вентилира посредством малки отвори в панелите.  Покритието е от битумна хидроизолация с посипка; покрив на машинно с въздушна междина и покрив, граничещ с външен въздух - тип „тераса“.</w:t>
      </w:r>
    </w:p>
    <w:p w14:paraId="6418199A" w14:textId="77777777" w:rsidR="00D26C66" w:rsidRPr="00D26C66" w:rsidRDefault="00D26C66" w:rsidP="00D26C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Топлоизолация на различните типове покрив не е положена.</w:t>
      </w:r>
    </w:p>
    <w:p w14:paraId="0B9B2794" w14:textId="77777777" w:rsidR="00D26C66" w:rsidRPr="00D26C66" w:rsidRDefault="00D26C66" w:rsidP="00D26C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на покривите е по-висок от нормативния за 2015г.</w:t>
      </w:r>
    </w:p>
    <w:p w14:paraId="5A4A0B31" w14:textId="77777777" w:rsidR="00D26C66" w:rsidRPr="00D26C66" w:rsidRDefault="00D26C66" w:rsidP="00D26C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9C3A01" w14:textId="77777777" w:rsidR="00D26C66" w:rsidRPr="00D26C66" w:rsidRDefault="00D26C66" w:rsidP="00D26C66">
      <w:pPr>
        <w:autoSpaceDE w:val="0"/>
        <w:autoSpaceDN w:val="0"/>
        <w:adjustRightInd w:val="0"/>
        <w:spacing w:after="24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26C66">
        <w:rPr>
          <w:rFonts w:ascii="Times New Roman" w:hAnsi="Times New Roman" w:cs="Times New Roman"/>
          <w:i/>
          <w:sz w:val="24"/>
          <w:szCs w:val="24"/>
        </w:rPr>
        <w:t xml:space="preserve">Описание на мярката </w:t>
      </w:r>
    </w:p>
    <w:p w14:paraId="360D960E" w14:textId="67173830" w:rsidR="00590ED1" w:rsidRPr="00D26C66" w:rsidRDefault="00D26C66" w:rsidP="00D26C6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</w:rPr>
        <w:t>Мярката предвижда полагане на стъклена минерална вата, δ=10 см, с коеф. на топлопроводност λ</w:t>
      </w:r>
      <w:r w:rsidR="00E33098">
        <w:rPr>
          <w:rFonts w:ascii="Times New Roman" w:hAnsi="Times New Roman" w:cs="Times New Roman"/>
        </w:rPr>
        <w:t>≤</w:t>
      </w:r>
      <w:r w:rsidRPr="00D26C66">
        <w:rPr>
          <w:rFonts w:ascii="Times New Roman" w:hAnsi="Times New Roman" w:cs="Times New Roman"/>
        </w:rPr>
        <w:t>0,043W/mK във вентилируемо подпокривно пространство. Предвижда се полагане на топлоизолационна система тип XPS, δ= 5см и с коеф. на топлопроводност λ≤0,033W/mK (вкл. лепило, арм. мрежа, ъглови профили и крепежни елементи) по покрив тип „тераса“.</w:t>
      </w:r>
    </w:p>
    <w:p w14:paraId="268229DB" w14:textId="2D5D5B8B" w:rsidR="00FF131E" w:rsidRPr="00D26C66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  <w:bookmarkStart w:id="0" w:name="_GoBack"/>
      <w:bookmarkEnd w:id="0"/>
    </w:p>
    <w:p w14:paraId="2A399102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4A86AACE" w14:textId="2B538B9C" w:rsidR="001C5AF2" w:rsidRPr="00D26C66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Електрическа;</w:t>
      </w:r>
    </w:p>
    <w:p w14:paraId="109F2F22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D26C66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lastRenderedPageBreak/>
        <w:t>План за управление на строителните отпадъци;</w:t>
      </w:r>
    </w:p>
    <w:p w14:paraId="6C53F06A" w14:textId="77777777" w:rsidR="00FF131E" w:rsidRPr="00D26C66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C3653CF" w14:textId="77777777" w:rsidR="00E91212" w:rsidRPr="00D26C66" w:rsidRDefault="00E9121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08C6D01" w14:textId="77777777" w:rsidR="00FF131E" w:rsidRPr="00D26C66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D26C6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26C66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D26C66">
        <w:rPr>
          <w:rFonts w:ascii="Times New Roman" w:hAnsi="Times New Roman" w:cs="Times New Roman"/>
          <w:sz w:val="24"/>
          <w:szCs w:val="24"/>
        </w:rPr>
        <w:t>BG</w:t>
      </w:r>
      <w:r w:rsidR="00FF131E" w:rsidRPr="00D26C66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ВРЕМЕННА ИНФОРМАЦИОННА ТАБЕЛА </w:t>
      </w:r>
      <w:r w:rsidRPr="00D26C66"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 w:rsidRPr="00D26C66"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D26C66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D26C66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</w:t>
      </w:r>
      <w:r w:rsidRPr="00D26C66">
        <w:rPr>
          <w:rFonts w:ascii="Times New Roman" w:hAnsi="Times New Roman" w:cs="Times New Roman"/>
          <w:sz w:val="24"/>
          <w:szCs w:val="24"/>
        </w:rPr>
        <w:lastRenderedPageBreak/>
        <w:t>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14:paraId="7CBAB427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14:paraId="219E4836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2. Бенефициент</w:t>
      </w:r>
    </w:p>
    <w:p w14:paraId="504505D3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14:paraId="02FD5110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14:paraId="4B1B8B62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14:paraId="0E7FD68C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14:paraId="59567121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8. Край на проекта</w:t>
      </w:r>
    </w:p>
    <w:p w14:paraId="643EE8A3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14:paraId="5C6F9366" w14:textId="674ECBDF" w:rsidR="0078357E" w:rsidRPr="00D26C66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9</w:t>
      </w:r>
      <w:r w:rsidR="0078357E" w:rsidRPr="00D26C66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14:paraId="3F769642" w14:textId="17A8388F" w:rsidR="0078357E" w:rsidRPr="00D26C66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10</w:t>
      </w:r>
      <w:r w:rsidR="0078357E" w:rsidRPr="00D26C66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14:paraId="436F3286" w14:textId="6926BEA7" w:rsidR="0078357E" w:rsidRPr="00D26C66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11</w:t>
      </w:r>
      <w:r w:rsidR="0078357E" w:rsidRPr="00D26C66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D26C66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12</w:t>
      </w:r>
      <w:r w:rsidR="0078357E" w:rsidRPr="00D26C66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14:paraId="33278688" w14:textId="0888E6F7" w:rsidR="0078357E" w:rsidRPr="00D26C66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>13</w:t>
      </w:r>
      <w:r w:rsidR="0078357E" w:rsidRPr="00D26C66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8D9BF53" w14:textId="77777777" w:rsidR="00D26C66" w:rsidRDefault="00D26C66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48DB576" w14:textId="77777777" w:rsidR="00D26C66" w:rsidRDefault="00D26C66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B772F56" w14:textId="77777777" w:rsidR="00D26C66" w:rsidRDefault="00D26C66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ECE993" w14:textId="77777777" w:rsidR="0078357E" w:rsidRPr="00D26C66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6ACC338B" w14:textId="77777777" w:rsidR="00590ED1" w:rsidRPr="00D26C66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  <w:sectPr w:rsidR="00590ED1" w:rsidRPr="00D26C66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D26C66"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C96919" w14:textId="7D4568A3" w:rsidR="0078357E" w:rsidRPr="00D26C66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23D19C81" w14:textId="77777777" w:rsidR="00FF131E" w:rsidRPr="00D26C66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D26C66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B6DD216" w14:textId="1B944FA6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D26C66" w:rsidRPr="00D26C66">
        <w:rPr>
          <w:rFonts w:ascii="Times New Roman" w:hAnsi="Times New Roman" w:cs="Times New Roman"/>
          <w:sz w:val="24"/>
          <w:szCs w:val="24"/>
        </w:rPr>
        <w:t>гр. Кърджали, кв. Възрожденци, бл. 61,вх. В</w:t>
      </w:r>
      <w:r w:rsidR="00F967D5" w:rsidRPr="00D26C6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216BEE" w14:textId="77777777" w:rsidR="00FF131E" w:rsidRPr="00D26C66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D26C66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>Срокът за изп</w:t>
      </w:r>
      <w:r w:rsidR="00590ED1" w:rsidRPr="00D26C66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D26C66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D26C66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26C66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D26C66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0AF61A1C" w:rsidR="00FF131E" w:rsidRPr="00D26C6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D86017" w:rsidRPr="00D26C66">
        <w:rPr>
          <w:rFonts w:ascii="Times New Roman" w:hAnsi="Times New Roman" w:cs="Times New Roman"/>
          <w:sz w:val="24"/>
          <w:szCs w:val="24"/>
        </w:rPr>
        <w:t>1</w:t>
      </w:r>
      <w:r w:rsidR="00D26C66">
        <w:rPr>
          <w:rFonts w:ascii="Times New Roman" w:hAnsi="Times New Roman" w:cs="Times New Roman"/>
          <w:sz w:val="24"/>
          <w:szCs w:val="24"/>
        </w:rPr>
        <w:t>26</w:t>
      </w:r>
      <w:r w:rsidR="009D0DFA" w:rsidRPr="00D26C66">
        <w:rPr>
          <w:rFonts w:ascii="Times New Roman" w:hAnsi="Times New Roman" w:cs="Times New Roman"/>
          <w:sz w:val="24"/>
          <w:szCs w:val="24"/>
        </w:rPr>
        <w:t> </w:t>
      </w:r>
      <w:r w:rsidR="00D26C66">
        <w:rPr>
          <w:rFonts w:ascii="Times New Roman" w:hAnsi="Times New Roman" w:cs="Times New Roman"/>
          <w:sz w:val="24"/>
          <w:szCs w:val="24"/>
        </w:rPr>
        <w:t>722</w:t>
      </w:r>
      <w:r w:rsidR="00644C22" w:rsidRPr="00D26C66">
        <w:rPr>
          <w:rFonts w:ascii="Times New Roman" w:hAnsi="Times New Roman" w:cs="Times New Roman"/>
          <w:sz w:val="24"/>
          <w:szCs w:val="24"/>
        </w:rPr>
        <w:t>,</w:t>
      </w:r>
      <w:r w:rsidR="00D26C66">
        <w:rPr>
          <w:rFonts w:ascii="Times New Roman" w:hAnsi="Times New Roman" w:cs="Times New Roman"/>
          <w:sz w:val="24"/>
          <w:szCs w:val="24"/>
        </w:rPr>
        <w:t>81</w:t>
      </w:r>
      <w:r w:rsidR="00FF131E" w:rsidRPr="00D26C66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D26C66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D26C66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D26C66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D26C66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6B54693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26C66">
        <w:rPr>
          <w:rFonts w:ascii="Times New Roman" w:hAnsi="Times New Roman" w:cs="Times New Roman"/>
          <w:sz w:val="24"/>
          <w:szCs w:val="24"/>
        </w:rPr>
        <w:tab/>
      </w:r>
      <w:r w:rsidR="00FF131E" w:rsidRPr="00D26C66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D26C66" w:rsidRPr="00D26C66">
        <w:rPr>
          <w:rFonts w:ascii="Times New Roman" w:hAnsi="Times New Roman" w:cs="Times New Roman"/>
          <w:sz w:val="24"/>
          <w:szCs w:val="24"/>
        </w:rPr>
        <w:t>гр. Кърджали, кв. Възрожденци, бл. 61,вх. В</w:t>
      </w:r>
      <w:r w:rsidR="00C66637" w:rsidRPr="00D26C66">
        <w:rPr>
          <w:rFonts w:ascii="Times New Roman" w:hAnsi="Times New Roman" w:cs="Times New Roman"/>
          <w:sz w:val="24"/>
          <w:szCs w:val="24"/>
          <w:lang w:val="en-US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7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5D07AF"/>
    <w:multiLevelType w:val="hybridMultilevel"/>
    <w:tmpl w:val="99A60126"/>
    <w:lvl w:ilvl="0" w:tplc="61CAE44A">
      <w:start w:val="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9"/>
  </w:num>
  <w:num w:numId="4">
    <w:abstractNumId w:val="5"/>
  </w:num>
  <w:num w:numId="5">
    <w:abstractNumId w:val="7"/>
  </w:num>
  <w:num w:numId="6">
    <w:abstractNumId w:val="2"/>
  </w:num>
  <w:num w:numId="7">
    <w:abstractNumId w:val="4"/>
  </w:num>
  <w:num w:numId="8">
    <w:abstractNumId w:val="6"/>
  </w:num>
  <w:num w:numId="9">
    <w:abstractNumId w:val="11"/>
  </w:num>
  <w:num w:numId="10">
    <w:abstractNumId w:val="1"/>
  </w:num>
  <w:num w:numId="11">
    <w:abstractNumId w:val="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2FD5"/>
    <w:rsid w:val="00035AC5"/>
    <w:rsid w:val="00035D29"/>
    <w:rsid w:val="00044861"/>
    <w:rsid w:val="00062813"/>
    <w:rsid w:val="000B14B6"/>
    <w:rsid w:val="000D333B"/>
    <w:rsid w:val="000E36B9"/>
    <w:rsid w:val="000E7524"/>
    <w:rsid w:val="000F5ACE"/>
    <w:rsid w:val="001315C0"/>
    <w:rsid w:val="00163739"/>
    <w:rsid w:val="00175D15"/>
    <w:rsid w:val="001768EB"/>
    <w:rsid w:val="00185306"/>
    <w:rsid w:val="001C5AF2"/>
    <w:rsid w:val="001E6160"/>
    <w:rsid w:val="001F414C"/>
    <w:rsid w:val="00202B2F"/>
    <w:rsid w:val="00230DC4"/>
    <w:rsid w:val="00231D9D"/>
    <w:rsid w:val="00245141"/>
    <w:rsid w:val="002561DD"/>
    <w:rsid w:val="002620EA"/>
    <w:rsid w:val="002673FB"/>
    <w:rsid w:val="00294F75"/>
    <w:rsid w:val="00296D92"/>
    <w:rsid w:val="002A7A91"/>
    <w:rsid w:val="002B7327"/>
    <w:rsid w:val="003060A0"/>
    <w:rsid w:val="00313E19"/>
    <w:rsid w:val="00356174"/>
    <w:rsid w:val="00401C85"/>
    <w:rsid w:val="00415E25"/>
    <w:rsid w:val="00427854"/>
    <w:rsid w:val="00476F44"/>
    <w:rsid w:val="004B5B46"/>
    <w:rsid w:val="004D12C6"/>
    <w:rsid w:val="004E3B40"/>
    <w:rsid w:val="004E509E"/>
    <w:rsid w:val="004F6F1B"/>
    <w:rsid w:val="0050681D"/>
    <w:rsid w:val="00506D6F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634137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74E2B"/>
    <w:rsid w:val="0078357E"/>
    <w:rsid w:val="007E3B86"/>
    <w:rsid w:val="008223DE"/>
    <w:rsid w:val="00844A27"/>
    <w:rsid w:val="008706D3"/>
    <w:rsid w:val="00885B05"/>
    <w:rsid w:val="008A022A"/>
    <w:rsid w:val="008F6CC9"/>
    <w:rsid w:val="0099209D"/>
    <w:rsid w:val="009D0DFA"/>
    <w:rsid w:val="00A14C4C"/>
    <w:rsid w:val="00A56725"/>
    <w:rsid w:val="00A65113"/>
    <w:rsid w:val="00A76BC2"/>
    <w:rsid w:val="00A92C7E"/>
    <w:rsid w:val="00AC5990"/>
    <w:rsid w:val="00AE0F5A"/>
    <w:rsid w:val="00AE7FE6"/>
    <w:rsid w:val="00B84FB9"/>
    <w:rsid w:val="00B87CA7"/>
    <w:rsid w:val="00BE38A4"/>
    <w:rsid w:val="00C10092"/>
    <w:rsid w:val="00C13E95"/>
    <w:rsid w:val="00C24772"/>
    <w:rsid w:val="00C453F6"/>
    <w:rsid w:val="00C53C7E"/>
    <w:rsid w:val="00C62861"/>
    <w:rsid w:val="00C66637"/>
    <w:rsid w:val="00C827CA"/>
    <w:rsid w:val="00C83AF3"/>
    <w:rsid w:val="00C954FD"/>
    <w:rsid w:val="00CD3A19"/>
    <w:rsid w:val="00D24467"/>
    <w:rsid w:val="00D26C66"/>
    <w:rsid w:val="00D4108A"/>
    <w:rsid w:val="00D51147"/>
    <w:rsid w:val="00D86017"/>
    <w:rsid w:val="00DB49C1"/>
    <w:rsid w:val="00DB55A6"/>
    <w:rsid w:val="00DC76E2"/>
    <w:rsid w:val="00E10909"/>
    <w:rsid w:val="00E33098"/>
    <w:rsid w:val="00E46E84"/>
    <w:rsid w:val="00E613C5"/>
    <w:rsid w:val="00E91212"/>
    <w:rsid w:val="00EA2243"/>
    <w:rsid w:val="00EA5BB4"/>
    <w:rsid w:val="00EB02AC"/>
    <w:rsid w:val="00EC0F1D"/>
    <w:rsid w:val="00EF24FA"/>
    <w:rsid w:val="00F0414E"/>
    <w:rsid w:val="00F10966"/>
    <w:rsid w:val="00F20C71"/>
    <w:rsid w:val="00F227C5"/>
    <w:rsid w:val="00F66798"/>
    <w:rsid w:val="00F86BAA"/>
    <w:rsid w:val="00F86FCE"/>
    <w:rsid w:val="00F95471"/>
    <w:rsid w:val="00F967D5"/>
    <w:rsid w:val="00FA17A2"/>
    <w:rsid w:val="00FC2DC8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;"/>
  <w14:docId w14:val="17C9207B"/>
  <w15:docId w15:val="{87146A3E-DCC7-4DFF-8E1D-5CC8161523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824DE3-3771-4AC5-9066-B52F644D4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11</Pages>
  <Words>2085</Words>
  <Characters>11888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53</cp:revision>
  <dcterms:created xsi:type="dcterms:W3CDTF">2015-07-28T12:32:00Z</dcterms:created>
  <dcterms:modified xsi:type="dcterms:W3CDTF">2015-09-10T19:22:00Z</dcterms:modified>
</cp:coreProperties>
</file>