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000000" w:rsidRDefault="00956896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ТЕРИТОРИЯТА</w:t>
      </w:r>
    </w:p>
    <w:p w:rsidR="00000000" w:rsidRDefault="00956896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31.03.2001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956896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51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lastRenderedPageBreak/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.55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развлекателни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каскади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зеленчукови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лозя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необработваеми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хвостохранилища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срутища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териториите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равновесие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стиловото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ладаващо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отстъпените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отстъпените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упълномеряван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реституционните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реституирани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абсолютни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подпокривното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31 - 35,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ослънчаване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засенчената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приюти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жилищата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трафопостове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наднормено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мотопеди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мотоциклети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подпокривното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наднормено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югозападната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югоизточната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денивелация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денивелация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прозирни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капандури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съобразена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градското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обзавеждане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павилиони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електрозахранване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нспортен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залесени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площи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микроклимата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ботанически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дендрариуми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преотстъпвани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обременявани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композиционно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3 - 6.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Вековни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картотекираната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14.10.2011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206.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разкопаване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вътрешноквартални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192.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разкопават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епидемиологичните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филактични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210.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хидрофорни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вибрации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Енергоснабдителни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виброизолация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виброизолация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отпадъци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Газоснабдяване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композиционното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далекосъобщения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целенасочена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силуетно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мелиоративно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силуети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абсолютни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3 - 5;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закъснение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водовземните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регионалното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развитие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благоустройството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2 - 5.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конфигурацията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наводнения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мегавата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металургичната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мегавата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мегавата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нерегламентирани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инфилтрат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147.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Номенклатурата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51, 58,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кти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12.03.2013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15.05.2015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водовземно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145: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83.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оранжерии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остъкляване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лоджии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надгробни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надгробни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стенописи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интериор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прозирни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1, 2,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ТЕЛСТВОТО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ВЗАИМООТНОШЕНИЯ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ниво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едроразмерната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цокъл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фундаментите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тях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12.03.2013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15.05.2015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89/106/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88/5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съпротивление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14.10.2011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220 - 223.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ЗАСТРАХОВАНЕ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застрахователното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ретроактивната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Ретроактивна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пражнявали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ретроактивната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вредоносното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ретроактивната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аквапарковете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ОБЕЗЩЕТЯВАНЕ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148.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партерното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безпрепятствена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съпътстващата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срещуположни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съпътстващите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СТРОЕЖИ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проектоплана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застрашаващи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спокойствието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самосрутване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КУПУВАЧ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поделяемостта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неподеляеми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неподеляем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неудобства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ОБЩИНИТЕ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обезщетяване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случаи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неизплатеното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194,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5 - 8;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2 - 4;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ПРАВОСПОСОБНОСТ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лошо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високопланинските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проветрителните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подпокривното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лоджиите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абсолютно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срещуположната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ослънчаване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югоизток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югозапад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североизток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северозапад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подпокривното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средноаритметичната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цокъл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прозорци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конзолна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футболни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лейболни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баскетболни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хандбални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бейзболни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ръгби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миниголф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лекоатлетически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бадминтон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колоездене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гимнастически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плувни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пързалки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скейтборд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съблекални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трибуни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амфитеатри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циркови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съблекални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трибуни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задвижват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техногенни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техногенни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хипотезите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фундаментите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мораториума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мораториум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12,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10,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"."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ХХХ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72 - 74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възразили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216.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ИЗМЕРВАНИЯТА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КАРТОГРАФИЯТА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76, 77, 88, 94, 95,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15, §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§ 78, § 79, §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107,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125, §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34,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17 - 22), §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7), § 47, § 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ВОДИТЕ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СТРОИТЕЛИТЕ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(CONS),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(EPCT),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FIDIC.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76, 77, 88, 94, 95,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30, 34, 37, 65, 76, 79, 80, 82,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43, 54, 69,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17,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2, 21, 36, 39, 41, 44, 45, 49, 50, 51, 53, 55, 56, 57, 59, 62, 63, 64, 65,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ОТПАДЪЦИТЕ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§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ЕНЕРГЕТИКАТА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4, 5, 6, 7, 8, 9,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14.10.2011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20 - 42, §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43 - 58, §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W;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1.2, 1.3, 1.4,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2.1 - 2.6, 3.1 - 3.5;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4.1 - 4.6 -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5.3.1,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5.4, 6.1,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6.2, 6.3, 6.4.1, 6.4.2,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6.4.3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6.5 - 6.9;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18.05.2012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здравноосигурителна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ПАРТНЬОРСТВО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§ 5, § 7, § 8, § 9, §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ОТПАДЪ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ЦИТЕ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72 - 74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възразили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216.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18, § 114, § 120, § 121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12.03.2013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15.05.2015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3".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04.08.2017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72 - 82,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4 - 9,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§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КОНЦЕСИИТЕ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5689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56896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85/384/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.)</w:t>
      </w:r>
    </w:p>
    <w:p w:rsidR="00000000" w:rsidRDefault="0095689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89/106/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956896" w:rsidRDefault="0095689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956896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AF"/>
    <w:rsid w:val="004A3BAF"/>
    <w:rsid w:val="009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rb.government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rb.government.bg/" TargetMode="External"/><Relationship Id="rId5" Type="http://schemas.openxmlformats.org/officeDocument/2006/relationships/hyperlink" Target="http://www.mrrb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76211</Words>
  <Characters>434405</Characters>
  <Application>Microsoft Office Word</Application>
  <DocSecurity>0</DocSecurity>
  <Lines>3620</Lines>
  <Paragraphs>1019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Georgieva</dc:creator>
  <cp:lastModifiedBy>Daniela Georgieva</cp:lastModifiedBy>
  <cp:revision>3</cp:revision>
  <dcterms:created xsi:type="dcterms:W3CDTF">2018-08-06T12:00:00Z</dcterms:created>
  <dcterms:modified xsi:type="dcterms:W3CDTF">2018-08-06T12:00:00Z</dcterms:modified>
</cp:coreProperties>
</file>