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EFEFE"/>
  <w:body>
    <w:p w:rsidR="00000000" w:rsidRDefault="00D87922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ЗАКОН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УСТРОЙСТВОТО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ЧЕРНОМОРСКОТО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КРАЙБРЕЖИЕ</w:t>
      </w:r>
    </w:p>
    <w:p w:rsidR="00000000" w:rsidRDefault="00D87922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сила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01.01.2008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D87922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Обн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.48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Юни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.36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Април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.67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.82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Ноември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.45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Юни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.82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2013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2013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.66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2013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.105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2013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.40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Май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2014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Ноември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2014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Февруари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2015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.61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Август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2015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.101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2015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.36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Май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.58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.103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.56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.60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30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.21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2020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602-01-9/28.02.2006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самоупра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разумно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бряг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абразия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парцеларн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КРАЙБРЕЖНА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ПОЛЗВАНЕ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бряг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седиментни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предизвикани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брегоукрепителните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лагуни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лимани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брегоукрепителните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отчуждава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очертанията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(10)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санитарно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хигиенното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ължителните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4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5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обезпечаване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водноспасителна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водноспасителната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поръчка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(10)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01.09.2012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ваканционни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къмпинги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бряг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".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договаряне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законосъобраз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новоучредено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капитала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новоучредено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новоучредено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капитала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новорегистриран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аспекти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обезпечения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6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регистър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159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- 159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192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253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253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254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301 - 302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304 - 305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307, 321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лихвите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поръчки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поръчка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юрисдикция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преференциален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корпоративното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несъстоятелност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ликвидация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несъстоятелност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преодолян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непозволено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необосновано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подвеждаща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реабилитиран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изтърпяването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начислени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лихви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разсрочване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отсрочване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езпечение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начислени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лихви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юрисдикции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преференциален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смърт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заболяване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мнозинство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7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привлече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инфор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осведомяване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8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идуализират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9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обвързан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пликовете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пликовете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равомощава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спечелилия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неуредените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0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регистър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губи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дексация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обезпеченията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застраховане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монитори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ктронни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1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регистър.</w:t>
        </w:r>
      </w:hyperlink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офертата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2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регистър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партида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3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регистър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".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ПОДИЗПЪЛНЕНИЕ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неправомерни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неправомерните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внедряване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солидарно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прагът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недвусмислено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натрупване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недействително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клаузата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индексация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4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регистър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непроменен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подготвяно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универсално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подготвяното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предизвестие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несъстоятелност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неправомерни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реобразуването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универсално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предизвестие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предупреждение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недействителен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неуредените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5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Националния концесионен ре</w:t>
        </w:r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гистър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".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септември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16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ртизи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ТЕРИТОРИАЛНОУСТРОЙСТВЕНА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ЗАЩИТА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териториалноустройствена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бряг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лечебна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минерални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непречистени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олзотворяване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употребата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минерални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Конвенцията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истанища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пристанищни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пречиствателни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16.03.2015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увеселителни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урегулираните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чешми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фонтани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5 - 8,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развлекателна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корабоплаването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равностойна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(10)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(*),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къмпинги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незастроени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кемпери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каравани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къмпинги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беседки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чешми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3,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оползотворяване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непречистени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пречистените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употребата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минерални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Конвенцията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урегулиран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ваканционни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урегулиран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1,2;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0,8;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- 50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урегулирания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енергоснабдяване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водоснабдяване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пречистване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увеселителни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урегулираните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чешми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фонтани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хитект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отчуждава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октомври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ваканционните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къмпингите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октомври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18.07.2017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Камарата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Камарата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първостепенно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противоконституционна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сертификат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инвестиция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sz w:val="24"/>
          <w:szCs w:val="24"/>
          <w:highlight w:val="white"/>
          <w:shd w:val="clear" w:color="auto" w:fill="FEFEFE"/>
        </w:rPr>
        <w:t>инвестициите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ивоконституционна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полурем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КРАЙБРЕЖИЕТО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концепциите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противоречат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концепциите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окончателна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рекреационните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16.10.2009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03.02.2015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рекреационни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капацитети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ваканционните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10.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26.10.2012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рекреационните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санитарна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риболов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".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преведената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неустойки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предупредителни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санитарно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хигиенно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обезпечаване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водноспасителна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ключил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мнозинство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АДМИНИСТРАТИВНОНАКАЗАТЕЛНИ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ЗАГЛ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.)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(*))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палатка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шатра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кемпер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каравана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кемпери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каравани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равностоен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шатра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палатка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24,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25, 26, 27, 28,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25, 27, 28,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управители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23, 23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административнонаказателно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дванадесета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пломбиране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запечатване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бряг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зараждащи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неплатени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придвижване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придвижването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чадъри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шезлонги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дюшеци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осетителите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подиуми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чадъри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слънцезащитни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столове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Водноатракционни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развлеч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пристанищата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екосистемите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разумно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неуредените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едприятията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Конвенцията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11,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рекултивират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10.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-------------------------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подпечатан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КОНЦЕСИИТЕ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54,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ТУРИЗМА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16.10.2009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ПУБЛИЧНО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ПАРТНЬОРСТВО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4, § 5, § 7, § 8, § 9, §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септември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ТЕРИТОРИЯТА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149.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16, §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39,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КРАЙБРЕЖИЕ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-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неуредените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ТЕРИТОРИЯТА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. . . . . . . . . . . . . . . . . . . . . . . . . . . 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ЙБРЕЖИЕ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октомври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ТЕРИТОРИЯТА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27,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Конституционния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ТУРИЗМА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03.02.2015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преписките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септември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административнонаказателни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6,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къмпингуване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къмпинги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ХРАНИТЕ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18.07.2017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КОНЦЕСИИТЕ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РЕГУЛИРАН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СТОПАНСКАТА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68.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МОРСКИТЕ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РОСТРАНСТВА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ПРИСТАНИЩАТА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КРАЙБРЕЖИЕ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30.07.2019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D87922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РАЗВИТИЕ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15.03.2016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Иракли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Бяла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Карадере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D87922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D87922" w:rsidRDefault="00D87922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sectPr w:rsidR="00D87922">
      <w:pgSz w:w="12240" w:h="15840"/>
      <w:pgMar w:top="1080" w:right="1080" w:bottom="1080" w:left="108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A9"/>
    <w:rsid w:val="00D87922"/>
    <w:rsid w:val="00F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96FB00-2632-4C45-A296-22DF2A7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government.bg/" TargetMode="External"/><Relationship Id="rId13" Type="http://schemas.openxmlformats.org/officeDocument/2006/relationships/hyperlink" Target="https://nkr.government.b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urism.government.bg/" TargetMode="External"/><Relationship Id="rId12" Type="http://schemas.openxmlformats.org/officeDocument/2006/relationships/hyperlink" Target="https://nkr.government.b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kr.government.bg/" TargetMode="External"/><Relationship Id="rId1" Type="http://schemas.openxmlformats.org/officeDocument/2006/relationships/styles" Target="styles.xml"/><Relationship Id="rId6" Type="http://schemas.openxmlformats.org/officeDocument/2006/relationships/hyperlink" Target="https://nkr.government.bg/" TargetMode="External"/><Relationship Id="rId11" Type="http://schemas.openxmlformats.org/officeDocument/2006/relationships/hyperlink" Target="https://nkr.government.bg/" TargetMode="External"/><Relationship Id="rId5" Type="http://schemas.openxmlformats.org/officeDocument/2006/relationships/hyperlink" Target="http://www.tourism.government.bg/" TargetMode="External"/><Relationship Id="rId15" Type="http://schemas.openxmlformats.org/officeDocument/2006/relationships/hyperlink" Target="https://nkr.government.bg/" TargetMode="External"/><Relationship Id="rId10" Type="http://schemas.openxmlformats.org/officeDocument/2006/relationships/hyperlink" Target="https://nkr.government.bg/" TargetMode="External"/><Relationship Id="rId4" Type="http://schemas.openxmlformats.org/officeDocument/2006/relationships/hyperlink" Target="http://www.tourism.government.bg/" TargetMode="External"/><Relationship Id="rId9" Type="http://schemas.openxmlformats.org/officeDocument/2006/relationships/hyperlink" Target="http://www.tourism.government.bg/" TargetMode="External"/><Relationship Id="rId14" Type="http://schemas.openxmlformats.org/officeDocument/2006/relationships/hyperlink" Target="https://nkr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21185</Words>
  <Characters>120756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GEORGIEVA GYURDZHEKLIEVA</dc:creator>
  <cp:keywords/>
  <dc:description/>
  <cp:lastModifiedBy>DANIELA GEORGIEVA GYURDZHEKLIEVA</cp:lastModifiedBy>
  <cp:revision>2</cp:revision>
  <dcterms:created xsi:type="dcterms:W3CDTF">2020-03-24T12:00:00Z</dcterms:created>
  <dcterms:modified xsi:type="dcterms:W3CDTF">2020-03-24T12:00:00Z</dcterms:modified>
</cp:coreProperties>
</file>