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BBA8" w14:textId="07E551F7" w:rsidR="000F3E21" w:rsidRPr="00BF49CA" w:rsidRDefault="008063B1" w:rsidP="000F3E21">
      <w:pPr>
        <w:pStyle w:val="BodyText"/>
        <w:spacing w:before="120" w:after="0"/>
        <w:jc w:val="right"/>
        <w:rPr>
          <w:rFonts w:ascii="Times New Roman" w:hAnsi="Times New Roman"/>
          <w:b/>
          <w:caps/>
          <w:spacing w:val="-8"/>
          <w:sz w:val="24"/>
          <w:szCs w:val="24"/>
          <w:lang w:val="bg-BG"/>
        </w:rPr>
      </w:pPr>
      <w:r>
        <w:rPr>
          <w:rFonts w:ascii="Times New Roman" w:hAnsi="Times New Roman"/>
          <w:b/>
          <w:caps/>
          <w:noProof/>
          <w:sz w:val="24"/>
          <w:szCs w:val="24"/>
          <w:lang w:val="bg-BG"/>
        </w:rPr>
        <w:t>Приложение №9</w:t>
      </w:r>
    </w:p>
    <w:p w14:paraId="39681737" w14:textId="77777777" w:rsidR="000F3E21" w:rsidRPr="00BF49CA" w:rsidRDefault="000F3E21" w:rsidP="000F3E21">
      <w:pPr>
        <w:pStyle w:val="BodyText"/>
        <w:spacing w:before="120" w:after="0"/>
        <w:jc w:val="center"/>
        <w:rPr>
          <w:rFonts w:ascii="Times New Roman" w:hAnsi="Times New Roman"/>
          <w:b/>
          <w:caps/>
          <w:spacing w:val="-8"/>
          <w:sz w:val="24"/>
          <w:szCs w:val="24"/>
          <w:lang w:val="bg-BG"/>
        </w:rPr>
      </w:pPr>
      <w:r w:rsidRPr="00BF49CA">
        <w:rPr>
          <w:rFonts w:ascii="Times New Roman" w:hAnsi="Times New Roman"/>
          <w:b/>
          <w:caps/>
          <w:spacing w:val="-8"/>
          <w:sz w:val="24"/>
          <w:szCs w:val="24"/>
          <w:lang w:val="bg-BG"/>
        </w:rPr>
        <w:t>Указания за оценка на съответствиеТО на предложенията ЗА ИЗПЪЛНЕНИЕ НА ИНВЕСТИЦИИ с правилата за държавни помощи</w:t>
      </w:r>
    </w:p>
    <w:p w14:paraId="694F6422" w14:textId="77777777" w:rsidR="000F3E21" w:rsidRDefault="000F3E21" w:rsidP="00CE6133">
      <w:pPr>
        <w:snapToGrid w:val="0"/>
        <w:spacing w:after="120" w:line="240" w:lineRule="auto"/>
        <w:jc w:val="center"/>
        <w:rPr>
          <w:rFonts w:ascii="Times New Roman" w:hAnsi="Times New Roman"/>
          <w:b/>
          <w:sz w:val="24"/>
          <w:szCs w:val="24"/>
          <w:lang w:val="bg-BG"/>
        </w:rPr>
      </w:pPr>
    </w:p>
    <w:p w14:paraId="25C14D50" w14:textId="77777777" w:rsidR="00CE6133" w:rsidRPr="00CE6133" w:rsidRDefault="00CE6133" w:rsidP="00CE6133">
      <w:pPr>
        <w:widowControl w:val="0"/>
        <w:autoSpaceDE w:val="0"/>
        <w:autoSpaceDN w:val="0"/>
        <w:adjustRightInd w:val="0"/>
        <w:snapToGrid w:val="0"/>
        <w:spacing w:after="120" w:line="240" w:lineRule="auto"/>
        <w:ind w:left="4"/>
        <w:rPr>
          <w:rFonts w:ascii="Times New Roman" w:hAnsi="Times New Roman"/>
          <w:b/>
          <w:bCs/>
          <w:sz w:val="24"/>
          <w:szCs w:val="24"/>
          <w:lang w:val="bg-BG"/>
        </w:rPr>
      </w:pPr>
    </w:p>
    <w:p w14:paraId="03BFAB31" w14:textId="77777777" w:rsidR="000F3E21" w:rsidRPr="000F3E21" w:rsidRDefault="000F3E21" w:rsidP="000F3E21">
      <w:pPr>
        <w:pStyle w:val="ListParagraph"/>
        <w:numPr>
          <w:ilvl w:val="0"/>
          <w:numId w:val="9"/>
        </w:numPr>
        <w:rPr>
          <w:rFonts w:eastAsia="Calibri"/>
          <w:b/>
          <w:bCs/>
          <w:lang w:val="bg-BG" w:eastAsia="en-US"/>
        </w:rPr>
      </w:pPr>
      <w:r w:rsidRPr="000F3E21">
        <w:rPr>
          <w:rFonts w:eastAsia="Calibri"/>
          <w:b/>
          <w:bCs/>
          <w:lang w:val="bg-BG" w:eastAsia="en-US"/>
        </w:rPr>
        <w:t>Цел на указанията</w:t>
      </w:r>
    </w:p>
    <w:p w14:paraId="6B1721F5" w14:textId="77777777" w:rsidR="000F3E21" w:rsidRPr="000F3E21" w:rsidRDefault="000F3E21" w:rsidP="000F3E21">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0F3E21">
        <w:rPr>
          <w:rFonts w:ascii="Times New Roman" w:hAnsi="Times New Roman"/>
          <w:bCs/>
          <w:sz w:val="24"/>
          <w:szCs w:val="24"/>
          <w:lang w:val="bg-BG"/>
        </w:rPr>
        <w:t>Настоящите указания са предназначени за кандидатите по процедурата и експертите, оценяващи предложенията за предоставяне на средства по инвестиция „</w:t>
      </w:r>
      <w:r>
        <w:rPr>
          <w:rFonts w:ascii="Times New Roman" w:hAnsi="Times New Roman"/>
          <w:bCs/>
          <w:sz w:val="24"/>
          <w:szCs w:val="24"/>
          <w:lang w:val="bg-BG"/>
        </w:rPr>
        <w:t>П</w:t>
      </w:r>
      <w:r w:rsidRPr="000F3E21">
        <w:rPr>
          <w:rFonts w:ascii="Times New Roman" w:hAnsi="Times New Roman"/>
          <w:bCs/>
          <w:sz w:val="24"/>
          <w:szCs w:val="24"/>
          <w:lang w:val="bg-BG"/>
        </w:rPr>
        <w:t xml:space="preserve">одкрепа за устойчиво енергийно обновяване на жилищния сграден фонд“. </w:t>
      </w:r>
    </w:p>
    <w:p w14:paraId="717EA5D1" w14:textId="77777777" w:rsidR="000F3E21" w:rsidRPr="000F3E21" w:rsidRDefault="000F3E21" w:rsidP="000F3E21">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0F3E21">
        <w:rPr>
          <w:rFonts w:ascii="Times New Roman" w:hAnsi="Times New Roman"/>
          <w:bCs/>
          <w:sz w:val="24"/>
          <w:szCs w:val="24"/>
          <w:lang w:val="bg-BG"/>
        </w:rPr>
        <w:t xml:space="preserve"> Указанията имат за цел да обяснят как се извършва оценката на предложенията по отношение на критерий „Предложението е в съответствие с изискванията на приложимия режим за държавна помощ“.</w:t>
      </w:r>
    </w:p>
    <w:p w14:paraId="22AC3FD5" w14:textId="77777777" w:rsidR="00CE6133" w:rsidRDefault="000F3E21" w:rsidP="000F3E21">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0F3E21">
        <w:rPr>
          <w:rFonts w:ascii="Times New Roman" w:hAnsi="Times New Roman"/>
          <w:bCs/>
          <w:sz w:val="24"/>
          <w:szCs w:val="24"/>
          <w:lang w:val="bg-BG"/>
        </w:rPr>
        <w:t>Възможните хипотези за наличие на държавна помощ и съответно, приложимия режим на държавна помощ, са описани в раздел „1</w:t>
      </w:r>
      <w:r>
        <w:rPr>
          <w:rFonts w:ascii="Times New Roman" w:hAnsi="Times New Roman"/>
          <w:bCs/>
          <w:sz w:val="24"/>
          <w:szCs w:val="24"/>
          <w:lang w:val="bg-BG"/>
        </w:rPr>
        <w:t>1</w:t>
      </w:r>
      <w:r w:rsidRPr="000F3E21">
        <w:rPr>
          <w:rFonts w:ascii="Times New Roman" w:hAnsi="Times New Roman"/>
          <w:bCs/>
          <w:sz w:val="24"/>
          <w:szCs w:val="24"/>
          <w:lang w:val="bg-BG"/>
        </w:rPr>
        <w:t xml:space="preserve">. Приложим Режим на минимални/държавни помощи“ от Насоките за кандидатстване по процедура инвестиция </w:t>
      </w:r>
      <w:r>
        <w:rPr>
          <w:rFonts w:ascii="Times New Roman" w:hAnsi="Times New Roman"/>
          <w:bCs/>
          <w:sz w:val="24"/>
          <w:szCs w:val="24"/>
          <w:lang w:val="bg-BG"/>
        </w:rPr>
        <w:t>П</w:t>
      </w:r>
      <w:r w:rsidRPr="000F3E21">
        <w:rPr>
          <w:rFonts w:ascii="Times New Roman" w:hAnsi="Times New Roman"/>
          <w:bCs/>
          <w:sz w:val="24"/>
          <w:szCs w:val="24"/>
          <w:lang w:val="bg-BG"/>
        </w:rPr>
        <w:t>одкрепа за устойчиво енергийно обновяване на жилищния сграден фонд“. Кандидатите следва подробно да са се запознали с този раздел от насоките.</w:t>
      </w:r>
    </w:p>
    <w:p w14:paraId="4519A06D" w14:textId="77777777" w:rsidR="00EE368E" w:rsidRPr="00EE368E" w:rsidRDefault="00EE368E" w:rsidP="00EE368E">
      <w:pPr>
        <w:pStyle w:val="ListParagraph"/>
        <w:widowControl w:val="0"/>
        <w:numPr>
          <w:ilvl w:val="0"/>
          <w:numId w:val="9"/>
        </w:numPr>
        <w:autoSpaceDE w:val="0"/>
        <w:autoSpaceDN w:val="0"/>
        <w:adjustRightInd w:val="0"/>
        <w:snapToGrid w:val="0"/>
        <w:spacing w:after="120"/>
        <w:jc w:val="both"/>
        <w:rPr>
          <w:b/>
          <w:bCs/>
          <w:lang w:val="bg-BG"/>
        </w:rPr>
      </w:pPr>
      <w:r w:rsidRPr="00EE368E">
        <w:rPr>
          <w:b/>
          <w:bCs/>
          <w:lang w:val="bg-BG"/>
        </w:rPr>
        <w:t>Общи определения и хипотези на допустимост на държавна помощ</w:t>
      </w:r>
    </w:p>
    <w:p w14:paraId="032C4B78" w14:textId="77777777" w:rsidR="00EE368E" w:rsidRPr="00EE368E" w:rsidRDefault="00EE368E" w:rsidP="00EE368E">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EE368E">
        <w:rPr>
          <w:rFonts w:ascii="Times New Roman" w:hAnsi="Times New Roman"/>
          <w:b/>
          <w:bCs/>
          <w:sz w:val="24"/>
          <w:szCs w:val="24"/>
          <w:lang w:val="bg-BG"/>
        </w:rPr>
        <w:t>„Държавна помощ“</w:t>
      </w:r>
      <w:r w:rsidRPr="00EE368E">
        <w:rPr>
          <w:rFonts w:ascii="Times New Roman" w:hAnsi="Times New Roman"/>
          <w:bCs/>
          <w:sz w:val="24"/>
          <w:szCs w:val="24"/>
          <w:lang w:val="bg-BG"/>
        </w:rPr>
        <w:t xml:space="preserve"> е всяка помощ, предоставена от държавата или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членки.</w:t>
      </w:r>
    </w:p>
    <w:p w14:paraId="5557F436" w14:textId="77777777" w:rsidR="00EE368E" w:rsidRPr="00EE368E" w:rsidRDefault="00EE368E" w:rsidP="00EE368E">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EE368E">
        <w:rPr>
          <w:rFonts w:ascii="Times New Roman" w:hAnsi="Times New Roman"/>
          <w:b/>
          <w:bCs/>
          <w:sz w:val="24"/>
          <w:szCs w:val="24"/>
          <w:lang w:val="bg-BG"/>
        </w:rPr>
        <w:t>„Предприятие“</w:t>
      </w:r>
      <w:r w:rsidRPr="00EE368E">
        <w:rPr>
          <w:rFonts w:ascii="Times New Roman" w:hAnsi="Times New Roman"/>
          <w:bCs/>
          <w:sz w:val="24"/>
          <w:szCs w:val="24"/>
          <w:lang w:val="bg-BG"/>
        </w:rPr>
        <w:t xml:space="preserve"> по смисъла на чл. 107 от Договора за функциониране на ЕС е всяко лице, което осъществява икономическа дейност без значение на неговата </w:t>
      </w:r>
      <w:proofErr w:type="spellStart"/>
      <w:r w:rsidRPr="00EE368E">
        <w:rPr>
          <w:rFonts w:ascii="Times New Roman" w:hAnsi="Times New Roman"/>
          <w:bCs/>
          <w:sz w:val="24"/>
          <w:szCs w:val="24"/>
          <w:lang w:val="bg-BG"/>
        </w:rPr>
        <w:t>правноорганизационна</w:t>
      </w:r>
      <w:proofErr w:type="spellEnd"/>
      <w:r w:rsidRPr="00EE368E">
        <w:rPr>
          <w:rFonts w:ascii="Times New Roman" w:hAnsi="Times New Roman"/>
          <w:bCs/>
          <w:sz w:val="24"/>
          <w:szCs w:val="24"/>
          <w:lang w:val="bg-BG"/>
        </w:rPr>
        <w:t xml:space="preserve"> форма, статут и начин на финансиране, независимо от това дали същото формира и разпределя печалба (чл. 20, ал. 2 от Закона за държавните помощи).</w:t>
      </w:r>
    </w:p>
    <w:p w14:paraId="2A40AF9C" w14:textId="77777777" w:rsidR="00EE368E" w:rsidRPr="00EE368E" w:rsidRDefault="00EE368E" w:rsidP="00EE368E">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EE368E">
        <w:rPr>
          <w:rFonts w:ascii="Times New Roman" w:hAnsi="Times New Roman"/>
          <w:b/>
          <w:bCs/>
          <w:sz w:val="24"/>
          <w:szCs w:val="24"/>
          <w:lang w:val="bg-BG"/>
        </w:rPr>
        <w:t>„Икономическа дейност“</w:t>
      </w:r>
      <w:r w:rsidRPr="00EE368E">
        <w:rPr>
          <w:rFonts w:ascii="Times New Roman" w:hAnsi="Times New Roman"/>
          <w:bCs/>
          <w:sz w:val="24"/>
          <w:szCs w:val="24"/>
          <w:lang w:val="bg-BG"/>
        </w:rPr>
        <w:t xml:space="preserve"> е всяка дейност по предлагане на стоки и услуги на пазара, както и всяка дейност, резултатите от която са предназначени за размяна на пазара, независимо дали от това се формира и разпределя печалба или друг доход. За икономическа дейност се смята и предоставянето за ползване на материално и нематериално имущество и права. Правният статут на дадено лице съгласно националното право или генерирането на печалба е без значение - публичните органи, спортните клубове, асоциациите и неправителствените организации също могат да бъдат определени като предприятия в зависимост от това каква дейност извършват и има ли отворен пазар за тази дейност.</w:t>
      </w:r>
    </w:p>
    <w:p w14:paraId="0E9DC50C" w14:textId="77777777" w:rsidR="00EE368E" w:rsidRPr="00EE368E" w:rsidRDefault="00EE368E" w:rsidP="00EE368E">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EE368E">
        <w:rPr>
          <w:rFonts w:ascii="Times New Roman" w:hAnsi="Times New Roman"/>
          <w:b/>
          <w:bCs/>
          <w:sz w:val="24"/>
          <w:szCs w:val="24"/>
          <w:lang w:val="bg-BG"/>
        </w:rPr>
        <w:t>„Администратор на помощ“</w:t>
      </w:r>
      <w:r w:rsidRPr="00EE368E">
        <w:rPr>
          <w:rFonts w:ascii="Times New Roman" w:hAnsi="Times New Roman"/>
          <w:bCs/>
          <w:sz w:val="24"/>
          <w:szCs w:val="24"/>
          <w:lang w:val="bg-BG"/>
        </w:rPr>
        <w:t xml:space="preserve"> съгласно чл. 9 от Закона за държавните помощи (ЗДП) е лице, което предоставя или управлява, включително разработва държавна помощ или минимална помощ, освен когато в закон е предвидено друго. Когато държавната помощ или минималната помощ се предоставя от орган, управляващ оперативна програма, или от орган - програмен оператор на програма, администратор на помощта е органът, отговорен за управлението и изпълнението на </w:t>
      </w:r>
      <w:r>
        <w:rPr>
          <w:rFonts w:ascii="Times New Roman" w:hAnsi="Times New Roman"/>
          <w:bCs/>
          <w:sz w:val="24"/>
          <w:szCs w:val="24"/>
          <w:lang w:val="bg-BG"/>
        </w:rPr>
        <w:t>инвестицията</w:t>
      </w:r>
      <w:r w:rsidRPr="00EE368E">
        <w:rPr>
          <w:rFonts w:ascii="Times New Roman" w:hAnsi="Times New Roman"/>
          <w:bCs/>
          <w:sz w:val="24"/>
          <w:szCs w:val="24"/>
          <w:lang w:val="bg-BG"/>
        </w:rPr>
        <w:t xml:space="preserve">. Съгласно чл. 9, ал. 5 от ЗДП </w:t>
      </w:r>
      <w:r w:rsidRPr="00EE368E">
        <w:rPr>
          <w:rFonts w:ascii="Times New Roman" w:hAnsi="Times New Roman"/>
          <w:bCs/>
          <w:sz w:val="24"/>
          <w:szCs w:val="24"/>
          <w:lang w:val="bg-BG"/>
        </w:rPr>
        <w:lastRenderedPageBreak/>
        <w:t xml:space="preserve">администраторът на помощ може да възложи част от функциите си по този закон на </w:t>
      </w:r>
      <w:proofErr w:type="spellStart"/>
      <w:r w:rsidRPr="00EE368E">
        <w:rPr>
          <w:rFonts w:ascii="Times New Roman" w:hAnsi="Times New Roman"/>
          <w:bCs/>
          <w:sz w:val="24"/>
          <w:szCs w:val="24"/>
          <w:lang w:val="bg-BG"/>
        </w:rPr>
        <w:t>публичноправна</w:t>
      </w:r>
      <w:proofErr w:type="spellEnd"/>
      <w:r w:rsidRPr="00EE368E">
        <w:rPr>
          <w:rFonts w:ascii="Times New Roman" w:hAnsi="Times New Roman"/>
          <w:bCs/>
          <w:sz w:val="24"/>
          <w:szCs w:val="24"/>
          <w:lang w:val="bg-BG"/>
        </w:rPr>
        <w:t xml:space="preserve"> организация, публичен орган или публично предприятие, което носи отговорност като администратор на помощ за възложените функции и изпълнява свързаните с тях задължения спрямо получателя на помощта</w:t>
      </w:r>
      <w:r>
        <w:rPr>
          <w:rFonts w:ascii="Times New Roman" w:hAnsi="Times New Roman"/>
          <w:bCs/>
          <w:sz w:val="24"/>
          <w:szCs w:val="24"/>
          <w:lang w:val="bg-BG"/>
        </w:rPr>
        <w:t>, както е в конкретния случай</w:t>
      </w:r>
      <w:r w:rsidRPr="00EE368E">
        <w:rPr>
          <w:rFonts w:ascii="Times New Roman" w:hAnsi="Times New Roman"/>
          <w:bCs/>
          <w:sz w:val="24"/>
          <w:szCs w:val="24"/>
          <w:lang w:val="bg-BG"/>
        </w:rPr>
        <w:t xml:space="preserve">. </w:t>
      </w:r>
      <w:r>
        <w:rPr>
          <w:rFonts w:ascii="Times New Roman" w:hAnsi="Times New Roman"/>
          <w:bCs/>
          <w:sz w:val="24"/>
          <w:szCs w:val="24"/>
          <w:lang w:val="bg-BG"/>
        </w:rPr>
        <w:t>В</w:t>
      </w:r>
      <w:r w:rsidRPr="00EE368E">
        <w:rPr>
          <w:rFonts w:ascii="Times New Roman" w:hAnsi="Times New Roman"/>
          <w:bCs/>
          <w:sz w:val="24"/>
          <w:szCs w:val="24"/>
          <w:lang w:val="bg-BG"/>
        </w:rPr>
        <w:t xml:space="preserve"> случаите, в които държавната помощ се предоставя на съответния получател от общините бенефициенти, същите ще изпълняват отговорностите на администратори на основание чл. 9, ал. 5 от ЗДП. </w:t>
      </w:r>
    </w:p>
    <w:p w14:paraId="559D1AE0" w14:textId="77777777" w:rsidR="00EE368E" w:rsidRPr="00EE368E" w:rsidRDefault="00EE368E" w:rsidP="00EE368E">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EE368E">
        <w:rPr>
          <w:rFonts w:ascii="Times New Roman" w:hAnsi="Times New Roman"/>
          <w:bCs/>
          <w:sz w:val="24"/>
          <w:szCs w:val="24"/>
          <w:lang w:val="bg-BG"/>
        </w:rPr>
        <w:t>В рамките на процедурата не се допуска предоставяне на държавна помощ. В случай че мерките не могат да бъдат определени като попадащи извън приложното поле на правилата по държавните помощи (режим „</w:t>
      </w:r>
      <w:proofErr w:type="spellStart"/>
      <w:r w:rsidRPr="00EE368E">
        <w:rPr>
          <w:rFonts w:ascii="Times New Roman" w:hAnsi="Times New Roman"/>
          <w:bCs/>
          <w:sz w:val="24"/>
          <w:szCs w:val="24"/>
          <w:lang w:val="bg-BG"/>
        </w:rPr>
        <w:t>непомощ</w:t>
      </w:r>
      <w:proofErr w:type="spellEnd"/>
      <w:r w:rsidRPr="00EE368E">
        <w:rPr>
          <w:rFonts w:ascii="Times New Roman" w:hAnsi="Times New Roman"/>
          <w:bCs/>
          <w:sz w:val="24"/>
          <w:szCs w:val="24"/>
          <w:lang w:val="bg-BG"/>
        </w:rPr>
        <w:t xml:space="preserve">“), единствената друга възможна хипотеза е: </w:t>
      </w:r>
    </w:p>
    <w:p w14:paraId="071CE217" w14:textId="77777777" w:rsidR="00EE368E" w:rsidRPr="00EE368E" w:rsidRDefault="00EE368E" w:rsidP="00EE368E">
      <w:pPr>
        <w:widowControl w:val="0"/>
        <w:numPr>
          <w:ilvl w:val="0"/>
          <w:numId w:val="24"/>
        </w:numPr>
        <w:autoSpaceDE w:val="0"/>
        <w:autoSpaceDN w:val="0"/>
        <w:adjustRightInd w:val="0"/>
        <w:snapToGrid w:val="0"/>
        <w:spacing w:after="120" w:line="240" w:lineRule="auto"/>
        <w:jc w:val="both"/>
        <w:rPr>
          <w:rFonts w:ascii="Times New Roman" w:hAnsi="Times New Roman"/>
          <w:bCs/>
          <w:sz w:val="24"/>
          <w:szCs w:val="24"/>
          <w:lang w:val="bg-BG"/>
        </w:rPr>
      </w:pPr>
      <w:r w:rsidRPr="00EE368E">
        <w:rPr>
          <w:rFonts w:ascii="Times New Roman" w:hAnsi="Times New Roman"/>
          <w:b/>
          <w:bCs/>
          <w:sz w:val="24"/>
          <w:szCs w:val="24"/>
          <w:lang w:val="bg-BG"/>
        </w:rPr>
        <w:t>Финансирането представлява минимална помощ</w:t>
      </w:r>
      <w:r w:rsidRPr="00EE368E">
        <w:rPr>
          <w:rFonts w:ascii="Times New Roman" w:hAnsi="Times New Roman"/>
          <w:bCs/>
          <w:sz w:val="24"/>
          <w:szCs w:val="24"/>
          <w:lang w:val="bg-BG"/>
        </w:rPr>
        <w:t xml:space="preserve"> – т.е. предоставя се финансиране в размер под определен минимален праг за даден период от време, за който се приема, че не представлява държавна помощ – правилото </w:t>
      </w:r>
      <w:proofErr w:type="spellStart"/>
      <w:r w:rsidRPr="00EE368E">
        <w:rPr>
          <w:rFonts w:ascii="Times New Roman" w:hAnsi="Times New Roman"/>
          <w:bCs/>
          <w:sz w:val="24"/>
          <w:szCs w:val="24"/>
          <w:lang w:val="bg-BG"/>
        </w:rPr>
        <w:t>de</w:t>
      </w:r>
      <w:proofErr w:type="spellEnd"/>
      <w:r w:rsidRPr="00EE368E">
        <w:rPr>
          <w:rFonts w:ascii="Times New Roman" w:hAnsi="Times New Roman"/>
          <w:bCs/>
          <w:sz w:val="24"/>
          <w:szCs w:val="24"/>
          <w:lang w:val="bg-BG"/>
        </w:rPr>
        <w:t xml:space="preserve"> </w:t>
      </w:r>
      <w:proofErr w:type="spellStart"/>
      <w:r w:rsidRPr="00EE368E">
        <w:rPr>
          <w:rFonts w:ascii="Times New Roman" w:hAnsi="Times New Roman"/>
          <w:bCs/>
          <w:sz w:val="24"/>
          <w:szCs w:val="24"/>
          <w:lang w:val="bg-BG"/>
        </w:rPr>
        <w:t>minimis</w:t>
      </w:r>
      <w:proofErr w:type="spellEnd"/>
      <w:r w:rsidRPr="00EE368E">
        <w:rPr>
          <w:rFonts w:ascii="Times New Roman" w:hAnsi="Times New Roman"/>
          <w:bCs/>
          <w:sz w:val="24"/>
          <w:szCs w:val="24"/>
          <w:lang w:val="bg-BG"/>
        </w:rPr>
        <w:t>. Съгласно Регламент ЕС 1407/2013 г. на Комисията</w:t>
      </w:r>
      <w:r w:rsidRPr="00EE368E">
        <w:rPr>
          <w:rFonts w:ascii="Times New Roman" w:hAnsi="Times New Roman"/>
          <w:bCs/>
          <w:sz w:val="24"/>
          <w:szCs w:val="24"/>
          <w:vertAlign w:val="superscript"/>
          <w:lang w:val="bg-BG"/>
        </w:rPr>
        <w:footnoteReference w:id="1"/>
      </w:r>
      <w:r w:rsidRPr="00EE368E">
        <w:rPr>
          <w:rFonts w:ascii="Times New Roman" w:hAnsi="Times New Roman"/>
          <w:bCs/>
          <w:sz w:val="24"/>
          <w:szCs w:val="24"/>
          <w:lang w:val="bg-BG"/>
        </w:rPr>
        <w:t xml:space="preserve">, максималната стойност на помощта, предоставена за период от 3 години на едно и също предприятие (съгласно чл. 2, </w:t>
      </w:r>
      <w:proofErr w:type="spellStart"/>
      <w:r w:rsidRPr="00EE368E">
        <w:rPr>
          <w:rFonts w:ascii="Times New Roman" w:hAnsi="Times New Roman"/>
          <w:bCs/>
          <w:sz w:val="24"/>
          <w:szCs w:val="24"/>
          <w:lang w:val="bg-BG"/>
        </w:rPr>
        <w:t>пар</w:t>
      </w:r>
      <w:proofErr w:type="spellEnd"/>
      <w:r w:rsidRPr="00EE368E">
        <w:rPr>
          <w:rFonts w:ascii="Times New Roman" w:hAnsi="Times New Roman"/>
          <w:bCs/>
          <w:sz w:val="24"/>
          <w:szCs w:val="24"/>
          <w:lang w:val="bg-BG"/>
        </w:rPr>
        <w:t>. 2 от Регламента), не може да надвишава 200 хил. евро, а по отношение на автомобилните превози за чужда сметка или срещу възнаграждение – 100 хил. евро.</w:t>
      </w:r>
    </w:p>
    <w:p w14:paraId="7A1A303E" w14:textId="77777777" w:rsidR="00EE368E" w:rsidRPr="00EE368E" w:rsidRDefault="00EE368E" w:rsidP="00EE368E">
      <w:pPr>
        <w:widowControl w:val="0"/>
        <w:numPr>
          <w:ilvl w:val="0"/>
          <w:numId w:val="24"/>
        </w:numPr>
        <w:autoSpaceDE w:val="0"/>
        <w:autoSpaceDN w:val="0"/>
        <w:adjustRightInd w:val="0"/>
        <w:snapToGrid w:val="0"/>
        <w:spacing w:after="120" w:line="240" w:lineRule="auto"/>
        <w:jc w:val="both"/>
        <w:rPr>
          <w:rFonts w:ascii="Times New Roman" w:hAnsi="Times New Roman"/>
          <w:b/>
          <w:bCs/>
          <w:sz w:val="24"/>
          <w:szCs w:val="24"/>
          <w:lang w:val="en-GB"/>
        </w:rPr>
      </w:pPr>
      <w:r w:rsidRPr="00EE368E">
        <w:rPr>
          <w:rFonts w:ascii="Times New Roman" w:hAnsi="Times New Roman"/>
          <w:b/>
          <w:bCs/>
          <w:sz w:val="24"/>
          <w:szCs w:val="24"/>
          <w:lang w:val="bg-BG"/>
        </w:rPr>
        <w:t>Финансирането представлява и</w:t>
      </w:r>
      <w:proofErr w:type="spellStart"/>
      <w:r w:rsidRPr="00EE368E">
        <w:rPr>
          <w:rFonts w:ascii="Times New Roman" w:hAnsi="Times New Roman"/>
          <w:b/>
          <w:bCs/>
          <w:sz w:val="24"/>
          <w:szCs w:val="24"/>
          <w:lang w:val="en-GB"/>
        </w:rPr>
        <w:t>нвестиционни</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помощи</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за</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мерки</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за</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повишаване</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на</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енергийната</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ефективност</w:t>
      </w:r>
      <w:proofErr w:type="spellEnd"/>
      <w:r w:rsidRPr="00EE368E">
        <w:rPr>
          <w:rFonts w:ascii="Times New Roman" w:hAnsi="Times New Roman"/>
          <w:b/>
          <w:bCs/>
          <w:sz w:val="24"/>
          <w:szCs w:val="24"/>
          <w:lang w:val="bg-BG"/>
        </w:rPr>
        <w:t xml:space="preserve"> </w:t>
      </w:r>
      <w:proofErr w:type="spellStart"/>
      <w:r w:rsidRPr="00EE368E">
        <w:rPr>
          <w:rFonts w:ascii="Times New Roman" w:hAnsi="Times New Roman"/>
          <w:b/>
          <w:bCs/>
          <w:sz w:val="24"/>
          <w:szCs w:val="24"/>
          <w:lang w:val="en-GB"/>
        </w:rPr>
        <w:t>съгласно</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чл</w:t>
      </w:r>
      <w:proofErr w:type="spellEnd"/>
      <w:r w:rsidRPr="00EE368E">
        <w:rPr>
          <w:rFonts w:ascii="Times New Roman" w:hAnsi="Times New Roman"/>
          <w:b/>
          <w:bCs/>
          <w:sz w:val="24"/>
          <w:szCs w:val="24"/>
          <w:lang w:val="en-GB"/>
        </w:rPr>
        <w:t xml:space="preserve">. 38 </w:t>
      </w:r>
      <w:proofErr w:type="spellStart"/>
      <w:r w:rsidRPr="00EE368E">
        <w:rPr>
          <w:rFonts w:ascii="Times New Roman" w:hAnsi="Times New Roman"/>
          <w:b/>
          <w:bCs/>
          <w:sz w:val="24"/>
          <w:szCs w:val="24"/>
          <w:lang w:val="en-GB"/>
        </w:rPr>
        <w:t>от</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Регламент</w:t>
      </w:r>
      <w:proofErr w:type="spellEnd"/>
      <w:r w:rsidRPr="00EE368E">
        <w:rPr>
          <w:rFonts w:ascii="Times New Roman" w:hAnsi="Times New Roman"/>
          <w:b/>
          <w:bCs/>
          <w:sz w:val="24"/>
          <w:szCs w:val="24"/>
          <w:lang w:val="en-GB"/>
        </w:rPr>
        <w:t xml:space="preserve"> (ЕС) № 651/2014 </w:t>
      </w:r>
      <w:proofErr w:type="spellStart"/>
      <w:r w:rsidRPr="00EE368E">
        <w:rPr>
          <w:rFonts w:ascii="Times New Roman" w:hAnsi="Times New Roman"/>
          <w:b/>
          <w:bCs/>
          <w:sz w:val="24"/>
          <w:szCs w:val="24"/>
          <w:lang w:val="en-GB"/>
        </w:rPr>
        <w:t>на</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Комисията</w:t>
      </w:r>
      <w:proofErr w:type="spellEnd"/>
      <w:r w:rsidRPr="00EE368E">
        <w:rPr>
          <w:rFonts w:ascii="Times New Roman" w:hAnsi="Times New Roman"/>
          <w:b/>
          <w:bCs/>
          <w:sz w:val="24"/>
          <w:szCs w:val="24"/>
          <w:lang w:val="en-GB"/>
        </w:rPr>
        <w:t xml:space="preserve"> </w:t>
      </w:r>
      <w:proofErr w:type="spellStart"/>
      <w:r w:rsidRPr="00EE368E">
        <w:rPr>
          <w:rFonts w:ascii="Times New Roman" w:hAnsi="Times New Roman"/>
          <w:b/>
          <w:bCs/>
          <w:sz w:val="24"/>
          <w:szCs w:val="24"/>
          <w:lang w:val="en-GB"/>
        </w:rPr>
        <w:t>от</w:t>
      </w:r>
      <w:proofErr w:type="spellEnd"/>
      <w:r w:rsidRPr="00EE368E">
        <w:rPr>
          <w:rFonts w:ascii="Times New Roman" w:hAnsi="Times New Roman"/>
          <w:b/>
          <w:bCs/>
          <w:sz w:val="24"/>
          <w:szCs w:val="24"/>
          <w:lang w:val="en-GB"/>
        </w:rPr>
        <w:t xml:space="preserve"> 17 </w:t>
      </w:r>
      <w:proofErr w:type="spellStart"/>
      <w:r w:rsidRPr="00EE368E">
        <w:rPr>
          <w:rFonts w:ascii="Times New Roman" w:hAnsi="Times New Roman"/>
          <w:b/>
          <w:bCs/>
          <w:sz w:val="24"/>
          <w:szCs w:val="24"/>
          <w:lang w:val="en-GB"/>
        </w:rPr>
        <w:t>юни</w:t>
      </w:r>
      <w:proofErr w:type="spellEnd"/>
      <w:r w:rsidRPr="00EE368E">
        <w:rPr>
          <w:rFonts w:ascii="Times New Roman" w:hAnsi="Times New Roman"/>
          <w:b/>
          <w:bCs/>
          <w:sz w:val="24"/>
          <w:szCs w:val="24"/>
          <w:lang w:val="en-GB"/>
        </w:rPr>
        <w:t xml:space="preserve"> 2014</w:t>
      </w:r>
    </w:p>
    <w:p w14:paraId="59B9BAF3" w14:textId="77777777" w:rsidR="00EE368E" w:rsidRPr="00EE368E" w:rsidRDefault="00EE368E" w:rsidP="00EE368E">
      <w:pPr>
        <w:widowControl w:val="0"/>
        <w:autoSpaceDE w:val="0"/>
        <w:autoSpaceDN w:val="0"/>
        <w:adjustRightInd w:val="0"/>
        <w:snapToGrid w:val="0"/>
        <w:spacing w:after="120" w:line="240" w:lineRule="auto"/>
        <w:ind w:left="4"/>
        <w:jc w:val="both"/>
        <w:rPr>
          <w:rFonts w:ascii="Times New Roman" w:hAnsi="Times New Roman"/>
          <w:b/>
          <w:bCs/>
          <w:sz w:val="24"/>
          <w:szCs w:val="24"/>
          <w:lang w:val="bg-BG"/>
        </w:rPr>
      </w:pPr>
    </w:p>
    <w:p w14:paraId="4545E301" w14:textId="77777777"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ФУНКЦИИ НА ОБЩИНАТА</w:t>
      </w:r>
    </w:p>
    <w:p w14:paraId="25227854" w14:textId="77777777" w:rsidR="00CE6133" w:rsidRPr="00CE6133" w:rsidRDefault="00CE6133" w:rsidP="00CE6133">
      <w:pPr>
        <w:suppressAutoHyphens/>
        <w:snapToGrid w:val="0"/>
        <w:spacing w:after="120" w:line="240" w:lineRule="auto"/>
        <w:jc w:val="both"/>
        <w:rPr>
          <w:rFonts w:ascii="Times New Roman" w:hAnsi="Times New Roman"/>
          <w:color w:val="000000" w:themeColor="text1"/>
          <w:sz w:val="24"/>
          <w:szCs w:val="24"/>
          <w:lang w:val="bg-BG"/>
        </w:rPr>
      </w:pPr>
      <w:r w:rsidRPr="00CE6133">
        <w:rPr>
          <w:rStyle w:val="Heading2Char"/>
          <w:rFonts w:ascii="Times New Roman" w:hAnsi="Times New Roman"/>
          <w:color w:val="000000" w:themeColor="text1"/>
          <w:sz w:val="24"/>
          <w:szCs w:val="24"/>
          <w:lang w:val="bg-BG"/>
        </w:rPr>
        <w:t xml:space="preserve">Съгласно указанията </w:t>
      </w:r>
      <w:r w:rsidR="00EE368E" w:rsidRPr="00EE368E">
        <w:rPr>
          <w:rStyle w:val="Heading2Char"/>
          <w:rFonts w:ascii="Times New Roman" w:hAnsi="Times New Roman"/>
          <w:color w:val="000000" w:themeColor="text1"/>
          <w:sz w:val="24"/>
          <w:szCs w:val="24"/>
          <w:lang w:val="bg-BG"/>
        </w:rPr>
        <w:t>по инвестиция „Подкрепа за устойчиво енергийно обновяване на жилищния сграден фонд“</w:t>
      </w:r>
      <w:r w:rsidRPr="00CE6133">
        <w:rPr>
          <w:rStyle w:val="Heading2Char"/>
          <w:rFonts w:ascii="Times New Roman" w:hAnsi="Times New Roman"/>
          <w:color w:val="000000" w:themeColor="text1"/>
          <w:sz w:val="24"/>
          <w:szCs w:val="24"/>
          <w:lang w:val="bg-BG"/>
        </w:rPr>
        <w:t>, общината</w:t>
      </w:r>
      <w:r w:rsidRPr="00CE6133">
        <w:rPr>
          <w:rFonts w:ascii="Times New Roman" w:hAnsi="Times New Roman"/>
          <w:b/>
          <w:bCs/>
          <w:i/>
          <w:iCs/>
          <w:color w:val="000000" w:themeColor="text1"/>
          <w:sz w:val="24"/>
          <w:szCs w:val="24"/>
          <w:lang w:val="bg-BG"/>
        </w:rPr>
        <w:t xml:space="preserve"> </w:t>
      </w:r>
      <w:r w:rsidRPr="00CE6133">
        <w:rPr>
          <w:rFonts w:ascii="Times New Roman" w:hAnsi="Times New Roman"/>
          <w:bCs/>
          <w:iCs/>
          <w:color w:val="000000" w:themeColor="text1"/>
          <w:sz w:val="24"/>
          <w:szCs w:val="24"/>
          <w:lang w:val="bg-BG"/>
        </w:rPr>
        <w:t xml:space="preserve">отговаря за цялостното техническо и финансово администриране на </w:t>
      </w:r>
      <w:r w:rsidR="00EE368E">
        <w:rPr>
          <w:rFonts w:ascii="Times New Roman" w:hAnsi="Times New Roman"/>
          <w:bCs/>
          <w:iCs/>
          <w:color w:val="000000" w:themeColor="text1"/>
          <w:sz w:val="24"/>
          <w:szCs w:val="24"/>
          <w:lang w:val="bg-BG"/>
        </w:rPr>
        <w:t xml:space="preserve">ПИИ </w:t>
      </w:r>
      <w:r w:rsidRPr="00CE6133">
        <w:rPr>
          <w:rFonts w:ascii="Times New Roman" w:hAnsi="Times New Roman"/>
          <w:bCs/>
          <w:iCs/>
          <w:color w:val="000000" w:themeColor="text1"/>
          <w:sz w:val="24"/>
          <w:szCs w:val="24"/>
          <w:lang w:val="bg-BG"/>
        </w:rPr>
        <w:t xml:space="preserve"> на своята територия.</w:t>
      </w:r>
      <w:r w:rsidRPr="00CE6133">
        <w:rPr>
          <w:rFonts w:ascii="Times New Roman" w:hAnsi="Times New Roman"/>
          <w:color w:val="000000" w:themeColor="text1"/>
          <w:sz w:val="24"/>
          <w:szCs w:val="24"/>
          <w:lang w:val="bg-BG"/>
        </w:rPr>
        <w:t xml:space="preserve"> </w:t>
      </w:r>
    </w:p>
    <w:p w14:paraId="366EF5A0" w14:textId="77777777"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Освен описаните отговорности на общината в указанията, с оглед изпълнението на дейностите по схемата, съответната община се явява и администратор на помощ по смисъла на Закона за държавните помощи по отношение на средствата, предоставени на нейната територия на отделните получатели и имащи характер на минимална помощ.</w:t>
      </w:r>
    </w:p>
    <w:p w14:paraId="59D1BD10" w14:textId="77777777" w:rsidR="00CE6133" w:rsidRPr="00CE6133" w:rsidRDefault="00CE6133" w:rsidP="00CE6133">
      <w:pPr>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Общината следва да създаде механизъм за контрол и гарантиране изпълнението на посочените в настоящия документ условия, така че във всеки един момент да може да бъде доказано, че разходването на средствата по схемата отговарят и </w:t>
      </w:r>
      <w:proofErr w:type="spellStart"/>
      <w:r w:rsidRPr="00CE6133">
        <w:rPr>
          <w:rFonts w:ascii="Times New Roman" w:hAnsi="Times New Roman"/>
          <w:color w:val="000000" w:themeColor="text1"/>
          <w:sz w:val="24"/>
          <w:szCs w:val="24"/>
          <w:lang w:val="bg-BG"/>
        </w:rPr>
        <w:t>непротиворечат</w:t>
      </w:r>
      <w:proofErr w:type="spellEnd"/>
      <w:r w:rsidRPr="00CE6133">
        <w:rPr>
          <w:rFonts w:ascii="Times New Roman" w:hAnsi="Times New Roman"/>
          <w:color w:val="000000" w:themeColor="text1"/>
          <w:sz w:val="24"/>
          <w:szCs w:val="24"/>
          <w:lang w:val="bg-BG"/>
        </w:rPr>
        <w:t xml:space="preserve"> на действащото национално и европейско законодателство в областта на държавните помощи. В настоящите условия са представени минималните изисквания към механизмите за контрол, които общината следва да въведе, съобразно индивидуалните специфики на организацията на работа в същата.</w:t>
      </w:r>
    </w:p>
    <w:p w14:paraId="5E4EE2A8" w14:textId="77777777" w:rsidR="00CE6133" w:rsidRPr="00CE6133" w:rsidRDefault="00CE6133" w:rsidP="00CE6133">
      <w:pPr>
        <w:widowControl w:val="0"/>
        <w:autoSpaceDE w:val="0"/>
        <w:autoSpaceDN w:val="0"/>
        <w:adjustRightInd w:val="0"/>
        <w:snapToGrid w:val="0"/>
        <w:spacing w:after="120" w:line="240" w:lineRule="auto"/>
        <w:ind w:left="364"/>
        <w:rPr>
          <w:rFonts w:ascii="Times New Roman" w:hAnsi="Times New Roman"/>
          <w:b/>
          <w:bCs/>
          <w:sz w:val="24"/>
          <w:szCs w:val="24"/>
          <w:lang w:val="bg-BG"/>
        </w:rPr>
      </w:pPr>
    </w:p>
    <w:p w14:paraId="135A2AB0" w14:textId="77777777"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lastRenderedPageBreak/>
        <w:t>РЕЖИМ ЗА ПРЕДОСТАВЯНЕ НА СРЕДСТВАТА</w:t>
      </w:r>
    </w:p>
    <w:p w14:paraId="05246BBF" w14:textId="721DEA00" w:rsidR="00CE6133" w:rsidRPr="00CE6133" w:rsidRDefault="00420884" w:rsidP="00420884">
      <w:pPr>
        <w:widowControl w:val="0"/>
        <w:autoSpaceDE w:val="0"/>
        <w:autoSpaceDN w:val="0"/>
        <w:adjustRightInd w:val="0"/>
        <w:snapToGrid w:val="0"/>
        <w:spacing w:after="120" w:line="240" w:lineRule="auto"/>
        <w:jc w:val="both"/>
        <w:rPr>
          <w:rFonts w:ascii="Times New Roman" w:hAnsi="Times New Roman"/>
          <w:b/>
          <w:sz w:val="24"/>
          <w:szCs w:val="24"/>
          <w:lang w:val="bg-BG"/>
        </w:rPr>
      </w:pPr>
      <w:r>
        <w:rPr>
          <w:rFonts w:ascii="Times New Roman" w:hAnsi="Times New Roman"/>
          <w:b/>
          <w:sz w:val="24"/>
          <w:szCs w:val="24"/>
          <w:lang w:val="bg-BG"/>
        </w:rPr>
        <w:t>4</w:t>
      </w:r>
      <w:r w:rsidR="00CE6133" w:rsidRPr="00CE6133">
        <w:rPr>
          <w:rFonts w:ascii="Times New Roman" w:hAnsi="Times New Roman"/>
          <w:b/>
          <w:sz w:val="24"/>
          <w:szCs w:val="24"/>
          <w:lang w:val="bg-BG"/>
        </w:rPr>
        <w:t xml:space="preserve">.1 Режим „не помощ“ – помощ извън обхвата на чл. 107, </w:t>
      </w:r>
      <w:proofErr w:type="spellStart"/>
      <w:r w:rsidR="00CE6133" w:rsidRPr="00CE6133">
        <w:rPr>
          <w:rFonts w:ascii="Times New Roman" w:hAnsi="Times New Roman"/>
          <w:b/>
          <w:sz w:val="24"/>
          <w:szCs w:val="24"/>
          <w:lang w:val="bg-BG"/>
        </w:rPr>
        <w:t>пар</w:t>
      </w:r>
      <w:proofErr w:type="spellEnd"/>
      <w:r w:rsidR="00CE6133" w:rsidRPr="00CE6133">
        <w:rPr>
          <w:rFonts w:ascii="Times New Roman" w:hAnsi="Times New Roman"/>
          <w:b/>
          <w:sz w:val="24"/>
          <w:szCs w:val="24"/>
          <w:lang w:val="bg-BG"/>
        </w:rPr>
        <w:t>. 1 от ДФЕС (помощ, която не е държавна помощ и не е минимална помощ)</w:t>
      </w:r>
    </w:p>
    <w:p w14:paraId="61462EA4"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В случаите, когато ССО не използват допустимите за финансиране обекти за извършване на стопанска дейност, включително, но не само: не ги отдават под наем или в тях </w:t>
      </w:r>
      <w:r w:rsidRPr="00CE6133">
        <w:rPr>
          <w:rFonts w:ascii="Times New Roman" w:hAnsi="Times New Roman"/>
          <w:color w:val="000000" w:themeColor="text1"/>
          <w:sz w:val="24"/>
          <w:szCs w:val="24"/>
          <w:lang w:val="bg-BG"/>
        </w:rPr>
        <w:t xml:space="preserve">не се извършва дейност от търговци и/или лица със свободни професии, ССО не следва да се считат за получатели </w:t>
      </w:r>
      <w:r w:rsidRPr="00CE6133">
        <w:rPr>
          <w:rFonts w:ascii="Times New Roman" w:hAnsi="Times New Roman"/>
          <w:sz w:val="24"/>
          <w:szCs w:val="24"/>
          <w:lang w:val="bg-BG"/>
        </w:rPr>
        <w:t>на държавна и/или минимална помощ (помощ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В този случай към тях не са приложими настоящите условия.</w:t>
      </w:r>
    </w:p>
    <w:p w14:paraId="5C782284" w14:textId="77777777" w:rsidR="00CE6133" w:rsidRPr="00CE6133" w:rsidRDefault="00CE6133" w:rsidP="00CE6133">
      <w:pPr>
        <w:pStyle w:val="ListParagraph"/>
        <w:snapToGrid w:val="0"/>
        <w:spacing w:after="120"/>
        <w:ind w:left="0"/>
        <w:jc w:val="both"/>
        <w:rPr>
          <w:lang w:val="bg-BG"/>
        </w:rPr>
      </w:pPr>
      <w:r w:rsidRPr="00CE6133">
        <w:rPr>
          <w:color w:val="000000" w:themeColor="text1"/>
          <w:lang w:val="bg-BG"/>
        </w:rPr>
        <w:t xml:space="preserve">Случаите, в които община или държавна институция са собственици на самостоятелни обекти в сграда, участваща </w:t>
      </w:r>
      <w:r w:rsidR="00EE368E">
        <w:rPr>
          <w:color w:val="000000" w:themeColor="text1"/>
          <w:lang w:val="bg-BG"/>
        </w:rPr>
        <w:t>в изпълнението на инвестицията,</w:t>
      </w:r>
      <w:r w:rsidRPr="00CE6133">
        <w:rPr>
          <w:color w:val="000000" w:themeColor="text1"/>
          <w:lang w:val="bg-BG"/>
        </w:rPr>
        <w:t xml:space="preserve"> допустима за финансиране, които се използват единствено и само за жилищни нужди, същите не се считат за получатели на минимална помощ (</w:t>
      </w:r>
      <w:r w:rsidRPr="00CE6133">
        <w:rPr>
          <w:lang w:val="bg-BG"/>
        </w:rPr>
        <w:t>помощ “</w:t>
      </w:r>
      <w:proofErr w:type="spellStart"/>
      <w:r w:rsidRPr="00CE6133">
        <w:rPr>
          <w:lang w:val="bg-BG"/>
        </w:rPr>
        <w:t>de</w:t>
      </w:r>
      <w:proofErr w:type="spellEnd"/>
      <w:r w:rsidRPr="00CE6133">
        <w:rPr>
          <w:lang w:val="bg-BG"/>
        </w:rPr>
        <w:t xml:space="preserve"> </w:t>
      </w:r>
      <w:proofErr w:type="spellStart"/>
      <w:r w:rsidRPr="00CE6133">
        <w:rPr>
          <w:lang w:val="bg-BG"/>
        </w:rPr>
        <w:t>minimis</w:t>
      </w:r>
      <w:proofErr w:type="spellEnd"/>
      <w:r w:rsidRPr="00CE6133">
        <w:rPr>
          <w:lang w:val="bg-BG"/>
        </w:rPr>
        <w:t xml:space="preserve">”) и към тях </w:t>
      </w:r>
      <w:r w:rsidR="00B412FE">
        <w:rPr>
          <w:lang w:val="bg-BG"/>
        </w:rPr>
        <w:t>не са приложими условията по т.</w:t>
      </w:r>
      <w:r w:rsidRPr="00CE6133">
        <w:rPr>
          <w:lang w:val="bg-BG"/>
        </w:rPr>
        <w:t>.2.</w:t>
      </w:r>
    </w:p>
    <w:p w14:paraId="07D11319" w14:textId="00A6F53E" w:rsidR="00CE6133" w:rsidRPr="00CE6133" w:rsidRDefault="00420884" w:rsidP="00CE6133">
      <w:pPr>
        <w:widowControl w:val="0"/>
        <w:autoSpaceDE w:val="0"/>
        <w:autoSpaceDN w:val="0"/>
        <w:adjustRightInd w:val="0"/>
        <w:snapToGrid w:val="0"/>
        <w:spacing w:after="120" w:line="240" w:lineRule="auto"/>
        <w:ind w:left="4"/>
        <w:jc w:val="both"/>
        <w:rPr>
          <w:rFonts w:ascii="Times New Roman" w:hAnsi="Times New Roman"/>
          <w:b/>
          <w:sz w:val="24"/>
          <w:szCs w:val="24"/>
          <w:lang w:val="bg-BG"/>
        </w:rPr>
      </w:pPr>
      <w:r>
        <w:rPr>
          <w:rFonts w:ascii="Times New Roman" w:hAnsi="Times New Roman"/>
          <w:b/>
          <w:sz w:val="24"/>
          <w:szCs w:val="24"/>
          <w:lang w:val="bg-BG"/>
        </w:rPr>
        <w:t>4</w:t>
      </w:r>
      <w:r w:rsidR="00CE6133" w:rsidRPr="00CE6133">
        <w:rPr>
          <w:rFonts w:ascii="Times New Roman" w:hAnsi="Times New Roman"/>
          <w:b/>
          <w:sz w:val="24"/>
          <w:szCs w:val="24"/>
          <w:lang w:val="bg-BG"/>
        </w:rPr>
        <w:t>.2. Режим „минимална помощ“ (помощ „</w:t>
      </w:r>
      <w:proofErr w:type="spellStart"/>
      <w:r w:rsidR="00CE6133" w:rsidRPr="00CE6133">
        <w:rPr>
          <w:rFonts w:ascii="Times New Roman" w:hAnsi="Times New Roman"/>
          <w:b/>
          <w:sz w:val="24"/>
          <w:szCs w:val="24"/>
          <w:lang w:val="bg-BG"/>
        </w:rPr>
        <w:t>de</w:t>
      </w:r>
      <w:proofErr w:type="spellEnd"/>
      <w:r w:rsidR="00CE6133" w:rsidRPr="00CE6133">
        <w:rPr>
          <w:rFonts w:ascii="Times New Roman" w:hAnsi="Times New Roman"/>
          <w:b/>
          <w:sz w:val="24"/>
          <w:szCs w:val="24"/>
          <w:lang w:val="bg-BG"/>
        </w:rPr>
        <w:t xml:space="preserve"> </w:t>
      </w:r>
      <w:proofErr w:type="spellStart"/>
      <w:r w:rsidR="00CE6133" w:rsidRPr="00CE6133">
        <w:rPr>
          <w:rFonts w:ascii="Times New Roman" w:hAnsi="Times New Roman"/>
          <w:b/>
          <w:sz w:val="24"/>
          <w:szCs w:val="24"/>
          <w:lang w:val="bg-BG"/>
        </w:rPr>
        <w:t>minimis</w:t>
      </w:r>
      <w:proofErr w:type="spellEnd"/>
      <w:r w:rsidR="00CE6133" w:rsidRPr="00CE6133">
        <w:rPr>
          <w:rFonts w:ascii="Times New Roman" w:hAnsi="Times New Roman"/>
          <w:b/>
          <w:sz w:val="24"/>
          <w:szCs w:val="24"/>
          <w:lang w:val="bg-BG"/>
        </w:rPr>
        <w:t xml:space="preserve">”) </w:t>
      </w:r>
    </w:p>
    <w:p w14:paraId="7AD66432"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За целите на Регламент </w:t>
      </w:r>
      <w:r w:rsidRPr="00CE6133">
        <w:rPr>
          <w:rFonts w:ascii="Times New Roman" w:hAnsi="Times New Roman"/>
          <w:color w:val="000000" w:themeColor="text1"/>
          <w:sz w:val="24"/>
          <w:szCs w:val="24"/>
          <w:lang w:val="bg-BG"/>
        </w:rPr>
        <w:t>(ЕС) № 1407/2013,</w:t>
      </w:r>
      <w:r w:rsidRPr="00CE6133">
        <w:rPr>
          <w:rFonts w:ascii="Times New Roman" w:hAnsi="Times New Roman"/>
          <w:sz w:val="24"/>
          <w:szCs w:val="24"/>
          <w:lang w:val="bg-BG"/>
        </w:rPr>
        <w:t xml:space="preserve"> ССО се явяват „предприятия“ по отношение на физическите и юридическите лица, които участват в тях и които извършват икономическа дейност. </w:t>
      </w:r>
    </w:p>
    <w:p w14:paraId="0DCEC243" w14:textId="77777777" w:rsidR="00CE6133" w:rsidRPr="00CE6133" w:rsidRDefault="00CE6133" w:rsidP="00CE6133">
      <w:pPr>
        <w:tabs>
          <w:tab w:val="left" w:pos="426"/>
        </w:tabs>
        <w:snapToGrid w:val="0"/>
        <w:spacing w:after="120" w:line="240" w:lineRule="auto"/>
        <w:jc w:val="both"/>
        <w:rPr>
          <w:rFonts w:ascii="Times New Roman" w:eastAsia="Times New Roman" w:hAnsi="Times New Roman"/>
          <w:sz w:val="24"/>
          <w:szCs w:val="24"/>
          <w:lang w:val="bg-BG" w:eastAsia="bg-BG"/>
        </w:rPr>
      </w:pPr>
      <w:r w:rsidRPr="00CE6133">
        <w:rPr>
          <w:rFonts w:ascii="Times New Roman" w:eastAsia="Times New Roman" w:hAnsi="Times New Roman"/>
          <w:sz w:val="24"/>
          <w:szCs w:val="24"/>
          <w:lang w:val="bg-BG"/>
        </w:rPr>
        <w:t>Общият принцип, според който Съдът на ЕС</w:t>
      </w:r>
      <w:r w:rsidRPr="00CE6133">
        <w:rPr>
          <w:rFonts w:ascii="Times New Roman" w:eastAsia="Times New Roman" w:hAnsi="Times New Roman"/>
          <w:sz w:val="24"/>
          <w:szCs w:val="24"/>
          <w:vertAlign w:val="superscript"/>
          <w:lang w:val="bg-BG"/>
        </w:rPr>
        <w:footnoteReference w:id="2"/>
      </w:r>
      <w:r w:rsidRPr="00CE6133">
        <w:rPr>
          <w:rFonts w:ascii="Times New Roman" w:eastAsia="Times New Roman" w:hAnsi="Times New Roman"/>
          <w:sz w:val="24"/>
          <w:szCs w:val="24"/>
          <w:lang w:val="bg-BG"/>
        </w:rPr>
        <w:t xml:space="preserve"> налага последователна практика да определя получателите като „предприятия”, е свързан с извършването на </w:t>
      </w:r>
      <w:r w:rsidRPr="00CE6133">
        <w:rPr>
          <w:rFonts w:ascii="Times New Roman" w:eastAsia="Times New Roman" w:hAnsi="Times New Roman"/>
          <w:i/>
          <w:sz w:val="24"/>
          <w:szCs w:val="24"/>
          <w:lang w:val="bg-BG"/>
        </w:rPr>
        <w:t>икономическа дейност</w:t>
      </w:r>
      <w:r w:rsidRPr="00CE6133">
        <w:rPr>
          <w:rFonts w:ascii="Times New Roman" w:eastAsia="Times New Roman" w:hAnsi="Times New Roman"/>
          <w:sz w:val="24"/>
          <w:szCs w:val="24"/>
          <w:lang w:val="bg-BG"/>
        </w:rPr>
        <w:t xml:space="preserve"> от тяхна страна, независимо от правната им форма, статут и начин, по който са финансирани, както и реализирането на печалба. </w:t>
      </w:r>
      <w:r w:rsidRPr="00CE6133">
        <w:rPr>
          <w:rFonts w:ascii="Times New Roman" w:eastAsia="Times New Roman" w:hAnsi="Times New Roman"/>
          <w:sz w:val="24"/>
          <w:szCs w:val="24"/>
          <w:lang w:val="bg-BG" w:eastAsia="bg-BG"/>
        </w:rPr>
        <w:t xml:space="preserve">Съдът на Европейските общности счита, 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14:paraId="4FFF2DA0"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sz w:val="24"/>
          <w:szCs w:val="24"/>
          <w:lang w:val="bg-BG"/>
        </w:rPr>
        <w:t xml:space="preserve">Настоящите условия се прилагат </w:t>
      </w:r>
      <w:r w:rsidRPr="00CE6133">
        <w:rPr>
          <w:rFonts w:ascii="Times New Roman" w:hAnsi="Times New Roman"/>
          <w:bCs/>
          <w:sz w:val="24"/>
          <w:szCs w:val="24"/>
          <w:lang w:val="bg-BG"/>
        </w:rPr>
        <w:t xml:space="preserve">към </w:t>
      </w:r>
      <w:r w:rsidRPr="00CE6133">
        <w:rPr>
          <w:rFonts w:ascii="Times New Roman" w:hAnsi="Times New Roman"/>
          <w:color w:val="000000" w:themeColor="text1"/>
          <w:sz w:val="24"/>
          <w:szCs w:val="24"/>
          <w:lang w:val="bg-BG"/>
        </w:rPr>
        <w:t xml:space="preserve">ССО, </w:t>
      </w:r>
      <w:r w:rsidRPr="00CE6133">
        <w:rPr>
          <w:rFonts w:ascii="Times New Roman" w:hAnsi="Times New Roman"/>
          <w:bCs/>
          <w:sz w:val="24"/>
          <w:szCs w:val="24"/>
          <w:lang w:val="bg-BG"/>
        </w:rPr>
        <w:t xml:space="preserve">допустими по </w:t>
      </w:r>
      <w:r w:rsidR="00EE368E">
        <w:rPr>
          <w:rFonts w:ascii="Times New Roman" w:hAnsi="Times New Roman"/>
          <w:bCs/>
          <w:sz w:val="24"/>
          <w:szCs w:val="24"/>
          <w:lang w:val="bg-BG"/>
        </w:rPr>
        <w:t>инвестицията</w:t>
      </w:r>
      <w:r w:rsidRPr="00CE6133">
        <w:rPr>
          <w:rFonts w:ascii="Times New Roman" w:hAnsi="Times New Roman"/>
          <w:bCs/>
          <w:sz w:val="24"/>
          <w:szCs w:val="24"/>
          <w:lang w:val="bg-BG"/>
        </w:rPr>
        <w:t xml:space="preserve"> за получаване на БФП, в случаите, когато същите извършват някоя от следните дейности: </w:t>
      </w:r>
    </w:p>
    <w:p w14:paraId="0B863031" w14:textId="77777777"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самостоятелните обекти в сградата се използват за извършване на стопанска дейност - независимо от предназначението на обекта (жилищно или стопанско), ССО упражняват стопанска/икономическа дейност в обекта си (като например: магазин, фризьорски салон и др.);</w:t>
      </w:r>
    </w:p>
    <w:p w14:paraId="35F36BD8" w14:textId="77777777"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самостоятелните обекти в сградата се отдават под наем - за жилищни или нежилищни цели (офис, ателие и др.);</w:t>
      </w:r>
    </w:p>
    <w:p w14:paraId="567CFF1B" w14:textId="77777777"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в самостоятелните обекти в сградата се извършва дейност от търговци и/или лица със свободни професии;</w:t>
      </w:r>
    </w:p>
    <w:p w14:paraId="14538D25" w14:textId="77777777" w:rsidR="00CE6133" w:rsidRPr="00CE6133" w:rsidRDefault="00CE6133" w:rsidP="00CE6133">
      <w:pPr>
        <w:widowControl w:val="0"/>
        <w:numPr>
          <w:ilvl w:val="0"/>
          <w:numId w:val="13"/>
        </w:numPr>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други стопански дейности.</w:t>
      </w:r>
    </w:p>
    <w:p w14:paraId="645A9237"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color w:val="000000" w:themeColor="text1"/>
          <w:sz w:val="24"/>
          <w:szCs w:val="24"/>
          <w:lang w:val="bg-BG"/>
        </w:rPr>
      </w:pPr>
      <w:r w:rsidRPr="00CE6133">
        <w:rPr>
          <w:rFonts w:ascii="Times New Roman" w:hAnsi="Times New Roman"/>
          <w:sz w:val="24"/>
          <w:szCs w:val="24"/>
          <w:lang w:val="bg-BG"/>
        </w:rPr>
        <w:t xml:space="preserve">В тези случаи, ССО се считат за получатели на минимална помощ и към тях следва да се прилагат условията на </w:t>
      </w:r>
      <w:r w:rsidRPr="00CE6133">
        <w:rPr>
          <w:rFonts w:ascii="Times New Roman" w:hAnsi="Times New Roman"/>
          <w:color w:val="000000" w:themeColor="text1"/>
          <w:sz w:val="24"/>
          <w:szCs w:val="24"/>
          <w:lang w:val="bg-BG"/>
        </w:rPr>
        <w:t xml:space="preserve">Регламент (ЕС) № 1407/2013. </w:t>
      </w:r>
    </w:p>
    <w:p w14:paraId="01A836A7" w14:textId="77777777" w:rsidR="00CE6133" w:rsidRPr="00CE6133" w:rsidRDefault="00CE6133" w:rsidP="00CE6133">
      <w:pPr>
        <w:pStyle w:val="ListParagraph"/>
        <w:snapToGrid w:val="0"/>
        <w:spacing w:after="120"/>
        <w:ind w:left="0"/>
        <w:jc w:val="both"/>
        <w:rPr>
          <w:lang w:val="bg-BG"/>
        </w:rPr>
      </w:pPr>
      <w:r w:rsidRPr="00CE6133">
        <w:rPr>
          <w:lang w:val="bg-BG"/>
        </w:rPr>
        <w:t xml:space="preserve">Случаите, в които юридически лица-търговци са собственици на самостоятелни обекти в сграда, участваща в </w:t>
      </w:r>
      <w:r w:rsidR="00EE368E">
        <w:rPr>
          <w:lang w:val="bg-BG"/>
        </w:rPr>
        <w:t>Инвестицията</w:t>
      </w:r>
      <w:r w:rsidRPr="00CE6133">
        <w:rPr>
          <w:lang w:val="bg-BG"/>
        </w:rPr>
        <w:t xml:space="preserve"> и допустима за финансиране, същите се считат за получатели на минимална помощ (помощ “</w:t>
      </w:r>
      <w:proofErr w:type="spellStart"/>
      <w:r w:rsidRPr="00CE6133">
        <w:rPr>
          <w:lang w:val="bg-BG"/>
        </w:rPr>
        <w:t>de</w:t>
      </w:r>
      <w:proofErr w:type="spellEnd"/>
      <w:r w:rsidRPr="00CE6133">
        <w:rPr>
          <w:lang w:val="bg-BG"/>
        </w:rPr>
        <w:t xml:space="preserve"> </w:t>
      </w:r>
      <w:proofErr w:type="spellStart"/>
      <w:r w:rsidRPr="00CE6133">
        <w:rPr>
          <w:lang w:val="bg-BG"/>
        </w:rPr>
        <w:t>minimis</w:t>
      </w:r>
      <w:proofErr w:type="spellEnd"/>
      <w:r w:rsidRPr="00CE6133">
        <w:rPr>
          <w:lang w:val="bg-BG"/>
        </w:rPr>
        <w:t xml:space="preserve">”) и към тях са приложими настоящите условия. Когато самостоятелният обект в сграда е под контрола на община </w:t>
      </w:r>
      <w:r w:rsidRPr="00CE6133">
        <w:rPr>
          <w:lang w:val="bg-BG"/>
        </w:rPr>
        <w:lastRenderedPageBreak/>
        <w:t>или държавна институция, посредством общинско/държавно предприятие или търговско дружество, последните се считат за получатели на минимална помощ.</w:t>
      </w:r>
    </w:p>
    <w:p w14:paraId="2D456303" w14:textId="53BC50DF" w:rsidR="00CE6133" w:rsidRPr="00CE6133" w:rsidRDefault="00420884" w:rsidP="00CE6133">
      <w:pPr>
        <w:widowControl w:val="0"/>
        <w:autoSpaceDE w:val="0"/>
        <w:autoSpaceDN w:val="0"/>
        <w:adjustRightInd w:val="0"/>
        <w:snapToGrid w:val="0"/>
        <w:spacing w:after="120" w:line="240" w:lineRule="auto"/>
        <w:ind w:left="4"/>
        <w:jc w:val="both"/>
        <w:rPr>
          <w:rFonts w:ascii="Times New Roman" w:hAnsi="Times New Roman"/>
          <w:b/>
          <w:sz w:val="24"/>
          <w:szCs w:val="24"/>
          <w:lang w:val="bg-BG"/>
        </w:rPr>
      </w:pPr>
      <w:r>
        <w:rPr>
          <w:rFonts w:ascii="Times New Roman" w:hAnsi="Times New Roman"/>
          <w:b/>
          <w:sz w:val="24"/>
          <w:szCs w:val="24"/>
          <w:lang w:val="bg-BG"/>
        </w:rPr>
        <w:t>4</w:t>
      </w:r>
      <w:bookmarkStart w:id="0" w:name="_GoBack"/>
      <w:bookmarkEnd w:id="0"/>
      <w:r w:rsidR="00CE6133" w:rsidRPr="00CE6133">
        <w:rPr>
          <w:rFonts w:ascii="Times New Roman" w:hAnsi="Times New Roman"/>
          <w:b/>
          <w:sz w:val="24"/>
          <w:szCs w:val="24"/>
          <w:lang w:val="bg-BG"/>
        </w:rPr>
        <w:t>.2.1. Компоненти в режим „минимална помощ“</w:t>
      </w:r>
    </w:p>
    <w:p w14:paraId="59F4225C"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В зависимост от изискванията на Регламент </w:t>
      </w:r>
      <w:r w:rsidRPr="00CE6133">
        <w:rPr>
          <w:rFonts w:ascii="Times New Roman" w:hAnsi="Times New Roman"/>
          <w:color w:val="000000" w:themeColor="text1"/>
          <w:sz w:val="24"/>
          <w:szCs w:val="24"/>
          <w:lang w:val="bg-BG"/>
        </w:rPr>
        <w:t>(ЕС) № 1407/2013, в схемата се обособяват два компонента при</w:t>
      </w:r>
      <w:r w:rsidRPr="00CE6133">
        <w:rPr>
          <w:rFonts w:ascii="Times New Roman" w:hAnsi="Times New Roman"/>
          <w:sz w:val="24"/>
          <w:szCs w:val="24"/>
          <w:lang w:val="bg-BG"/>
        </w:rPr>
        <w:t xml:space="preserve"> предоставяне на средствата</w:t>
      </w:r>
      <w:r w:rsidRPr="00CE6133">
        <w:rPr>
          <w:rFonts w:ascii="Times New Roman" w:hAnsi="Times New Roman"/>
          <w:color w:val="000000" w:themeColor="text1"/>
          <w:sz w:val="24"/>
          <w:szCs w:val="24"/>
          <w:lang w:val="bg-BG"/>
        </w:rPr>
        <w:t xml:space="preserve"> и приложими към ССО</w:t>
      </w:r>
      <w:r w:rsidRPr="00CE6133">
        <w:rPr>
          <w:rFonts w:ascii="Times New Roman" w:hAnsi="Times New Roman"/>
          <w:sz w:val="24"/>
          <w:szCs w:val="24"/>
          <w:lang w:val="bg-BG"/>
        </w:rPr>
        <w:t>:</w:t>
      </w:r>
    </w:p>
    <w:p w14:paraId="05D71893" w14:textId="77777777" w:rsidR="00CE6133" w:rsidRPr="00CE6133" w:rsidRDefault="00CE6133" w:rsidP="00CE6133">
      <w:pPr>
        <w:widowControl w:val="0"/>
        <w:numPr>
          <w:ilvl w:val="0"/>
          <w:numId w:val="1"/>
        </w:numPr>
        <w:tabs>
          <w:tab w:val="clear" w:pos="720"/>
        </w:tabs>
        <w:overflowPunct w:val="0"/>
        <w:autoSpaceDE w:val="0"/>
        <w:autoSpaceDN w:val="0"/>
        <w:adjustRightInd w:val="0"/>
        <w:snapToGrid w:val="0"/>
        <w:spacing w:after="120" w:line="240" w:lineRule="auto"/>
        <w:ind w:left="709" w:hanging="304"/>
        <w:jc w:val="both"/>
        <w:rPr>
          <w:rFonts w:ascii="Times New Roman" w:hAnsi="Times New Roman"/>
          <w:bCs/>
          <w:sz w:val="24"/>
          <w:szCs w:val="24"/>
          <w:lang w:val="bg-BG"/>
        </w:rPr>
      </w:pPr>
      <w:r w:rsidRPr="00CE6133">
        <w:rPr>
          <w:rFonts w:ascii="Times New Roman" w:hAnsi="Times New Roman"/>
          <w:b/>
          <w:bCs/>
          <w:sz w:val="24"/>
          <w:szCs w:val="24"/>
          <w:lang w:val="bg-BG"/>
        </w:rPr>
        <w:t>Компонент I – ССО, попадащи в обхвата на режим „</w:t>
      </w:r>
      <w:proofErr w:type="spellStart"/>
      <w:r w:rsidRPr="00CE6133">
        <w:rPr>
          <w:rFonts w:ascii="Times New Roman" w:hAnsi="Times New Roman"/>
          <w:b/>
          <w:bCs/>
          <w:sz w:val="24"/>
          <w:szCs w:val="24"/>
          <w:lang w:val="bg-BG"/>
        </w:rPr>
        <w:t>de</w:t>
      </w:r>
      <w:proofErr w:type="spellEnd"/>
      <w:r w:rsidRPr="00CE6133">
        <w:rPr>
          <w:rFonts w:ascii="Times New Roman" w:hAnsi="Times New Roman"/>
          <w:b/>
          <w:bCs/>
          <w:sz w:val="24"/>
          <w:szCs w:val="24"/>
          <w:lang w:val="bg-BG"/>
        </w:rPr>
        <w:t xml:space="preserve"> </w:t>
      </w:r>
      <w:proofErr w:type="spellStart"/>
      <w:r w:rsidRPr="00CE6133">
        <w:rPr>
          <w:rFonts w:ascii="Times New Roman" w:hAnsi="Times New Roman"/>
          <w:b/>
          <w:bCs/>
          <w:sz w:val="24"/>
          <w:szCs w:val="24"/>
          <w:lang w:val="bg-BG"/>
        </w:rPr>
        <w:t>minimis</w:t>
      </w:r>
      <w:proofErr w:type="spellEnd"/>
      <w:r w:rsidRPr="00CE6133">
        <w:rPr>
          <w:rFonts w:ascii="Times New Roman" w:hAnsi="Times New Roman"/>
          <w:b/>
          <w:bCs/>
          <w:sz w:val="24"/>
          <w:szCs w:val="24"/>
          <w:lang w:val="bg-BG"/>
        </w:rPr>
        <w:t xml:space="preserve">” </w:t>
      </w:r>
      <w:r w:rsidRPr="00CE6133">
        <w:rPr>
          <w:rFonts w:ascii="Times New Roman" w:hAnsi="Times New Roman"/>
          <w:bCs/>
          <w:sz w:val="24"/>
          <w:szCs w:val="24"/>
          <w:lang w:val="bg-BG"/>
        </w:rPr>
        <w:t xml:space="preserve">– всички ССО, които отговарят на някое от условията, изброени в т. 3.2 и изпълняващи изискванията на </w:t>
      </w:r>
      <w:r w:rsidRPr="00CE6133">
        <w:rPr>
          <w:rFonts w:ascii="Times New Roman" w:hAnsi="Times New Roman"/>
          <w:color w:val="000000" w:themeColor="text1"/>
          <w:sz w:val="24"/>
          <w:szCs w:val="24"/>
          <w:lang w:val="bg-BG"/>
        </w:rPr>
        <w:t>Регламент (ЕС) № 1407/2013.</w:t>
      </w:r>
    </w:p>
    <w:p w14:paraId="27D685D6" w14:textId="77777777" w:rsidR="00CE6133" w:rsidRPr="00CE6133" w:rsidRDefault="00CE6133" w:rsidP="00CE6133">
      <w:pPr>
        <w:pStyle w:val="ListParagraph"/>
        <w:numPr>
          <w:ilvl w:val="0"/>
          <w:numId w:val="1"/>
        </w:numPr>
        <w:snapToGrid w:val="0"/>
        <w:spacing w:after="120"/>
        <w:jc w:val="both"/>
        <w:rPr>
          <w:rFonts w:eastAsiaTheme="minorHAnsi"/>
          <w:b/>
          <w:bCs/>
          <w:lang w:val="bg-BG" w:eastAsia="en-US"/>
        </w:rPr>
      </w:pPr>
      <w:r w:rsidRPr="00CE6133">
        <w:rPr>
          <w:rFonts w:eastAsiaTheme="minorHAnsi"/>
          <w:b/>
          <w:bCs/>
          <w:lang w:val="bg-BG" w:eastAsia="en-US"/>
        </w:rPr>
        <w:t>Компонент II – ССО, попадащи извън обхвата на режим “</w:t>
      </w:r>
      <w:proofErr w:type="spellStart"/>
      <w:r w:rsidRPr="00CE6133">
        <w:rPr>
          <w:rFonts w:eastAsiaTheme="minorHAnsi"/>
          <w:b/>
          <w:bCs/>
          <w:lang w:val="bg-BG" w:eastAsia="en-US"/>
        </w:rPr>
        <w:t>de</w:t>
      </w:r>
      <w:proofErr w:type="spellEnd"/>
      <w:r w:rsidRPr="00CE6133">
        <w:rPr>
          <w:rFonts w:eastAsiaTheme="minorHAnsi"/>
          <w:b/>
          <w:bCs/>
          <w:lang w:val="bg-BG" w:eastAsia="en-US"/>
        </w:rPr>
        <w:t xml:space="preserve"> </w:t>
      </w:r>
      <w:proofErr w:type="spellStart"/>
      <w:r w:rsidRPr="00CE6133">
        <w:rPr>
          <w:rFonts w:eastAsiaTheme="minorHAnsi"/>
          <w:b/>
          <w:bCs/>
          <w:lang w:val="bg-BG" w:eastAsia="en-US"/>
        </w:rPr>
        <w:t>minimis</w:t>
      </w:r>
      <w:proofErr w:type="spellEnd"/>
      <w:r w:rsidRPr="00CE6133">
        <w:rPr>
          <w:rFonts w:eastAsiaTheme="minorHAnsi"/>
          <w:b/>
          <w:bCs/>
          <w:lang w:val="bg-BG" w:eastAsia="en-US"/>
        </w:rPr>
        <w:t xml:space="preserve">” </w:t>
      </w:r>
      <w:r w:rsidRPr="00CE6133">
        <w:rPr>
          <w:rFonts w:eastAsiaTheme="minorHAnsi"/>
          <w:bCs/>
          <w:lang w:val="bg-BG" w:eastAsia="en-US"/>
        </w:rPr>
        <w:t xml:space="preserve">– </w:t>
      </w:r>
      <w:r w:rsidRPr="00CE6133">
        <w:rPr>
          <w:bCs/>
          <w:lang w:val="bg-BG"/>
        </w:rPr>
        <w:t xml:space="preserve">всички ССО, които отговарят на някое от условията, изброени в т. 3.2, но не изпълняващи изискванията на </w:t>
      </w:r>
      <w:r w:rsidRPr="00CE6133">
        <w:rPr>
          <w:color w:val="000000" w:themeColor="text1"/>
          <w:lang w:val="bg-BG"/>
        </w:rPr>
        <w:t xml:space="preserve">Регламент (ЕС) № 1407/2013. </w:t>
      </w:r>
    </w:p>
    <w:p w14:paraId="6BD932B0" w14:textId="77777777" w:rsidR="00CE6133" w:rsidRPr="00CE6133" w:rsidRDefault="00CE6133" w:rsidP="00CE6133">
      <w:pPr>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 xml:space="preserve">Получателите на БФП, в зависимост от това в кой от двата компонента попадат, следва да спазват условията на съответния компонент. </w:t>
      </w:r>
    </w:p>
    <w:p w14:paraId="067A82E0"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p>
    <w:p w14:paraId="24FB8572" w14:textId="77777777"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 xml:space="preserve"> ПРИЛОЖЕНИЕ НА КОМПОНЕНТ I</w:t>
      </w:r>
    </w:p>
    <w:p w14:paraId="603B377C"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 xml:space="preserve">Съгласно описаните в т. 3.2.1 компоненти, следва да се има предвид, че Компонент I се прилага към всички </w:t>
      </w:r>
      <w:r w:rsidRPr="00CE6133">
        <w:rPr>
          <w:rFonts w:ascii="Times New Roman" w:hAnsi="Times New Roman"/>
          <w:color w:val="000000" w:themeColor="text1"/>
          <w:sz w:val="24"/>
          <w:szCs w:val="24"/>
          <w:lang w:val="bg-BG"/>
        </w:rPr>
        <w:t xml:space="preserve">ССО, </w:t>
      </w:r>
      <w:r w:rsidRPr="00CE6133">
        <w:rPr>
          <w:rFonts w:ascii="Times New Roman" w:hAnsi="Times New Roman"/>
          <w:bCs/>
          <w:sz w:val="24"/>
          <w:szCs w:val="24"/>
          <w:lang w:val="bg-BG"/>
        </w:rPr>
        <w:t xml:space="preserve">допустими по </w:t>
      </w:r>
      <w:r w:rsidR="00EE368E">
        <w:rPr>
          <w:rFonts w:ascii="Times New Roman" w:hAnsi="Times New Roman"/>
          <w:bCs/>
          <w:sz w:val="24"/>
          <w:szCs w:val="24"/>
          <w:lang w:val="bg-BG"/>
        </w:rPr>
        <w:t>Инвестицията</w:t>
      </w:r>
      <w:r w:rsidRPr="00CE6133">
        <w:rPr>
          <w:rFonts w:ascii="Times New Roman" w:hAnsi="Times New Roman"/>
          <w:bCs/>
          <w:sz w:val="24"/>
          <w:szCs w:val="24"/>
          <w:lang w:val="bg-BG"/>
        </w:rPr>
        <w:t xml:space="preserve"> за получаване на БФП, които отговарят на някое от условията в т. 3.2 и изпълняват изискванията на </w:t>
      </w:r>
      <w:r w:rsidRPr="00CE6133">
        <w:rPr>
          <w:rFonts w:ascii="Times New Roman" w:hAnsi="Times New Roman"/>
          <w:color w:val="000000" w:themeColor="text1"/>
          <w:sz w:val="24"/>
          <w:szCs w:val="24"/>
          <w:lang w:val="bg-BG"/>
        </w:rPr>
        <w:t xml:space="preserve">Регламент (ЕС) № 1407/2013. </w:t>
      </w:r>
    </w:p>
    <w:p w14:paraId="5ACC7E6A" w14:textId="77777777"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Критерии за недопустимост съгласно Регламент (ЕС) № 1407/2013</w:t>
      </w:r>
    </w:p>
    <w:p w14:paraId="721A97B3" w14:textId="77777777"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Основно изискване към потенциалните получатели (ССО) е, че същите </w:t>
      </w:r>
      <w:r w:rsidRPr="00CE6133">
        <w:rPr>
          <w:rFonts w:ascii="Times New Roman" w:hAnsi="Times New Roman"/>
          <w:b/>
          <w:sz w:val="24"/>
          <w:szCs w:val="24"/>
          <w:lang w:val="bg-BG"/>
        </w:rPr>
        <w:t>не могат да получат БФП</w:t>
      </w:r>
      <w:r w:rsidRPr="00CE6133">
        <w:rPr>
          <w:rFonts w:ascii="Times New Roman" w:hAnsi="Times New Roman"/>
          <w:sz w:val="24"/>
          <w:szCs w:val="24"/>
          <w:lang w:val="bg-BG"/>
        </w:rPr>
        <w:t xml:space="preserve">, в случай че попадат в забранителното поле на Регламент </w:t>
      </w:r>
      <w:r w:rsidRPr="00CE6133">
        <w:rPr>
          <w:rFonts w:ascii="Times New Roman" w:hAnsi="Times New Roman"/>
          <w:color w:val="000000" w:themeColor="text1"/>
          <w:sz w:val="24"/>
          <w:szCs w:val="24"/>
          <w:lang w:val="bg-BG"/>
        </w:rPr>
        <w:t>(ЕС) № 1407/2013</w:t>
      </w:r>
      <w:r w:rsidRPr="00CE6133">
        <w:rPr>
          <w:rFonts w:ascii="Times New Roman" w:hAnsi="Times New Roman"/>
          <w:sz w:val="24"/>
          <w:szCs w:val="24"/>
          <w:lang w:val="bg-BG"/>
        </w:rPr>
        <w:t xml:space="preserve"> и конкретно тяхната основна дейност или помощта, за която</w:t>
      </w:r>
      <w:r w:rsidRPr="00CE6133">
        <w:rPr>
          <w:rFonts w:ascii="Times New Roman" w:hAnsi="Times New Roman"/>
          <w:b/>
          <w:bCs/>
          <w:sz w:val="24"/>
          <w:szCs w:val="24"/>
          <w:lang w:val="bg-BG"/>
        </w:rPr>
        <w:t xml:space="preserve"> </w:t>
      </w:r>
      <w:r w:rsidRPr="00CE6133">
        <w:rPr>
          <w:rFonts w:ascii="Times New Roman" w:hAnsi="Times New Roman"/>
          <w:sz w:val="24"/>
          <w:szCs w:val="24"/>
          <w:lang w:val="bg-BG"/>
        </w:rPr>
        <w:t>кандидатстват за финансиране се отнася до (може да се свърже с):</w:t>
      </w:r>
    </w:p>
    <w:p w14:paraId="013A9D26" w14:textId="77777777"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а) </w:t>
      </w:r>
      <w:r w:rsidRPr="00CE6133">
        <w:rPr>
          <w:rFonts w:ascii="Times New Roman" w:hAnsi="Times New Roman"/>
          <w:sz w:val="24"/>
          <w:szCs w:val="24"/>
          <w:lang w:val="bg-BG"/>
        </w:rPr>
        <w:tab/>
        <w:t xml:space="preserve">помощи, предоставяни в сектора на рибарството и </w:t>
      </w:r>
      <w:proofErr w:type="spellStart"/>
      <w:r w:rsidRPr="00CE6133">
        <w:rPr>
          <w:rFonts w:ascii="Times New Roman" w:hAnsi="Times New Roman"/>
          <w:sz w:val="24"/>
          <w:szCs w:val="24"/>
          <w:lang w:val="bg-BG"/>
        </w:rPr>
        <w:t>аквакултурите</w:t>
      </w:r>
      <w:proofErr w:type="spellEnd"/>
      <w:r w:rsidRPr="00CE6133">
        <w:rPr>
          <w:rFonts w:ascii="Times New Roman" w:hAnsi="Times New Roman"/>
          <w:sz w:val="24"/>
          <w:szCs w:val="24"/>
          <w:lang w:val="bg-BG"/>
        </w:rPr>
        <w:t>, обхванати от Регламент (ЕО) № 104/2000 на Съвета</w:t>
      </w:r>
      <w:r w:rsidRPr="00CE6133">
        <w:rPr>
          <w:rStyle w:val="FootnoteReference"/>
          <w:sz w:val="24"/>
          <w:szCs w:val="24"/>
          <w:lang w:val="bg-BG"/>
        </w:rPr>
        <w:footnoteReference w:id="3"/>
      </w:r>
      <w:r w:rsidRPr="00CE6133">
        <w:rPr>
          <w:rFonts w:ascii="Times New Roman" w:hAnsi="Times New Roman"/>
          <w:sz w:val="24"/>
          <w:szCs w:val="24"/>
          <w:lang w:val="bg-BG"/>
        </w:rPr>
        <w:t>;</w:t>
      </w:r>
    </w:p>
    <w:p w14:paraId="40AB7CAB" w14:textId="77777777"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б) </w:t>
      </w:r>
      <w:r w:rsidRPr="00CE6133">
        <w:rPr>
          <w:rFonts w:ascii="Times New Roman" w:hAnsi="Times New Roman"/>
          <w:sz w:val="24"/>
          <w:szCs w:val="24"/>
          <w:lang w:val="bg-BG"/>
        </w:rPr>
        <w:tab/>
        <w:t>помощи, предоставяни на предприятия, които извършват дейност в областта на първичното производство на селскостопански продукти;</w:t>
      </w:r>
    </w:p>
    <w:p w14:paraId="0DDA7901" w14:textId="77777777"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в) </w:t>
      </w:r>
      <w:r w:rsidRPr="00CE6133">
        <w:rPr>
          <w:rFonts w:ascii="Times New Roman" w:hAnsi="Times New Roman"/>
          <w:sz w:val="24"/>
          <w:szCs w:val="24"/>
          <w:lang w:val="bg-BG"/>
        </w:rPr>
        <w:tab/>
        <w:t xml:space="preserve">помощите, предоставяни на предприятия, които извършват дейности в сектора на преработката и търговията със селскостопански продукти: </w:t>
      </w:r>
    </w:p>
    <w:p w14:paraId="1160C1E1" w14:textId="77777777"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г) </w:t>
      </w:r>
      <w:r w:rsidRPr="00CE6133">
        <w:rPr>
          <w:rFonts w:ascii="Times New Roman" w:hAnsi="Times New Roman"/>
          <w:sz w:val="24"/>
          <w:szCs w:val="24"/>
          <w:lang w:val="bg-BG"/>
        </w:rPr>
        <w:tab/>
        <w:t>помощи за дейности, свързани с износ за трети държави или държави членки, по-конкретно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47FA9627" w14:textId="77777777" w:rsidR="00CE6133" w:rsidRPr="00CE6133" w:rsidRDefault="00CE6133" w:rsidP="00CE6133">
      <w:pPr>
        <w:widowControl w:val="0"/>
        <w:overflowPunct w:val="0"/>
        <w:autoSpaceDE w:val="0"/>
        <w:autoSpaceDN w:val="0"/>
        <w:adjustRightInd w:val="0"/>
        <w:snapToGrid w:val="0"/>
        <w:spacing w:after="120" w:line="240" w:lineRule="auto"/>
        <w:ind w:left="851" w:hanging="425"/>
        <w:jc w:val="both"/>
        <w:rPr>
          <w:rFonts w:ascii="Times New Roman" w:hAnsi="Times New Roman"/>
          <w:sz w:val="24"/>
          <w:szCs w:val="24"/>
          <w:lang w:val="bg-BG"/>
        </w:rPr>
      </w:pPr>
      <w:r w:rsidRPr="00CE6133">
        <w:rPr>
          <w:rFonts w:ascii="Times New Roman" w:hAnsi="Times New Roman"/>
          <w:sz w:val="24"/>
          <w:szCs w:val="24"/>
          <w:lang w:val="bg-BG"/>
        </w:rPr>
        <w:t xml:space="preserve">д) </w:t>
      </w:r>
      <w:r w:rsidRPr="00CE6133">
        <w:rPr>
          <w:rFonts w:ascii="Times New Roman" w:hAnsi="Times New Roman"/>
          <w:sz w:val="24"/>
          <w:szCs w:val="24"/>
          <w:lang w:val="bg-BG"/>
        </w:rPr>
        <w:tab/>
        <w:t>помощи, подчинени на преференциалното използване на национални продукти спрямо вносни такива.</w:t>
      </w:r>
    </w:p>
    <w:p w14:paraId="735F1F98"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Когато дадено ССО упражнява дейност в секторите, описани по-горе в букви а), б) или в), както и в един или повече от секторите или дейностите, обхванати от </w:t>
      </w:r>
      <w:r w:rsidRPr="00CE6133">
        <w:rPr>
          <w:rFonts w:ascii="Times New Roman" w:hAnsi="Times New Roman"/>
          <w:color w:val="000000" w:themeColor="text1"/>
          <w:sz w:val="24"/>
          <w:szCs w:val="24"/>
          <w:lang w:val="bg-BG"/>
        </w:rPr>
        <w:t xml:space="preserve">Регламент (ЕС) </w:t>
      </w:r>
      <w:r w:rsidRPr="00CE6133">
        <w:rPr>
          <w:rFonts w:ascii="Times New Roman" w:hAnsi="Times New Roman"/>
          <w:color w:val="000000" w:themeColor="text1"/>
          <w:sz w:val="24"/>
          <w:szCs w:val="24"/>
          <w:lang w:val="bg-BG"/>
        </w:rPr>
        <w:lastRenderedPageBreak/>
        <w:t>№ 1407/2013</w:t>
      </w:r>
      <w:r w:rsidRPr="00CE6133">
        <w:rPr>
          <w:rFonts w:ascii="Times New Roman" w:hAnsi="Times New Roman"/>
          <w:sz w:val="24"/>
          <w:szCs w:val="24"/>
          <w:lang w:val="bg-BG"/>
        </w:rPr>
        <w:t xml:space="preserve">, Регламента се прилага спрямо помощта, предоставяна за съответните един или повече сектори или дейности, при условие че бъде гарантирано по подходящ начин и посредством подходящи средства, като например: разделение на дейностите или разграничаване на разходите, че дейностите в изключените сектори не се ползват от помощ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предоставена съгласно Регламента. </w:t>
      </w:r>
    </w:p>
    <w:p w14:paraId="234C0AB9" w14:textId="1E34328A"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В случаите, когато за ССО това не може да бъде гарантирано и общината не може по подходящ начин да бъде уверена, че ССО попада извън обхвата на </w:t>
      </w:r>
      <w:r w:rsidRPr="00CE6133">
        <w:rPr>
          <w:rFonts w:ascii="Times New Roman" w:hAnsi="Times New Roman"/>
          <w:color w:val="000000" w:themeColor="text1"/>
          <w:sz w:val="24"/>
          <w:szCs w:val="24"/>
          <w:lang w:val="bg-BG"/>
        </w:rPr>
        <w:t>Регламент (ЕС) № 1407/2013,</w:t>
      </w:r>
      <w:r w:rsidRPr="00CE6133">
        <w:rPr>
          <w:rFonts w:ascii="Times New Roman" w:hAnsi="Times New Roman"/>
          <w:sz w:val="24"/>
          <w:szCs w:val="24"/>
          <w:lang w:val="bg-BG"/>
        </w:rPr>
        <w:t xml:space="preserve"> то към съответния ССО са приложими правилата на Компонент II, описани в т. </w:t>
      </w:r>
      <w:r w:rsidR="008051E9">
        <w:rPr>
          <w:rFonts w:ascii="Times New Roman" w:hAnsi="Times New Roman"/>
          <w:sz w:val="24"/>
          <w:szCs w:val="24"/>
          <w:lang w:val="bg-BG"/>
        </w:rPr>
        <w:t>6</w:t>
      </w:r>
      <w:r w:rsidRPr="00CE6133">
        <w:rPr>
          <w:rFonts w:ascii="Times New Roman" w:hAnsi="Times New Roman"/>
          <w:sz w:val="24"/>
          <w:szCs w:val="24"/>
          <w:lang w:val="bg-BG"/>
        </w:rPr>
        <w:t xml:space="preserve"> от настоящите условия.</w:t>
      </w:r>
    </w:p>
    <w:p w14:paraId="37442277" w14:textId="618DA3EB"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На етап кандидатстване от даден ССО, съответната община, в качеството си на администратор на минималната помощ, следва да извършва проверка на описаните в т. 4.1. обстоятелства. Същите се декларират от всяко ССО в декларацията за минимални и държавни помощи, попълнена по образец (</w:t>
      </w:r>
      <w:r w:rsidR="008D6D72" w:rsidRPr="00CE6133">
        <w:rPr>
          <w:rFonts w:ascii="Times New Roman" w:hAnsi="Times New Roman"/>
          <w:bCs/>
          <w:sz w:val="24"/>
          <w:szCs w:val="24"/>
          <w:lang w:val="bg-BG"/>
        </w:rPr>
        <w:t>Приложение</w:t>
      </w:r>
      <w:r w:rsidRPr="00CE6133">
        <w:rPr>
          <w:rFonts w:ascii="Times New Roman" w:hAnsi="Times New Roman"/>
          <w:bCs/>
          <w:sz w:val="24"/>
          <w:szCs w:val="24"/>
          <w:lang w:val="bg-BG"/>
        </w:rPr>
        <w:t xml:space="preserve"> № </w:t>
      </w:r>
      <w:r w:rsidR="008D6D72">
        <w:rPr>
          <w:rFonts w:ascii="Times New Roman" w:hAnsi="Times New Roman"/>
          <w:bCs/>
          <w:sz w:val="24"/>
          <w:szCs w:val="24"/>
          <w:lang w:val="bg-BG"/>
        </w:rPr>
        <w:t>3)</w:t>
      </w:r>
      <w:r w:rsidRPr="00CE6133">
        <w:rPr>
          <w:rFonts w:ascii="Times New Roman" w:hAnsi="Times New Roman"/>
          <w:sz w:val="24"/>
          <w:szCs w:val="24"/>
          <w:lang w:val="bg-BG"/>
        </w:rPr>
        <w:t>.</w:t>
      </w:r>
    </w:p>
    <w:p w14:paraId="4BEAFF1B"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Общината може да изисква допълнителни документи по нейна преценка (например: извадка от счетоводната система, използван метод за счетоводната отчетност и т.н.), които биха й послужили да прецени допустимостта на кандидата по мярката, в случаите когато ССО попада в обхвата на понятието „предприятие“ по смисъла на Закона за счетоводството, респ. има задължение да съставя годишен финансов отчет. </w:t>
      </w:r>
    </w:p>
    <w:p w14:paraId="11497A6A" w14:textId="77777777"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Специфични изисквания</w:t>
      </w:r>
    </w:p>
    <w:p w14:paraId="4AE9F28C" w14:textId="77777777"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За ССО, които са предприятия за целите на Регламент </w:t>
      </w:r>
      <w:r w:rsidRPr="00CE6133">
        <w:rPr>
          <w:rFonts w:ascii="Times New Roman" w:hAnsi="Times New Roman"/>
          <w:color w:val="000000" w:themeColor="text1"/>
          <w:sz w:val="24"/>
          <w:szCs w:val="24"/>
          <w:lang w:val="bg-BG"/>
        </w:rPr>
        <w:t>(ЕС) № 1407/2013 се прилагат изискванията на „едно и също предприятие“.</w:t>
      </w:r>
    </w:p>
    <w:p w14:paraId="0C0ACDFD" w14:textId="77777777"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sz w:val="24"/>
          <w:szCs w:val="24"/>
          <w:lang w:val="bg-BG"/>
        </w:rPr>
        <w:t xml:space="preserve">Съгласно чл. 2 от Регламент </w:t>
      </w:r>
      <w:r w:rsidRPr="00CE6133">
        <w:rPr>
          <w:rFonts w:ascii="Times New Roman" w:hAnsi="Times New Roman"/>
          <w:color w:val="000000" w:themeColor="text1"/>
          <w:sz w:val="24"/>
          <w:szCs w:val="24"/>
          <w:lang w:val="bg-BG"/>
        </w:rPr>
        <w:t xml:space="preserve">(ЕС) № 1407/2013, </w:t>
      </w:r>
      <w:r w:rsidRPr="00CE6133">
        <w:rPr>
          <w:rFonts w:ascii="Times New Roman" w:hAnsi="Times New Roman"/>
          <w:sz w:val="24"/>
          <w:szCs w:val="24"/>
          <w:lang w:val="bg-BG"/>
        </w:rPr>
        <w:t>„едно и също предприятие“ означава всички предприятия, които поддържат помежду си поне един вид от следните взаимоотношения:</w:t>
      </w:r>
    </w:p>
    <w:p w14:paraId="158D1052" w14:textId="77777777"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 xml:space="preserve">а) </w:t>
      </w:r>
      <w:r w:rsidRPr="00CE6133">
        <w:rPr>
          <w:rFonts w:ascii="Times New Roman" w:hAnsi="Times New Roman"/>
          <w:sz w:val="24"/>
          <w:szCs w:val="24"/>
          <w:lang w:val="bg-BG"/>
        </w:rPr>
        <w:tab/>
        <w:t>дадено предприятие притежава мнозинството от гласовете на акционерите или съдружниците в друго предприятие;</w:t>
      </w:r>
    </w:p>
    <w:p w14:paraId="5FB7D01C" w14:textId="77777777"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29B7B676" w14:textId="77777777"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07DFA31D" w14:textId="77777777" w:rsidR="00CE6133" w:rsidRPr="00CE6133" w:rsidRDefault="00CE6133" w:rsidP="00CE6133">
      <w:pPr>
        <w:widowControl w:val="0"/>
        <w:overflowPunct w:val="0"/>
        <w:autoSpaceDE w:val="0"/>
        <w:autoSpaceDN w:val="0"/>
        <w:adjustRightInd w:val="0"/>
        <w:snapToGrid w:val="0"/>
        <w:spacing w:after="120" w:line="240" w:lineRule="auto"/>
        <w:ind w:left="851" w:hanging="284"/>
        <w:jc w:val="both"/>
        <w:rPr>
          <w:rFonts w:ascii="Times New Roman" w:hAnsi="Times New Roman"/>
          <w:sz w:val="24"/>
          <w:szCs w:val="24"/>
          <w:lang w:val="bg-BG"/>
        </w:rPr>
      </w:pPr>
      <w:r w:rsidRPr="00CE6133">
        <w:rPr>
          <w:rFonts w:ascii="Times New Roman" w:hAnsi="Times New Roman"/>
          <w:sz w:val="24"/>
          <w:szCs w:val="24"/>
          <w:lang w:val="bg-BG"/>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298145A3"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Предприятия, поддържащи едно от взаимоотношенията, посочени по-горе в букви а) — г), посредством едно или няколко други предприятия, също се разглеждат като едно и също предприятие.</w:t>
      </w:r>
    </w:p>
    <w:p w14:paraId="5F59373C" w14:textId="7B6950AB"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bCs/>
          <w:sz w:val="24"/>
          <w:szCs w:val="24"/>
          <w:lang w:val="bg-BG"/>
        </w:rPr>
      </w:pPr>
      <w:r w:rsidRPr="00CE6133">
        <w:rPr>
          <w:rFonts w:ascii="Times New Roman" w:hAnsi="Times New Roman"/>
          <w:sz w:val="24"/>
          <w:szCs w:val="24"/>
          <w:lang w:val="bg-BG"/>
        </w:rPr>
        <w:t xml:space="preserve">С оглед установяване на наличието на тези обстоятелства, общината следва да провери дали същите са декларирани от съответния ССО в декларацията по </w:t>
      </w:r>
      <w:r w:rsidR="008D6D72" w:rsidRPr="008D6D72">
        <w:rPr>
          <w:rFonts w:ascii="Times New Roman" w:hAnsi="Times New Roman"/>
          <w:bCs/>
          <w:sz w:val="24"/>
          <w:szCs w:val="24"/>
          <w:lang w:val="bg-BG"/>
        </w:rPr>
        <w:t>Приложение</w:t>
      </w:r>
      <w:r w:rsidRPr="008D6D72">
        <w:rPr>
          <w:rFonts w:ascii="Times New Roman" w:hAnsi="Times New Roman"/>
          <w:bCs/>
          <w:sz w:val="24"/>
          <w:szCs w:val="24"/>
          <w:lang w:val="bg-BG"/>
        </w:rPr>
        <w:t xml:space="preserve"> № </w:t>
      </w:r>
      <w:r w:rsidR="008D6D72" w:rsidRPr="008D6D72">
        <w:rPr>
          <w:rFonts w:ascii="Times New Roman" w:hAnsi="Times New Roman"/>
          <w:bCs/>
          <w:sz w:val="24"/>
          <w:szCs w:val="24"/>
          <w:lang w:val="bg-BG"/>
        </w:rPr>
        <w:t>3</w:t>
      </w:r>
      <w:r w:rsidRPr="00CE6133">
        <w:rPr>
          <w:rFonts w:ascii="Times New Roman" w:hAnsi="Times New Roman"/>
          <w:bCs/>
          <w:sz w:val="24"/>
          <w:szCs w:val="24"/>
          <w:lang w:val="bg-BG"/>
        </w:rPr>
        <w:t>. В случай, че дадено ССО се явява „едно и също предприятие“ по отношение на други предприятия и същите покриват ня</w:t>
      </w:r>
      <w:r w:rsidR="0076094D">
        <w:rPr>
          <w:rFonts w:ascii="Times New Roman" w:hAnsi="Times New Roman"/>
          <w:bCs/>
          <w:sz w:val="24"/>
          <w:szCs w:val="24"/>
          <w:lang w:val="bg-BG"/>
        </w:rPr>
        <w:t>кое от условията, описани в т. 3</w:t>
      </w:r>
      <w:r w:rsidRPr="00CE6133">
        <w:rPr>
          <w:rFonts w:ascii="Times New Roman" w:hAnsi="Times New Roman"/>
          <w:bCs/>
          <w:sz w:val="24"/>
          <w:szCs w:val="24"/>
          <w:lang w:val="bg-BG"/>
        </w:rPr>
        <w:t xml:space="preserve">.2, то следва да се има </w:t>
      </w:r>
      <w:r w:rsidRPr="00CE6133">
        <w:rPr>
          <w:rFonts w:ascii="Times New Roman" w:hAnsi="Times New Roman"/>
          <w:bCs/>
          <w:sz w:val="24"/>
          <w:szCs w:val="24"/>
          <w:lang w:val="bg-BG"/>
        </w:rPr>
        <w:lastRenderedPageBreak/>
        <w:t xml:space="preserve">предвид, че всички предприятия, образуващи „едно и също предприятие“, се считат за един получател на минималната помощ. В този случай, следва да се има предвид, че описаните в т. 4.4. допустими максимални размери на БФП и установените прагове в </w:t>
      </w:r>
      <w:r w:rsidRPr="00CE6133">
        <w:rPr>
          <w:rFonts w:ascii="Times New Roman" w:hAnsi="Times New Roman"/>
          <w:color w:val="000000" w:themeColor="text1"/>
          <w:sz w:val="24"/>
          <w:szCs w:val="24"/>
          <w:lang w:val="bg-BG"/>
        </w:rPr>
        <w:t xml:space="preserve">Регламент (ЕС) № 1407/2013 </w:t>
      </w:r>
      <w:r w:rsidRPr="00CE6133">
        <w:rPr>
          <w:rFonts w:ascii="Times New Roman" w:hAnsi="Times New Roman"/>
          <w:bCs/>
          <w:sz w:val="24"/>
          <w:szCs w:val="24"/>
          <w:lang w:val="bg-BG"/>
        </w:rPr>
        <w:t>се прилагат към този един  получател, в който се включват всички, образуващи „едно и също предприятие“.</w:t>
      </w:r>
    </w:p>
    <w:p w14:paraId="7CA8DB66" w14:textId="77777777"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Допълнителни условия към ССО</w:t>
      </w:r>
    </w:p>
    <w:p w14:paraId="74F5D9C1" w14:textId="77777777" w:rsidR="00CE6133" w:rsidRPr="00CE6133" w:rsidRDefault="00CE6133" w:rsidP="00CE6133">
      <w:pPr>
        <w:widowControl w:val="0"/>
        <w:overflowPunct w:val="0"/>
        <w:autoSpaceDE w:val="0"/>
        <w:autoSpaceDN w:val="0"/>
        <w:adjustRightInd w:val="0"/>
        <w:snapToGrid w:val="0"/>
        <w:spacing w:after="120" w:line="240" w:lineRule="auto"/>
        <w:ind w:left="4"/>
        <w:jc w:val="both"/>
        <w:rPr>
          <w:rFonts w:ascii="Times New Roman" w:hAnsi="Times New Roman"/>
          <w:sz w:val="24"/>
          <w:szCs w:val="24"/>
          <w:lang w:val="bg-BG"/>
        </w:rPr>
      </w:pPr>
      <w:r w:rsidRPr="00CE6133">
        <w:rPr>
          <w:rFonts w:ascii="Times New Roman" w:hAnsi="Times New Roman"/>
          <w:color w:val="000000" w:themeColor="text1"/>
          <w:sz w:val="24"/>
          <w:szCs w:val="24"/>
          <w:lang w:val="bg-BG"/>
        </w:rPr>
        <w:t xml:space="preserve">Регламент (ЕС) № 1407/2013 </w:t>
      </w:r>
      <w:r w:rsidRPr="00CE6133">
        <w:rPr>
          <w:rFonts w:ascii="Times New Roman" w:hAnsi="Times New Roman"/>
          <w:sz w:val="24"/>
          <w:szCs w:val="24"/>
          <w:lang w:val="bg-BG"/>
        </w:rPr>
        <w:t xml:space="preserve">се прилага само за помощите, при които брутният еквивалент на безвъзмездна помощ може да бъде изчислен точно и предварително, без да е необходима каквато и да било оценка на риска („прозрачна помощ“). </w:t>
      </w:r>
    </w:p>
    <w:p w14:paraId="16AFAB24" w14:textId="77777777"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Помощта по схемата се изразява като парични безвъзмездни средства (БФП), поради което се счита за прозрачна помощ. В размерът на помощта се изразява в брутно изражение, преди облагане с данъци или други такси. Предвид факта, че по схемата е въведена точна дата за получаване на помощта не се извършва сконтиране, тъй като не е налице изплащане на траншове.</w:t>
      </w:r>
    </w:p>
    <w:p w14:paraId="6C453873"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В случай на сливания или придобивания на ССО, извършени през периода на обновяването, към датата на предоставянето на помощта, всички помощи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предоставяни на някое от сливащите се предприятия по схемата, се вземат под внимание за да се определи дали помощта отпусната по схемата на новото предприятие или на придобиващото предприятие, няма да доведе до превишаване на съответния таван.</w:t>
      </w:r>
    </w:p>
    <w:p w14:paraId="369392B5"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Ако в периода на обновяване, към датата на предоставянето на помощта, дадено предприятие се разделя на две или повече отделни предприятия, помощта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по схемата, се начислява на това предприятие, което поема дейността. В случай, че последното не е възможно се извършва пропорционално разделяне на помощта на база на счетоводната стойност на собствения капитал на новите предприятия.</w:t>
      </w:r>
    </w:p>
    <w:p w14:paraId="566FF834" w14:textId="30C7345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Сливанията, придобиванията и разделянията също са предмет на деклариране от ССО в декларацията по </w:t>
      </w:r>
      <w:r w:rsidR="008D6D72" w:rsidRPr="008D6D72">
        <w:rPr>
          <w:rFonts w:ascii="Times New Roman" w:hAnsi="Times New Roman"/>
          <w:bCs/>
          <w:sz w:val="24"/>
          <w:szCs w:val="24"/>
          <w:lang w:val="bg-BG"/>
        </w:rPr>
        <w:t>Приложение №3</w:t>
      </w:r>
      <w:r w:rsidRPr="008D6D72">
        <w:rPr>
          <w:rFonts w:ascii="Times New Roman" w:hAnsi="Times New Roman"/>
          <w:bCs/>
          <w:sz w:val="24"/>
          <w:szCs w:val="24"/>
          <w:lang w:val="bg-BG"/>
        </w:rPr>
        <w:t>.</w:t>
      </w:r>
      <w:r w:rsidRPr="00CE6133">
        <w:rPr>
          <w:rFonts w:ascii="Times New Roman" w:hAnsi="Times New Roman"/>
          <w:bCs/>
          <w:sz w:val="24"/>
          <w:szCs w:val="24"/>
          <w:lang w:val="bg-BG"/>
        </w:rPr>
        <w:t xml:space="preserve"> Същите са необходими с оглед правилното установяване на размера на получените минимални помощи от даден ССО.</w:t>
      </w:r>
      <w:r w:rsidRPr="00CE6133">
        <w:rPr>
          <w:rFonts w:ascii="Times New Roman" w:hAnsi="Times New Roman"/>
          <w:sz w:val="24"/>
          <w:szCs w:val="24"/>
          <w:lang w:val="bg-BG"/>
        </w:rPr>
        <w:t xml:space="preserve"> </w:t>
      </w:r>
    </w:p>
    <w:p w14:paraId="2091C38D" w14:textId="77777777"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Допустим максимален размер на БФП</w:t>
      </w:r>
    </w:p>
    <w:p w14:paraId="1307B7D7"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 xml:space="preserve">Допустимият максимален размер на БФП следва да е такъв, който не води до надвишаване на праговете, определени в </w:t>
      </w:r>
      <w:r w:rsidRPr="00CE6133">
        <w:rPr>
          <w:rFonts w:ascii="Times New Roman" w:hAnsi="Times New Roman"/>
          <w:color w:val="000000" w:themeColor="text1"/>
          <w:sz w:val="24"/>
          <w:szCs w:val="24"/>
          <w:lang w:val="bg-BG"/>
        </w:rPr>
        <w:t xml:space="preserve">Регламент (ЕС) № 1407/2013, </w:t>
      </w:r>
      <w:r w:rsidRPr="00CE6133">
        <w:rPr>
          <w:rFonts w:ascii="Times New Roman" w:hAnsi="Times New Roman"/>
          <w:sz w:val="24"/>
          <w:szCs w:val="24"/>
          <w:lang w:val="bg-BG"/>
        </w:rPr>
        <w:t xml:space="preserve">а именно: левовата равностойност на 200 000 евро (391 166 лева) </w:t>
      </w:r>
      <w:r w:rsidRPr="00CE6133">
        <w:rPr>
          <w:rFonts w:ascii="Times New Roman" w:hAnsi="Times New Roman"/>
          <w:color w:val="000000" w:themeColor="text1"/>
          <w:sz w:val="24"/>
          <w:szCs w:val="24"/>
          <w:lang w:val="bg-BG"/>
        </w:rPr>
        <w:t xml:space="preserve">за период от 3 (три) последователни фискални години. </w:t>
      </w:r>
      <w:r w:rsidRPr="00CE6133">
        <w:rPr>
          <w:rFonts w:ascii="Times New Roman" w:hAnsi="Times New Roman"/>
          <w:sz w:val="24"/>
          <w:szCs w:val="24"/>
          <w:lang w:val="bg-BG"/>
        </w:rPr>
        <w:t>Общият размер на минималната помощ, предоставена на едно и също предприятие, осъществяващо дейност в отрасъл „шосеен транспорт”, не може да надхвърля левовата равностойност на 100 000 евро (195 583 лева) за период от 3 (три) последователни фискални години.</w:t>
      </w:r>
    </w:p>
    <w:p w14:paraId="2A246EC0"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Само след като общината се е уверила, че с отпускането на съответната минимална помощ по настоящата схема няма да бъдат превишени праговете, установени по-горе, тогава общината може да я предостави на съответния ССО. За целта при изчисляване на праговете се отчита размера на всички получени минимални помощи от ССО -„едно и също предприятие“, без значение на формата и източника въз основа на декларация по образец и проверка в Регистъра за държавна и минимална помощ.</w:t>
      </w:r>
    </w:p>
    <w:p w14:paraId="52B985B4" w14:textId="5BFDFE8D"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sz w:val="24"/>
          <w:szCs w:val="24"/>
          <w:lang w:val="bg-BG"/>
        </w:rPr>
        <w:t>Данните за получени минимални и/или държавни помощи следва да бъдат надлежно посочени от собствениците в декларацията за минимални и държавни помощи, попълнена по образец (</w:t>
      </w:r>
      <w:r w:rsidR="008D6D72" w:rsidRPr="008D6D72">
        <w:rPr>
          <w:rFonts w:ascii="Times New Roman" w:hAnsi="Times New Roman"/>
          <w:bCs/>
          <w:sz w:val="24"/>
          <w:szCs w:val="24"/>
          <w:lang w:val="bg-BG"/>
        </w:rPr>
        <w:t>Приложение</w:t>
      </w:r>
      <w:r w:rsidRPr="008D6D72">
        <w:rPr>
          <w:rFonts w:ascii="Times New Roman" w:hAnsi="Times New Roman"/>
          <w:bCs/>
          <w:sz w:val="24"/>
          <w:szCs w:val="24"/>
          <w:lang w:val="bg-BG"/>
        </w:rPr>
        <w:t xml:space="preserve"> №</w:t>
      </w:r>
      <w:r w:rsidR="008D6D72" w:rsidRPr="008D6D72">
        <w:rPr>
          <w:rFonts w:ascii="Times New Roman" w:hAnsi="Times New Roman"/>
          <w:bCs/>
          <w:sz w:val="24"/>
          <w:szCs w:val="24"/>
          <w:lang w:val="bg-BG"/>
        </w:rPr>
        <w:t>3</w:t>
      </w:r>
      <w:r w:rsidRPr="00CE6133">
        <w:rPr>
          <w:rFonts w:ascii="Times New Roman" w:hAnsi="Times New Roman"/>
          <w:bCs/>
          <w:sz w:val="24"/>
          <w:szCs w:val="24"/>
          <w:lang w:val="bg-BG"/>
        </w:rPr>
        <w:t>)</w:t>
      </w:r>
      <w:r w:rsidRPr="00CE6133">
        <w:rPr>
          <w:rFonts w:ascii="Times New Roman" w:hAnsi="Times New Roman"/>
          <w:sz w:val="24"/>
          <w:szCs w:val="24"/>
          <w:lang w:val="bg-BG"/>
        </w:rPr>
        <w:t xml:space="preserve">. Общината </w:t>
      </w:r>
      <w:r w:rsidRPr="00CE6133">
        <w:rPr>
          <w:rFonts w:ascii="Times New Roman" w:hAnsi="Times New Roman"/>
          <w:color w:val="000000" w:themeColor="text1"/>
          <w:sz w:val="24"/>
          <w:szCs w:val="24"/>
          <w:lang w:val="bg-BG"/>
        </w:rPr>
        <w:t xml:space="preserve">оказва методическа помощ при </w:t>
      </w:r>
      <w:r w:rsidRPr="00CE6133">
        <w:rPr>
          <w:rFonts w:ascii="Times New Roman" w:hAnsi="Times New Roman"/>
          <w:color w:val="000000" w:themeColor="text1"/>
          <w:sz w:val="24"/>
          <w:szCs w:val="24"/>
          <w:lang w:val="bg-BG"/>
        </w:rPr>
        <w:lastRenderedPageBreak/>
        <w:t xml:space="preserve">попълването на декларацията от страна на ССО. </w:t>
      </w:r>
    </w:p>
    <w:p w14:paraId="324B2EF2" w14:textId="77777777"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Декларацията се представя подписана от собствениците на самостоятелни обекти на представляващия СС и</w:t>
      </w:r>
      <w:r w:rsidRPr="00CE6133">
        <w:rPr>
          <w:rFonts w:ascii="Times New Roman" w:hAnsi="Times New Roman"/>
          <w:color w:val="000000" w:themeColor="text1"/>
          <w:sz w:val="24"/>
          <w:szCs w:val="24"/>
          <w:lang w:val="bg-BG"/>
        </w:rPr>
        <w:t xml:space="preserve"> се прилага към заявлението за интерес и финансова помощ. Същата се прилага и към договора, който се сключва между общината и СС.</w:t>
      </w:r>
      <w:r w:rsidRPr="00CE6133">
        <w:rPr>
          <w:rFonts w:ascii="Times New Roman" w:hAnsi="Times New Roman"/>
          <w:sz w:val="24"/>
          <w:szCs w:val="24"/>
          <w:lang w:val="bg-BG"/>
        </w:rPr>
        <w:t xml:space="preserve"> </w:t>
      </w:r>
    </w:p>
    <w:p w14:paraId="0954CA9E" w14:textId="211173FE"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В </w:t>
      </w:r>
      <w:r w:rsidR="00526639" w:rsidRPr="00CE6133">
        <w:rPr>
          <w:rFonts w:ascii="Times New Roman" w:hAnsi="Times New Roman"/>
          <w:color w:val="000000" w:themeColor="text1"/>
          <w:sz w:val="24"/>
          <w:szCs w:val="24"/>
          <w:lang w:val="bg-BG"/>
        </w:rPr>
        <w:t>с</w:t>
      </w:r>
      <w:r w:rsidRPr="00CE6133">
        <w:rPr>
          <w:rFonts w:ascii="Times New Roman" w:hAnsi="Times New Roman"/>
          <w:color w:val="000000" w:themeColor="text1"/>
          <w:sz w:val="24"/>
          <w:szCs w:val="24"/>
          <w:lang w:val="bg-BG"/>
        </w:rPr>
        <w:t>правка</w:t>
      </w:r>
      <w:r w:rsidR="00526639">
        <w:rPr>
          <w:rFonts w:ascii="Times New Roman" w:hAnsi="Times New Roman"/>
          <w:color w:val="000000" w:themeColor="text1"/>
          <w:sz w:val="24"/>
          <w:szCs w:val="24"/>
          <w:lang w:val="bg-BG"/>
        </w:rPr>
        <w:t>та</w:t>
      </w:r>
      <w:r w:rsidRPr="00CE6133">
        <w:rPr>
          <w:rFonts w:ascii="Times New Roman" w:hAnsi="Times New Roman"/>
          <w:color w:val="000000" w:themeColor="text1"/>
          <w:sz w:val="24"/>
          <w:szCs w:val="24"/>
          <w:lang w:val="bg-BG"/>
        </w:rPr>
        <w:t xml:space="preserve"> за ССО всеки ССО следва да посочи за какви цели се използва самостоятелния обект.</w:t>
      </w:r>
    </w:p>
    <w:p w14:paraId="14EDB491" w14:textId="77777777" w:rsidR="00CE6133" w:rsidRPr="00CE6133" w:rsidRDefault="00CE6133" w:rsidP="00CE6133">
      <w:pPr>
        <w:widowControl w:val="0"/>
        <w:overflowPunct w:val="0"/>
        <w:autoSpaceDE w:val="0"/>
        <w:autoSpaceDN w:val="0"/>
        <w:adjustRightInd w:val="0"/>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 xml:space="preserve">Минималната помощ се счита за получена от момента на сключване на договора за целево финансиране или от датата на издаване на друг приложим документ, който дава на собственика юридическото право да я получи. </w:t>
      </w:r>
    </w:p>
    <w:p w14:paraId="7E34D5BF" w14:textId="77777777" w:rsidR="00CE6133" w:rsidRPr="00CE6133" w:rsidRDefault="00CE6133" w:rsidP="00CE6133">
      <w:pPr>
        <w:widowControl w:val="0"/>
        <w:overflowPunct w:val="0"/>
        <w:autoSpaceDE w:val="0"/>
        <w:autoSpaceDN w:val="0"/>
        <w:adjustRightInd w:val="0"/>
        <w:snapToGrid w:val="0"/>
        <w:spacing w:after="120" w:line="240" w:lineRule="auto"/>
        <w:ind w:left="6"/>
        <w:jc w:val="both"/>
        <w:rPr>
          <w:rFonts w:ascii="Times New Roman" w:hAnsi="Times New Roman"/>
          <w:sz w:val="24"/>
          <w:szCs w:val="24"/>
          <w:lang w:val="bg-BG"/>
        </w:rPr>
      </w:pPr>
      <w:r w:rsidRPr="00CE6133">
        <w:rPr>
          <w:rFonts w:ascii="Times New Roman" w:hAnsi="Times New Roman"/>
          <w:sz w:val="24"/>
          <w:szCs w:val="24"/>
          <w:lang w:val="bg-BG"/>
        </w:rPr>
        <w:t>В случаите, когато за ССО се установи, че:</w:t>
      </w:r>
    </w:p>
    <w:p w14:paraId="4BF8EDA2" w14:textId="53839C18" w:rsidR="00CE6133" w:rsidRPr="00CE6133" w:rsidRDefault="00CE6133" w:rsidP="00CE6133">
      <w:pPr>
        <w:pStyle w:val="ListParagraph"/>
        <w:widowControl w:val="0"/>
        <w:numPr>
          <w:ilvl w:val="0"/>
          <w:numId w:val="19"/>
        </w:numPr>
        <w:overflowPunct w:val="0"/>
        <w:autoSpaceDE w:val="0"/>
        <w:autoSpaceDN w:val="0"/>
        <w:adjustRightInd w:val="0"/>
        <w:snapToGrid w:val="0"/>
        <w:spacing w:after="120"/>
        <w:jc w:val="both"/>
        <w:rPr>
          <w:lang w:val="bg-BG"/>
        </w:rPr>
      </w:pPr>
      <w:r w:rsidRPr="00CE6133">
        <w:rPr>
          <w:lang w:val="bg-BG"/>
        </w:rPr>
        <w:t xml:space="preserve"> ССО е получило минимална помощ в размер, която не позволява да получи БФП по схемата и се нахвърлят установените в </w:t>
      </w:r>
      <w:r w:rsidRPr="00CE6133">
        <w:rPr>
          <w:color w:val="000000" w:themeColor="text1"/>
          <w:lang w:val="bg-BG"/>
        </w:rPr>
        <w:t>Регламент (ЕС) № 1407/2013 прагове,</w:t>
      </w:r>
      <w:r w:rsidRPr="00CE6133">
        <w:rPr>
          <w:lang w:val="bg-BG"/>
        </w:rPr>
        <w:t xml:space="preserve"> то към съответния ССО следва да се прилагат правилата на Компонент II, описани в т. </w:t>
      </w:r>
      <w:r w:rsidR="001440B5">
        <w:rPr>
          <w:lang w:val="bg-BG"/>
        </w:rPr>
        <w:t>6</w:t>
      </w:r>
      <w:r w:rsidRPr="00CE6133">
        <w:rPr>
          <w:lang w:val="bg-BG"/>
        </w:rPr>
        <w:t xml:space="preserve"> от настоящите условия.</w:t>
      </w:r>
    </w:p>
    <w:p w14:paraId="27C13366" w14:textId="7B0814E4" w:rsidR="00CE6133" w:rsidRPr="00CE6133" w:rsidRDefault="00CE6133" w:rsidP="00CE6133">
      <w:pPr>
        <w:pStyle w:val="ListParagraph"/>
        <w:widowControl w:val="0"/>
        <w:numPr>
          <w:ilvl w:val="0"/>
          <w:numId w:val="19"/>
        </w:numPr>
        <w:overflowPunct w:val="0"/>
        <w:autoSpaceDE w:val="0"/>
        <w:autoSpaceDN w:val="0"/>
        <w:adjustRightInd w:val="0"/>
        <w:snapToGrid w:val="0"/>
        <w:spacing w:after="120"/>
        <w:jc w:val="both"/>
        <w:rPr>
          <w:lang w:val="bg-BG"/>
        </w:rPr>
      </w:pPr>
      <w:r w:rsidRPr="00CE6133">
        <w:rPr>
          <w:lang w:val="bg-BG"/>
        </w:rPr>
        <w:t xml:space="preserve">ССО е получило минимална помощ в размер, която позволява ССО да получи и БФП по схемата до установените прагове. В този случай, като помощ по схемата, може да се предостави БФП в такъв размер, който сумиран с всички други минимални помощи, получени от ССО през двете предходни фискални години и текущата е до стойностите на установените в Регламент (ЕС) № 1407/2013 прагове. За остатъкът до пълния размер на БФП по схемата, надвишаващ установените в регламента прагове, към ССО следва да се прилагат правилата на Компонент II, описани в т. </w:t>
      </w:r>
      <w:r w:rsidR="003A2ADD">
        <w:rPr>
          <w:lang w:val="bg-BG"/>
        </w:rPr>
        <w:t>6</w:t>
      </w:r>
      <w:r w:rsidRPr="00CE6133">
        <w:rPr>
          <w:lang w:val="bg-BG"/>
        </w:rPr>
        <w:t xml:space="preserve"> от настоящите условия. Последното означава, че ССО заплаща за своя сметка само превишението над праговете по регламента. </w:t>
      </w:r>
    </w:p>
    <w:p w14:paraId="39DD97D6" w14:textId="77777777"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Натрупване на помощта „</w:t>
      </w:r>
      <w:proofErr w:type="spellStart"/>
      <w:r w:rsidRPr="00CE6133">
        <w:rPr>
          <w:rFonts w:ascii="Times New Roman" w:hAnsi="Times New Roman"/>
          <w:b/>
          <w:sz w:val="24"/>
          <w:szCs w:val="24"/>
          <w:lang w:val="bg-BG"/>
        </w:rPr>
        <w:t>de</w:t>
      </w:r>
      <w:proofErr w:type="spellEnd"/>
      <w:r w:rsidRPr="00CE6133">
        <w:rPr>
          <w:rFonts w:ascii="Times New Roman" w:hAnsi="Times New Roman"/>
          <w:b/>
          <w:sz w:val="24"/>
          <w:szCs w:val="24"/>
          <w:lang w:val="bg-BG"/>
        </w:rPr>
        <w:t xml:space="preserve"> </w:t>
      </w:r>
      <w:proofErr w:type="spellStart"/>
      <w:r w:rsidRPr="00CE6133">
        <w:rPr>
          <w:rFonts w:ascii="Times New Roman" w:hAnsi="Times New Roman"/>
          <w:b/>
          <w:sz w:val="24"/>
          <w:szCs w:val="24"/>
          <w:lang w:val="bg-BG"/>
        </w:rPr>
        <w:t>minimis</w:t>
      </w:r>
      <w:proofErr w:type="spellEnd"/>
      <w:r w:rsidRPr="00CE6133">
        <w:rPr>
          <w:rFonts w:ascii="Times New Roman" w:hAnsi="Times New Roman"/>
          <w:b/>
          <w:sz w:val="24"/>
          <w:szCs w:val="24"/>
          <w:lang w:val="bg-BG"/>
        </w:rPr>
        <w:t>“</w:t>
      </w:r>
    </w:p>
    <w:p w14:paraId="0516C709" w14:textId="77777777" w:rsidR="00CE6133" w:rsidRPr="00CE6133" w:rsidRDefault="00CE6133" w:rsidP="00CE6133">
      <w:pPr>
        <w:snapToGrid w:val="0"/>
        <w:spacing w:after="120" w:line="240" w:lineRule="auto"/>
        <w:ind w:left="4"/>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Помощта </w:t>
      </w:r>
      <w:proofErr w:type="spellStart"/>
      <w:r w:rsidRPr="00CE6133">
        <w:rPr>
          <w:rFonts w:ascii="Times New Roman" w:hAnsi="Times New Roman"/>
          <w:color w:val="000000" w:themeColor="text1"/>
          <w:sz w:val="24"/>
          <w:szCs w:val="24"/>
          <w:lang w:val="bg-BG"/>
        </w:rPr>
        <w:t>de</w:t>
      </w:r>
      <w:proofErr w:type="spellEnd"/>
      <w:r w:rsidRPr="00CE6133">
        <w:rPr>
          <w:rFonts w:ascii="Times New Roman" w:hAnsi="Times New Roman"/>
          <w:color w:val="000000" w:themeColor="text1"/>
          <w:sz w:val="24"/>
          <w:szCs w:val="24"/>
          <w:lang w:val="bg-BG"/>
        </w:rPr>
        <w:t xml:space="preserve"> </w:t>
      </w:r>
      <w:proofErr w:type="spellStart"/>
      <w:r w:rsidRPr="00CE6133">
        <w:rPr>
          <w:rFonts w:ascii="Times New Roman" w:hAnsi="Times New Roman"/>
          <w:color w:val="000000" w:themeColor="text1"/>
          <w:sz w:val="24"/>
          <w:szCs w:val="24"/>
          <w:lang w:val="bg-BG"/>
        </w:rPr>
        <w:t>minimis</w:t>
      </w:r>
      <w:proofErr w:type="spellEnd"/>
      <w:r w:rsidRPr="00CE6133">
        <w:rPr>
          <w:rFonts w:ascii="Times New Roman" w:hAnsi="Times New Roman"/>
          <w:color w:val="000000" w:themeColor="text1"/>
          <w:sz w:val="24"/>
          <w:szCs w:val="24"/>
          <w:lang w:val="bg-BG"/>
        </w:rPr>
        <w:t xml:space="preserve">, предоставена съгласно </w:t>
      </w:r>
      <w:proofErr w:type="spellStart"/>
      <w:r w:rsidRPr="00CE6133">
        <w:rPr>
          <w:rFonts w:ascii="Times New Roman" w:hAnsi="Times New Roman"/>
          <w:color w:val="000000" w:themeColor="text1"/>
          <w:sz w:val="24"/>
          <w:szCs w:val="24"/>
          <w:lang w:val="bg-BG"/>
        </w:rPr>
        <w:t>настоящaта</w:t>
      </w:r>
      <w:proofErr w:type="spellEnd"/>
      <w:r w:rsidRPr="00CE6133">
        <w:rPr>
          <w:rFonts w:ascii="Times New Roman" w:hAnsi="Times New Roman"/>
          <w:color w:val="000000" w:themeColor="text1"/>
          <w:sz w:val="24"/>
          <w:szCs w:val="24"/>
          <w:lang w:val="bg-BG"/>
        </w:rPr>
        <w:t xml:space="preserve"> схема, може да се натрупва с:</w:t>
      </w:r>
    </w:p>
    <w:p w14:paraId="55DE5306" w14:textId="77777777" w:rsidR="00CE6133" w:rsidRPr="00CE6133" w:rsidRDefault="00CE6133" w:rsidP="00CE6133">
      <w:pPr>
        <w:pStyle w:val="ListParagraph"/>
        <w:numPr>
          <w:ilvl w:val="0"/>
          <w:numId w:val="13"/>
        </w:numPr>
        <w:snapToGrid w:val="0"/>
        <w:spacing w:after="120"/>
        <w:jc w:val="both"/>
        <w:rPr>
          <w:color w:val="000000" w:themeColor="text1"/>
          <w:lang w:val="bg-BG"/>
        </w:rPr>
      </w:pPr>
      <w:r w:rsidRPr="00CE6133">
        <w:rPr>
          <w:color w:val="000000" w:themeColor="text1"/>
          <w:lang w:val="bg-BG"/>
        </w:rPr>
        <w:t xml:space="preserve"> помощ </w:t>
      </w:r>
      <w:proofErr w:type="spellStart"/>
      <w:r w:rsidRPr="00CE6133">
        <w:rPr>
          <w:color w:val="000000" w:themeColor="text1"/>
          <w:lang w:val="bg-BG"/>
        </w:rPr>
        <w:t>de</w:t>
      </w:r>
      <w:proofErr w:type="spellEnd"/>
      <w:r w:rsidRPr="00CE6133">
        <w:rPr>
          <w:color w:val="000000" w:themeColor="text1"/>
          <w:lang w:val="bg-BG"/>
        </w:rPr>
        <w:t xml:space="preserve"> </w:t>
      </w:r>
      <w:proofErr w:type="spellStart"/>
      <w:r w:rsidRPr="00CE6133">
        <w:rPr>
          <w:color w:val="000000" w:themeColor="text1"/>
          <w:lang w:val="bg-BG"/>
        </w:rPr>
        <w:t>minimis</w:t>
      </w:r>
      <w:proofErr w:type="spellEnd"/>
      <w:r w:rsidRPr="00CE6133">
        <w:rPr>
          <w:color w:val="000000" w:themeColor="text1"/>
          <w:lang w:val="bg-BG"/>
        </w:rPr>
        <w:t>, предоставена съгласно Регламент (ЕС) № 360/2012 на Комисията</w:t>
      </w:r>
      <w:r w:rsidRPr="00CE6133">
        <w:rPr>
          <w:rStyle w:val="FootnoteReference"/>
          <w:rFonts w:eastAsia="Calibri"/>
          <w:color w:val="000000" w:themeColor="text1"/>
          <w:lang w:val="bg-BG"/>
        </w:rPr>
        <w:footnoteReference w:id="4"/>
      </w:r>
      <w:r w:rsidRPr="00CE6133">
        <w:rPr>
          <w:color w:val="000000" w:themeColor="text1"/>
          <w:lang w:val="bg-BG"/>
        </w:rPr>
        <w:t xml:space="preserve"> до тавана, установен в посочения регламент;</w:t>
      </w:r>
    </w:p>
    <w:p w14:paraId="4D23F435" w14:textId="77777777" w:rsidR="00CE6133" w:rsidRPr="00CE6133" w:rsidRDefault="00CE6133" w:rsidP="00CE6133">
      <w:pPr>
        <w:pStyle w:val="ListParagraph"/>
        <w:numPr>
          <w:ilvl w:val="0"/>
          <w:numId w:val="13"/>
        </w:numPr>
        <w:snapToGrid w:val="0"/>
        <w:spacing w:after="120"/>
        <w:jc w:val="both"/>
        <w:rPr>
          <w:color w:val="000000" w:themeColor="text1"/>
          <w:lang w:val="bg-BG"/>
        </w:rPr>
      </w:pPr>
      <w:r w:rsidRPr="00CE6133">
        <w:rPr>
          <w:color w:val="000000" w:themeColor="text1"/>
          <w:lang w:val="bg-BG"/>
        </w:rPr>
        <w:t xml:space="preserve"> помощ </w:t>
      </w:r>
      <w:proofErr w:type="spellStart"/>
      <w:r w:rsidRPr="00CE6133">
        <w:rPr>
          <w:color w:val="000000" w:themeColor="text1"/>
          <w:lang w:val="bg-BG"/>
        </w:rPr>
        <w:t>de</w:t>
      </w:r>
      <w:proofErr w:type="spellEnd"/>
      <w:r w:rsidRPr="00CE6133">
        <w:rPr>
          <w:color w:val="000000" w:themeColor="text1"/>
          <w:lang w:val="bg-BG"/>
        </w:rPr>
        <w:t xml:space="preserve"> </w:t>
      </w:r>
      <w:proofErr w:type="spellStart"/>
      <w:r w:rsidRPr="00CE6133">
        <w:rPr>
          <w:color w:val="000000" w:themeColor="text1"/>
          <w:lang w:val="bg-BG"/>
        </w:rPr>
        <w:t>minimis</w:t>
      </w:r>
      <w:proofErr w:type="spellEnd"/>
      <w:r w:rsidRPr="00CE6133">
        <w:rPr>
          <w:color w:val="000000" w:themeColor="text1"/>
          <w:lang w:val="bg-BG"/>
        </w:rPr>
        <w:t xml:space="preserve">, предоставяна съгласно други регламенти за помощ </w:t>
      </w:r>
      <w:proofErr w:type="spellStart"/>
      <w:r w:rsidRPr="00CE6133">
        <w:rPr>
          <w:color w:val="000000" w:themeColor="text1"/>
          <w:lang w:val="bg-BG"/>
        </w:rPr>
        <w:t>de</w:t>
      </w:r>
      <w:proofErr w:type="spellEnd"/>
      <w:r w:rsidRPr="00CE6133">
        <w:rPr>
          <w:color w:val="000000" w:themeColor="text1"/>
          <w:lang w:val="bg-BG"/>
        </w:rPr>
        <w:t xml:space="preserve"> </w:t>
      </w:r>
      <w:proofErr w:type="spellStart"/>
      <w:r w:rsidRPr="00CE6133">
        <w:rPr>
          <w:color w:val="000000" w:themeColor="text1"/>
          <w:lang w:val="bg-BG"/>
        </w:rPr>
        <w:t>minimis</w:t>
      </w:r>
      <w:proofErr w:type="spellEnd"/>
      <w:r w:rsidRPr="00CE6133">
        <w:rPr>
          <w:color w:val="000000" w:themeColor="text1"/>
          <w:lang w:val="bg-BG"/>
        </w:rPr>
        <w:t xml:space="preserve">, до съответния таван, определен в Регламент (ЕС) № 1407/2013. </w:t>
      </w:r>
    </w:p>
    <w:p w14:paraId="775C65B9" w14:textId="77777777" w:rsidR="00CE6133" w:rsidRPr="00CE6133" w:rsidRDefault="00CE6133" w:rsidP="00CE6133">
      <w:pPr>
        <w:snapToGrid w:val="0"/>
        <w:spacing w:after="120" w:line="240" w:lineRule="auto"/>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Помощта </w:t>
      </w:r>
      <w:proofErr w:type="spellStart"/>
      <w:r w:rsidRPr="00CE6133">
        <w:rPr>
          <w:rFonts w:ascii="Times New Roman" w:hAnsi="Times New Roman"/>
          <w:color w:val="000000" w:themeColor="text1"/>
          <w:sz w:val="24"/>
          <w:szCs w:val="24"/>
          <w:lang w:val="bg-BG"/>
        </w:rPr>
        <w:t>de</w:t>
      </w:r>
      <w:proofErr w:type="spellEnd"/>
      <w:r w:rsidRPr="00CE6133">
        <w:rPr>
          <w:rFonts w:ascii="Times New Roman" w:hAnsi="Times New Roman"/>
          <w:color w:val="000000" w:themeColor="text1"/>
          <w:sz w:val="24"/>
          <w:szCs w:val="24"/>
          <w:lang w:val="bg-BG"/>
        </w:rPr>
        <w:t xml:space="preserve"> </w:t>
      </w:r>
      <w:proofErr w:type="spellStart"/>
      <w:r w:rsidRPr="00CE6133">
        <w:rPr>
          <w:rFonts w:ascii="Times New Roman" w:hAnsi="Times New Roman"/>
          <w:color w:val="000000" w:themeColor="text1"/>
          <w:sz w:val="24"/>
          <w:szCs w:val="24"/>
          <w:lang w:val="bg-BG"/>
        </w:rPr>
        <w:t>minimis</w:t>
      </w:r>
      <w:proofErr w:type="spellEnd"/>
      <w:r w:rsidRPr="00CE6133">
        <w:rPr>
          <w:rFonts w:ascii="Times New Roman" w:hAnsi="Times New Roman"/>
          <w:color w:val="000000" w:themeColor="text1"/>
          <w:sz w:val="24"/>
          <w:szCs w:val="24"/>
          <w:lang w:val="bg-BG"/>
        </w:rPr>
        <w:t xml:space="preserve"> не се натрупва с държавна помощ, отпусната за същите допустими разходи.</w:t>
      </w:r>
    </w:p>
    <w:p w14:paraId="2EB76D8F" w14:textId="77777777"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Допустими разходи за финансиране</w:t>
      </w:r>
    </w:p>
    <w:p w14:paraId="4DF2CA76" w14:textId="384EDC86"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 xml:space="preserve">БФП, под формата на минимална помощ за ССО се предоставя за покриване на допустими разходи, определени в </w:t>
      </w:r>
      <w:r w:rsidR="00EE368E">
        <w:rPr>
          <w:rFonts w:ascii="Times New Roman" w:hAnsi="Times New Roman"/>
          <w:color w:val="000000" w:themeColor="text1"/>
          <w:sz w:val="24"/>
          <w:szCs w:val="24"/>
          <w:lang w:val="bg-BG"/>
        </w:rPr>
        <w:t>Инвестицията</w:t>
      </w:r>
      <w:r w:rsidRPr="00CE6133">
        <w:rPr>
          <w:rFonts w:ascii="Times New Roman" w:hAnsi="Times New Roman"/>
          <w:color w:val="000000" w:themeColor="text1"/>
          <w:sz w:val="24"/>
          <w:szCs w:val="24"/>
          <w:lang w:val="bg-BG"/>
        </w:rPr>
        <w:t xml:space="preserve"> и </w:t>
      </w:r>
      <w:r w:rsidR="00CA0741">
        <w:rPr>
          <w:rFonts w:ascii="Times New Roman" w:hAnsi="Times New Roman"/>
          <w:color w:val="000000" w:themeColor="text1"/>
          <w:sz w:val="24"/>
          <w:szCs w:val="24"/>
          <w:lang w:val="bg-BG"/>
        </w:rPr>
        <w:t>?</w:t>
      </w:r>
    </w:p>
    <w:p w14:paraId="764DDD97" w14:textId="77777777"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Минималната помощ (БФП) за всеки самостоятелен обект се изчислява на база притежаван процент идеални части от общите в сградата за всяка извършена дейност по общите части на сградата (</w:t>
      </w:r>
      <w:r w:rsidRPr="00CE6133">
        <w:rPr>
          <w:rFonts w:ascii="Times New Roman" w:hAnsi="Times New Roman"/>
          <w:bCs/>
          <w:sz w:val="24"/>
          <w:szCs w:val="24"/>
          <w:lang w:val="bg-BG"/>
        </w:rPr>
        <w:t xml:space="preserve">разходи за техническо обследване, обследване за енергийна ефективност, проектиране, оценка за съответствието, СМР, авторски надзор, строителен </w:t>
      </w:r>
      <w:r w:rsidRPr="00CE6133">
        <w:rPr>
          <w:rFonts w:ascii="Times New Roman" w:hAnsi="Times New Roman"/>
          <w:bCs/>
          <w:sz w:val="24"/>
          <w:szCs w:val="24"/>
          <w:lang w:val="bg-BG"/>
        </w:rPr>
        <w:lastRenderedPageBreak/>
        <w:t>надзор и инвеститорски контрол, 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 разходи, свързани с въвеждането на обекта в експлоатация</w:t>
      </w:r>
      <w:r w:rsidRPr="00CE6133">
        <w:rPr>
          <w:rFonts w:ascii="Times New Roman" w:hAnsi="Times New Roman"/>
          <w:color w:val="000000" w:themeColor="text1"/>
          <w:sz w:val="24"/>
          <w:szCs w:val="24"/>
          <w:lang w:val="bg-BG"/>
        </w:rPr>
        <w:t xml:space="preserve">), заедно с разходите за дейностите, извършени за отделния СО, когато това е приложимо. </w:t>
      </w:r>
    </w:p>
    <w:p w14:paraId="243AEA0F" w14:textId="77777777"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color w:val="000000" w:themeColor="text1"/>
          <w:sz w:val="24"/>
          <w:szCs w:val="24"/>
          <w:lang w:val="bg-BG"/>
        </w:rPr>
        <w:t>Разходите за подмяна на дограма се изчисляват отделно за всеки самостоятелен обект.</w:t>
      </w:r>
    </w:p>
    <w:p w14:paraId="03321333" w14:textId="77777777" w:rsidR="00CE6133" w:rsidRPr="00CE6133" w:rsidRDefault="00CE6133" w:rsidP="00CE6133">
      <w:pPr>
        <w:snapToGrid w:val="0"/>
        <w:spacing w:after="120" w:line="240" w:lineRule="auto"/>
        <w:ind w:left="6"/>
        <w:jc w:val="both"/>
        <w:rPr>
          <w:rFonts w:ascii="Times New Roman" w:hAnsi="Times New Roman"/>
          <w:sz w:val="24"/>
          <w:szCs w:val="24"/>
          <w:lang w:val="bg-BG"/>
        </w:rPr>
      </w:pPr>
      <w:r w:rsidRPr="00CE6133">
        <w:rPr>
          <w:rFonts w:ascii="Times New Roman" w:hAnsi="Times New Roman"/>
          <w:color w:val="000000" w:themeColor="text1"/>
          <w:sz w:val="24"/>
          <w:szCs w:val="24"/>
          <w:lang w:val="bg-BG"/>
        </w:rPr>
        <w:t>При изчисленията на разходите за собственика следва да се спазва редът, описан в п</w:t>
      </w:r>
      <w:r w:rsidRPr="00CE6133">
        <w:rPr>
          <w:rFonts w:ascii="Times New Roman" w:hAnsi="Times New Roman"/>
          <w:sz w:val="24"/>
          <w:szCs w:val="24"/>
          <w:lang w:val="bg-BG"/>
        </w:rPr>
        <w:t xml:space="preserve">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1 към настоящите условия, приложим за Компонент I.</w:t>
      </w:r>
    </w:p>
    <w:p w14:paraId="33174586" w14:textId="77777777"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sz w:val="24"/>
          <w:szCs w:val="24"/>
          <w:lang w:val="bg-BG"/>
        </w:rPr>
        <w:t xml:space="preserve">В приложение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 xml:space="preserve">1 са описани и всички допустими разходи, които се покриват по </w:t>
      </w:r>
      <w:r w:rsidR="00EE368E">
        <w:rPr>
          <w:rFonts w:ascii="Times New Roman" w:hAnsi="Times New Roman"/>
          <w:sz w:val="24"/>
          <w:szCs w:val="24"/>
          <w:lang w:val="bg-BG"/>
        </w:rPr>
        <w:t>Инвестицията</w:t>
      </w:r>
      <w:r w:rsidRPr="00CE6133">
        <w:rPr>
          <w:rFonts w:ascii="Times New Roman" w:hAnsi="Times New Roman"/>
          <w:sz w:val="24"/>
          <w:szCs w:val="24"/>
          <w:lang w:val="bg-BG"/>
        </w:rPr>
        <w:t>.</w:t>
      </w:r>
    </w:p>
    <w:p w14:paraId="1ED2EFCA" w14:textId="77777777" w:rsidR="00CE6133" w:rsidRPr="00CE6133" w:rsidRDefault="00CE6133" w:rsidP="00CE6133">
      <w:pPr>
        <w:pStyle w:val="ListParagraph"/>
        <w:snapToGrid w:val="0"/>
        <w:spacing w:after="120"/>
        <w:ind w:left="0"/>
        <w:jc w:val="both"/>
        <w:rPr>
          <w:color w:val="000000" w:themeColor="text1"/>
          <w:lang w:val="bg-BG"/>
        </w:rPr>
      </w:pPr>
    </w:p>
    <w:p w14:paraId="1D45D527" w14:textId="77777777"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 xml:space="preserve"> ПРИЛОЖЕНИЕ НА КОМПОНЕНТ II</w:t>
      </w:r>
    </w:p>
    <w:p w14:paraId="1B0EF88F"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 xml:space="preserve">Съгласно описаните в т. 3.2.1 компоненти, следва да се има предвид, че Компонент II се прилага към всички ССО, допустими по </w:t>
      </w:r>
      <w:r w:rsidR="00EE368E">
        <w:rPr>
          <w:rFonts w:ascii="Times New Roman" w:hAnsi="Times New Roman"/>
          <w:bCs/>
          <w:sz w:val="24"/>
          <w:szCs w:val="24"/>
          <w:lang w:val="bg-BG"/>
        </w:rPr>
        <w:t>Инвестицията</w:t>
      </w:r>
      <w:r w:rsidRPr="00CE6133">
        <w:rPr>
          <w:rFonts w:ascii="Times New Roman" w:hAnsi="Times New Roman"/>
          <w:bCs/>
          <w:sz w:val="24"/>
          <w:szCs w:val="24"/>
          <w:lang w:val="bg-BG"/>
        </w:rPr>
        <w:t xml:space="preserve"> за получаване на БФП, които отговарят на условията в т. 3.2, но не изпълняват изискванията на Регламент (ЕС) № 1407/2013. </w:t>
      </w:r>
    </w:p>
    <w:p w14:paraId="2862530D" w14:textId="77777777"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Компонент II се прилага п</w:t>
      </w:r>
      <w:r w:rsidRPr="00CE6133">
        <w:rPr>
          <w:rFonts w:ascii="Times New Roman" w:hAnsi="Times New Roman"/>
          <w:color w:val="000000" w:themeColor="text1"/>
          <w:sz w:val="24"/>
          <w:szCs w:val="24"/>
          <w:lang w:val="bg-BG"/>
        </w:rPr>
        <w:t xml:space="preserve">ри наличие на ССО в сградата, в които се упражнява стопанска дейност, включително, но не само: отдаване под наем или извършване на дейност от търговци и/или лица със свободни професии, които са извън обхвата на правилата за минималната помощ съгласно </w:t>
      </w:r>
      <w:r w:rsidRPr="00CE6133">
        <w:rPr>
          <w:rFonts w:ascii="Times New Roman" w:hAnsi="Times New Roman"/>
          <w:bCs/>
          <w:sz w:val="24"/>
          <w:szCs w:val="24"/>
          <w:lang w:val="bg-BG"/>
        </w:rPr>
        <w:t>Регламент (ЕС) № 1407/2013, както и тези, които са в обхвата на т. 4.4.2 от настоящите условия.</w:t>
      </w:r>
    </w:p>
    <w:p w14:paraId="5F18F00A" w14:textId="77777777"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 xml:space="preserve">В тези случаи, </w:t>
      </w:r>
      <w:r w:rsidRPr="00CE6133">
        <w:rPr>
          <w:rFonts w:ascii="Times New Roman" w:hAnsi="Times New Roman"/>
          <w:color w:val="000000" w:themeColor="text1"/>
          <w:sz w:val="24"/>
          <w:szCs w:val="24"/>
          <w:lang w:val="bg-BG"/>
        </w:rPr>
        <w:t xml:space="preserve">ССО не е допустим да получи безвъзмездна помощ за обновяване на сградата по </w:t>
      </w:r>
      <w:r w:rsidR="00EE368E">
        <w:rPr>
          <w:rFonts w:ascii="Times New Roman" w:hAnsi="Times New Roman"/>
          <w:color w:val="000000" w:themeColor="text1"/>
          <w:sz w:val="24"/>
          <w:szCs w:val="24"/>
          <w:lang w:val="bg-BG"/>
        </w:rPr>
        <w:t>Инвестицията</w:t>
      </w:r>
      <w:r w:rsidRPr="00CE6133">
        <w:rPr>
          <w:rFonts w:ascii="Times New Roman" w:hAnsi="Times New Roman"/>
          <w:color w:val="000000" w:themeColor="text1"/>
          <w:sz w:val="24"/>
          <w:szCs w:val="24"/>
          <w:lang w:val="bg-BG"/>
        </w:rPr>
        <w:t xml:space="preserve"> и следва да осигури със собствени средства припадащия му се дял от разходите за обновяването на сградата, съобразно притежаваните от него идеални части от общите части </w:t>
      </w:r>
      <w:r w:rsidRPr="00CE6133">
        <w:rPr>
          <w:rFonts w:ascii="Times New Roman" w:hAnsi="Times New Roman"/>
          <w:bCs/>
          <w:sz w:val="24"/>
          <w:szCs w:val="24"/>
          <w:lang w:val="bg-BG"/>
        </w:rPr>
        <w:t xml:space="preserve">на сградата, заедно с разходите дейностите, извършени за отделния СО, когато това е приложимо. </w:t>
      </w:r>
    </w:p>
    <w:p w14:paraId="5ABD9310" w14:textId="77777777"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ССО следва да подпише декларация по образец, приложение към настоящите указания. Същата се прилага към заявлението за интерес и финансова помощ и става приложение към договора</w:t>
      </w:r>
      <w:r w:rsidR="00193C74">
        <w:rPr>
          <w:rFonts w:ascii="Times New Roman" w:hAnsi="Times New Roman"/>
          <w:bCs/>
          <w:sz w:val="24"/>
          <w:szCs w:val="24"/>
          <w:lang w:val="bg-BG"/>
        </w:rPr>
        <w:t xml:space="preserve"> за парт</w:t>
      </w:r>
      <w:r w:rsidR="00166891">
        <w:rPr>
          <w:rFonts w:ascii="Times New Roman" w:hAnsi="Times New Roman"/>
          <w:bCs/>
          <w:sz w:val="24"/>
          <w:szCs w:val="24"/>
          <w:lang w:val="bg-BG"/>
        </w:rPr>
        <w:t>н</w:t>
      </w:r>
      <w:r w:rsidR="00193C74">
        <w:rPr>
          <w:rFonts w:ascii="Times New Roman" w:hAnsi="Times New Roman"/>
          <w:bCs/>
          <w:sz w:val="24"/>
          <w:szCs w:val="24"/>
          <w:lang w:val="bg-BG"/>
        </w:rPr>
        <w:t>ьорство</w:t>
      </w:r>
      <w:r w:rsidRPr="00CE6133">
        <w:rPr>
          <w:rFonts w:ascii="Times New Roman" w:hAnsi="Times New Roman"/>
          <w:bCs/>
          <w:sz w:val="24"/>
          <w:szCs w:val="24"/>
          <w:lang w:val="bg-BG"/>
        </w:rPr>
        <w:t xml:space="preserve">, който се сключва между общината и СС. </w:t>
      </w:r>
    </w:p>
    <w:p w14:paraId="35BFA813" w14:textId="77777777" w:rsidR="00CE6133" w:rsidRPr="00CE6133" w:rsidRDefault="00CE6133" w:rsidP="00CE6133">
      <w:pPr>
        <w:widowControl w:val="0"/>
        <w:numPr>
          <w:ilvl w:val="1"/>
          <w:numId w:val="9"/>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CE6133">
        <w:rPr>
          <w:rFonts w:ascii="Times New Roman" w:hAnsi="Times New Roman"/>
          <w:b/>
          <w:sz w:val="24"/>
          <w:szCs w:val="24"/>
          <w:lang w:val="bg-BG"/>
        </w:rPr>
        <w:t xml:space="preserve"> Допустими разходи по </w:t>
      </w:r>
      <w:r w:rsidR="00EE368E">
        <w:rPr>
          <w:rFonts w:ascii="Times New Roman" w:hAnsi="Times New Roman"/>
          <w:b/>
          <w:sz w:val="24"/>
          <w:szCs w:val="24"/>
          <w:lang w:val="bg-BG"/>
        </w:rPr>
        <w:t>Инвестицията</w:t>
      </w:r>
    </w:p>
    <w:p w14:paraId="149FC3E3" w14:textId="77777777"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 xml:space="preserve">Общината, преди да допише договора със СС, следва да изчисли обща индикативна стойност на ССО на база притежаван процент идеални части от общите в сградата за всяка извършена дейност по сградата (разходи за техническо обследване, обследване за енергийна ефективност, проектиране, оценка за съответствието, СМР, авторски надзор, строителен надзор и инвеститорски контрол, 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 разходи, свързани с въвеждането на обекта в експлоатация). </w:t>
      </w:r>
    </w:p>
    <w:p w14:paraId="502A8CEB" w14:textId="77777777"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Разходите за подмяна на дограма се изчисляват отделно за всеки самостоятелен обект и са в размер, съответстващ на реално извършените разходи.</w:t>
      </w:r>
    </w:p>
    <w:p w14:paraId="0B6CE8B8" w14:textId="77777777" w:rsidR="00CE6133" w:rsidRPr="00CE6133" w:rsidRDefault="00CE6133" w:rsidP="00CE6133">
      <w:pPr>
        <w:snapToGrid w:val="0"/>
        <w:spacing w:after="120" w:line="240" w:lineRule="auto"/>
        <w:ind w:left="6"/>
        <w:jc w:val="both"/>
        <w:rPr>
          <w:rFonts w:ascii="Times New Roman" w:hAnsi="Times New Roman"/>
          <w:sz w:val="24"/>
          <w:szCs w:val="24"/>
          <w:lang w:val="bg-BG"/>
        </w:rPr>
      </w:pPr>
      <w:r w:rsidRPr="00CE6133">
        <w:rPr>
          <w:rFonts w:ascii="Times New Roman" w:hAnsi="Times New Roman"/>
          <w:color w:val="000000" w:themeColor="text1"/>
          <w:sz w:val="24"/>
          <w:szCs w:val="24"/>
          <w:lang w:val="bg-BG"/>
        </w:rPr>
        <w:t xml:space="preserve">При изчисленията на разходите за собственика следва да се спазва редът, описан в </w:t>
      </w:r>
      <w:r w:rsidRPr="00CE6133">
        <w:rPr>
          <w:rFonts w:ascii="Times New Roman" w:hAnsi="Times New Roman"/>
          <w:sz w:val="24"/>
          <w:szCs w:val="24"/>
          <w:lang w:val="bg-BG"/>
        </w:rPr>
        <w:t xml:space="preserve">приложение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1 към настоящите условия, приложим за Компонент II.</w:t>
      </w:r>
    </w:p>
    <w:p w14:paraId="6C288A0C" w14:textId="77777777" w:rsidR="00CE6133" w:rsidRPr="00CE6133" w:rsidRDefault="00CE6133" w:rsidP="00CE6133">
      <w:pPr>
        <w:snapToGrid w:val="0"/>
        <w:spacing w:after="120" w:line="240" w:lineRule="auto"/>
        <w:ind w:left="6"/>
        <w:jc w:val="both"/>
        <w:rPr>
          <w:rFonts w:ascii="Times New Roman" w:hAnsi="Times New Roman"/>
          <w:color w:val="000000" w:themeColor="text1"/>
          <w:sz w:val="24"/>
          <w:szCs w:val="24"/>
          <w:lang w:val="bg-BG"/>
        </w:rPr>
      </w:pPr>
      <w:r w:rsidRPr="00CE6133">
        <w:rPr>
          <w:rFonts w:ascii="Times New Roman" w:hAnsi="Times New Roman"/>
          <w:sz w:val="24"/>
          <w:szCs w:val="24"/>
          <w:lang w:val="bg-BG"/>
        </w:rPr>
        <w:lastRenderedPageBreak/>
        <w:t xml:space="preserve">В приложение </w:t>
      </w:r>
      <w:r w:rsidRPr="00CE6133">
        <w:rPr>
          <w:rFonts w:ascii="Times New Roman" w:hAnsi="Times New Roman"/>
          <w:bCs/>
          <w:sz w:val="24"/>
          <w:szCs w:val="24"/>
          <w:lang w:val="bg-BG"/>
        </w:rPr>
        <w:t xml:space="preserve">№ </w:t>
      </w:r>
      <w:r w:rsidRPr="00CE6133">
        <w:rPr>
          <w:rFonts w:ascii="Times New Roman" w:hAnsi="Times New Roman"/>
          <w:sz w:val="24"/>
          <w:szCs w:val="24"/>
          <w:lang w:val="bg-BG"/>
        </w:rPr>
        <w:t>1 са описани и всички разходи, които ССО може да покрие, както и индикативен график, съгласно който дължимите от него реално извършени разходи могат да бъдат погасени към общината.</w:t>
      </w:r>
    </w:p>
    <w:p w14:paraId="6A44D8D5" w14:textId="77777777" w:rsidR="00CE6133" w:rsidRPr="00CE6133" w:rsidRDefault="00CE6133" w:rsidP="00CE6133">
      <w:pPr>
        <w:widowControl w:val="0"/>
        <w:autoSpaceDE w:val="0"/>
        <w:autoSpaceDN w:val="0"/>
        <w:adjustRightInd w:val="0"/>
        <w:snapToGrid w:val="0"/>
        <w:spacing w:after="120" w:line="240" w:lineRule="auto"/>
        <w:jc w:val="both"/>
        <w:rPr>
          <w:rFonts w:ascii="Times New Roman" w:hAnsi="Times New Roman"/>
          <w:bCs/>
          <w:sz w:val="24"/>
          <w:szCs w:val="24"/>
          <w:lang w:val="bg-BG"/>
        </w:rPr>
      </w:pPr>
    </w:p>
    <w:p w14:paraId="6E3F4190" w14:textId="77777777" w:rsidR="00CE6133" w:rsidRPr="00CE6133" w:rsidRDefault="00CE6133" w:rsidP="00CE6133">
      <w:pPr>
        <w:widowControl w:val="0"/>
        <w:numPr>
          <w:ilvl w:val="0"/>
          <w:numId w:val="9"/>
        </w:numPr>
        <w:autoSpaceDE w:val="0"/>
        <w:autoSpaceDN w:val="0"/>
        <w:adjustRightInd w:val="0"/>
        <w:snapToGrid w:val="0"/>
        <w:spacing w:after="120" w:line="240" w:lineRule="auto"/>
        <w:rPr>
          <w:rFonts w:ascii="Times New Roman" w:hAnsi="Times New Roman"/>
          <w:b/>
          <w:bCs/>
          <w:sz w:val="24"/>
          <w:szCs w:val="24"/>
          <w:lang w:val="bg-BG"/>
        </w:rPr>
      </w:pPr>
      <w:r w:rsidRPr="00CE6133">
        <w:rPr>
          <w:rFonts w:ascii="Times New Roman" w:hAnsi="Times New Roman"/>
          <w:b/>
          <w:bCs/>
          <w:sz w:val="24"/>
          <w:szCs w:val="24"/>
          <w:lang w:val="bg-BG"/>
        </w:rPr>
        <w:t xml:space="preserve">УВЕДОМЯВАНЕ И КОНТРОЛ </w:t>
      </w:r>
    </w:p>
    <w:p w14:paraId="0BC31785" w14:textId="77777777" w:rsidR="00CE6133" w:rsidRPr="00CE6133" w:rsidRDefault="00CE6133" w:rsidP="00CE6133">
      <w:pPr>
        <w:snapToGrid w:val="0"/>
        <w:spacing w:after="120" w:line="240" w:lineRule="auto"/>
        <w:jc w:val="both"/>
        <w:rPr>
          <w:rFonts w:ascii="Times New Roman" w:hAnsi="Times New Roman"/>
          <w:bCs/>
          <w:sz w:val="24"/>
          <w:szCs w:val="24"/>
          <w:lang w:val="bg-BG"/>
        </w:rPr>
      </w:pPr>
      <w:r w:rsidRPr="00CE6133">
        <w:rPr>
          <w:rFonts w:ascii="Times New Roman" w:hAnsi="Times New Roman"/>
          <w:bCs/>
          <w:sz w:val="24"/>
          <w:szCs w:val="24"/>
          <w:lang w:val="bg-BG"/>
        </w:rPr>
        <w:t xml:space="preserve">Всяка община, в качеството си на администратор на минимална помощ, следва да спазва установените в Закона за държавните помощи (ЗДП) и Правилника за неговото прилагане (ППЗДП) изисквания, отнасящи се до минималните помощи. </w:t>
      </w:r>
    </w:p>
    <w:p w14:paraId="5669F380" w14:textId="77777777" w:rsidR="00CE6133" w:rsidRPr="00CE6133" w:rsidRDefault="00CE6133" w:rsidP="00CE6133">
      <w:pPr>
        <w:widowControl w:val="0"/>
        <w:autoSpaceDE w:val="0"/>
        <w:autoSpaceDN w:val="0"/>
        <w:adjustRightInd w:val="0"/>
        <w:snapToGrid w:val="0"/>
        <w:spacing w:after="120" w:line="240" w:lineRule="auto"/>
        <w:ind w:left="4"/>
        <w:jc w:val="both"/>
        <w:rPr>
          <w:rFonts w:ascii="Times New Roman" w:hAnsi="Times New Roman"/>
          <w:bCs/>
          <w:sz w:val="24"/>
          <w:szCs w:val="24"/>
          <w:lang w:val="bg-BG"/>
        </w:rPr>
      </w:pPr>
      <w:r w:rsidRPr="00CE6133">
        <w:rPr>
          <w:rFonts w:ascii="Times New Roman" w:hAnsi="Times New Roman"/>
          <w:bCs/>
          <w:sz w:val="24"/>
          <w:szCs w:val="24"/>
          <w:lang w:val="bg-BG"/>
        </w:rPr>
        <w:t xml:space="preserve">При предоставянето на минималната помощ по Компонент I общината следва да провери данните в предоставените от ССО декларации за минимални и държавни помощи. За двойна проверка на декларираната информация, общината може да използва публичния модул за справки към информационна система „Регистър на минималните помощи“, достъпен на интернет страницата: </w:t>
      </w:r>
      <w:hyperlink r:id="rId8" w:history="1">
        <w:r w:rsidRPr="00CE6133">
          <w:rPr>
            <w:rFonts w:ascii="Times New Roman" w:hAnsi="Times New Roman"/>
            <w:bCs/>
            <w:sz w:val="24"/>
            <w:szCs w:val="24"/>
            <w:lang w:val="bg-BG"/>
          </w:rPr>
          <w:t>www.minimis.minfin.bg</w:t>
        </w:r>
      </w:hyperlink>
    </w:p>
    <w:p w14:paraId="39AF5974" w14:textId="0B5D1495"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 xml:space="preserve">Съгласно чл. 11, ал. 4 от ЗДП, при всяко предоставяне на минимална помощ общината следва в 3-дневен срок да уведоми Министерство на финансите, във формата по </w:t>
      </w:r>
      <w:r w:rsidR="00BA6BC1" w:rsidRPr="006B78AD">
        <w:rPr>
          <w:color w:val="000000" w:themeColor="text1"/>
          <w:lang w:val="bg-BG"/>
        </w:rPr>
        <w:t>Приложение</w:t>
      </w:r>
      <w:r w:rsidRPr="003E7AA1">
        <w:rPr>
          <w:color w:val="000000" w:themeColor="text1"/>
          <w:lang w:val="bg-BG"/>
        </w:rPr>
        <w:t xml:space="preserve"> №</w:t>
      </w:r>
      <w:r w:rsidR="003E7AA1" w:rsidRPr="003E7AA1">
        <w:rPr>
          <w:color w:val="000000" w:themeColor="text1"/>
          <w:lang w:val="bg-BG"/>
        </w:rPr>
        <w:t>Д</w:t>
      </w:r>
      <w:r w:rsidR="00065B49" w:rsidRPr="003E7AA1">
        <w:rPr>
          <w:color w:val="000000" w:themeColor="text1"/>
          <w:lang w:val="bg-BG"/>
        </w:rPr>
        <w:t>2</w:t>
      </w:r>
      <w:r w:rsidRPr="00CE6133">
        <w:rPr>
          <w:color w:val="000000" w:themeColor="text1"/>
          <w:lang w:val="bg-BG"/>
        </w:rPr>
        <w:t xml:space="preserve"> от ППЗДП. Освен това, съгласно чл. 8, ал .2 от ППЗДП, общината следва да въведе в 3-дневен срок данните за съответния получател и размера на получената от него минимална помощ в информационна система „Регистър на минималните помощи“. Достъпът до системата се осъществява съгласно утвърдена от министъра на финансите процедура за достъп, налична в секция „Указания“ в самата система. Всяка община следва да осигури достъп на нейни служители, ангажирани с изпълнението на </w:t>
      </w:r>
      <w:r w:rsidR="00EE368E">
        <w:rPr>
          <w:color w:val="000000" w:themeColor="text1"/>
          <w:lang w:val="bg-BG"/>
        </w:rPr>
        <w:t>Инвестицията</w:t>
      </w:r>
      <w:r w:rsidRPr="00CE6133">
        <w:rPr>
          <w:color w:val="000000" w:themeColor="text1"/>
          <w:lang w:val="bg-BG"/>
        </w:rPr>
        <w:t xml:space="preserve"> и задълженията във връзка с режима на минималните помощи до информационната система.    </w:t>
      </w:r>
    </w:p>
    <w:p w14:paraId="17079CD2" w14:textId="77777777"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 xml:space="preserve">Съответната община следва да води и поддържа собствен Регистър на минималните помощи, като отговаря за достоверността на данните в него и при поискване – да осигурява достъп на представител на министъра на финансите до този Регистър. </w:t>
      </w:r>
    </w:p>
    <w:p w14:paraId="1A17EA6D" w14:textId="77777777"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Информацията за предоставените минимални помощи по схемата следва да бъде публикувана на Интернет страницата на съответната община с оглед изпълнение на задълженията по чл. 11 от ЗДП.</w:t>
      </w:r>
    </w:p>
    <w:p w14:paraId="22890BAD" w14:textId="77777777" w:rsidR="00CE6133" w:rsidRPr="00CE6133" w:rsidRDefault="00CE6133" w:rsidP="00CE6133">
      <w:pPr>
        <w:snapToGrid w:val="0"/>
        <w:spacing w:after="120" w:line="240" w:lineRule="auto"/>
        <w:jc w:val="both"/>
        <w:rPr>
          <w:rFonts w:ascii="Times New Roman" w:hAnsi="Times New Roman"/>
          <w:sz w:val="24"/>
          <w:szCs w:val="24"/>
          <w:lang w:val="bg-BG"/>
        </w:rPr>
      </w:pPr>
      <w:r w:rsidRPr="00CE6133">
        <w:rPr>
          <w:rFonts w:ascii="Times New Roman" w:hAnsi="Times New Roman"/>
          <w:sz w:val="24"/>
          <w:szCs w:val="24"/>
          <w:lang w:val="bg-BG"/>
        </w:rPr>
        <w:t xml:space="preserve">Съгласно изискванията на </w:t>
      </w:r>
      <w:r w:rsidRPr="00CE6133">
        <w:rPr>
          <w:rFonts w:ascii="Times New Roman" w:hAnsi="Times New Roman"/>
          <w:bCs/>
          <w:sz w:val="24"/>
          <w:szCs w:val="24"/>
          <w:lang w:val="bg-BG"/>
        </w:rPr>
        <w:t>Регламент (ЕС) № 1407/2013</w:t>
      </w:r>
      <w:r w:rsidRPr="00CE6133">
        <w:rPr>
          <w:rFonts w:ascii="Times New Roman" w:hAnsi="Times New Roman"/>
          <w:sz w:val="24"/>
          <w:szCs w:val="24"/>
          <w:lang w:val="bg-BG"/>
        </w:rPr>
        <w:t xml:space="preserve">, съответната общината се задължава да съхранява документацията относно индивидуалните помощи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за период от 10 бюджетни години, считано от датата на тяхното предоставяне. Документацията относно схемите за помощ </w:t>
      </w:r>
      <w:proofErr w:type="spellStart"/>
      <w:r w:rsidRPr="00CE6133">
        <w:rPr>
          <w:rFonts w:ascii="Times New Roman" w:hAnsi="Times New Roman"/>
          <w:sz w:val="24"/>
          <w:szCs w:val="24"/>
          <w:lang w:val="bg-BG"/>
        </w:rPr>
        <w:t>de</w:t>
      </w:r>
      <w:proofErr w:type="spellEnd"/>
      <w:r w:rsidRPr="00CE6133">
        <w:rPr>
          <w:rFonts w:ascii="Times New Roman" w:hAnsi="Times New Roman"/>
          <w:sz w:val="24"/>
          <w:szCs w:val="24"/>
          <w:lang w:val="bg-BG"/>
        </w:rPr>
        <w:t xml:space="preserve"> </w:t>
      </w:r>
      <w:proofErr w:type="spellStart"/>
      <w:r w:rsidRPr="00CE6133">
        <w:rPr>
          <w:rFonts w:ascii="Times New Roman" w:hAnsi="Times New Roman"/>
          <w:sz w:val="24"/>
          <w:szCs w:val="24"/>
          <w:lang w:val="bg-BG"/>
        </w:rPr>
        <w:t>minimis</w:t>
      </w:r>
      <w:proofErr w:type="spellEnd"/>
      <w:r w:rsidRPr="00CE6133">
        <w:rPr>
          <w:rFonts w:ascii="Times New Roman" w:hAnsi="Times New Roman"/>
          <w:sz w:val="24"/>
          <w:szCs w:val="24"/>
          <w:lang w:val="bg-BG"/>
        </w:rPr>
        <w:t xml:space="preserve"> се съхранява за период от 10 бюджетни години от датата, на която е предоставена последната индивидуална помощ по такава схема.</w:t>
      </w:r>
    </w:p>
    <w:p w14:paraId="7E91A889" w14:textId="77777777" w:rsidR="00CE6133" w:rsidRPr="00CE6133" w:rsidRDefault="00CE6133" w:rsidP="00CE6133">
      <w:pPr>
        <w:spacing w:after="120" w:line="240" w:lineRule="auto"/>
        <w:jc w:val="right"/>
        <w:rPr>
          <w:rFonts w:ascii="Times New Roman" w:hAnsi="Times New Roman"/>
          <w:i/>
          <w:lang w:val="bg-BG"/>
        </w:rPr>
      </w:pPr>
    </w:p>
    <w:p w14:paraId="34FB94EB" w14:textId="77777777" w:rsidR="00CE6133" w:rsidRPr="00CE6133" w:rsidRDefault="00CE6133" w:rsidP="00CE6133">
      <w:pPr>
        <w:spacing w:after="0" w:line="240" w:lineRule="auto"/>
        <w:jc w:val="right"/>
        <w:rPr>
          <w:rFonts w:ascii="Times New Roman" w:hAnsi="Times New Roman"/>
          <w:i/>
          <w:sz w:val="24"/>
          <w:szCs w:val="24"/>
          <w:lang w:val="bg-BG"/>
        </w:rPr>
      </w:pPr>
      <w:r w:rsidRPr="00CE6133">
        <w:rPr>
          <w:rFonts w:ascii="Times New Roman" w:hAnsi="Times New Roman"/>
          <w:i/>
          <w:sz w:val="24"/>
          <w:szCs w:val="24"/>
          <w:lang w:val="bg-BG"/>
        </w:rPr>
        <w:t xml:space="preserve">Приложение 1 към Условията </w:t>
      </w:r>
    </w:p>
    <w:p w14:paraId="328CCCAB" w14:textId="77777777" w:rsidR="00193C74" w:rsidRPr="00CE6133" w:rsidRDefault="00CE6133" w:rsidP="00193C74">
      <w:pPr>
        <w:spacing w:after="0" w:line="240" w:lineRule="auto"/>
        <w:jc w:val="right"/>
        <w:rPr>
          <w:rFonts w:ascii="Times New Roman" w:hAnsi="Times New Roman"/>
          <w:color w:val="000000" w:themeColor="text1"/>
          <w:sz w:val="24"/>
          <w:szCs w:val="24"/>
          <w:lang w:val="bg-BG"/>
        </w:rPr>
      </w:pPr>
      <w:r w:rsidRPr="00CE6133">
        <w:rPr>
          <w:rFonts w:ascii="Times New Roman" w:hAnsi="Times New Roman"/>
          <w:sz w:val="24"/>
          <w:szCs w:val="24"/>
          <w:lang w:val="bg-BG"/>
        </w:rPr>
        <w:t>за изпълнение на схемата за минимална държавна помощ</w:t>
      </w:r>
      <w:r w:rsidR="00193C74">
        <w:rPr>
          <w:rFonts w:ascii="Times New Roman" w:hAnsi="Times New Roman"/>
          <w:sz w:val="24"/>
          <w:szCs w:val="24"/>
          <w:lang w:val="bg-BG"/>
        </w:rPr>
        <w:t xml:space="preserve"> по </w:t>
      </w:r>
      <w:r w:rsidR="00193C74" w:rsidRPr="000F3E21">
        <w:rPr>
          <w:rFonts w:ascii="Times New Roman" w:hAnsi="Times New Roman"/>
          <w:bCs/>
          <w:sz w:val="24"/>
          <w:szCs w:val="24"/>
          <w:lang w:val="bg-BG"/>
        </w:rPr>
        <w:t>инвестиция „</w:t>
      </w:r>
      <w:r w:rsidR="00193C74">
        <w:rPr>
          <w:rFonts w:ascii="Times New Roman" w:hAnsi="Times New Roman"/>
          <w:bCs/>
          <w:sz w:val="24"/>
          <w:szCs w:val="24"/>
          <w:lang w:val="bg-BG"/>
        </w:rPr>
        <w:t>П</w:t>
      </w:r>
      <w:r w:rsidR="00193C74" w:rsidRPr="000F3E21">
        <w:rPr>
          <w:rFonts w:ascii="Times New Roman" w:hAnsi="Times New Roman"/>
          <w:bCs/>
          <w:sz w:val="24"/>
          <w:szCs w:val="24"/>
          <w:lang w:val="bg-BG"/>
        </w:rPr>
        <w:t>одкрепа за устойчиво енергийно обновяване на жилищния сграден фонд“.</w:t>
      </w:r>
      <w:r w:rsidRPr="00CE6133">
        <w:rPr>
          <w:rFonts w:ascii="Times New Roman" w:hAnsi="Times New Roman"/>
          <w:sz w:val="24"/>
          <w:szCs w:val="24"/>
          <w:lang w:val="bg-BG"/>
        </w:rPr>
        <w:t xml:space="preserve"> </w:t>
      </w:r>
    </w:p>
    <w:p w14:paraId="5E949908" w14:textId="77777777" w:rsidR="00CE6133" w:rsidRPr="00CE6133" w:rsidRDefault="00CE6133" w:rsidP="00CE6133">
      <w:pPr>
        <w:spacing w:after="0" w:line="240" w:lineRule="auto"/>
        <w:jc w:val="right"/>
        <w:rPr>
          <w:rFonts w:ascii="Times New Roman" w:hAnsi="Times New Roman"/>
          <w:color w:val="000000" w:themeColor="text1"/>
          <w:sz w:val="24"/>
          <w:szCs w:val="24"/>
          <w:lang w:val="bg-BG"/>
        </w:rPr>
      </w:pPr>
    </w:p>
    <w:p w14:paraId="05BFAABE" w14:textId="77777777" w:rsidR="00CE6133" w:rsidRPr="00CE6133" w:rsidRDefault="00CE6133" w:rsidP="00CE6133">
      <w:pPr>
        <w:spacing w:after="120" w:line="240" w:lineRule="auto"/>
        <w:jc w:val="right"/>
        <w:rPr>
          <w:rFonts w:ascii="Times New Roman" w:hAnsi="Times New Roman"/>
          <w:color w:val="000000" w:themeColor="text1"/>
          <w:sz w:val="20"/>
          <w:szCs w:val="20"/>
          <w:lang w:val="bg-BG"/>
        </w:rPr>
      </w:pPr>
    </w:p>
    <w:p w14:paraId="2505DE8B" w14:textId="77777777" w:rsidR="00CE6133" w:rsidRPr="00CE6133" w:rsidRDefault="00CE6133" w:rsidP="00CE6133">
      <w:pPr>
        <w:spacing w:after="120" w:line="240" w:lineRule="auto"/>
        <w:jc w:val="right"/>
        <w:rPr>
          <w:rFonts w:ascii="Times New Roman" w:hAnsi="Times New Roman"/>
          <w:color w:val="000000" w:themeColor="text1"/>
          <w:sz w:val="20"/>
          <w:szCs w:val="20"/>
          <w:lang w:val="bg-BG"/>
        </w:rPr>
      </w:pPr>
    </w:p>
    <w:p w14:paraId="6D3731B7" w14:textId="77777777" w:rsidR="00CE6133" w:rsidRPr="00CE6133" w:rsidRDefault="00CE6133" w:rsidP="00CE6133">
      <w:pPr>
        <w:pStyle w:val="ListParagraph"/>
        <w:numPr>
          <w:ilvl w:val="0"/>
          <w:numId w:val="22"/>
        </w:numPr>
        <w:snapToGrid w:val="0"/>
        <w:spacing w:after="120"/>
        <w:ind w:left="360"/>
        <w:jc w:val="both"/>
        <w:rPr>
          <w:b/>
          <w:color w:val="000000" w:themeColor="text1"/>
          <w:lang w:val="bg-BG"/>
        </w:rPr>
      </w:pPr>
      <w:r w:rsidRPr="00CE6133">
        <w:rPr>
          <w:b/>
          <w:color w:val="000000" w:themeColor="text1"/>
          <w:lang w:val="bg-BG"/>
        </w:rPr>
        <w:lastRenderedPageBreak/>
        <w:t xml:space="preserve">РЕД ЗА ИЗЧИСЛЯВАНЕ НА РАЗХОДИТЕ, ПРИЛОЖИМ КЪМ </w:t>
      </w:r>
      <w:r w:rsidRPr="00CE6133">
        <w:rPr>
          <w:b/>
          <w:bCs/>
          <w:lang w:val="bg-BG"/>
        </w:rPr>
        <w:t>КОМПОНЕНТ I</w:t>
      </w:r>
    </w:p>
    <w:p w14:paraId="797B34A9" w14:textId="77777777"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Минималната помощ (БФП) за всеки СО се изчислява на база притежаван процент идеални части от общите в сградата за всяка извършена дейност по общите части на сградата (</w:t>
      </w:r>
      <w:r w:rsidRPr="00CE6133">
        <w:rPr>
          <w:bCs/>
          <w:lang w:val="bg-BG"/>
        </w:rPr>
        <w:t>разходи за техническо обследване, обследване за енергийна ефективност, проектиране, оценка за съответствието, СМР, авторски надзор, строителен надзор и инвеститорски контрол, 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 разходи, свързани с въвеждането на обекта в експлоатация</w:t>
      </w:r>
      <w:r w:rsidRPr="00CE6133">
        <w:rPr>
          <w:color w:val="000000" w:themeColor="text1"/>
          <w:lang w:val="bg-BG"/>
        </w:rPr>
        <w:t>), заедно с разходите за дейностите, извършени за отделния СО, когато това е приложимо.</w:t>
      </w:r>
    </w:p>
    <w:p w14:paraId="06A028EA" w14:textId="77777777"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При изчисления на разходите за собственика следва да се спазва следния ред:</w:t>
      </w:r>
    </w:p>
    <w:p w14:paraId="494E53AD" w14:textId="77777777"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самостоятелния обект – подмяна на дограма и дейности в СО, когато това е приложимо.</w:t>
      </w:r>
    </w:p>
    <w:tbl>
      <w:tblPr>
        <w:tblW w:w="10964" w:type="dxa"/>
        <w:tblInd w:w="-781" w:type="dxa"/>
        <w:tblCellMar>
          <w:left w:w="70" w:type="dxa"/>
          <w:right w:w="70" w:type="dxa"/>
        </w:tblCellMar>
        <w:tblLook w:val="04A0" w:firstRow="1" w:lastRow="0" w:firstColumn="1" w:lastColumn="0" w:noHBand="0" w:noVBand="1"/>
      </w:tblPr>
      <w:tblGrid>
        <w:gridCol w:w="3544"/>
        <w:gridCol w:w="1880"/>
        <w:gridCol w:w="1900"/>
        <w:gridCol w:w="1900"/>
        <w:gridCol w:w="1740"/>
      </w:tblGrid>
      <w:tr w:rsidR="00CE6133" w:rsidRPr="00CE6133" w14:paraId="26D14F2F" w14:textId="77777777" w:rsidTr="00CE6133">
        <w:trPr>
          <w:trHeight w:val="885"/>
        </w:trPr>
        <w:tc>
          <w:tcPr>
            <w:tcW w:w="354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CECF64D"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Разходи</w:t>
            </w:r>
          </w:p>
        </w:tc>
        <w:tc>
          <w:tcPr>
            <w:tcW w:w="1880" w:type="dxa"/>
            <w:tcBorders>
              <w:top w:val="single" w:sz="4" w:space="0" w:color="auto"/>
              <w:left w:val="nil"/>
              <w:bottom w:val="single" w:sz="4" w:space="0" w:color="auto"/>
              <w:right w:val="single" w:sz="4" w:space="0" w:color="auto"/>
            </w:tcBorders>
            <w:shd w:val="clear" w:color="000000" w:fill="C0C0C0"/>
            <w:vAlign w:val="center"/>
            <w:hideMark/>
          </w:tcPr>
          <w:p w14:paraId="09B1DBBE"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 Мярка</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14:paraId="0747AD7E"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Количество</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14:paraId="63D7675B"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 цена в лв. (без вкл. ДДС)</w:t>
            </w:r>
          </w:p>
        </w:tc>
        <w:tc>
          <w:tcPr>
            <w:tcW w:w="1740" w:type="dxa"/>
            <w:tcBorders>
              <w:top w:val="single" w:sz="4" w:space="0" w:color="auto"/>
              <w:left w:val="nil"/>
              <w:bottom w:val="single" w:sz="4" w:space="0" w:color="auto"/>
              <w:right w:val="single" w:sz="4" w:space="0" w:color="auto"/>
            </w:tcBorders>
            <w:shd w:val="clear" w:color="000000" w:fill="C0C0C0"/>
            <w:vAlign w:val="center"/>
            <w:hideMark/>
          </w:tcPr>
          <w:p w14:paraId="59A4EAD2"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Обща цена в лв. (без вкл. ДДС)</w:t>
            </w:r>
          </w:p>
        </w:tc>
      </w:tr>
      <w:tr w:rsidR="00CE6133" w:rsidRPr="00CE6133" w14:paraId="506A8546" w14:textId="77777777" w:rsidTr="00CE6133">
        <w:trPr>
          <w:trHeight w:val="240"/>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79032"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2</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14:paraId="56C3AB00"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3</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14:paraId="2B83FADD"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4</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14:paraId="013BBE4A"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5</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6BFFD3BA"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6=4х5</w:t>
            </w:r>
          </w:p>
        </w:tc>
      </w:tr>
      <w:tr w:rsidR="00CE6133" w:rsidRPr="00CE6133" w14:paraId="072B0659" w14:textId="77777777" w:rsidTr="00CE6133">
        <w:trPr>
          <w:trHeight w:val="240"/>
        </w:trPr>
        <w:tc>
          <w:tcPr>
            <w:tcW w:w="3544" w:type="dxa"/>
            <w:tcBorders>
              <w:top w:val="single" w:sz="4" w:space="0" w:color="auto"/>
              <w:left w:val="single" w:sz="4" w:space="0" w:color="auto"/>
              <w:bottom w:val="single" w:sz="4" w:space="0" w:color="auto"/>
              <w:right w:val="single" w:sz="4" w:space="0" w:color="auto"/>
            </w:tcBorders>
            <w:shd w:val="clear" w:color="000000" w:fill="D9D9D9"/>
            <w:vAlign w:val="center"/>
          </w:tcPr>
          <w:p w14:paraId="2187B9CE"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20"/>
                <w:szCs w:val="20"/>
                <w:lang w:val="bg-BG" w:eastAsia="bg-BG"/>
              </w:rPr>
              <w:t xml:space="preserve">СОБСТВЕНИК: (име и фамилия), вх. …, ет. …, ап. …, </w:t>
            </w:r>
          </w:p>
        </w:tc>
        <w:tc>
          <w:tcPr>
            <w:tcW w:w="1880" w:type="dxa"/>
            <w:tcBorders>
              <w:top w:val="single" w:sz="4" w:space="0" w:color="auto"/>
              <w:left w:val="nil"/>
              <w:bottom w:val="single" w:sz="4" w:space="0" w:color="auto"/>
              <w:right w:val="single" w:sz="4" w:space="0" w:color="auto"/>
            </w:tcBorders>
            <w:shd w:val="clear" w:color="000000" w:fill="D9D9D9"/>
            <w:vAlign w:val="center"/>
          </w:tcPr>
          <w:p w14:paraId="6EEFD279"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900" w:type="dxa"/>
            <w:tcBorders>
              <w:top w:val="single" w:sz="4" w:space="0" w:color="auto"/>
              <w:left w:val="nil"/>
              <w:bottom w:val="single" w:sz="4" w:space="0" w:color="auto"/>
              <w:right w:val="single" w:sz="4" w:space="0" w:color="auto"/>
            </w:tcBorders>
            <w:shd w:val="clear" w:color="000000" w:fill="D9D9D9"/>
            <w:vAlign w:val="center"/>
          </w:tcPr>
          <w:p w14:paraId="016A6678"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900" w:type="dxa"/>
            <w:tcBorders>
              <w:top w:val="single" w:sz="4" w:space="0" w:color="auto"/>
              <w:left w:val="nil"/>
              <w:bottom w:val="single" w:sz="4" w:space="0" w:color="auto"/>
              <w:right w:val="single" w:sz="4" w:space="0" w:color="auto"/>
            </w:tcBorders>
            <w:shd w:val="clear" w:color="000000" w:fill="D9D9D9"/>
            <w:vAlign w:val="center"/>
          </w:tcPr>
          <w:p w14:paraId="69E9BC78"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740" w:type="dxa"/>
            <w:tcBorders>
              <w:top w:val="single" w:sz="4" w:space="0" w:color="auto"/>
              <w:left w:val="nil"/>
              <w:bottom w:val="single" w:sz="4" w:space="0" w:color="auto"/>
              <w:right w:val="single" w:sz="4" w:space="0" w:color="auto"/>
            </w:tcBorders>
            <w:shd w:val="clear" w:color="000000" w:fill="D9D9D9"/>
            <w:vAlign w:val="center"/>
          </w:tcPr>
          <w:p w14:paraId="46F02E3F"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r>
      <w:tr w:rsidR="00CE6133" w:rsidRPr="00CE6133" w14:paraId="775385FE" w14:textId="77777777"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478C"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Разходи за подмяна на дограма по апартамент</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18876B7"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B3F0E70"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D19D53A"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315D330"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r>
      <w:tr w:rsidR="00CE6133" w:rsidRPr="00CE6133" w14:paraId="54B6CC2D" w14:textId="77777777"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A484BE6"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Дейности в СО</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294933E"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38E17F73"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3DE33505"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075DD47"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14:paraId="5139997F" w14:textId="77777777"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3C3BCF5"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734B7FB"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0C82DBC6"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1335E844"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161C2810"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14:paraId="3083EF6A" w14:textId="77777777" w:rsidTr="00CE613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C27302"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3C2CD59"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034C9CF6"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2D2E43BD"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62E9703E"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14:paraId="51ED229D" w14:textId="77777777" w:rsidTr="00CE6133">
        <w:trPr>
          <w:trHeight w:val="540"/>
        </w:trPr>
        <w:tc>
          <w:tcPr>
            <w:tcW w:w="9224" w:type="dxa"/>
            <w:gridSpan w:val="4"/>
            <w:tcBorders>
              <w:top w:val="single" w:sz="4" w:space="0" w:color="auto"/>
              <w:left w:val="single" w:sz="4" w:space="0" w:color="auto"/>
              <w:bottom w:val="single" w:sz="4" w:space="0" w:color="auto"/>
              <w:right w:val="single" w:sz="4" w:space="0" w:color="auto"/>
            </w:tcBorders>
            <w:shd w:val="clear" w:color="000000" w:fill="CCFFCC"/>
            <w:vAlign w:val="center"/>
            <w:hideMark/>
          </w:tcPr>
          <w:p w14:paraId="508476C5"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без вкл. 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CD456D"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14:paraId="05D24D17" w14:textId="77777777" w:rsidTr="00CE6133">
        <w:trPr>
          <w:trHeight w:val="540"/>
        </w:trPr>
        <w:tc>
          <w:tcPr>
            <w:tcW w:w="9224" w:type="dxa"/>
            <w:gridSpan w:val="4"/>
            <w:tcBorders>
              <w:top w:val="single" w:sz="4" w:space="0" w:color="auto"/>
              <w:left w:val="single" w:sz="4" w:space="0" w:color="auto"/>
              <w:bottom w:val="single" w:sz="4" w:space="0" w:color="auto"/>
              <w:right w:val="single" w:sz="4" w:space="0" w:color="auto"/>
            </w:tcBorders>
            <w:shd w:val="clear" w:color="000000" w:fill="CCFFCC"/>
            <w:vAlign w:val="center"/>
          </w:tcPr>
          <w:p w14:paraId="1155CDD6"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23C63454"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14:paraId="504695B5" w14:textId="77777777" w:rsidTr="00CE6133">
        <w:trPr>
          <w:trHeight w:val="540"/>
        </w:trPr>
        <w:tc>
          <w:tcPr>
            <w:tcW w:w="9224" w:type="dxa"/>
            <w:gridSpan w:val="4"/>
            <w:tcBorders>
              <w:top w:val="single" w:sz="4" w:space="0" w:color="auto"/>
              <w:left w:val="single" w:sz="4" w:space="0" w:color="auto"/>
              <w:bottom w:val="single" w:sz="4" w:space="0" w:color="auto"/>
              <w:right w:val="single" w:sz="4" w:space="0" w:color="auto"/>
            </w:tcBorders>
            <w:shd w:val="clear" w:color="000000" w:fill="CCFFCC"/>
            <w:vAlign w:val="center"/>
          </w:tcPr>
          <w:p w14:paraId="6FE42546"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С ВКЛ. ДДС</w:t>
            </w:r>
            <w:r w:rsidRPr="00CE6133">
              <w:rPr>
                <w:rFonts w:ascii="Times New Roman" w:eastAsia="Times New Roman" w:hAnsi="Times New Roman"/>
                <w:b/>
                <w:bCs/>
                <w:sz w:val="20"/>
                <w:szCs w:val="20"/>
                <w:lang w:val="bg-BG" w:eastAsia="bg-BG"/>
              </w:rPr>
              <w:t>:</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1E76D7EE"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bl>
    <w:p w14:paraId="3EEA2F33" w14:textId="77777777" w:rsidR="00CE6133" w:rsidRPr="00CE6133" w:rsidRDefault="00CE6133" w:rsidP="00CE6133">
      <w:pPr>
        <w:pStyle w:val="ListParagraph"/>
        <w:snapToGrid w:val="0"/>
        <w:spacing w:after="120"/>
        <w:ind w:left="0"/>
        <w:jc w:val="both"/>
        <w:rPr>
          <w:color w:val="000000" w:themeColor="text1"/>
          <w:lang w:val="bg-BG"/>
        </w:rPr>
      </w:pPr>
    </w:p>
    <w:p w14:paraId="39218754" w14:textId="77777777"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общите части</w:t>
      </w:r>
    </w:p>
    <w:tbl>
      <w:tblPr>
        <w:tblW w:w="10943" w:type="dxa"/>
        <w:tblInd w:w="-781" w:type="dxa"/>
        <w:tblCellMar>
          <w:left w:w="70" w:type="dxa"/>
          <w:right w:w="70" w:type="dxa"/>
        </w:tblCellMar>
        <w:tblLook w:val="04A0" w:firstRow="1" w:lastRow="0" w:firstColumn="1" w:lastColumn="0" w:noHBand="0" w:noVBand="1"/>
      </w:tblPr>
      <w:tblGrid>
        <w:gridCol w:w="3970"/>
        <w:gridCol w:w="2693"/>
        <w:gridCol w:w="1940"/>
        <w:gridCol w:w="2340"/>
      </w:tblGrid>
      <w:tr w:rsidR="00CE6133" w:rsidRPr="00CE6133" w14:paraId="073005BB" w14:textId="77777777" w:rsidTr="00CE6133">
        <w:trPr>
          <w:trHeight w:val="1800"/>
        </w:trPr>
        <w:tc>
          <w:tcPr>
            <w:tcW w:w="397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56516626"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Разходи</w:t>
            </w:r>
          </w:p>
        </w:tc>
        <w:tc>
          <w:tcPr>
            <w:tcW w:w="2693" w:type="dxa"/>
            <w:vMerge w:val="restart"/>
            <w:tcBorders>
              <w:top w:val="single" w:sz="4" w:space="0" w:color="auto"/>
              <w:left w:val="nil"/>
              <w:right w:val="single" w:sz="4" w:space="0" w:color="auto"/>
            </w:tcBorders>
            <w:shd w:val="clear" w:color="000000" w:fill="C0C0C0"/>
            <w:vAlign w:val="center"/>
            <w:hideMark/>
          </w:tcPr>
          <w:p w14:paraId="0BC8A855"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идеални части по справка за ССО, представен в абсолютна стойност</w:t>
            </w:r>
          </w:p>
        </w:tc>
        <w:tc>
          <w:tcPr>
            <w:tcW w:w="1940" w:type="dxa"/>
            <w:tcBorders>
              <w:top w:val="single" w:sz="4" w:space="0" w:color="auto"/>
              <w:left w:val="nil"/>
              <w:bottom w:val="single" w:sz="4" w:space="0" w:color="auto"/>
              <w:right w:val="single" w:sz="4" w:space="0" w:color="auto"/>
            </w:tcBorders>
            <w:shd w:val="clear" w:color="000000" w:fill="C0C0C0"/>
            <w:vAlign w:val="center"/>
            <w:hideMark/>
          </w:tcPr>
          <w:p w14:paraId="2BEE8744"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Обща стойност на дейността (ІI)</w:t>
            </w:r>
          </w:p>
        </w:tc>
        <w:tc>
          <w:tcPr>
            <w:tcW w:w="2340" w:type="dxa"/>
            <w:tcBorders>
              <w:top w:val="single" w:sz="4" w:space="0" w:color="auto"/>
              <w:left w:val="nil"/>
              <w:bottom w:val="single" w:sz="4" w:space="0" w:color="auto"/>
              <w:right w:val="single" w:sz="4" w:space="0" w:color="auto"/>
            </w:tcBorders>
            <w:shd w:val="clear" w:color="000000" w:fill="C0C0C0"/>
            <w:vAlign w:val="center"/>
            <w:hideMark/>
          </w:tcPr>
          <w:p w14:paraId="78C812FE"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Стойност за ССО</w:t>
            </w:r>
          </w:p>
          <w:p w14:paraId="2E8D8B91"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(І*ІІ)</w:t>
            </w:r>
          </w:p>
        </w:tc>
      </w:tr>
      <w:tr w:rsidR="00CE6133" w:rsidRPr="00CE6133" w14:paraId="116ADF80" w14:textId="77777777" w:rsidTr="00CE6133">
        <w:trPr>
          <w:trHeight w:val="728"/>
        </w:trPr>
        <w:tc>
          <w:tcPr>
            <w:tcW w:w="3970" w:type="dxa"/>
            <w:vMerge/>
            <w:tcBorders>
              <w:top w:val="single" w:sz="4" w:space="0" w:color="auto"/>
              <w:left w:val="single" w:sz="4" w:space="0" w:color="auto"/>
              <w:bottom w:val="single" w:sz="4" w:space="0" w:color="000000"/>
              <w:right w:val="single" w:sz="4" w:space="0" w:color="auto"/>
            </w:tcBorders>
            <w:vAlign w:val="center"/>
            <w:hideMark/>
          </w:tcPr>
          <w:p w14:paraId="5858986B" w14:textId="77777777" w:rsidR="00CE6133" w:rsidRPr="00CE6133" w:rsidRDefault="00CE6133" w:rsidP="00A30C49">
            <w:pPr>
              <w:spacing w:after="120" w:line="240" w:lineRule="auto"/>
              <w:rPr>
                <w:rFonts w:ascii="Times New Roman" w:eastAsia="Times New Roman" w:hAnsi="Times New Roman"/>
                <w:b/>
                <w:bCs/>
                <w:lang w:val="bg-BG" w:eastAsia="bg-BG"/>
              </w:rPr>
            </w:pPr>
          </w:p>
        </w:tc>
        <w:tc>
          <w:tcPr>
            <w:tcW w:w="2693" w:type="dxa"/>
            <w:vMerge/>
            <w:tcBorders>
              <w:left w:val="single" w:sz="4" w:space="0" w:color="auto"/>
              <w:bottom w:val="single" w:sz="4" w:space="0" w:color="000000"/>
              <w:right w:val="single" w:sz="4" w:space="0" w:color="auto"/>
            </w:tcBorders>
            <w:shd w:val="clear" w:color="000000" w:fill="C0C0C0"/>
            <w:vAlign w:val="center"/>
            <w:hideMark/>
          </w:tcPr>
          <w:p w14:paraId="59DC37A2"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p>
        </w:tc>
        <w:tc>
          <w:tcPr>
            <w:tcW w:w="1940" w:type="dxa"/>
            <w:tcBorders>
              <w:top w:val="nil"/>
              <w:left w:val="single" w:sz="4" w:space="0" w:color="auto"/>
              <w:bottom w:val="single" w:sz="4" w:space="0" w:color="000000"/>
              <w:right w:val="single" w:sz="4" w:space="0" w:color="auto"/>
            </w:tcBorders>
            <w:shd w:val="clear" w:color="000000" w:fill="C0C0C0"/>
            <w:vAlign w:val="center"/>
            <w:hideMark/>
          </w:tcPr>
          <w:p w14:paraId="704F17DE"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c>
          <w:tcPr>
            <w:tcW w:w="2340" w:type="dxa"/>
            <w:tcBorders>
              <w:top w:val="nil"/>
              <w:left w:val="single" w:sz="4" w:space="0" w:color="auto"/>
              <w:bottom w:val="single" w:sz="4" w:space="0" w:color="000000"/>
              <w:right w:val="single" w:sz="4" w:space="0" w:color="auto"/>
            </w:tcBorders>
            <w:shd w:val="clear" w:color="000000" w:fill="C0C0C0"/>
            <w:vAlign w:val="center"/>
            <w:hideMark/>
          </w:tcPr>
          <w:p w14:paraId="25538D92"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r>
      <w:tr w:rsidR="00CE6133" w:rsidRPr="00CE6133" w14:paraId="7FBFE1C0" w14:textId="77777777" w:rsidTr="00CE6133">
        <w:trPr>
          <w:trHeight w:val="375"/>
        </w:trPr>
        <w:tc>
          <w:tcPr>
            <w:tcW w:w="3970" w:type="dxa"/>
            <w:tcBorders>
              <w:top w:val="nil"/>
              <w:left w:val="single" w:sz="4" w:space="0" w:color="auto"/>
              <w:bottom w:val="single" w:sz="4" w:space="0" w:color="auto"/>
              <w:right w:val="single" w:sz="4" w:space="0" w:color="auto"/>
            </w:tcBorders>
            <w:shd w:val="clear" w:color="000000" w:fill="D9D9D9"/>
            <w:vAlign w:val="center"/>
            <w:hideMark/>
          </w:tcPr>
          <w:p w14:paraId="4C0CF396"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1</w:t>
            </w:r>
          </w:p>
        </w:tc>
        <w:tc>
          <w:tcPr>
            <w:tcW w:w="2693" w:type="dxa"/>
            <w:tcBorders>
              <w:top w:val="nil"/>
              <w:left w:val="nil"/>
              <w:bottom w:val="single" w:sz="4" w:space="0" w:color="auto"/>
              <w:right w:val="single" w:sz="4" w:space="0" w:color="auto"/>
            </w:tcBorders>
            <w:shd w:val="clear" w:color="000000" w:fill="D9D9D9"/>
            <w:vAlign w:val="center"/>
            <w:hideMark/>
          </w:tcPr>
          <w:p w14:paraId="27E9A347"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2</w:t>
            </w:r>
          </w:p>
        </w:tc>
        <w:tc>
          <w:tcPr>
            <w:tcW w:w="1940" w:type="dxa"/>
            <w:tcBorders>
              <w:top w:val="nil"/>
              <w:left w:val="nil"/>
              <w:bottom w:val="single" w:sz="4" w:space="0" w:color="auto"/>
              <w:right w:val="single" w:sz="4" w:space="0" w:color="auto"/>
            </w:tcBorders>
            <w:shd w:val="clear" w:color="000000" w:fill="D9D9D9"/>
            <w:vAlign w:val="center"/>
            <w:hideMark/>
          </w:tcPr>
          <w:p w14:paraId="49298FD8"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3</w:t>
            </w:r>
          </w:p>
        </w:tc>
        <w:tc>
          <w:tcPr>
            <w:tcW w:w="2340" w:type="dxa"/>
            <w:tcBorders>
              <w:top w:val="nil"/>
              <w:left w:val="nil"/>
              <w:bottom w:val="single" w:sz="4" w:space="0" w:color="auto"/>
              <w:right w:val="single" w:sz="4" w:space="0" w:color="auto"/>
            </w:tcBorders>
            <w:shd w:val="clear" w:color="000000" w:fill="D9D9D9"/>
            <w:vAlign w:val="center"/>
            <w:hideMark/>
          </w:tcPr>
          <w:p w14:paraId="5A801C05"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4=2*3</w:t>
            </w:r>
          </w:p>
        </w:tc>
      </w:tr>
      <w:tr w:rsidR="00CE6133" w:rsidRPr="00CE6133" w14:paraId="769C248B" w14:textId="77777777" w:rsidTr="00CE6133">
        <w:trPr>
          <w:trHeight w:val="375"/>
        </w:trPr>
        <w:tc>
          <w:tcPr>
            <w:tcW w:w="3970" w:type="dxa"/>
            <w:tcBorders>
              <w:top w:val="nil"/>
              <w:left w:val="single" w:sz="4" w:space="0" w:color="auto"/>
              <w:bottom w:val="single" w:sz="4" w:space="0" w:color="auto"/>
              <w:right w:val="single" w:sz="4" w:space="0" w:color="auto"/>
            </w:tcBorders>
            <w:shd w:val="clear" w:color="000000" w:fill="D9D9D9"/>
            <w:vAlign w:val="center"/>
          </w:tcPr>
          <w:p w14:paraId="7F447F34"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20"/>
                <w:szCs w:val="20"/>
                <w:lang w:val="bg-BG" w:eastAsia="bg-BG"/>
              </w:rPr>
              <w:lastRenderedPageBreak/>
              <w:t>СОБСТВЕНИК: (име и фамилия), вх. …, ет. …, ап. …,</w:t>
            </w:r>
          </w:p>
        </w:tc>
        <w:tc>
          <w:tcPr>
            <w:tcW w:w="2693" w:type="dxa"/>
            <w:tcBorders>
              <w:top w:val="nil"/>
              <w:left w:val="nil"/>
              <w:bottom w:val="single" w:sz="4" w:space="0" w:color="auto"/>
              <w:right w:val="single" w:sz="4" w:space="0" w:color="auto"/>
            </w:tcBorders>
            <w:shd w:val="clear" w:color="000000" w:fill="D9D9D9"/>
            <w:vAlign w:val="center"/>
          </w:tcPr>
          <w:p w14:paraId="01D0E2DC"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1940" w:type="dxa"/>
            <w:tcBorders>
              <w:top w:val="nil"/>
              <w:left w:val="nil"/>
              <w:bottom w:val="single" w:sz="4" w:space="0" w:color="auto"/>
              <w:right w:val="single" w:sz="4" w:space="0" w:color="auto"/>
            </w:tcBorders>
            <w:shd w:val="clear" w:color="000000" w:fill="D9D9D9"/>
            <w:vAlign w:val="center"/>
          </w:tcPr>
          <w:p w14:paraId="459BB3DD"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2340" w:type="dxa"/>
            <w:tcBorders>
              <w:top w:val="nil"/>
              <w:left w:val="nil"/>
              <w:bottom w:val="single" w:sz="4" w:space="0" w:color="auto"/>
              <w:right w:val="single" w:sz="4" w:space="0" w:color="auto"/>
            </w:tcBorders>
            <w:shd w:val="clear" w:color="000000" w:fill="D9D9D9"/>
            <w:vAlign w:val="center"/>
          </w:tcPr>
          <w:p w14:paraId="015009FF"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r>
      <w:tr w:rsidR="00CE6133" w:rsidRPr="00CE6133" w14:paraId="60249479" w14:textId="77777777"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F32EF71"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изготвяне на инвестиционен проект</w:t>
            </w:r>
          </w:p>
        </w:tc>
        <w:tc>
          <w:tcPr>
            <w:tcW w:w="2693" w:type="dxa"/>
            <w:tcBorders>
              <w:top w:val="nil"/>
              <w:left w:val="nil"/>
              <w:bottom w:val="single" w:sz="4" w:space="0" w:color="auto"/>
              <w:right w:val="single" w:sz="4" w:space="0" w:color="auto"/>
            </w:tcBorders>
            <w:shd w:val="clear" w:color="000000" w:fill="C5D9F1"/>
            <w:noWrap/>
            <w:vAlign w:val="center"/>
          </w:tcPr>
          <w:p w14:paraId="4018ACAD"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0DA52E89"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14F6EE67"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7D29F52D" w14:textId="77777777"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660C27E"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 xml:space="preserve">Разходи за оценка за съответствието на проекта </w:t>
            </w:r>
          </w:p>
        </w:tc>
        <w:tc>
          <w:tcPr>
            <w:tcW w:w="2693" w:type="dxa"/>
            <w:tcBorders>
              <w:top w:val="nil"/>
              <w:left w:val="nil"/>
              <w:bottom w:val="single" w:sz="4" w:space="0" w:color="auto"/>
              <w:right w:val="single" w:sz="4" w:space="0" w:color="auto"/>
            </w:tcBorders>
            <w:shd w:val="clear" w:color="000000" w:fill="C5D9F1"/>
            <w:noWrap/>
            <w:vAlign w:val="center"/>
          </w:tcPr>
          <w:p w14:paraId="7912421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4C7FA442"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57CD61B3"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0F6A469B" w14:textId="77777777"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tcPr>
          <w:p w14:paraId="4DAFC7CB"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строителни и монтажни работи (без включена дограма на самия СО и други дейности в СО)</w:t>
            </w:r>
          </w:p>
        </w:tc>
        <w:tc>
          <w:tcPr>
            <w:tcW w:w="2693" w:type="dxa"/>
            <w:tcBorders>
              <w:top w:val="nil"/>
              <w:left w:val="nil"/>
              <w:bottom w:val="single" w:sz="4" w:space="0" w:color="auto"/>
              <w:right w:val="single" w:sz="4" w:space="0" w:color="auto"/>
            </w:tcBorders>
            <w:shd w:val="clear" w:color="000000" w:fill="C5D9F1"/>
            <w:noWrap/>
            <w:vAlign w:val="center"/>
          </w:tcPr>
          <w:p w14:paraId="6B9087BE"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22B46B6D"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7E8A018C"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2B16D923" w14:textId="77777777"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tcPr>
          <w:p w14:paraId="7B236DC4"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Непредвидени разходи (10 % от стойността на разходите за СМР)</w:t>
            </w:r>
          </w:p>
        </w:tc>
        <w:tc>
          <w:tcPr>
            <w:tcW w:w="2693" w:type="dxa"/>
            <w:tcBorders>
              <w:top w:val="nil"/>
              <w:left w:val="nil"/>
              <w:bottom w:val="single" w:sz="4" w:space="0" w:color="auto"/>
              <w:right w:val="single" w:sz="4" w:space="0" w:color="auto"/>
            </w:tcBorders>
            <w:shd w:val="clear" w:color="000000" w:fill="C5D9F1"/>
            <w:noWrap/>
            <w:vAlign w:val="center"/>
          </w:tcPr>
          <w:p w14:paraId="1936E0A8"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69554899"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07CEFEE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0A7389C5" w14:textId="77777777" w:rsidTr="00CE613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tcPr>
          <w:p w14:paraId="2694E40A"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строителен надзор и инвеститорски контрол</w:t>
            </w:r>
          </w:p>
        </w:tc>
        <w:tc>
          <w:tcPr>
            <w:tcW w:w="2693" w:type="dxa"/>
            <w:tcBorders>
              <w:top w:val="nil"/>
              <w:left w:val="nil"/>
              <w:bottom w:val="single" w:sz="4" w:space="0" w:color="auto"/>
              <w:right w:val="single" w:sz="4" w:space="0" w:color="auto"/>
            </w:tcBorders>
            <w:shd w:val="clear" w:color="000000" w:fill="C5D9F1"/>
            <w:noWrap/>
            <w:vAlign w:val="center"/>
          </w:tcPr>
          <w:p w14:paraId="38FD22A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62285F40"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41DB059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25751282" w14:textId="77777777"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D78F85A"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авторски надзор</w:t>
            </w:r>
          </w:p>
        </w:tc>
        <w:tc>
          <w:tcPr>
            <w:tcW w:w="2693" w:type="dxa"/>
            <w:tcBorders>
              <w:top w:val="nil"/>
              <w:left w:val="nil"/>
              <w:bottom w:val="single" w:sz="4" w:space="0" w:color="auto"/>
              <w:right w:val="single" w:sz="4" w:space="0" w:color="auto"/>
            </w:tcBorders>
            <w:shd w:val="clear" w:color="000000" w:fill="C5D9F1"/>
            <w:noWrap/>
            <w:vAlign w:val="center"/>
          </w:tcPr>
          <w:p w14:paraId="74DC477E"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41AFB2D2"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0C6BFA7C"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5495F412" w14:textId="77777777" w:rsidTr="00CE6133">
        <w:trPr>
          <w:trHeight w:val="85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53C631"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свързани с набавянето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органи</w:t>
            </w:r>
          </w:p>
        </w:tc>
        <w:tc>
          <w:tcPr>
            <w:tcW w:w="2693" w:type="dxa"/>
            <w:tcBorders>
              <w:top w:val="nil"/>
              <w:left w:val="nil"/>
              <w:bottom w:val="single" w:sz="4" w:space="0" w:color="auto"/>
              <w:right w:val="single" w:sz="4" w:space="0" w:color="auto"/>
            </w:tcBorders>
            <w:shd w:val="clear" w:color="000000" w:fill="C5D9F1"/>
            <w:noWrap/>
            <w:vAlign w:val="center"/>
          </w:tcPr>
          <w:p w14:paraId="03E70BCA"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51BBEA85"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3120DB9D"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08F22A25" w14:textId="77777777"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7C12ECF"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свързани с въвеждането на обекта в експлоатация</w:t>
            </w:r>
          </w:p>
        </w:tc>
        <w:tc>
          <w:tcPr>
            <w:tcW w:w="2693" w:type="dxa"/>
            <w:tcBorders>
              <w:top w:val="nil"/>
              <w:left w:val="nil"/>
              <w:bottom w:val="single" w:sz="4" w:space="0" w:color="auto"/>
              <w:right w:val="single" w:sz="4" w:space="0" w:color="auto"/>
            </w:tcBorders>
            <w:shd w:val="clear" w:color="000000" w:fill="C5D9F1"/>
            <w:noWrap/>
            <w:vAlign w:val="center"/>
          </w:tcPr>
          <w:p w14:paraId="692D6DA0"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0ED37655"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616F613C"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010FC636" w14:textId="77777777" w:rsidTr="00CE6133">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4D477DC5"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обследване за енергийна ефективност</w:t>
            </w:r>
          </w:p>
        </w:tc>
        <w:tc>
          <w:tcPr>
            <w:tcW w:w="2693" w:type="dxa"/>
            <w:tcBorders>
              <w:top w:val="nil"/>
              <w:left w:val="nil"/>
              <w:bottom w:val="single" w:sz="4" w:space="0" w:color="auto"/>
              <w:right w:val="single" w:sz="4" w:space="0" w:color="auto"/>
            </w:tcBorders>
            <w:shd w:val="clear" w:color="000000" w:fill="C5D9F1"/>
            <w:noWrap/>
            <w:vAlign w:val="center"/>
          </w:tcPr>
          <w:p w14:paraId="4AB0CE79" w14:textId="77777777"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7BEDE4F9"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70762FAC"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095FE9FD" w14:textId="77777777" w:rsidTr="00CE6133">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5533A84F"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обследване за установяване на техническите характеристики и технически паспорт</w:t>
            </w:r>
          </w:p>
        </w:tc>
        <w:tc>
          <w:tcPr>
            <w:tcW w:w="2693" w:type="dxa"/>
            <w:tcBorders>
              <w:top w:val="nil"/>
              <w:left w:val="nil"/>
              <w:bottom w:val="single" w:sz="4" w:space="0" w:color="auto"/>
              <w:right w:val="single" w:sz="4" w:space="0" w:color="auto"/>
            </w:tcBorders>
            <w:shd w:val="clear" w:color="000000" w:fill="C5D9F1"/>
            <w:noWrap/>
            <w:vAlign w:val="center"/>
          </w:tcPr>
          <w:p w14:paraId="39CCBC5D" w14:textId="77777777"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7E62FCAB"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368437DD"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60C566C9" w14:textId="77777777" w:rsidTr="00CE6133">
        <w:trPr>
          <w:trHeight w:val="300"/>
        </w:trPr>
        <w:tc>
          <w:tcPr>
            <w:tcW w:w="3970" w:type="dxa"/>
            <w:tcBorders>
              <w:top w:val="single" w:sz="4" w:space="0" w:color="auto"/>
              <w:left w:val="single" w:sz="4" w:space="0" w:color="auto"/>
              <w:bottom w:val="single" w:sz="4" w:space="0" w:color="auto"/>
              <w:right w:val="nil"/>
            </w:tcBorders>
            <w:shd w:val="clear" w:color="000000" w:fill="FFFF99"/>
            <w:noWrap/>
            <w:vAlign w:val="center"/>
            <w:hideMark/>
          </w:tcPr>
          <w:p w14:paraId="3FA03413" w14:textId="77777777"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 Общ размер на разходите без вкл. ДДС</w:t>
            </w:r>
          </w:p>
        </w:tc>
        <w:tc>
          <w:tcPr>
            <w:tcW w:w="2693"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7FFA9A56"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14:paraId="4BFFC27D"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14:paraId="2DD508F5"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14:paraId="4B767885" w14:textId="77777777" w:rsidTr="00CE6133">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0050750" w14:textId="77777777"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 ДДС</w:t>
            </w:r>
          </w:p>
        </w:tc>
        <w:tc>
          <w:tcPr>
            <w:tcW w:w="2693" w:type="dxa"/>
            <w:tcBorders>
              <w:top w:val="single" w:sz="4" w:space="0" w:color="auto"/>
              <w:left w:val="nil"/>
              <w:bottom w:val="single" w:sz="4" w:space="0" w:color="auto"/>
              <w:right w:val="single" w:sz="4" w:space="0" w:color="auto"/>
            </w:tcBorders>
            <w:shd w:val="clear" w:color="000000" w:fill="FFFF99"/>
            <w:noWrap/>
            <w:vAlign w:val="center"/>
          </w:tcPr>
          <w:p w14:paraId="2BF636D2"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14:paraId="1FA1D6F4"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14:paraId="1EC01F1E"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14:paraId="404018F3" w14:textId="77777777" w:rsidTr="00CE6133">
        <w:trPr>
          <w:trHeight w:val="300"/>
        </w:trPr>
        <w:tc>
          <w:tcPr>
            <w:tcW w:w="3970" w:type="dxa"/>
            <w:tcBorders>
              <w:top w:val="single" w:sz="4" w:space="0" w:color="auto"/>
              <w:left w:val="single" w:sz="4" w:space="0" w:color="auto"/>
              <w:bottom w:val="single" w:sz="4" w:space="0" w:color="auto"/>
              <w:right w:val="nil"/>
            </w:tcBorders>
            <w:shd w:val="clear" w:color="000000" w:fill="FFFF99"/>
            <w:noWrap/>
            <w:vAlign w:val="center"/>
            <w:hideMark/>
          </w:tcPr>
          <w:p w14:paraId="1AFA701E" w14:textId="77777777"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 РАЗМЕР НА РАЗХОДИТЕ С ВКЛ. ДДС</w:t>
            </w:r>
          </w:p>
        </w:tc>
        <w:tc>
          <w:tcPr>
            <w:tcW w:w="2693"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14ABF4A9"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14:paraId="23D5AEFE"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14:paraId="57A71792"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r>
    </w:tbl>
    <w:p w14:paraId="760A051B" w14:textId="77777777" w:rsidR="00CE6133" w:rsidRPr="00CE6133" w:rsidRDefault="00CE6133" w:rsidP="00CE6133">
      <w:pPr>
        <w:spacing w:after="120" w:line="240" w:lineRule="auto"/>
        <w:rPr>
          <w:lang w:val="bg-BG"/>
        </w:rPr>
      </w:pPr>
    </w:p>
    <w:p w14:paraId="7972CD0C" w14:textId="77777777" w:rsidR="00CE6133" w:rsidRPr="00CE6133" w:rsidRDefault="00CE6133" w:rsidP="00CE6133">
      <w:pPr>
        <w:pStyle w:val="ListParagraph"/>
        <w:numPr>
          <w:ilvl w:val="0"/>
          <w:numId w:val="22"/>
        </w:numPr>
        <w:snapToGrid w:val="0"/>
        <w:spacing w:after="120"/>
        <w:ind w:left="360"/>
        <w:jc w:val="both"/>
        <w:rPr>
          <w:b/>
          <w:color w:val="000000" w:themeColor="text1"/>
          <w:lang w:val="bg-BG"/>
        </w:rPr>
      </w:pPr>
      <w:r w:rsidRPr="00CE6133">
        <w:rPr>
          <w:b/>
          <w:color w:val="000000" w:themeColor="text1"/>
          <w:lang w:val="bg-BG"/>
        </w:rPr>
        <w:t>РЕД ЗА ИЗЧИСЛЯВАНЕ НА РАЗХОДИТЕ, ПРИЛОЖИМ КЪМ КОМПОНЕНТ II</w:t>
      </w:r>
    </w:p>
    <w:p w14:paraId="44314975" w14:textId="77777777" w:rsidR="00CE6133" w:rsidRPr="00CE6133" w:rsidRDefault="00CE6133" w:rsidP="00CE6133">
      <w:pPr>
        <w:pStyle w:val="ListParagraph"/>
        <w:spacing w:after="120"/>
        <w:rPr>
          <w:color w:val="000000" w:themeColor="text1"/>
          <w:lang w:val="bg-BG"/>
        </w:rPr>
      </w:pPr>
      <w:r w:rsidRPr="00CE6133">
        <w:rPr>
          <w:color w:val="000000" w:themeColor="text1"/>
          <w:lang w:val="bg-BG"/>
        </w:rPr>
        <w:t>При изчисления на разходите за собственика следва да се спазва следния ред:</w:t>
      </w:r>
    </w:p>
    <w:p w14:paraId="31DBF056" w14:textId="77777777"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самостоятелния обект – подмяна на дограма и дейности в СО, когато това е приложимо.</w:t>
      </w:r>
    </w:p>
    <w:tbl>
      <w:tblPr>
        <w:tblW w:w="11120" w:type="dxa"/>
        <w:tblInd w:w="-781" w:type="dxa"/>
        <w:tblCellMar>
          <w:left w:w="70" w:type="dxa"/>
          <w:right w:w="70" w:type="dxa"/>
        </w:tblCellMar>
        <w:tblLook w:val="04A0" w:firstRow="1" w:lastRow="0" w:firstColumn="1" w:lastColumn="0" w:noHBand="0" w:noVBand="1"/>
      </w:tblPr>
      <w:tblGrid>
        <w:gridCol w:w="3740"/>
        <w:gridCol w:w="1880"/>
        <w:gridCol w:w="1900"/>
        <w:gridCol w:w="1860"/>
        <w:gridCol w:w="1740"/>
      </w:tblGrid>
      <w:tr w:rsidR="00CE6133" w:rsidRPr="00CE6133" w14:paraId="38B9123F" w14:textId="77777777" w:rsidTr="00CE6133">
        <w:trPr>
          <w:trHeight w:val="885"/>
        </w:trPr>
        <w:tc>
          <w:tcPr>
            <w:tcW w:w="374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D9FDD1F"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Разходи</w:t>
            </w:r>
          </w:p>
        </w:tc>
        <w:tc>
          <w:tcPr>
            <w:tcW w:w="1880" w:type="dxa"/>
            <w:tcBorders>
              <w:top w:val="single" w:sz="4" w:space="0" w:color="auto"/>
              <w:left w:val="nil"/>
              <w:bottom w:val="single" w:sz="4" w:space="0" w:color="auto"/>
              <w:right w:val="single" w:sz="4" w:space="0" w:color="auto"/>
            </w:tcBorders>
            <w:shd w:val="clear" w:color="000000" w:fill="C0C0C0"/>
            <w:vAlign w:val="center"/>
            <w:hideMark/>
          </w:tcPr>
          <w:p w14:paraId="58F2CBD9"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Единица мярка</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14:paraId="758318A6"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Количество</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14:paraId="415589D2"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Единична цена в лв. (без вкл. ДДС)</w:t>
            </w:r>
          </w:p>
        </w:tc>
        <w:tc>
          <w:tcPr>
            <w:tcW w:w="1740" w:type="dxa"/>
            <w:tcBorders>
              <w:top w:val="single" w:sz="4" w:space="0" w:color="auto"/>
              <w:left w:val="nil"/>
              <w:bottom w:val="single" w:sz="4" w:space="0" w:color="auto"/>
              <w:right w:val="single" w:sz="4" w:space="0" w:color="auto"/>
            </w:tcBorders>
            <w:shd w:val="clear" w:color="000000" w:fill="C0C0C0"/>
            <w:vAlign w:val="center"/>
            <w:hideMark/>
          </w:tcPr>
          <w:p w14:paraId="09951E53" w14:textId="77777777" w:rsidR="00CE6133" w:rsidRPr="00CE6133" w:rsidRDefault="00CE6133" w:rsidP="00A30C49">
            <w:pPr>
              <w:spacing w:after="120" w:line="240" w:lineRule="auto"/>
              <w:jc w:val="center"/>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Обща цена в лв. (без вкл. ДДС)</w:t>
            </w:r>
          </w:p>
        </w:tc>
      </w:tr>
      <w:tr w:rsidR="00CE6133" w:rsidRPr="00CE6133" w14:paraId="24B4DA8D" w14:textId="77777777" w:rsidTr="00CE6133">
        <w:trPr>
          <w:trHeight w:val="240"/>
        </w:trPr>
        <w:tc>
          <w:tcPr>
            <w:tcW w:w="3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FDC84A"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2</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14:paraId="58F98AB6"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3</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14:paraId="784B3B0F"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4</w:t>
            </w:r>
          </w:p>
        </w:tc>
        <w:tc>
          <w:tcPr>
            <w:tcW w:w="1860" w:type="dxa"/>
            <w:tcBorders>
              <w:top w:val="single" w:sz="4" w:space="0" w:color="auto"/>
              <w:left w:val="nil"/>
              <w:bottom w:val="single" w:sz="4" w:space="0" w:color="auto"/>
              <w:right w:val="single" w:sz="4" w:space="0" w:color="auto"/>
            </w:tcBorders>
            <w:shd w:val="clear" w:color="000000" w:fill="D9D9D9"/>
            <w:vAlign w:val="center"/>
            <w:hideMark/>
          </w:tcPr>
          <w:p w14:paraId="7925B192"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5</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361A2972"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16"/>
                <w:szCs w:val="16"/>
                <w:lang w:val="bg-BG" w:eastAsia="bg-BG"/>
              </w:rPr>
              <w:t>6=4х5</w:t>
            </w:r>
          </w:p>
        </w:tc>
      </w:tr>
      <w:tr w:rsidR="00CE6133" w:rsidRPr="00CE6133" w14:paraId="22849F92" w14:textId="77777777" w:rsidTr="00CE6133">
        <w:trPr>
          <w:trHeight w:val="240"/>
        </w:trPr>
        <w:tc>
          <w:tcPr>
            <w:tcW w:w="3740" w:type="dxa"/>
            <w:tcBorders>
              <w:top w:val="single" w:sz="4" w:space="0" w:color="auto"/>
              <w:left w:val="single" w:sz="4" w:space="0" w:color="auto"/>
              <w:bottom w:val="single" w:sz="4" w:space="0" w:color="auto"/>
              <w:right w:val="single" w:sz="4" w:space="0" w:color="auto"/>
            </w:tcBorders>
            <w:shd w:val="clear" w:color="000000" w:fill="D9D9D9"/>
            <w:vAlign w:val="center"/>
          </w:tcPr>
          <w:p w14:paraId="4931086C"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r w:rsidRPr="00CE6133">
              <w:rPr>
                <w:rFonts w:ascii="Times New Roman" w:eastAsia="Times New Roman" w:hAnsi="Times New Roman"/>
                <w:b/>
                <w:bCs/>
                <w:sz w:val="20"/>
                <w:szCs w:val="20"/>
                <w:lang w:val="bg-BG" w:eastAsia="bg-BG"/>
              </w:rPr>
              <w:lastRenderedPageBreak/>
              <w:t xml:space="preserve">СОБСТВЕНИК: (име и фамилия), вх. …, ет. …, ап. …, </w:t>
            </w:r>
          </w:p>
        </w:tc>
        <w:tc>
          <w:tcPr>
            <w:tcW w:w="1880" w:type="dxa"/>
            <w:tcBorders>
              <w:top w:val="single" w:sz="4" w:space="0" w:color="auto"/>
              <w:left w:val="nil"/>
              <w:bottom w:val="single" w:sz="4" w:space="0" w:color="auto"/>
              <w:right w:val="single" w:sz="4" w:space="0" w:color="auto"/>
            </w:tcBorders>
            <w:shd w:val="clear" w:color="000000" w:fill="D9D9D9"/>
            <w:vAlign w:val="center"/>
          </w:tcPr>
          <w:p w14:paraId="791CEFB9"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900" w:type="dxa"/>
            <w:tcBorders>
              <w:top w:val="single" w:sz="4" w:space="0" w:color="auto"/>
              <w:left w:val="nil"/>
              <w:bottom w:val="single" w:sz="4" w:space="0" w:color="auto"/>
              <w:right w:val="single" w:sz="4" w:space="0" w:color="auto"/>
            </w:tcBorders>
            <w:shd w:val="clear" w:color="000000" w:fill="D9D9D9"/>
            <w:vAlign w:val="center"/>
          </w:tcPr>
          <w:p w14:paraId="662579E6"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860" w:type="dxa"/>
            <w:tcBorders>
              <w:top w:val="single" w:sz="4" w:space="0" w:color="auto"/>
              <w:left w:val="nil"/>
              <w:bottom w:val="single" w:sz="4" w:space="0" w:color="auto"/>
              <w:right w:val="single" w:sz="4" w:space="0" w:color="auto"/>
            </w:tcBorders>
            <w:shd w:val="clear" w:color="000000" w:fill="D9D9D9"/>
            <w:vAlign w:val="center"/>
          </w:tcPr>
          <w:p w14:paraId="46C269C3"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c>
          <w:tcPr>
            <w:tcW w:w="1740" w:type="dxa"/>
            <w:tcBorders>
              <w:top w:val="single" w:sz="4" w:space="0" w:color="auto"/>
              <w:left w:val="nil"/>
              <w:bottom w:val="single" w:sz="4" w:space="0" w:color="auto"/>
              <w:right w:val="single" w:sz="4" w:space="0" w:color="auto"/>
            </w:tcBorders>
            <w:shd w:val="clear" w:color="000000" w:fill="D9D9D9"/>
            <w:vAlign w:val="center"/>
          </w:tcPr>
          <w:p w14:paraId="2B602553" w14:textId="77777777" w:rsidR="00CE6133" w:rsidRPr="00CE6133" w:rsidRDefault="00CE6133" w:rsidP="00A30C49">
            <w:pPr>
              <w:spacing w:after="120" w:line="240" w:lineRule="auto"/>
              <w:jc w:val="center"/>
              <w:rPr>
                <w:rFonts w:ascii="Times New Roman" w:eastAsia="Times New Roman" w:hAnsi="Times New Roman"/>
                <w:b/>
                <w:bCs/>
                <w:sz w:val="16"/>
                <w:szCs w:val="16"/>
                <w:lang w:val="bg-BG" w:eastAsia="bg-BG"/>
              </w:rPr>
            </w:pPr>
          </w:p>
        </w:tc>
      </w:tr>
      <w:tr w:rsidR="00CE6133" w:rsidRPr="00CE6133" w14:paraId="7902F284" w14:textId="77777777"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A6347"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Разходи за подмяна на дограма по апартамент</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EEF8052"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051AA85A"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AB94103"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sz w:val="20"/>
                <w:szCs w:val="20"/>
                <w:lang w:val="bg-BG" w:eastAsia="bg-BG"/>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FFFF265"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r w:rsidRPr="00CE6133">
              <w:rPr>
                <w:rFonts w:ascii="Times New Roman" w:eastAsia="Times New Roman" w:hAnsi="Times New Roman"/>
                <w:sz w:val="20"/>
                <w:szCs w:val="20"/>
                <w:lang w:val="bg-BG" w:eastAsia="bg-BG"/>
              </w:rPr>
              <w:t> </w:t>
            </w:r>
          </w:p>
        </w:tc>
      </w:tr>
      <w:tr w:rsidR="00CE6133" w:rsidRPr="00CE6133" w14:paraId="1685C122" w14:textId="77777777"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14:paraId="011EAC64"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Дейности в СО</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0C82450"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6925DC70"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6C86B60C"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0702EE89"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14:paraId="35D18817" w14:textId="77777777"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14:paraId="244EF425"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3F8EB2A"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7F6254D0"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A5CB65B"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1CCB892"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14:paraId="13DA19FB" w14:textId="77777777" w:rsidTr="00CE6133">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14:paraId="425EA609" w14:textId="77777777" w:rsidR="00CE6133" w:rsidRPr="00CE6133" w:rsidRDefault="00CE6133" w:rsidP="00A30C49">
            <w:pPr>
              <w:spacing w:after="120" w:line="240" w:lineRule="auto"/>
              <w:rPr>
                <w:rFonts w:ascii="Times New Roman" w:eastAsia="Times New Roman" w:hAnsi="Times New Roman"/>
                <w:b/>
                <w:bCs/>
                <w:iCs/>
                <w:sz w:val="20"/>
                <w:szCs w:val="20"/>
                <w:lang w:val="bg-BG" w:eastAsia="bg-BG"/>
              </w:rPr>
            </w:pPr>
            <w:r w:rsidRPr="00CE6133">
              <w:rPr>
                <w:rFonts w:ascii="Times New Roman" w:eastAsia="Times New Roman" w:hAnsi="Times New Roman"/>
                <w:b/>
                <w:bCs/>
                <w:iCs/>
                <w:sz w:val="20"/>
                <w:szCs w:val="20"/>
                <w:lang w:val="bg-BG" w:eastAsia="bg-BG"/>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44146C47"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5E8AC4CB"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0CAC9A42"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4A688C7" w14:textId="77777777" w:rsidR="00CE6133" w:rsidRPr="00CE6133" w:rsidRDefault="00CE6133" w:rsidP="00A30C49">
            <w:pPr>
              <w:spacing w:after="120" w:line="240" w:lineRule="auto"/>
              <w:rPr>
                <w:rFonts w:ascii="Times New Roman" w:eastAsia="Times New Roman" w:hAnsi="Times New Roman"/>
                <w:sz w:val="20"/>
                <w:szCs w:val="20"/>
                <w:lang w:val="bg-BG" w:eastAsia="bg-BG"/>
              </w:rPr>
            </w:pPr>
          </w:p>
        </w:tc>
      </w:tr>
      <w:tr w:rsidR="00CE6133" w:rsidRPr="00CE6133" w14:paraId="4A70A014" w14:textId="77777777" w:rsidTr="00CE6133">
        <w:trPr>
          <w:trHeight w:val="540"/>
        </w:trPr>
        <w:tc>
          <w:tcPr>
            <w:tcW w:w="9380" w:type="dxa"/>
            <w:gridSpan w:val="4"/>
            <w:tcBorders>
              <w:top w:val="single" w:sz="4" w:space="0" w:color="auto"/>
              <w:left w:val="single" w:sz="4" w:space="0" w:color="auto"/>
              <w:bottom w:val="single" w:sz="4" w:space="0" w:color="auto"/>
              <w:right w:val="single" w:sz="4" w:space="0" w:color="auto"/>
            </w:tcBorders>
            <w:shd w:val="clear" w:color="000000" w:fill="CCFFCC"/>
            <w:vAlign w:val="center"/>
            <w:hideMark/>
          </w:tcPr>
          <w:p w14:paraId="312363F0"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без вкл. 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BDB90B"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14:paraId="5A772B9D" w14:textId="77777777" w:rsidTr="00CE6133">
        <w:trPr>
          <w:trHeight w:val="540"/>
        </w:trPr>
        <w:tc>
          <w:tcPr>
            <w:tcW w:w="9380" w:type="dxa"/>
            <w:gridSpan w:val="4"/>
            <w:tcBorders>
              <w:top w:val="single" w:sz="4" w:space="0" w:color="auto"/>
              <w:left w:val="single" w:sz="4" w:space="0" w:color="auto"/>
              <w:bottom w:val="single" w:sz="4" w:space="0" w:color="auto"/>
              <w:right w:val="single" w:sz="4" w:space="0" w:color="auto"/>
            </w:tcBorders>
            <w:shd w:val="clear" w:color="000000" w:fill="CCFFCC"/>
            <w:vAlign w:val="center"/>
            <w:hideMark/>
          </w:tcPr>
          <w:p w14:paraId="5DBA0B3C" w14:textId="77777777" w:rsidR="00CE6133" w:rsidRPr="00CE6133" w:rsidRDefault="00CE6133" w:rsidP="00A30C49">
            <w:pPr>
              <w:spacing w:after="120" w:line="240" w:lineRule="auto"/>
              <w:jc w:val="right"/>
              <w:rPr>
                <w:rFonts w:ascii="Times New Roman" w:eastAsia="Times New Roman" w:hAnsi="Times New Roman"/>
                <w:b/>
                <w:bCs/>
                <w:lang w:val="bg-BG" w:eastAsia="bg-BG"/>
              </w:rPr>
            </w:pPr>
            <w:r w:rsidRPr="00CE6133">
              <w:rPr>
                <w:rFonts w:ascii="Times New Roman" w:eastAsia="Times New Roman" w:hAnsi="Times New Roman"/>
                <w:b/>
                <w:bCs/>
                <w:lang w:val="bg-BG" w:eastAsia="bg-BG"/>
              </w:rPr>
              <w:t>ДДС:</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4DF32F"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r w:rsidR="00CE6133" w:rsidRPr="00CE6133" w14:paraId="517CA65C" w14:textId="77777777" w:rsidTr="00CE6133">
        <w:trPr>
          <w:trHeight w:val="540"/>
        </w:trPr>
        <w:tc>
          <w:tcPr>
            <w:tcW w:w="9380" w:type="dxa"/>
            <w:gridSpan w:val="4"/>
            <w:tcBorders>
              <w:top w:val="single" w:sz="4" w:space="0" w:color="auto"/>
              <w:left w:val="single" w:sz="4" w:space="0" w:color="auto"/>
              <w:bottom w:val="single" w:sz="4" w:space="0" w:color="auto"/>
              <w:right w:val="single" w:sz="4" w:space="0" w:color="auto"/>
            </w:tcBorders>
            <w:shd w:val="clear" w:color="000000" w:fill="CCFFCC"/>
            <w:vAlign w:val="center"/>
          </w:tcPr>
          <w:p w14:paraId="28D10233"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r w:rsidRPr="00CE6133">
              <w:rPr>
                <w:rFonts w:ascii="Times New Roman" w:eastAsia="Times New Roman" w:hAnsi="Times New Roman"/>
                <w:b/>
                <w:bCs/>
                <w:lang w:val="bg-BG" w:eastAsia="bg-BG"/>
              </w:rPr>
              <w:t>ОБЩ РАЗМЕР НА РАЗХОДИТЕ С ВКЛ. ДДС</w:t>
            </w:r>
            <w:r w:rsidRPr="00CE6133">
              <w:rPr>
                <w:rFonts w:ascii="Times New Roman" w:eastAsia="Times New Roman" w:hAnsi="Times New Roman"/>
                <w:b/>
                <w:bCs/>
                <w:sz w:val="20"/>
                <w:szCs w:val="20"/>
                <w:lang w:val="bg-BG" w:eastAsia="bg-BG"/>
              </w:rPr>
              <w:t>:</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54E2209" w14:textId="77777777" w:rsidR="00CE6133" w:rsidRPr="00CE6133" w:rsidRDefault="00CE6133" w:rsidP="00A30C49">
            <w:pPr>
              <w:spacing w:after="120" w:line="240" w:lineRule="auto"/>
              <w:jc w:val="right"/>
              <w:rPr>
                <w:rFonts w:ascii="Times New Roman" w:eastAsia="Times New Roman" w:hAnsi="Times New Roman"/>
                <w:b/>
                <w:bCs/>
                <w:sz w:val="20"/>
                <w:szCs w:val="20"/>
                <w:lang w:val="bg-BG" w:eastAsia="bg-BG"/>
              </w:rPr>
            </w:pPr>
          </w:p>
        </w:tc>
      </w:tr>
    </w:tbl>
    <w:p w14:paraId="3606F143" w14:textId="77777777" w:rsidR="00CE6133" w:rsidRPr="00CE6133" w:rsidRDefault="00CE6133" w:rsidP="00CE6133">
      <w:pPr>
        <w:spacing w:after="120" w:line="240" w:lineRule="auto"/>
        <w:rPr>
          <w:lang w:val="bg-BG"/>
        </w:rPr>
      </w:pPr>
    </w:p>
    <w:p w14:paraId="43626903" w14:textId="77777777"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Изчисляване на разходи за общите части</w:t>
      </w:r>
    </w:p>
    <w:tbl>
      <w:tblPr>
        <w:tblW w:w="10522" w:type="dxa"/>
        <w:tblInd w:w="-781" w:type="dxa"/>
        <w:tblCellMar>
          <w:left w:w="70" w:type="dxa"/>
          <w:right w:w="70" w:type="dxa"/>
        </w:tblCellMar>
        <w:tblLook w:val="04A0" w:firstRow="1" w:lastRow="0" w:firstColumn="1" w:lastColumn="0" w:noHBand="0" w:noVBand="1"/>
      </w:tblPr>
      <w:tblGrid>
        <w:gridCol w:w="3833"/>
        <w:gridCol w:w="2409"/>
        <w:gridCol w:w="1940"/>
        <w:gridCol w:w="2340"/>
      </w:tblGrid>
      <w:tr w:rsidR="00CE6133" w:rsidRPr="00CE6133" w14:paraId="4975A4FA" w14:textId="77777777" w:rsidTr="00CE6133">
        <w:trPr>
          <w:trHeight w:val="1800"/>
        </w:trPr>
        <w:tc>
          <w:tcPr>
            <w:tcW w:w="383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3163717B"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Разходи</w:t>
            </w:r>
          </w:p>
        </w:tc>
        <w:tc>
          <w:tcPr>
            <w:tcW w:w="2409" w:type="dxa"/>
            <w:vMerge w:val="restart"/>
            <w:tcBorders>
              <w:top w:val="single" w:sz="4" w:space="0" w:color="auto"/>
              <w:left w:val="nil"/>
              <w:right w:val="single" w:sz="4" w:space="0" w:color="auto"/>
            </w:tcBorders>
            <w:shd w:val="clear" w:color="000000" w:fill="C0C0C0"/>
            <w:vAlign w:val="center"/>
            <w:hideMark/>
          </w:tcPr>
          <w:p w14:paraId="4F0549E8"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идеални части по справка за ССО, представен в абсолютна стойност</w:t>
            </w:r>
          </w:p>
        </w:tc>
        <w:tc>
          <w:tcPr>
            <w:tcW w:w="1940" w:type="dxa"/>
            <w:tcBorders>
              <w:top w:val="single" w:sz="4" w:space="0" w:color="auto"/>
              <w:left w:val="nil"/>
              <w:bottom w:val="single" w:sz="4" w:space="0" w:color="auto"/>
              <w:right w:val="single" w:sz="4" w:space="0" w:color="auto"/>
            </w:tcBorders>
            <w:shd w:val="clear" w:color="000000" w:fill="C0C0C0"/>
            <w:vAlign w:val="center"/>
            <w:hideMark/>
          </w:tcPr>
          <w:p w14:paraId="18F13B66"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Обща стойност на дейността (ІI)</w:t>
            </w:r>
          </w:p>
        </w:tc>
        <w:tc>
          <w:tcPr>
            <w:tcW w:w="2340" w:type="dxa"/>
            <w:tcBorders>
              <w:top w:val="single" w:sz="4" w:space="0" w:color="auto"/>
              <w:left w:val="nil"/>
              <w:bottom w:val="single" w:sz="4" w:space="0" w:color="auto"/>
              <w:right w:val="single" w:sz="4" w:space="0" w:color="auto"/>
            </w:tcBorders>
            <w:shd w:val="clear" w:color="000000" w:fill="C0C0C0"/>
            <w:vAlign w:val="center"/>
            <w:hideMark/>
          </w:tcPr>
          <w:p w14:paraId="79808407"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Стойност за ССО</w:t>
            </w:r>
          </w:p>
          <w:p w14:paraId="525607CA"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(І*ІІ)</w:t>
            </w:r>
          </w:p>
        </w:tc>
      </w:tr>
      <w:tr w:rsidR="00CE6133" w:rsidRPr="00CE6133" w14:paraId="28141C53" w14:textId="77777777" w:rsidTr="00CE6133">
        <w:trPr>
          <w:trHeight w:val="728"/>
        </w:trPr>
        <w:tc>
          <w:tcPr>
            <w:tcW w:w="3833" w:type="dxa"/>
            <w:vMerge/>
            <w:tcBorders>
              <w:top w:val="single" w:sz="4" w:space="0" w:color="auto"/>
              <w:left w:val="single" w:sz="4" w:space="0" w:color="auto"/>
              <w:bottom w:val="single" w:sz="4" w:space="0" w:color="000000"/>
              <w:right w:val="single" w:sz="4" w:space="0" w:color="auto"/>
            </w:tcBorders>
            <w:vAlign w:val="center"/>
            <w:hideMark/>
          </w:tcPr>
          <w:p w14:paraId="4146E76F" w14:textId="77777777" w:rsidR="00CE6133" w:rsidRPr="00CE6133" w:rsidRDefault="00CE6133" w:rsidP="00A30C49">
            <w:pPr>
              <w:spacing w:after="120" w:line="240" w:lineRule="auto"/>
              <w:rPr>
                <w:rFonts w:ascii="Times New Roman" w:eastAsia="Times New Roman" w:hAnsi="Times New Roman"/>
                <w:b/>
                <w:bCs/>
                <w:lang w:val="bg-BG" w:eastAsia="bg-BG"/>
              </w:rPr>
            </w:pPr>
          </w:p>
        </w:tc>
        <w:tc>
          <w:tcPr>
            <w:tcW w:w="2409" w:type="dxa"/>
            <w:vMerge/>
            <w:tcBorders>
              <w:left w:val="single" w:sz="4" w:space="0" w:color="auto"/>
              <w:bottom w:val="single" w:sz="4" w:space="0" w:color="000000"/>
              <w:right w:val="single" w:sz="4" w:space="0" w:color="auto"/>
            </w:tcBorders>
            <w:shd w:val="clear" w:color="000000" w:fill="C0C0C0"/>
            <w:vAlign w:val="center"/>
            <w:hideMark/>
          </w:tcPr>
          <w:p w14:paraId="58295448"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p>
        </w:tc>
        <w:tc>
          <w:tcPr>
            <w:tcW w:w="1940" w:type="dxa"/>
            <w:tcBorders>
              <w:top w:val="nil"/>
              <w:left w:val="single" w:sz="4" w:space="0" w:color="auto"/>
              <w:bottom w:val="single" w:sz="4" w:space="0" w:color="000000"/>
              <w:right w:val="single" w:sz="4" w:space="0" w:color="auto"/>
            </w:tcBorders>
            <w:shd w:val="clear" w:color="000000" w:fill="C0C0C0"/>
            <w:vAlign w:val="center"/>
            <w:hideMark/>
          </w:tcPr>
          <w:p w14:paraId="44932885"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c>
          <w:tcPr>
            <w:tcW w:w="2340" w:type="dxa"/>
            <w:tcBorders>
              <w:top w:val="nil"/>
              <w:left w:val="single" w:sz="4" w:space="0" w:color="auto"/>
              <w:bottom w:val="single" w:sz="4" w:space="0" w:color="000000"/>
              <w:right w:val="single" w:sz="4" w:space="0" w:color="auto"/>
            </w:tcBorders>
            <w:shd w:val="clear" w:color="000000" w:fill="C0C0C0"/>
            <w:vAlign w:val="center"/>
            <w:hideMark/>
          </w:tcPr>
          <w:p w14:paraId="5C865267" w14:textId="77777777" w:rsidR="00CE6133" w:rsidRPr="00CE6133" w:rsidRDefault="00CE6133" w:rsidP="00A30C49">
            <w:pPr>
              <w:spacing w:after="120" w:line="240" w:lineRule="auto"/>
              <w:jc w:val="center"/>
              <w:rPr>
                <w:rFonts w:ascii="Times New Roman" w:eastAsia="Times New Roman" w:hAnsi="Times New Roman"/>
                <w:b/>
                <w:bCs/>
                <w:lang w:val="bg-BG" w:eastAsia="bg-BG"/>
              </w:rPr>
            </w:pPr>
            <w:r w:rsidRPr="00CE6133">
              <w:rPr>
                <w:rFonts w:ascii="Times New Roman" w:eastAsia="Times New Roman" w:hAnsi="Times New Roman"/>
                <w:b/>
                <w:bCs/>
                <w:lang w:val="bg-BG" w:eastAsia="bg-BG"/>
              </w:rPr>
              <w:t xml:space="preserve">Разходи, лева </w:t>
            </w:r>
          </w:p>
        </w:tc>
      </w:tr>
      <w:tr w:rsidR="00CE6133" w:rsidRPr="00CE6133" w14:paraId="4747E0C9" w14:textId="77777777" w:rsidTr="00CE6133">
        <w:trPr>
          <w:trHeight w:val="375"/>
        </w:trPr>
        <w:tc>
          <w:tcPr>
            <w:tcW w:w="3833" w:type="dxa"/>
            <w:tcBorders>
              <w:top w:val="nil"/>
              <w:left w:val="single" w:sz="4" w:space="0" w:color="auto"/>
              <w:bottom w:val="single" w:sz="4" w:space="0" w:color="auto"/>
              <w:right w:val="single" w:sz="4" w:space="0" w:color="auto"/>
            </w:tcBorders>
            <w:shd w:val="clear" w:color="000000" w:fill="D9D9D9"/>
            <w:vAlign w:val="center"/>
            <w:hideMark/>
          </w:tcPr>
          <w:p w14:paraId="268F6D00"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1</w:t>
            </w:r>
          </w:p>
        </w:tc>
        <w:tc>
          <w:tcPr>
            <w:tcW w:w="2409" w:type="dxa"/>
            <w:tcBorders>
              <w:top w:val="nil"/>
              <w:left w:val="nil"/>
              <w:bottom w:val="single" w:sz="4" w:space="0" w:color="auto"/>
              <w:right w:val="single" w:sz="4" w:space="0" w:color="auto"/>
            </w:tcBorders>
            <w:shd w:val="clear" w:color="000000" w:fill="D9D9D9"/>
            <w:vAlign w:val="center"/>
            <w:hideMark/>
          </w:tcPr>
          <w:p w14:paraId="67557276"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2</w:t>
            </w:r>
          </w:p>
        </w:tc>
        <w:tc>
          <w:tcPr>
            <w:tcW w:w="1940" w:type="dxa"/>
            <w:tcBorders>
              <w:top w:val="nil"/>
              <w:left w:val="nil"/>
              <w:bottom w:val="single" w:sz="4" w:space="0" w:color="auto"/>
              <w:right w:val="single" w:sz="4" w:space="0" w:color="auto"/>
            </w:tcBorders>
            <w:shd w:val="clear" w:color="000000" w:fill="D9D9D9"/>
            <w:vAlign w:val="center"/>
            <w:hideMark/>
          </w:tcPr>
          <w:p w14:paraId="5415146C"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3</w:t>
            </w:r>
          </w:p>
        </w:tc>
        <w:tc>
          <w:tcPr>
            <w:tcW w:w="2340" w:type="dxa"/>
            <w:tcBorders>
              <w:top w:val="nil"/>
              <w:left w:val="nil"/>
              <w:bottom w:val="single" w:sz="4" w:space="0" w:color="auto"/>
              <w:right w:val="single" w:sz="4" w:space="0" w:color="auto"/>
            </w:tcBorders>
            <w:shd w:val="clear" w:color="000000" w:fill="D9D9D9"/>
            <w:vAlign w:val="center"/>
            <w:hideMark/>
          </w:tcPr>
          <w:p w14:paraId="47BD613B"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18"/>
                <w:szCs w:val="18"/>
                <w:lang w:val="bg-BG" w:eastAsia="bg-BG"/>
              </w:rPr>
              <w:t>4=2*3</w:t>
            </w:r>
          </w:p>
        </w:tc>
      </w:tr>
      <w:tr w:rsidR="00CE6133" w:rsidRPr="00CE6133" w14:paraId="7F9BFFA6" w14:textId="77777777" w:rsidTr="00CE6133">
        <w:trPr>
          <w:trHeight w:val="375"/>
        </w:trPr>
        <w:tc>
          <w:tcPr>
            <w:tcW w:w="3833" w:type="dxa"/>
            <w:tcBorders>
              <w:top w:val="nil"/>
              <w:left w:val="single" w:sz="4" w:space="0" w:color="auto"/>
              <w:bottom w:val="single" w:sz="4" w:space="0" w:color="auto"/>
              <w:right w:val="single" w:sz="4" w:space="0" w:color="auto"/>
            </w:tcBorders>
            <w:shd w:val="clear" w:color="000000" w:fill="D9D9D9"/>
            <w:vAlign w:val="center"/>
          </w:tcPr>
          <w:p w14:paraId="2B875C62"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r w:rsidRPr="00CE6133">
              <w:rPr>
                <w:rFonts w:ascii="Times New Roman" w:eastAsia="Times New Roman" w:hAnsi="Times New Roman"/>
                <w:b/>
                <w:bCs/>
                <w:sz w:val="20"/>
                <w:szCs w:val="20"/>
                <w:lang w:val="bg-BG" w:eastAsia="bg-BG"/>
              </w:rPr>
              <w:t>СОБСТВЕНИК: (име и фамилия), вх. …, ет. …, ап. …,</w:t>
            </w:r>
          </w:p>
        </w:tc>
        <w:tc>
          <w:tcPr>
            <w:tcW w:w="2409" w:type="dxa"/>
            <w:tcBorders>
              <w:top w:val="nil"/>
              <w:left w:val="nil"/>
              <w:bottom w:val="single" w:sz="4" w:space="0" w:color="auto"/>
              <w:right w:val="single" w:sz="4" w:space="0" w:color="auto"/>
            </w:tcBorders>
            <w:shd w:val="clear" w:color="000000" w:fill="D9D9D9"/>
            <w:vAlign w:val="center"/>
          </w:tcPr>
          <w:p w14:paraId="02EFDB85"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1940" w:type="dxa"/>
            <w:tcBorders>
              <w:top w:val="nil"/>
              <w:left w:val="nil"/>
              <w:bottom w:val="single" w:sz="4" w:space="0" w:color="auto"/>
              <w:right w:val="single" w:sz="4" w:space="0" w:color="auto"/>
            </w:tcBorders>
            <w:shd w:val="clear" w:color="000000" w:fill="D9D9D9"/>
            <w:vAlign w:val="center"/>
          </w:tcPr>
          <w:p w14:paraId="46C52E78"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c>
          <w:tcPr>
            <w:tcW w:w="2340" w:type="dxa"/>
            <w:tcBorders>
              <w:top w:val="nil"/>
              <w:left w:val="nil"/>
              <w:bottom w:val="single" w:sz="4" w:space="0" w:color="auto"/>
              <w:right w:val="single" w:sz="4" w:space="0" w:color="auto"/>
            </w:tcBorders>
            <w:shd w:val="clear" w:color="000000" w:fill="D9D9D9"/>
            <w:vAlign w:val="center"/>
          </w:tcPr>
          <w:p w14:paraId="1594916F" w14:textId="77777777" w:rsidR="00CE6133" w:rsidRPr="00CE6133" w:rsidRDefault="00CE6133" w:rsidP="00A30C49">
            <w:pPr>
              <w:spacing w:after="120" w:line="240" w:lineRule="auto"/>
              <w:jc w:val="center"/>
              <w:rPr>
                <w:rFonts w:ascii="Times New Roman" w:eastAsia="Times New Roman" w:hAnsi="Times New Roman"/>
                <w:b/>
                <w:bCs/>
                <w:sz w:val="18"/>
                <w:szCs w:val="18"/>
                <w:lang w:val="bg-BG" w:eastAsia="bg-BG"/>
              </w:rPr>
            </w:pPr>
          </w:p>
        </w:tc>
      </w:tr>
      <w:tr w:rsidR="00CE6133" w:rsidRPr="00CE6133" w14:paraId="26681EB9" w14:textId="77777777"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EAB8994"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изготвяне на инвестиционен проект</w:t>
            </w:r>
          </w:p>
        </w:tc>
        <w:tc>
          <w:tcPr>
            <w:tcW w:w="2409" w:type="dxa"/>
            <w:tcBorders>
              <w:top w:val="nil"/>
              <w:left w:val="nil"/>
              <w:bottom w:val="single" w:sz="4" w:space="0" w:color="auto"/>
              <w:right w:val="single" w:sz="4" w:space="0" w:color="auto"/>
            </w:tcBorders>
            <w:shd w:val="clear" w:color="000000" w:fill="C5D9F1"/>
            <w:noWrap/>
            <w:vAlign w:val="center"/>
          </w:tcPr>
          <w:p w14:paraId="35C9B96D"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16DB4917"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758FBD8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10946DAA" w14:textId="77777777"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36F57C8"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 xml:space="preserve">Разходи за оценка за съответствието на проекта </w:t>
            </w:r>
          </w:p>
        </w:tc>
        <w:tc>
          <w:tcPr>
            <w:tcW w:w="2409" w:type="dxa"/>
            <w:tcBorders>
              <w:top w:val="nil"/>
              <w:left w:val="nil"/>
              <w:bottom w:val="single" w:sz="4" w:space="0" w:color="auto"/>
              <w:right w:val="single" w:sz="4" w:space="0" w:color="auto"/>
            </w:tcBorders>
            <w:shd w:val="clear" w:color="000000" w:fill="C5D9F1"/>
            <w:noWrap/>
            <w:vAlign w:val="center"/>
          </w:tcPr>
          <w:p w14:paraId="61874C73"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1E8CCBD8"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1A74DEC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02B8EC75" w14:textId="77777777"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tcPr>
          <w:p w14:paraId="293FCAA8"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строителни и монтажни работи (без включена дограма на самия СО и други дейности в СО)</w:t>
            </w:r>
          </w:p>
        </w:tc>
        <w:tc>
          <w:tcPr>
            <w:tcW w:w="2409" w:type="dxa"/>
            <w:tcBorders>
              <w:top w:val="nil"/>
              <w:left w:val="nil"/>
              <w:bottom w:val="single" w:sz="4" w:space="0" w:color="auto"/>
              <w:right w:val="single" w:sz="4" w:space="0" w:color="auto"/>
            </w:tcBorders>
            <w:shd w:val="clear" w:color="000000" w:fill="C5D9F1"/>
            <w:noWrap/>
            <w:vAlign w:val="center"/>
          </w:tcPr>
          <w:p w14:paraId="0F4E55D7"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4B3FE588"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6D5576BC"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3F1C19E7" w14:textId="77777777"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tcPr>
          <w:p w14:paraId="0B53F62F"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Непредвидени разходи (10 % от стойността на разходите за СМР)</w:t>
            </w:r>
          </w:p>
        </w:tc>
        <w:tc>
          <w:tcPr>
            <w:tcW w:w="2409" w:type="dxa"/>
            <w:tcBorders>
              <w:top w:val="nil"/>
              <w:left w:val="nil"/>
              <w:bottom w:val="single" w:sz="4" w:space="0" w:color="auto"/>
              <w:right w:val="single" w:sz="4" w:space="0" w:color="auto"/>
            </w:tcBorders>
            <w:shd w:val="clear" w:color="000000" w:fill="C5D9F1"/>
            <w:noWrap/>
            <w:vAlign w:val="center"/>
          </w:tcPr>
          <w:p w14:paraId="2F182CF7"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4D81B991"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04B8C2F6"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71660709" w14:textId="77777777" w:rsidTr="00CE6133">
        <w:trPr>
          <w:trHeight w:val="300"/>
        </w:trPr>
        <w:tc>
          <w:tcPr>
            <w:tcW w:w="3833" w:type="dxa"/>
            <w:tcBorders>
              <w:top w:val="nil"/>
              <w:left w:val="single" w:sz="4" w:space="0" w:color="auto"/>
              <w:bottom w:val="single" w:sz="4" w:space="0" w:color="auto"/>
              <w:right w:val="single" w:sz="4" w:space="0" w:color="auto"/>
            </w:tcBorders>
            <w:shd w:val="clear" w:color="auto" w:fill="auto"/>
            <w:vAlign w:val="center"/>
          </w:tcPr>
          <w:p w14:paraId="341A9826"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строителен надзор и инвеститорски контрол</w:t>
            </w:r>
          </w:p>
        </w:tc>
        <w:tc>
          <w:tcPr>
            <w:tcW w:w="2409" w:type="dxa"/>
            <w:tcBorders>
              <w:top w:val="nil"/>
              <w:left w:val="nil"/>
              <w:bottom w:val="single" w:sz="4" w:space="0" w:color="auto"/>
              <w:right w:val="single" w:sz="4" w:space="0" w:color="auto"/>
            </w:tcBorders>
            <w:shd w:val="clear" w:color="000000" w:fill="C5D9F1"/>
            <w:noWrap/>
            <w:vAlign w:val="center"/>
          </w:tcPr>
          <w:p w14:paraId="7B4BAC7D"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21252A94"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29DF2A49"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69A721E9" w14:textId="77777777"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228E046"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авторски надзор</w:t>
            </w:r>
          </w:p>
        </w:tc>
        <w:tc>
          <w:tcPr>
            <w:tcW w:w="2409" w:type="dxa"/>
            <w:tcBorders>
              <w:top w:val="nil"/>
              <w:left w:val="nil"/>
              <w:bottom w:val="single" w:sz="4" w:space="0" w:color="auto"/>
              <w:right w:val="single" w:sz="4" w:space="0" w:color="auto"/>
            </w:tcBorders>
            <w:shd w:val="clear" w:color="000000" w:fill="C5D9F1"/>
            <w:noWrap/>
            <w:vAlign w:val="center"/>
          </w:tcPr>
          <w:p w14:paraId="2530CEF3"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5C7FFAF2"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34CAF85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5C0893DB" w14:textId="77777777" w:rsidTr="00CE6133">
        <w:trPr>
          <w:trHeight w:val="8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BCCD9D6"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 xml:space="preserve">Разходи, свързани с набавянето на необходими разрешителни документи, изискващи се от националното законодателство, включително и </w:t>
            </w:r>
            <w:r w:rsidRPr="00CE6133">
              <w:rPr>
                <w:rFonts w:ascii="Times New Roman" w:eastAsia="Times New Roman" w:hAnsi="Times New Roman"/>
                <w:lang w:val="bg-BG" w:eastAsia="bg-BG"/>
              </w:rPr>
              <w:lastRenderedPageBreak/>
              <w:t>свързаните с тях такси, дължими на съответните компетентни органи</w:t>
            </w:r>
          </w:p>
        </w:tc>
        <w:tc>
          <w:tcPr>
            <w:tcW w:w="2409" w:type="dxa"/>
            <w:tcBorders>
              <w:top w:val="nil"/>
              <w:left w:val="nil"/>
              <w:bottom w:val="single" w:sz="4" w:space="0" w:color="auto"/>
              <w:right w:val="single" w:sz="4" w:space="0" w:color="auto"/>
            </w:tcBorders>
            <w:shd w:val="clear" w:color="000000" w:fill="C5D9F1"/>
            <w:noWrap/>
            <w:vAlign w:val="center"/>
          </w:tcPr>
          <w:p w14:paraId="0CCDB9B1"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4B5971B3"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416BB4EC"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535904BB" w14:textId="77777777"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01D1565"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свързани с въвеждането на обекта в експлоатация</w:t>
            </w:r>
          </w:p>
        </w:tc>
        <w:tc>
          <w:tcPr>
            <w:tcW w:w="2409" w:type="dxa"/>
            <w:tcBorders>
              <w:top w:val="nil"/>
              <w:left w:val="nil"/>
              <w:bottom w:val="single" w:sz="4" w:space="0" w:color="auto"/>
              <w:right w:val="single" w:sz="4" w:space="0" w:color="auto"/>
            </w:tcBorders>
            <w:shd w:val="clear" w:color="000000" w:fill="C5D9F1"/>
            <w:noWrap/>
            <w:vAlign w:val="center"/>
          </w:tcPr>
          <w:p w14:paraId="06CA9F8F"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2657D897"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131CCFB5"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7676D37E" w14:textId="77777777" w:rsidTr="00CE6133">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91759B2"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обследване за енергийна ефективност</w:t>
            </w:r>
          </w:p>
        </w:tc>
        <w:tc>
          <w:tcPr>
            <w:tcW w:w="2409" w:type="dxa"/>
            <w:tcBorders>
              <w:top w:val="nil"/>
              <w:left w:val="nil"/>
              <w:bottom w:val="single" w:sz="4" w:space="0" w:color="auto"/>
              <w:right w:val="single" w:sz="4" w:space="0" w:color="auto"/>
            </w:tcBorders>
            <w:shd w:val="clear" w:color="000000" w:fill="C5D9F1"/>
            <w:noWrap/>
            <w:vAlign w:val="center"/>
          </w:tcPr>
          <w:p w14:paraId="2FD8BA63" w14:textId="77777777"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28732EB3"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65D34E7C"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6062361D" w14:textId="77777777" w:rsidTr="00CE6133">
        <w:trPr>
          <w:trHeight w:val="60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79C90EB" w14:textId="77777777" w:rsidR="00CE6133" w:rsidRPr="00CE6133" w:rsidRDefault="00CE6133" w:rsidP="00A30C49">
            <w:pPr>
              <w:spacing w:after="120" w:line="240" w:lineRule="auto"/>
              <w:rPr>
                <w:rFonts w:ascii="Times New Roman" w:eastAsia="Times New Roman" w:hAnsi="Times New Roman"/>
                <w:lang w:val="bg-BG" w:eastAsia="bg-BG"/>
              </w:rPr>
            </w:pPr>
            <w:r w:rsidRPr="00CE6133">
              <w:rPr>
                <w:rFonts w:ascii="Times New Roman" w:eastAsia="Times New Roman" w:hAnsi="Times New Roman"/>
                <w:lang w:val="bg-BG" w:eastAsia="bg-BG"/>
              </w:rPr>
              <w:t>Разходи за обследване за установяване на техническите характеристики и технически паспорт</w:t>
            </w:r>
          </w:p>
        </w:tc>
        <w:tc>
          <w:tcPr>
            <w:tcW w:w="2409" w:type="dxa"/>
            <w:tcBorders>
              <w:top w:val="nil"/>
              <w:left w:val="nil"/>
              <w:bottom w:val="single" w:sz="4" w:space="0" w:color="auto"/>
              <w:right w:val="single" w:sz="4" w:space="0" w:color="auto"/>
            </w:tcBorders>
            <w:shd w:val="clear" w:color="000000" w:fill="C5D9F1"/>
            <w:noWrap/>
            <w:vAlign w:val="center"/>
          </w:tcPr>
          <w:p w14:paraId="5C7062DB" w14:textId="77777777" w:rsidR="00CE6133" w:rsidRPr="00CE6133" w:rsidRDefault="00CE6133" w:rsidP="00A30C49">
            <w:pPr>
              <w:spacing w:after="120" w:line="240" w:lineRule="auto"/>
              <w:rPr>
                <w:rFonts w:ascii="Times New Roman" w:eastAsia="Times New Roman" w:hAnsi="Times New Roman"/>
                <w:lang w:val="bg-BG" w:eastAsia="bg-BG"/>
              </w:rPr>
            </w:pPr>
          </w:p>
        </w:tc>
        <w:tc>
          <w:tcPr>
            <w:tcW w:w="1940" w:type="dxa"/>
            <w:tcBorders>
              <w:top w:val="nil"/>
              <w:left w:val="nil"/>
              <w:bottom w:val="single" w:sz="4" w:space="0" w:color="auto"/>
              <w:right w:val="single" w:sz="4" w:space="0" w:color="auto"/>
            </w:tcBorders>
            <w:shd w:val="clear" w:color="000000" w:fill="C5D9F1"/>
            <w:noWrap/>
            <w:vAlign w:val="center"/>
          </w:tcPr>
          <w:p w14:paraId="5E8D6371" w14:textId="77777777" w:rsidR="00CE6133" w:rsidRPr="00CE6133" w:rsidRDefault="00CE6133" w:rsidP="00A30C49">
            <w:pPr>
              <w:spacing w:after="120" w:line="240" w:lineRule="auto"/>
              <w:jc w:val="right"/>
              <w:rPr>
                <w:rFonts w:ascii="Times New Roman" w:eastAsia="Times New Roman" w:hAnsi="Times New Roman"/>
                <w:lang w:val="bg-BG" w:eastAsia="bg-BG"/>
              </w:rPr>
            </w:pPr>
          </w:p>
        </w:tc>
        <w:tc>
          <w:tcPr>
            <w:tcW w:w="2340" w:type="dxa"/>
            <w:tcBorders>
              <w:top w:val="nil"/>
              <w:left w:val="nil"/>
              <w:bottom w:val="single" w:sz="4" w:space="0" w:color="auto"/>
              <w:right w:val="single" w:sz="4" w:space="0" w:color="auto"/>
            </w:tcBorders>
            <w:shd w:val="clear" w:color="000000" w:fill="FFFF99"/>
            <w:noWrap/>
            <w:vAlign w:val="center"/>
          </w:tcPr>
          <w:p w14:paraId="712CD7DD" w14:textId="77777777" w:rsidR="00CE6133" w:rsidRPr="00CE6133" w:rsidRDefault="00CE6133" w:rsidP="00A30C49">
            <w:pPr>
              <w:spacing w:after="120" w:line="240" w:lineRule="auto"/>
              <w:jc w:val="right"/>
              <w:rPr>
                <w:rFonts w:ascii="Times New Roman" w:eastAsia="Times New Roman" w:hAnsi="Times New Roman"/>
                <w:lang w:val="bg-BG" w:eastAsia="bg-BG"/>
              </w:rPr>
            </w:pPr>
          </w:p>
        </w:tc>
      </w:tr>
      <w:tr w:rsidR="00CE6133" w:rsidRPr="00CE6133" w14:paraId="5DC3C59F" w14:textId="77777777" w:rsidTr="00CE6133">
        <w:trPr>
          <w:trHeight w:val="300"/>
        </w:trPr>
        <w:tc>
          <w:tcPr>
            <w:tcW w:w="3833" w:type="dxa"/>
            <w:tcBorders>
              <w:top w:val="single" w:sz="4" w:space="0" w:color="auto"/>
              <w:left w:val="single" w:sz="4" w:space="0" w:color="auto"/>
              <w:bottom w:val="single" w:sz="4" w:space="0" w:color="auto"/>
              <w:right w:val="nil"/>
            </w:tcBorders>
            <w:shd w:val="clear" w:color="000000" w:fill="FFFF99"/>
            <w:noWrap/>
            <w:vAlign w:val="center"/>
            <w:hideMark/>
          </w:tcPr>
          <w:p w14:paraId="32C2E80D" w14:textId="77777777"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 Общ размер на разходите без вкл. ДДС</w:t>
            </w:r>
          </w:p>
        </w:tc>
        <w:tc>
          <w:tcPr>
            <w:tcW w:w="2409"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7A4D1BAD"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14:paraId="7B2BBDB2"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14:paraId="58194DA0"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14:paraId="45E27CD7" w14:textId="77777777" w:rsidTr="00CE6133">
        <w:trPr>
          <w:trHeight w:val="315"/>
        </w:trPr>
        <w:tc>
          <w:tcPr>
            <w:tcW w:w="383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A813E14" w14:textId="77777777"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ІІ. ДДС</w:t>
            </w:r>
          </w:p>
        </w:tc>
        <w:tc>
          <w:tcPr>
            <w:tcW w:w="2409" w:type="dxa"/>
            <w:tcBorders>
              <w:top w:val="single" w:sz="4" w:space="0" w:color="auto"/>
              <w:left w:val="nil"/>
              <w:bottom w:val="single" w:sz="4" w:space="0" w:color="auto"/>
              <w:right w:val="single" w:sz="4" w:space="0" w:color="auto"/>
            </w:tcBorders>
            <w:shd w:val="clear" w:color="000000" w:fill="FFFF99"/>
            <w:noWrap/>
            <w:vAlign w:val="center"/>
          </w:tcPr>
          <w:p w14:paraId="0B374C87"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14:paraId="637F808D"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14:paraId="2D739331"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r>
      <w:tr w:rsidR="00CE6133" w:rsidRPr="00CE6133" w14:paraId="6F80BE8A" w14:textId="77777777" w:rsidTr="00CE6133">
        <w:trPr>
          <w:trHeight w:val="300"/>
        </w:trPr>
        <w:tc>
          <w:tcPr>
            <w:tcW w:w="3833" w:type="dxa"/>
            <w:tcBorders>
              <w:top w:val="single" w:sz="4" w:space="0" w:color="auto"/>
              <w:left w:val="single" w:sz="4" w:space="0" w:color="auto"/>
              <w:bottom w:val="single" w:sz="4" w:space="0" w:color="auto"/>
              <w:right w:val="nil"/>
            </w:tcBorders>
            <w:shd w:val="clear" w:color="000000" w:fill="FFFF99"/>
            <w:noWrap/>
            <w:vAlign w:val="center"/>
            <w:hideMark/>
          </w:tcPr>
          <w:p w14:paraId="1CDC2D3B" w14:textId="77777777" w:rsidR="00CE6133" w:rsidRPr="00CE6133" w:rsidRDefault="00CE6133" w:rsidP="00A30C49">
            <w:pPr>
              <w:spacing w:after="120" w:line="240" w:lineRule="auto"/>
              <w:rPr>
                <w:rFonts w:ascii="Times New Roman" w:eastAsia="Times New Roman" w:hAnsi="Times New Roman"/>
                <w:b/>
                <w:bCs/>
                <w:lang w:val="bg-BG" w:eastAsia="bg-BG"/>
              </w:rPr>
            </w:pPr>
            <w:r w:rsidRPr="00CE6133">
              <w:rPr>
                <w:rFonts w:ascii="Times New Roman" w:eastAsia="Times New Roman" w:hAnsi="Times New Roman"/>
                <w:b/>
                <w:bCs/>
                <w:lang w:val="bg-BG" w:eastAsia="bg-BG"/>
              </w:rPr>
              <w:t>ОБЩ РАЗМЕР НА РАЗХОДИТЕ С ВКЛ. ДДС</w:t>
            </w:r>
          </w:p>
        </w:tc>
        <w:tc>
          <w:tcPr>
            <w:tcW w:w="2409"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45C00434"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1940" w:type="dxa"/>
            <w:tcBorders>
              <w:top w:val="single" w:sz="4" w:space="0" w:color="auto"/>
              <w:left w:val="nil"/>
              <w:bottom w:val="single" w:sz="4" w:space="0" w:color="auto"/>
              <w:right w:val="single" w:sz="4" w:space="0" w:color="auto"/>
            </w:tcBorders>
            <w:shd w:val="clear" w:color="000000" w:fill="FFFF99"/>
            <w:noWrap/>
            <w:vAlign w:val="center"/>
          </w:tcPr>
          <w:p w14:paraId="726E1B93"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c>
          <w:tcPr>
            <w:tcW w:w="2340" w:type="dxa"/>
            <w:tcBorders>
              <w:top w:val="single" w:sz="4" w:space="0" w:color="auto"/>
              <w:left w:val="nil"/>
              <w:bottom w:val="single" w:sz="4" w:space="0" w:color="auto"/>
              <w:right w:val="single" w:sz="4" w:space="0" w:color="auto"/>
            </w:tcBorders>
            <w:shd w:val="clear" w:color="000000" w:fill="FFFF99"/>
            <w:noWrap/>
            <w:vAlign w:val="center"/>
          </w:tcPr>
          <w:p w14:paraId="0524CAB2" w14:textId="77777777" w:rsidR="00CE6133" w:rsidRPr="00CE6133" w:rsidRDefault="00CE6133" w:rsidP="00A30C49">
            <w:pPr>
              <w:spacing w:after="120" w:line="240" w:lineRule="auto"/>
              <w:jc w:val="right"/>
              <w:rPr>
                <w:rFonts w:ascii="Times New Roman" w:eastAsia="Times New Roman" w:hAnsi="Times New Roman"/>
                <w:b/>
                <w:bCs/>
                <w:lang w:val="bg-BG" w:eastAsia="bg-BG"/>
              </w:rPr>
            </w:pPr>
          </w:p>
        </w:tc>
      </w:tr>
    </w:tbl>
    <w:p w14:paraId="391AB6F5" w14:textId="77777777" w:rsidR="00CE6133" w:rsidRPr="00CE6133" w:rsidRDefault="00CE6133" w:rsidP="00CE6133">
      <w:pPr>
        <w:spacing w:after="120" w:line="240" w:lineRule="auto"/>
        <w:rPr>
          <w:lang w:val="bg-BG"/>
        </w:rPr>
      </w:pPr>
    </w:p>
    <w:p w14:paraId="50E9B489" w14:textId="125F359A" w:rsidR="00CE6133" w:rsidRPr="00CE6133" w:rsidRDefault="00CE6133" w:rsidP="00CE6133">
      <w:pPr>
        <w:pStyle w:val="ListParagraph"/>
        <w:numPr>
          <w:ilvl w:val="1"/>
          <w:numId w:val="22"/>
        </w:numPr>
        <w:snapToGrid w:val="0"/>
        <w:spacing w:after="120"/>
        <w:ind w:left="360"/>
        <w:jc w:val="both"/>
        <w:rPr>
          <w:b/>
          <w:color w:val="000000" w:themeColor="text1"/>
          <w:lang w:val="bg-BG"/>
        </w:rPr>
      </w:pPr>
      <w:r w:rsidRPr="00CE6133">
        <w:rPr>
          <w:b/>
          <w:color w:val="000000" w:themeColor="text1"/>
          <w:lang w:val="bg-BG"/>
        </w:rPr>
        <w:t xml:space="preserve"> Допълнителни условия</w:t>
      </w:r>
    </w:p>
    <w:p w14:paraId="0F454FDE" w14:textId="77777777" w:rsidR="00CE6133" w:rsidRPr="00CE6133" w:rsidRDefault="00CE6133" w:rsidP="00CE6133">
      <w:pPr>
        <w:pStyle w:val="ListParagraph"/>
        <w:snapToGrid w:val="0"/>
        <w:spacing w:after="120"/>
        <w:ind w:left="0"/>
        <w:jc w:val="both"/>
        <w:rPr>
          <w:color w:val="000000" w:themeColor="text1"/>
          <w:lang w:val="bg-BG"/>
        </w:rPr>
      </w:pPr>
      <w:r w:rsidRPr="00CE6133">
        <w:rPr>
          <w:color w:val="000000" w:themeColor="text1"/>
          <w:lang w:val="bg-BG"/>
        </w:rPr>
        <w:t>В случай, че съответният ССО не поиска да покрие определения му дял от обновяването съгласно припадащите му се идеални части от общите в сградата, СС би могло да вземе решение да го покрие като осигурява съответните вноски по графика, описан по-горе.</w:t>
      </w:r>
    </w:p>
    <w:p w14:paraId="7115A713" w14:textId="77777777" w:rsidR="00CE6133" w:rsidRPr="00CE6133" w:rsidRDefault="00CE6133" w:rsidP="00CE6133">
      <w:pPr>
        <w:snapToGrid w:val="0"/>
        <w:spacing w:after="120" w:line="240" w:lineRule="auto"/>
        <w:rPr>
          <w:rFonts w:ascii="Times New Roman" w:hAnsi="Times New Roman"/>
          <w:sz w:val="24"/>
          <w:szCs w:val="24"/>
          <w:lang w:val="bg-BG"/>
        </w:rPr>
      </w:pPr>
    </w:p>
    <w:p w14:paraId="66B78347" w14:textId="77777777" w:rsidR="00364C4D" w:rsidRPr="00CE6133" w:rsidRDefault="00364C4D" w:rsidP="00FF1FAB">
      <w:pPr>
        <w:snapToGrid w:val="0"/>
        <w:spacing w:after="120" w:line="240" w:lineRule="auto"/>
        <w:rPr>
          <w:rFonts w:ascii="Times New Roman" w:hAnsi="Times New Roman"/>
          <w:sz w:val="24"/>
          <w:szCs w:val="24"/>
          <w:lang w:val="bg-BG"/>
        </w:rPr>
      </w:pPr>
    </w:p>
    <w:sectPr w:rsidR="00364C4D" w:rsidRPr="00CE6133" w:rsidSect="0014214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FF00A" w14:textId="77777777" w:rsidR="004E6830" w:rsidRDefault="004E6830" w:rsidP="000C4C4A">
      <w:pPr>
        <w:spacing w:after="0" w:line="240" w:lineRule="auto"/>
      </w:pPr>
      <w:r>
        <w:separator/>
      </w:r>
    </w:p>
  </w:endnote>
  <w:endnote w:type="continuationSeparator" w:id="0">
    <w:p w14:paraId="304A9549" w14:textId="77777777" w:rsidR="004E6830" w:rsidRDefault="004E6830" w:rsidP="000C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79673"/>
      <w:docPartObj>
        <w:docPartGallery w:val="Page Numbers (Bottom of Page)"/>
        <w:docPartUnique/>
      </w:docPartObj>
    </w:sdtPr>
    <w:sdtEndPr>
      <w:rPr>
        <w:rFonts w:ascii="Times New Roman" w:hAnsi="Times New Roman"/>
        <w:b/>
        <w:noProof/>
        <w:sz w:val="16"/>
        <w:szCs w:val="16"/>
      </w:rPr>
    </w:sdtEndPr>
    <w:sdtContent>
      <w:p w14:paraId="241B0A3C" w14:textId="736FBFB6" w:rsidR="00364C4D" w:rsidRPr="001E76AE" w:rsidRDefault="00364C4D">
        <w:pPr>
          <w:pStyle w:val="Footer"/>
          <w:jc w:val="right"/>
          <w:rPr>
            <w:rFonts w:ascii="Times New Roman" w:hAnsi="Times New Roman"/>
            <w:b/>
            <w:sz w:val="16"/>
            <w:szCs w:val="16"/>
          </w:rPr>
        </w:pPr>
        <w:r w:rsidRPr="001E76AE">
          <w:rPr>
            <w:rFonts w:ascii="Times New Roman" w:hAnsi="Times New Roman"/>
            <w:b/>
            <w:sz w:val="16"/>
            <w:szCs w:val="16"/>
          </w:rPr>
          <w:fldChar w:fldCharType="begin"/>
        </w:r>
        <w:r w:rsidRPr="001E76AE">
          <w:rPr>
            <w:rFonts w:ascii="Times New Roman" w:hAnsi="Times New Roman"/>
            <w:b/>
            <w:sz w:val="16"/>
            <w:szCs w:val="16"/>
          </w:rPr>
          <w:instrText xml:space="preserve"> PAGE   \* MERGEFORMAT </w:instrText>
        </w:r>
        <w:r w:rsidRPr="001E76AE">
          <w:rPr>
            <w:rFonts w:ascii="Times New Roman" w:hAnsi="Times New Roman"/>
            <w:b/>
            <w:sz w:val="16"/>
            <w:szCs w:val="16"/>
          </w:rPr>
          <w:fldChar w:fldCharType="separate"/>
        </w:r>
        <w:r w:rsidR="00420884">
          <w:rPr>
            <w:rFonts w:ascii="Times New Roman" w:hAnsi="Times New Roman"/>
            <w:b/>
            <w:noProof/>
            <w:sz w:val="16"/>
            <w:szCs w:val="16"/>
          </w:rPr>
          <w:t>13</w:t>
        </w:r>
        <w:r w:rsidRPr="001E76AE">
          <w:rPr>
            <w:rFonts w:ascii="Times New Roman" w:hAnsi="Times New Roman"/>
            <w:b/>
            <w:noProof/>
            <w:sz w:val="16"/>
            <w:szCs w:val="16"/>
          </w:rPr>
          <w:fldChar w:fldCharType="end"/>
        </w:r>
      </w:p>
    </w:sdtContent>
  </w:sdt>
  <w:p w14:paraId="3C6465DB" w14:textId="77777777" w:rsidR="00364C4D" w:rsidRDefault="0036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919E" w14:textId="77777777" w:rsidR="004E6830" w:rsidRDefault="004E6830" w:rsidP="000C4C4A">
      <w:pPr>
        <w:spacing w:after="0" w:line="240" w:lineRule="auto"/>
      </w:pPr>
      <w:r>
        <w:separator/>
      </w:r>
    </w:p>
  </w:footnote>
  <w:footnote w:type="continuationSeparator" w:id="0">
    <w:p w14:paraId="66F513D3" w14:textId="77777777" w:rsidR="004E6830" w:rsidRDefault="004E6830" w:rsidP="000C4C4A">
      <w:pPr>
        <w:spacing w:after="0" w:line="240" w:lineRule="auto"/>
      </w:pPr>
      <w:r>
        <w:continuationSeparator/>
      </w:r>
    </w:p>
  </w:footnote>
  <w:footnote w:id="1">
    <w:p w14:paraId="600C9797" w14:textId="77777777" w:rsidR="00EE368E" w:rsidRPr="000048D3" w:rsidRDefault="00EE368E" w:rsidP="00EE368E">
      <w:pPr>
        <w:pStyle w:val="FootnoteText"/>
        <w:rPr>
          <w:rFonts w:ascii="Times New Roman" w:hAnsi="Times New Roman"/>
          <w:sz w:val="18"/>
          <w:szCs w:val="18"/>
          <w:lang w:val="bg-BG"/>
        </w:rPr>
      </w:pPr>
      <w:r>
        <w:rPr>
          <w:rStyle w:val="FootnoteReference"/>
        </w:rPr>
        <w:footnoteRef/>
      </w:r>
      <w:r>
        <w:t xml:space="preserve"> </w:t>
      </w:r>
      <w:r w:rsidRPr="000048D3">
        <w:rPr>
          <w:rFonts w:ascii="Times New Roman" w:hAnsi="Times New Roman"/>
          <w:sz w:val="18"/>
          <w:szCs w:val="18"/>
          <w:lang w:val="bg-BG"/>
        </w:rPr>
        <w:t xml:space="preserve">Регламент (ЕС) №1407/2013 на Комисията от 18 декември 2013 г. относно прилагането на членове 107 и 108 от Договора за функциониране на ЕС към помощта </w:t>
      </w:r>
      <w:proofErr w:type="spellStart"/>
      <w:r w:rsidRPr="000048D3">
        <w:rPr>
          <w:rFonts w:ascii="Times New Roman" w:hAnsi="Times New Roman"/>
          <w:sz w:val="18"/>
          <w:szCs w:val="18"/>
          <w:lang w:val="bg-BG"/>
        </w:rPr>
        <w:t>de</w:t>
      </w:r>
      <w:proofErr w:type="spellEnd"/>
      <w:r w:rsidRPr="000048D3">
        <w:rPr>
          <w:rFonts w:ascii="Times New Roman" w:hAnsi="Times New Roman"/>
          <w:sz w:val="18"/>
          <w:szCs w:val="18"/>
          <w:lang w:val="bg-BG"/>
        </w:rPr>
        <w:t xml:space="preserve"> </w:t>
      </w:r>
      <w:proofErr w:type="spellStart"/>
      <w:r w:rsidRPr="000048D3">
        <w:rPr>
          <w:rFonts w:ascii="Times New Roman" w:hAnsi="Times New Roman"/>
          <w:sz w:val="18"/>
          <w:szCs w:val="18"/>
          <w:lang w:val="bg-BG"/>
        </w:rPr>
        <w:t>minimis</w:t>
      </w:r>
      <w:proofErr w:type="spellEnd"/>
      <w:r w:rsidRPr="000048D3">
        <w:rPr>
          <w:rFonts w:ascii="Times New Roman" w:hAnsi="Times New Roman"/>
          <w:sz w:val="18"/>
          <w:szCs w:val="18"/>
          <w:lang w:val="bg-BG"/>
        </w:rPr>
        <w:t xml:space="preserve"> (OB L 352 от 24.12.2013 г.)</w:t>
      </w:r>
    </w:p>
  </w:footnote>
  <w:footnote w:id="2">
    <w:p w14:paraId="5E2070BE" w14:textId="77777777" w:rsidR="00CE6133" w:rsidRPr="0080204A" w:rsidRDefault="00CE6133" w:rsidP="00CE6133">
      <w:pPr>
        <w:pStyle w:val="FootnoteText"/>
        <w:tabs>
          <w:tab w:val="left" w:pos="142"/>
        </w:tabs>
        <w:spacing w:after="120" w:line="240" w:lineRule="auto"/>
        <w:rPr>
          <w:lang w:val="bg-BG"/>
        </w:rPr>
      </w:pPr>
      <w:r w:rsidRPr="0080204A">
        <w:rPr>
          <w:rStyle w:val="FootnoteReference"/>
          <w:lang w:val="bg-BG"/>
        </w:rPr>
        <w:footnoteRef/>
      </w:r>
      <w:r w:rsidRPr="0080204A">
        <w:rPr>
          <w:rFonts w:ascii="Times New Roman" w:hAnsi="Times New Roman"/>
          <w:lang w:val="bg-BG"/>
        </w:rPr>
        <w:t xml:space="preserve"> </w:t>
      </w:r>
      <w:proofErr w:type="spellStart"/>
      <w:r w:rsidRPr="0080204A">
        <w:rPr>
          <w:rFonts w:ascii="Times New Roman" w:hAnsi="Times New Roman"/>
          <w:lang w:val="bg-BG"/>
        </w:rPr>
        <w:t>Case</w:t>
      </w:r>
      <w:proofErr w:type="spellEnd"/>
      <w:r w:rsidRPr="0080204A">
        <w:rPr>
          <w:rFonts w:ascii="Times New Roman" w:hAnsi="Times New Roman"/>
          <w:lang w:val="bg-BG"/>
        </w:rPr>
        <w:t xml:space="preserve"> C-41/90, </w:t>
      </w:r>
      <w:proofErr w:type="spellStart"/>
      <w:r w:rsidRPr="0080204A">
        <w:rPr>
          <w:rFonts w:ascii="Times New Roman" w:hAnsi="Times New Roman"/>
          <w:lang w:val="bg-BG"/>
        </w:rPr>
        <w:t>Klaus</w:t>
      </w:r>
      <w:proofErr w:type="spellEnd"/>
      <w:r w:rsidRPr="0080204A">
        <w:rPr>
          <w:rFonts w:ascii="Times New Roman" w:hAnsi="Times New Roman"/>
          <w:lang w:val="bg-BG"/>
        </w:rPr>
        <w:t xml:space="preserve"> </w:t>
      </w:r>
      <w:proofErr w:type="spellStart"/>
      <w:r w:rsidRPr="0080204A">
        <w:rPr>
          <w:rFonts w:ascii="Times New Roman" w:hAnsi="Times New Roman"/>
          <w:lang w:val="bg-BG"/>
        </w:rPr>
        <w:t>Höfner</w:t>
      </w:r>
      <w:proofErr w:type="spellEnd"/>
      <w:r w:rsidRPr="0080204A">
        <w:rPr>
          <w:rFonts w:ascii="Times New Roman" w:hAnsi="Times New Roman"/>
          <w:lang w:val="bg-BG"/>
        </w:rPr>
        <w:t xml:space="preserve"> </w:t>
      </w:r>
      <w:proofErr w:type="spellStart"/>
      <w:r w:rsidRPr="0080204A">
        <w:rPr>
          <w:rFonts w:ascii="Times New Roman" w:hAnsi="Times New Roman"/>
          <w:lang w:val="bg-BG"/>
        </w:rPr>
        <w:t>and</w:t>
      </w:r>
      <w:proofErr w:type="spellEnd"/>
      <w:r w:rsidRPr="0080204A">
        <w:rPr>
          <w:rFonts w:ascii="Times New Roman" w:hAnsi="Times New Roman"/>
          <w:lang w:val="bg-BG"/>
        </w:rPr>
        <w:t xml:space="preserve"> </w:t>
      </w:r>
      <w:proofErr w:type="spellStart"/>
      <w:r w:rsidRPr="0080204A">
        <w:rPr>
          <w:rFonts w:ascii="Times New Roman" w:hAnsi="Times New Roman"/>
          <w:lang w:val="bg-BG"/>
        </w:rPr>
        <w:t>Fritz</w:t>
      </w:r>
      <w:proofErr w:type="spellEnd"/>
      <w:r w:rsidRPr="0080204A">
        <w:rPr>
          <w:rFonts w:ascii="Times New Roman" w:hAnsi="Times New Roman"/>
          <w:lang w:val="bg-BG"/>
        </w:rPr>
        <w:t xml:space="preserve"> </w:t>
      </w:r>
      <w:proofErr w:type="spellStart"/>
      <w:r w:rsidRPr="0080204A">
        <w:rPr>
          <w:rFonts w:ascii="Times New Roman" w:hAnsi="Times New Roman"/>
          <w:lang w:val="bg-BG"/>
        </w:rPr>
        <w:t>Elser</w:t>
      </w:r>
      <w:proofErr w:type="spellEnd"/>
      <w:r w:rsidRPr="0080204A">
        <w:rPr>
          <w:rFonts w:ascii="Times New Roman" w:hAnsi="Times New Roman"/>
          <w:lang w:val="bg-BG"/>
        </w:rPr>
        <w:t xml:space="preserve"> v. </w:t>
      </w:r>
      <w:proofErr w:type="spellStart"/>
      <w:r w:rsidRPr="0080204A">
        <w:rPr>
          <w:rFonts w:ascii="Times New Roman" w:hAnsi="Times New Roman"/>
          <w:lang w:val="bg-BG"/>
        </w:rPr>
        <w:t>Macrotron</w:t>
      </w:r>
      <w:proofErr w:type="spellEnd"/>
      <w:r w:rsidRPr="0080204A">
        <w:rPr>
          <w:rFonts w:ascii="Times New Roman" w:hAnsi="Times New Roman"/>
          <w:lang w:val="bg-BG"/>
        </w:rPr>
        <w:t xml:space="preserve"> </w:t>
      </w:r>
      <w:proofErr w:type="spellStart"/>
      <w:r w:rsidRPr="0080204A">
        <w:rPr>
          <w:rFonts w:ascii="Times New Roman" w:hAnsi="Times New Roman"/>
          <w:lang w:val="bg-BG"/>
        </w:rPr>
        <w:t>GmbH</w:t>
      </w:r>
      <w:proofErr w:type="spellEnd"/>
      <w:r w:rsidRPr="0080204A">
        <w:rPr>
          <w:rFonts w:ascii="Times New Roman" w:hAnsi="Times New Roman"/>
          <w:lang w:val="bg-BG"/>
        </w:rPr>
        <w:t xml:space="preserve">; </w:t>
      </w:r>
      <w:proofErr w:type="spellStart"/>
      <w:r w:rsidRPr="0080204A">
        <w:rPr>
          <w:rFonts w:ascii="Times New Roman" w:hAnsi="Times New Roman"/>
          <w:lang w:val="bg-BG"/>
        </w:rPr>
        <w:t>Case</w:t>
      </w:r>
      <w:proofErr w:type="spellEnd"/>
      <w:r w:rsidRPr="0080204A">
        <w:rPr>
          <w:rFonts w:ascii="Times New Roman" w:hAnsi="Times New Roman"/>
          <w:lang w:val="bg-BG"/>
        </w:rPr>
        <w:t xml:space="preserve"> C-55/96, </w:t>
      </w:r>
      <w:proofErr w:type="spellStart"/>
      <w:r w:rsidRPr="0080204A">
        <w:rPr>
          <w:rFonts w:ascii="Times New Roman" w:hAnsi="Times New Roman"/>
          <w:lang w:val="bg-BG"/>
        </w:rPr>
        <w:t>Job</w:t>
      </w:r>
      <w:proofErr w:type="spellEnd"/>
      <w:r w:rsidRPr="0080204A">
        <w:rPr>
          <w:rFonts w:ascii="Times New Roman" w:hAnsi="Times New Roman"/>
          <w:lang w:val="bg-BG"/>
        </w:rPr>
        <w:t xml:space="preserve"> </w:t>
      </w:r>
      <w:proofErr w:type="spellStart"/>
      <w:r w:rsidRPr="0080204A">
        <w:rPr>
          <w:rFonts w:ascii="Times New Roman" w:hAnsi="Times New Roman"/>
          <w:lang w:val="bg-BG"/>
        </w:rPr>
        <w:t>Centre</w:t>
      </w:r>
      <w:proofErr w:type="spellEnd"/>
      <w:r w:rsidRPr="0080204A">
        <w:rPr>
          <w:rFonts w:ascii="Times New Roman" w:hAnsi="Times New Roman"/>
          <w:lang w:val="bg-BG"/>
        </w:rPr>
        <w:t xml:space="preserve"> </w:t>
      </w:r>
      <w:proofErr w:type="spellStart"/>
      <w:r w:rsidRPr="0080204A">
        <w:rPr>
          <w:rFonts w:ascii="Times New Roman" w:hAnsi="Times New Roman"/>
          <w:lang w:val="bg-BG"/>
        </w:rPr>
        <w:t>coop</w:t>
      </w:r>
      <w:proofErr w:type="spellEnd"/>
      <w:r w:rsidRPr="0080204A">
        <w:rPr>
          <w:rFonts w:ascii="Times New Roman" w:hAnsi="Times New Roman"/>
          <w:lang w:val="bg-BG"/>
        </w:rPr>
        <w:t xml:space="preserve">. </w:t>
      </w:r>
      <w:proofErr w:type="spellStart"/>
      <w:r w:rsidRPr="0080204A">
        <w:rPr>
          <w:rFonts w:ascii="Times New Roman" w:hAnsi="Times New Roman"/>
          <w:lang w:val="bg-BG"/>
        </w:rPr>
        <w:t>arl</w:t>
      </w:r>
      <w:proofErr w:type="spellEnd"/>
      <w:r w:rsidRPr="0080204A">
        <w:rPr>
          <w:rFonts w:ascii="Times New Roman" w:hAnsi="Times New Roman"/>
          <w:lang w:val="bg-BG"/>
        </w:rPr>
        <w:t>., 1997.</w:t>
      </w:r>
    </w:p>
  </w:footnote>
  <w:footnote w:id="3">
    <w:p w14:paraId="1D9210A7" w14:textId="77777777" w:rsidR="00CE6133" w:rsidRPr="0080204A" w:rsidRDefault="00CE6133" w:rsidP="00CE6133">
      <w:pPr>
        <w:pStyle w:val="FootnoteText"/>
        <w:spacing w:after="120" w:line="240" w:lineRule="auto"/>
        <w:ind w:hanging="142"/>
        <w:jc w:val="both"/>
        <w:rPr>
          <w:rFonts w:ascii="Times New Roman" w:hAnsi="Times New Roman"/>
          <w:lang w:val="bg-BG"/>
        </w:rPr>
      </w:pPr>
      <w:r w:rsidRPr="0080204A">
        <w:rPr>
          <w:rStyle w:val="FootnoteReference"/>
          <w:lang w:val="bg-BG"/>
        </w:rPr>
        <w:footnoteRef/>
      </w:r>
      <w:r w:rsidRPr="0080204A">
        <w:rPr>
          <w:rFonts w:ascii="Times New Roman" w:hAnsi="Times New Roman"/>
          <w:lang w:val="bg-BG"/>
        </w:rPr>
        <w:t xml:space="preserve"> Регламент (ЕО) № 104/2000 на Съвета от 17 декември 1999 година относно общата организация на пазарите на рибни продукти и продукти от </w:t>
      </w:r>
      <w:proofErr w:type="spellStart"/>
      <w:r w:rsidRPr="0080204A">
        <w:rPr>
          <w:rFonts w:ascii="Times New Roman" w:hAnsi="Times New Roman"/>
          <w:lang w:val="bg-BG"/>
        </w:rPr>
        <w:t>аквакултури</w:t>
      </w:r>
      <w:proofErr w:type="spellEnd"/>
      <w:r w:rsidRPr="0080204A">
        <w:rPr>
          <w:rFonts w:ascii="Times New Roman" w:hAnsi="Times New Roman"/>
          <w:lang w:val="bg-BG"/>
        </w:rPr>
        <w:t xml:space="preserve"> (ОВ L 17, 21.1.2000 г., стр. 22).</w:t>
      </w:r>
    </w:p>
  </w:footnote>
  <w:footnote w:id="4">
    <w:p w14:paraId="0795922A" w14:textId="77777777" w:rsidR="00CE6133" w:rsidRPr="0080204A" w:rsidRDefault="00CE6133" w:rsidP="00CE6133">
      <w:pPr>
        <w:pStyle w:val="FootnoteText"/>
        <w:spacing w:after="120" w:line="240" w:lineRule="auto"/>
        <w:ind w:hanging="284"/>
        <w:jc w:val="both"/>
        <w:rPr>
          <w:rFonts w:ascii="Times New Roman" w:hAnsi="Times New Roman"/>
          <w:lang w:val="bg-BG"/>
        </w:rPr>
      </w:pPr>
      <w:r w:rsidRPr="0080204A">
        <w:rPr>
          <w:rStyle w:val="FootnoteReference"/>
          <w:lang w:val="bg-BG"/>
        </w:rPr>
        <w:footnoteRef/>
      </w:r>
      <w:r w:rsidRPr="0080204A">
        <w:rPr>
          <w:rFonts w:ascii="Times New Roman" w:hAnsi="Times New Roman"/>
          <w:lang w:val="bg-BG"/>
        </w:rPr>
        <w:t xml:space="preserve"> </w:t>
      </w:r>
      <w:r w:rsidRPr="0080204A">
        <w:rPr>
          <w:rFonts w:ascii="Times New Roman" w:hAnsi="Times New Roman"/>
          <w:lang w:val="bg-BG"/>
        </w:rPr>
        <w:tab/>
        <w:t>Регламент (ЕС) № 360/2012 на Комисията от 25 април 2012 година относно прилагането на членове 107 и 108 от Договора за функционирането на Европейския съюз към минималната помощ (</w:t>
      </w:r>
      <w:proofErr w:type="spellStart"/>
      <w:r w:rsidRPr="0080204A">
        <w:rPr>
          <w:rFonts w:ascii="Times New Roman" w:hAnsi="Times New Roman"/>
          <w:lang w:val="bg-BG"/>
        </w:rPr>
        <w:t>de</w:t>
      </w:r>
      <w:proofErr w:type="spellEnd"/>
      <w:r w:rsidRPr="0080204A">
        <w:rPr>
          <w:rFonts w:ascii="Times New Roman" w:hAnsi="Times New Roman"/>
          <w:lang w:val="bg-BG"/>
        </w:rPr>
        <w:t xml:space="preserve"> </w:t>
      </w:r>
      <w:proofErr w:type="spellStart"/>
      <w:r w:rsidRPr="0080204A">
        <w:rPr>
          <w:rFonts w:ascii="Times New Roman" w:hAnsi="Times New Roman"/>
          <w:lang w:val="bg-BG"/>
        </w:rPr>
        <w:t>minimis</w:t>
      </w:r>
      <w:proofErr w:type="spellEnd"/>
      <w:r w:rsidRPr="0080204A">
        <w:rPr>
          <w:rFonts w:ascii="Times New Roman" w:hAnsi="Times New Roman"/>
          <w:lang w:val="bg-BG"/>
        </w:rPr>
        <w:t>) за предприятия, предоставящи услуги от общ икономически интерес (ОВ L 114, 26.4.2012 г., стр.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D524" w14:textId="77777777" w:rsidR="008C2A4D" w:rsidRDefault="00420884" w:rsidP="008C2A4D">
    <w:pPr>
      <w:pStyle w:val="Header"/>
      <w:pBdr>
        <w:bottom w:val="single" w:sz="6" w:space="1" w:color="auto"/>
      </w:pBdr>
      <w:ind w:left="-142"/>
      <w:jc w:val="center"/>
      <w:rPr>
        <w:noProof/>
        <w:lang w:val="bg-BG"/>
      </w:rPr>
    </w:pPr>
    <w:sdt>
      <w:sdtPr>
        <w:rPr>
          <w:noProof/>
          <w:lang w:val="bg-BG"/>
        </w:rPr>
        <w:id w:val="-293909597"/>
        <w:docPartObj>
          <w:docPartGallery w:val="Watermarks"/>
          <w:docPartUnique/>
        </w:docPartObj>
      </w:sdtPr>
      <w:sdtEndPr/>
      <w:sdtContent>
        <w:r>
          <w:rPr>
            <w:noProof/>
            <w:lang w:val="bg-BG"/>
          </w:rPr>
          <w:pict w14:anchorId="01D13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9019658" o:spid="_x0000_s2049" type="#_x0000_t136" style="position:absolute;left:0;text-align:left;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sdtContent>
    </w:sdt>
    <w:r w:rsidR="008C2A4D">
      <w:rPr>
        <w:i/>
        <w:iCs/>
        <w:noProof/>
      </w:rPr>
      <w:drawing>
        <wp:inline distT="0" distB="0" distL="0" distR="0" wp14:anchorId="5350F83A" wp14:editId="644FAF7F">
          <wp:extent cx="3019425" cy="828675"/>
          <wp:effectExtent l="0" t="0" r="0" b="0"/>
          <wp:docPr id="2" name="Picture 2" descr="BG 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Финансирано от Европейския съюз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60D"/>
    <w:multiLevelType w:val="hybridMultilevel"/>
    <w:tmpl w:val="00006B89"/>
    <w:lvl w:ilvl="0" w:tplc="0000030A">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292AA71A"/>
    <w:lvl w:ilvl="0" w:tplc="0BCAB2A2">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0C3F59"/>
    <w:multiLevelType w:val="hybridMultilevel"/>
    <w:tmpl w:val="2CD655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pStyle w:val="NumPar2"/>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9" w15:restartNumberingAfterBreak="0">
    <w:nsid w:val="08136ACE"/>
    <w:multiLevelType w:val="hybridMultilevel"/>
    <w:tmpl w:val="800A7420"/>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9565D"/>
    <w:multiLevelType w:val="hybridMultilevel"/>
    <w:tmpl w:val="0E0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566F7"/>
    <w:multiLevelType w:val="multilevel"/>
    <w:tmpl w:val="C568C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6633DD"/>
    <w:multiLevelType w:val="hybridMultilevel"/>
    <w:tmpl w:val="4EA8FDE4"/>
    <w:lvl w:ilvl="0" w:tplc="541C457E">
      <w:start w:val="1"/>
      <w:numFmt w:val="decimal"/>
      <w:lvlText w:val="%1."/>
      <w:lvlJc w:val="left"/>
      <w:pPr>
        <w:ind w:left="366" w:hanging="360"/>
      </w:pPr>
      <w:rPr>
        <w:rFonts w:hint="default"/>
      </w:rPr>
    </w:lvl>
    <w:lvl w:ilvl="1" w:tplc="04020019" w:tentative="1">
      <w:start w:val="1"/>
      <w:numFmt w:val="lowerLetter"/>
      <w:lvlText w:val="%2."/>
      <w:lvlJc w:val="left"/>
      <w:pPr>
        <w:ind w:left="1086" w:hanging="360"/>
      </w:pPr>
    </w:lvl>
    <w:lvl w:ilvl="2" w:tplc="0402001B" w:tentative="1">
      <w:start w:val="1"/>
      <w:numFmt w:val="lowerRoman"/>
      <w:lvlText w:val="%3."/>
      <w:lvlJc w:val="right"/>
      <w:pPr>
        <w:ind w:left="1806" w:hanging="180"/>
      </w:pPr>
    </w:lvl>
    <w:lvl w:ilvl="3" w:tplc="0402000F" w:tentative="1">
      <w:start w:val="1"/>
      <w:numFmt w:val="decimal"/>
      <w:lvlText w:val="%4."/>
      <w:lvlJc w:val="left"/>
      <w:pPr>
        <w:ind w:left="2526" w:hanging="360"/>
      </w:pPr>
    </w:lvl>
    <w:lvl w:ilvl="4" w:tplc="04020019" w:tentative="1">
      <w:start w:val="1"/>
      <w:numFmt w:val="lowerLetter"/>
      <w:lvlText w:val="%5."/>
      <w:lvlJc w:val="left"/>
      <w:pPr>
        <w:ind w:left="3246" w:hanging="360"/>
      </w:pPr>
    </w:lvl>
    <w:lvl w:ilvl="5" w:tplc="0402001B" w:tentative="1">
      <w:start w:val="1"/>
      <w:numFmt w:val="lowerRoman"/>
      <w:lvlText w:val="%6."/>
      <w:lvlJc w:val="right"/>
      <w:pPr>
        <w:ind w:left="3966" w:hanging="180"/>
      </w:pPr>
    </w:lvl>
    <w:lvl w:ilvl="6" w:tplc="0402000F" w:tentative="1">
      <w:start w:val="1"/>
      <w:numFmt w:val="decimal"/>
      <w:lvlText w:val="%7."/>
      <w:lvlJc w:val="left"/>
      <w:pPr>
        <w:ind w:left="4686" w:hanging="360"/>
      </w:pPr>
    </w:lvl>
    <w:lvl w:ilvl="7" w:tplc="04020019" w:tentative="1">
      <w:start w:val="1"/>
      <w:numFmt w:val="lowerLetter"/>
      <w:lvlText w:val="%8."/>
      <w:lvlJc w:val="left"/>
      <w:pPr>
        <w:ind w:left="5406" w:hanging="360"/>
      </w:pPr>
    </w:lvl>
    <w:lvl w:ilvl="8" w:tplc="0402001B" w:tentative="1">
      <w:start w:val="1"/>
      <w:numFmt w:val="lowerRoman"/>
      <w:lvlText w:val="%9."/>
      <w:lvlJc w:val="right"/>
      <w:pPr>
        <w:ind w:left="6126" w:hanging="180"/>
      </w:pPr>
    </w:lvl>
  </w:abstractNum>
  <w:abstractNum w:abstractNumId="13" w15:restartNumberingAfterBreak="0">
    <w:nsid w:val="13543964"/>
    <w:multiLevelType w:val="hybridMultilevel"/>
    <w:tmpl w:val="BE74F2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4076696"/>
    <w:multiLevelType w:val="hybridMultilevel"/>
    <w:tmpl w:val="3B103590"/>
    <w:lvl w:ilvl="0" w:tplc="4BBA93FC">
      <w:start w:val="1"/>
      <w:numFmt w:val="bullet"/>
      <w:lvlText w:val="-"/>
      <w:lvlJc w:val="left"/>
      <w:pPr>
        <w:ind w:left="720" w:hanging="360"/>
      </w:pPr>
      <w:rPr>
        <w:rFonts w:ascii="Times New Roman" w:eastAsia="Times New Roman" w:hAnsi="Times New Roman" w:hint="default"/>
      </w:rPr>
    </w:lvl>
    <w:lvl w:ilvl="1" w:tplc="70445C56">
      <w:start w:val="1"/>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F758C"/>
    <w:multiLevelType w:val="multilevel"/>
    <w:tmpl w:val="27C05B5C"/>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17" w15:restartNumberingAfterBreak="0">
    <w:nsid w:val="291C54E4"/>
    <w:multiLevelType w:val="hybridMultilevel"/>
    <w:tmpl w:val="C1684A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3E733CF"/>
    <w:multiLevelType w:val="hybridMultilevel"/>
    <w:tmpl w:val="2CD655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58A6272"/>
    <w:multiLevelType w:val="multilevel"/>
    <w:tmpl w:val="27C05B5C"/>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20" w15:restartNumberingAfterBreak="0">
    <w:nsid w:val="569B4CAB"/>
    <w:multiLevelType w:val="multilevel"/>
    <w:tmpl w:val="DB1413A4"/>
    <w:lvl w:ilvl="0">
      <w:start w:val="1"/>
      <w:numFmt w:val="decimal"/>
      <w:lvlText w:val="%1."/>
      <w:lvlJc w:val="left"/>
      <w:pPr>
        <w:ind w:left="364" w:hanging="360"/>
      </w:pPr>
      <w:rPr>
        <w:rFonts w:hint="default"/>
      </w:rPr>
    </w:lvl>
    <w:lvl w:ilvl="1">
      <w:start w:val="1"/>
      <w:numFmt w:val="decimal"/>
      <w:isLgl/>
      <w:lvlText w:val="%1.%2."/>
      <w:lvlJc w:val="left"/>
      <w:pPr>
        <w:ind w:left="424" w:hanging="42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21" w15:restartNumberingAfterBreak="0">
    <w:nsid w:val="63C67CC8"/>
    <w:multiLevelType w:val="hybridMultilevel"/>
    <w:tmpl w:val="CE3EAB76"/>
    <w:lvl w:ilvl="0" w:tplc="427049D4">
      <w:start w:val="2"/>
      <w:numFmt w:val="bullet"/>
      <w:lvlText w:val="-"/>
      <w:lvlJc w:val="left"/>
      <w:pPr>
        <w:ind w:left="364" w:hanging="360"/>
      </w:pPr>
      <w:rPr>
        <w:rFonts w:ascii="Times New Roman" w:eastAsiaTheme="minorHAnsi" w:hAnsi="Times New Roman" w:cs="Times New Roman" w:hint="default"/>
        <w:color w:val="auto"/>
      </w:rPr>
    </w:lvl>
    <w:lvl w:ilvl="1" w:tplc="04020003" w:tentative="1">
      <w:start w:val="1"/>
      <w:numFmt w:val="bullet"/>
      <w:lvlText w:val="o"/>
      <w:lvlJc w:val="left"/>
      <w:pPr>
        <w:ind w:left="1084" w:hanging="360"/>
      </w:pPr>
      <w:rPr>
        <w:rFonts w:ascii="Courier New" w:hAnsi="Courier New" w:cs="Courier New" w:hint="default"/>
      </w:rPr>
    </w:lvl>
    <w:lvl w:ilvl="2" w:tplc="04020005" w:tentative="1">
      <w:start w:val="1"/>
      <w:numFmt w:val="bullet"/>
      <w:lvlText w:val=""/>
      <w:lvlJc w:val="left"/>
      <w:pPr>
        <w:ind w:left="1804" w:hanging="360"/>
      </w:pPr>
      <w:rPr>
        <w:rFonts w:ascii="Wingdings" w:hAnsi="Wingdings" w:hint="default"/>
      </w:rPr>
    </w:lvl>
    <w:lvl w:ilvl="3" w:tplc="04020001" w:tentative="1">
      <w:start w:val="1"/>
      <w:numFmt w:val="bullet"/>
      <w:lvlText w:val=""/>
      <w:lvlJc w:val="left"/>
      <w:pPr>
        <w:ind w:left="2524" w:hanging="360"/>
      </w:pPr>
      <w:rPr>
        <w:rFonts w:ascii="Symbol" w:hAnsi="Symbol" w:hint="default"/>
      </w:rPr>
    </w:lvl>
    <w:lvl w:ilvl="4" w:tplc="04020003" w:tentative="1">
      <w:start w:val="1"/>
      <w:numFmt w:val="bullet"/>
      <w:lvlText w:val="o"/>
      <w:lvlJc w:val="left"/>
      <w:pPr>
        <w:ind w:left="3244" w:hanging="360"/>
      </w:pPr>
      <w:rPr>
        <w:rFonts w:ascii="Courier New" w:hAnsi="Courier New" w:cs="Courier New" w:hint="default"/>
      </w:rPr>
    </w:lvl>
    <w:lvl w:ilvl="5" w:tplc="04020005" w:tentative="1">
      <w:start w:val="1"/>
      <w:numFmt w:val="bullet"/>
      <w:lvlText w:val=""/>
      <w:lvlJc w:val="left"/>
      <w:pPr>
        <w:ind w:left="3964" w:hanging="360"/>
      </w:pPr>
      <w:rPr>
        <w:rFonts w:ascii="Wingdings" w:hAnsi="Wingdings" w:hint="default"/>
      </w:rPr>
    </w:lvl>
    <w:lvl w:ilvl="6" w:tplc="04020001" w:tentative="1">
      <w:start w:val="1"/>
      <w:numFmt w:val="bullet"/>
      <w:lvlText w:val=""/>
      <w:lvlJc w:val="left"/>
      <w:pPr>
        <w:ind w:left="4684" w:hanging="360"/>
      </w:pPr>
      <w:rPr>
        <w:rFonts w:ascii="Symbol" w:hAnsi="Symbol" w:hint="default"/>
      </w:rPr>
    </w:lvl>
    <w:lvl w:ilvl="7" w:tplc="04020003" w:tentative="1">
      <w:start w:val="1"/>
      <w:numFmt w:val="bullet"/>
      <w:lvlText w:val="o"/>
      <w:lvlJc w:val="left"/>
      <w:pPr>
        <w:ind w:left="5404" w:hanging="360"/>
      </w:pPr>
      <w:rPr>
        <w:rFonts w:ascii="Courier New" w:hAnsi="Courier New" w:cs="Courier New" w:hint="default"/>
      </w:rPr>
    </w:lvl>
    <w:lvl w:ilvl="8" w:tplc="04020005" w:tentative="1">
      <w:start w:val="1"/>
      <w:numFmt w:val="bullet"/>
      <w:lvlText w:val=""/>
      <w:lvlJc w:val="left"/>
      <w:pPr>
        <w:ind w:left="6124" w:hanging="360"/>
      </w:pPr>
      <w:rPr>
        <w:rFonts w:ascii="Wingdings" w:hAnsi="Wingdings" w:hint="default"/>
      </w:rPr>
    </w:lvl>
  </w:abstractNum>
  <w:abstractNum w:abstractNumId="22" w15:restartNumberingAfterBreak="0">
    <w:nsid w:val="6E283BC5"/>
    <w:multiLevelType w:val="hybridMultilevel"/>
    <w:tmpl w:val="C4C419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2B255D4"/>
    <w:multiLevelType w:val="hybridMultilevel"/>
    <w:tmpl w:val="E8163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20"/>
  </w:num>
  <w:num w:numId="9">
    <w:abstractNumId w:val="19"/>
  </w:num>
  <w:num w:numId="10">
    <w:abstractNumId w:val="18"/>
  </w:num>
  <w:num w:numId="11">
    <w:abstractNumId w:val="7"/>
  </w:num>
  <w:num w:numId="12">
    <w:abstractNumId w:val="16"/>
  </w:num>
  <w:num w:numId="13">
    <w:abstractNumId w:val="21"/>
  </w:num>
  <w:num w:numId="14">
    <w:abstractNumId w:val="9"/>
  </w:num>
  <w:num w:numId="15">
    <w:abstractNumId w:val="23"/>
  </w:num>
  <w:num w:numId="16">
    <w:abstractNumId w:val="10"/>
  </w:num>
  <w:num w:numId="17">
    <w:abstractNumId w:val="8"/>
  </w:num>
  <w:num w:numId="18">
    <w:abstractNumId w:val="14"/>
  </w:num>
  <w:num w:numId="19">
    <w:abstractNumId w:val="12"/>
  </w:num>
  <w:num w:numId="20">
    <w:abstractNumId w:val="15"/>
  </w:num>
  <w:num w:numId="21">
    <w:abstractNumId w:val="13"/>
  </w:num>
  <w:num w:numId="22">
    <w:abstractNumId w:val="11"/>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1F"/>
    <w:rsid w:val="00004877"/>
    <w:rsid w:val="0002143E"/>
    <w:rsid w:val="00021665"/>
    <w:rsid w:val="00023FF2"/>
    <w:rsid w:val="000249CE"/>
    <w:rsid w:val="00031BC8"/>
    <w:rsid w:val="00036066"/>
    <w:rsid w:val="00061AD7"/>
    <w:rsid w:val="00065B49"/>
    <w:rsid w:val="00076432"/>
    <w:rsid w:val="00083262"/>
    <w:rsid w:val="00083578"/>
    <w:rsid w:val="00086097"/>
    <w:rsid w:val="000928BE"/>
    <w:rsid w:val="00092E42"/>
    <w:rsid w:val="000968D3"/>
    <w:rsid w:val="000A5965"/>
    <w:rsid w:val="000C1A45"/>
    <w:rsid w:val="000C4349"/>
    <w:rsid w:val="000C4C4A"/>
    <w:rsid w:val="000F3E21"/>
    <w:rsid w:val="001259CE"/>
    <w:rsid w:val="00140046"/>
    <w:rsid w:val="001405F4"/>
    <w:rsid w:val="0014214F"/>
    <w:rsid w:val="001440B5"/>
    <w:rsid w:val="00146078"/>
    <w:rsid w:val="00150DC6"/>
    <w:rsid w:val="00155ED7"/>
    <w:rsid w:val="001659EC"/>
    <w:rsid w:val="00166891"/>
    <w:rsid w:val="00183D12"/>
    <w:rsid w:val="00193C74"/>
    <w:rsid w:val="001B7EF8"/>
    <w:rsid w:val="001C27BB"/>
    <w:rsid w:val="001C405B"/>
    <w:rsid w:val="001D0F23"/>
    <w:rsid w:val="001E3F64"/>
    <w:rsid w:val="001E76AE"/>
    <w:rsid w:val="001F0DE2"/>
    <w:rsid w:val="001F321D"/>
    <w:rsid w:val="001F65A1"/>
    <w:rsid w:val="00237F1D"/>
    <w:rsid w:val="00244E22"/>
    <w:rsid w:val="002451A0"/>
    <w:rsid w:val="0026121F"/>
    <w:rsid w:val="002C2E97"/>
    <w:rsid w:val="003432BB"/>
    <w:rsid w:val="00347645"/>
    <w:rsid w:val="00361273"/>
    <w:rsid w:val="00364C4D"/>
    <w:rsid w:val="00381420"/>
    <w:rsid w:val="0038588C"/>
    <w:rsid w:val="00386874"/>
    <w:rsid w:val="00387EBB"/>
    <w:rsid w:val="003A2ADD"/>
    <w:rsid w:val="003B6EF3"/>
    <w:rsid w:val="003C0132"/>
    <w:rsid w:val="003C1951"/>
    <w:rsid w:val="003C1D6D"/>
    <w:rsid w:val="003C5DC9"/>
    <w:rsid w:val="003E7AA1"/>
    <w:rsid w:val="00407624"/>
    <w:rsid w:val="00415E1C"/>
    <w:rsid w:val="004175F0"/>
    <w:rsid w:val="00420884"/>
    <w:rsid w:val="0046592B"/>
    <w:rsid w:val="00475BF6"/>
    <w:rsid w:val="00486BBA"/>
    <w:rsid w:val="0048703C"/>
    <w:rsid w:val="00491003"/>
    <w:rsid w:val="004B2B23"/>
    <w:rsid w:val="004C605D"/>
    <w:rsid w:val="004E6830"/>
    <w:rsid w:val="0050157D"/>
    <w:rsid w:val="00526639"/>
    <w:rsid w:val="00532029"/>
    <w:rsid w:val="00545DAA"/>
    <w:rsid w:val="00561847"/>
    <w:rsid w:val="0056715D"/>
    <w:rsid w:val="0057274F"/>
    <w:rsid w:val="0057480F"/>
    <w:rsid w:val="005A240B"/>
    <w:rsid w:val="005C27E3"/>
    <w:rsid w:val="005E2151"/>
    <w:rsid w:val="006635F7"/>
    <w:rsid w:val="00673C82"/>
    <w:rsid w:val="00682894"/>
    <w:rsid w:val="00686D58"/>
    <w:rsid w:val="006872A6"/>
    <w:rsid w:val="006B74F8"/>
    <w:rsid w:val="006B78AD"/>
    <w:rsid w:val="006C68CE"/>
    <w:rsid w:val="006F70C1"/>
    <w:rsid w:val="00715BD7"/>
    <w:rsid w:val="00724BCB"/>
    <w:rsid w:val="007304D8"/>
    <w:rsid w:val="007370D2"/>
    <w:rsid w:val="0076094D"/>
    <w:rsid w:val="007811D3"/>
    <w:rsid w:val="0078489C"/>
    <w:rsid w:val="007A6306"/>
    <w:rsid w:val="007A7F02"/>
    <w:rsid w:val="007B3007"/>
    <w:rsid w:val="007C6B3B"/>
    <w:rsid w:val="007D0205"/>
    <w:rsid w:val="007E235A"/>
    <w:rsid w:val="00801FF0"/>
    <w:rsid w:val="00802E46"/>
    <w:rsid w:val="008051E9"/>
    <w:rsid w:val="008063B1"/>
    <w:rsid w:val="00816F64"/>
    <w:rsid w:val="00832088"/>
    <w:rsid w:val="00861342"/>
    <w:rsid w:val="00862101"/>
    <w:rsid w:val="00874B28"/>
    <w:rsid w:val="008A316C"/>
    <w:rsid w:val="008A69F5"/>
    <w:rsid w:val="008A72D4"/>
    <w:rsid w:val="008B2447"/>
    <w:rsid w:val="008B31DE"/>
    <w:rsid w:val="008B7264"/>
    <w:rsid w:val="008C062D"/>
    <w:rsid w:val="008C2A4D"/>
    <w:rsid w:val="008D6D72"/>
    <w:rsid w:val="008E5297"/>
    <w:rsid w:val="0091317D"/>
    <w:rsid w:val="00921DDD"/>
    <w:rsid w:val="00960D8A"/>
    <w:rsid w:val="009C07DA"/>
    <w:rsid w:val="009C23F8"/>
    <w:rsid w:val="009C7648"/>
    <w:rsid w:val="009D37C4"/>
    <w:rsid w:val="009F08A1"/>
    <w:rsid w:val="009F483C"/>
    <w:rsid w:val="00A028A0"/>
    <w:rsid w:val="00A03B8B"/>
    <w:rsid w:val="00A109B3"/>
    <w:rsid w:val="00A129F3"/>
    <w:rsid w:val="00A33F8C"/>
    <w:rsid w:val="00A354DE"/>
    <w:rsid w:val="00A4306D"/>
    <w:rsid w:val="00A44587"/>
    <w:rsid w:val="00A559B7"/>
    <w:rsid w:val="00A80157"/>
    <w:rsid w:val="00A838AF"/>
    <w:rsid w:val="00A92367"/>
    <w:rsid w:val="00A935D7"/>
    <w:rsid w:val="00AD2037"/>
    <w:rsid w:val="00AD78E9"/>
    <w:rsid w:val="00AD7E47"/>
    <w:rsid w:val="00AE3D2F"/>
    <w:rsid w:val="00AF5BFA"/>
    <w:rsid w:val="00B069E7"/>
    <w:rsid w:val="00B124AB"/>
    <w:rsid w:val="00B12BA6"/>
    <w:rsid w:val="00B21514"/>
    <w:rsid w:val="00B25C39"/>
    <w:rsid w:val="00B412FE"/>
    <w:rsid w:val="00B46DDA"/>
    <w:rsid w:val="00B57332"/>
    <w:rsid w:val="00B84A6B"/>
    <w:rsid w:val="00BA43D3"/>
    <w:rsid w:val="00BA6BC1"/>
    <w:rsid w:val="00BC052A"/>
    <w:rsid w:val="00BC5EEA"/>
    <w:rsid w:val="00BE6B2F"/>
    <w:rsid w:val="00BF0200"/>
    <w:rsid w:val="00BF1AE5"/>
    <w:rsid w:val="00C009A8"/>
    <w:rsid w:val="00C0761B"/>
    <w:rsid w:val="00C1140A"/>
    <w:rsid w:val="00C217D7"/>
    <w:rsid w:val="00C27FEA"/>
    <w:rsid w:val="00C334DB"/>
    <w:rsid w:val="00C34D6D"/>
    <w:rsid w:val="00C43DEE"/>
    <w:rsid w:val="00C53692"/>
    <w:rsid w:val="00C718E4"/>
    <w:rsid w:val="00C93CFC"/>
    <w:rsid w:val="00CA0741"/>
    <w:rsid w:val="00CA6442"/>
    <w:rsid w:val="00CA6D75"/>
    <w:rsid w:val="00CB0CE8"/>
    <w:rsid w:val="00CD0DE2"/>
    <w:rsid w:val="00CE3FD9"/>
    <w:rsid w:val="00CE450B"/>
    <w:rsid w:val="00CE6133"/>
    <w:rsid w:val="00CE7830"/>
    <w:rsid w:val="00CF3AE4"/>
    <w:rsid w:val="00CF7C1D"/>
    <w:rsid w:val="00D04733"/>
    <w:rsid w:val="00D06B7C"/>
    <w:rsid w:val="00D54A51"/>
    <w:rsid w:val="00D56BCF"/>
    <w:rsid w:val="00D625B3"/>
    <w:rsid w:val="00D73196"/>
    <w:rsid w:val="00D80EF8"/>
    <w:rsid w:val="00D83A4A"/>
    <w:rsid w:val="00DA147F"/>
    <w:rsid w:val="00DC18BE"/>
    <w:rsid w:val="00DD1691"/>
    <w:rsid w:val="00E15630"/>
    <w:rsid w:val="00E2497B"/>
    <w:rsid w:val="00E4282E"/>
    <w:rsid w:val="00E43C74"/>
    <w:rsid w:val="00E62269"/>
    <w:rsid w:val="00E702BB"/>
    <w:rsid w:val="00E87CAE"/>
    <w:rsid w:val="00E90067"/>
    <w:rsid w:val="00EA6BC2"/>
    <w:rsid w:val="00ED652A"/>
    <w:rsid w:val="00EE368E"/>
    <w:rsid w:val="00EE3C0C"/>
    <w:rsid w:val="00EE49F3"/>
    <w:rsid w:val="00EF4237"/>
    <w:rsid w:val="00EF7210"/>
    <w:rsid w:val="00F011F5"/>
    <w:rsid w:val="00F07BB7"/>
    <w:rsid w:val="00F12C40"/>
    <w:rsid w:val="00F238A7"/>
    <w:rsid w:val="00F245D5"/>
    <w:rsid w:val="00F32341"/>
    <w:rsid w:val="00F421AA"/>
    <w:rsid w:val="00F80413"/>
    <w:rsid w:val="00FB231C"/>
    <w:rsid w:val="00FB526E"/>
    <w:rsid w:val="00FC1FF6"/>
    <w:rsid w:val="00FC5E43"/>
    <w:rsid w:val="00FE01C3"/>
    <w:rsid w:val="00FE63ED"/>
    <w:rsid w:val="00FF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6A5C05"/>
  <w15:docId w15:val="{6596959B-1CA2-4B67-B9DB-71F49C59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133"/>
    <w:rPr>
      <w:rFonts w:ascii="Calibri" w:eastAsia="Calibri" w:hAnsi="Calibri" w:cs="Times New Roman"/>
      <w:lang w:val="en-US"/>
    </w:rPr>
  </w:style>
  <w:style w:type="paragraph" w:styleId="Heading1">
    <w:name w:val="heading 1"/>
    <w:basedOn w:val="Normal"/>
    <w:next w:val="Normal"/>
    <w:link w:val="Heading1Char"/>
    <w:uiPriority w:val="9"/>
    <w:qFormat/>
    <w:rsid w:val="000F3E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421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1F"/>
    <w:pPr>
      <w:spacing w:after="0" w:line="240" w:lineRule="auto"/>
      <w:ind w:left="720"/>
    </w:pPr>
    <w:rPr>
      <w:rFonts w:ascii="Times New Roman" w:eastAsia="Times New Roman" w:hAnsi="Times New Roman"/>
      <w:sz w:val="24"/>
      <w:szCs w:val="24"/>
      <w:lang w:eastAsia="bg-BG"/>
    </w:rPr>
  </w:style>
  <w:style w:type="paragraph" w:styleId="FootnoteText">
    <w:name w:val="footnote text"/>
    <w:basedOn w:val="Normal"/>
    <w:link w:val="FootnoteTextChar"/>
    <w:uiPriority w:val="99"/>
    <w:rsid w:val="000C4C4A"/>
    <w:rPr>
      <w:sz w:val="20"/>
      <w:szCs w:val="20"/>
    </w:rPr>
  </w:style>
  <w:style w:type="character" w:customStyle="1" w:styleId="FootnoteTextChar">
    <w:name w:val="Footnote Text Char"/>
    <w:basedOn w:val="DefaultParagraphFont"/>
    <w:link w:val="FootnoteText"/>
    <w:uiPriority w:val="99"/>
    <w:rsid w:val="000C4C4A"/>
    <w:rPr>
      <w:rFonts w:ascii="Calibri" w:eastAsia="Calibri" w:hAnsi="Calibri" w:cs="Times New Roman"/>
      <w:sz w:val="20"/>
      <w:szCs w:val="20"/>
      <w:lang w:val="en-US"/>
    </w:rPr>
  </w:style>
  <w:style w:type="character" w:styleId="FootnoteReference">
    <w:name w:val="footnote reference"/>
    <w:aliases w:val="Footnote symbol,SUPERS,BVI fnr,Appel note de bas de p,Nota,(NECG) Footnote Reference,Voetnootverwijzing,ftref,Footnotes refss,Fussnota,Footnote reference number,Times 10 Point,Exposant 3 Point,EN Footnote Reference,note TESI,SUPE,f"/>
    <w:qFormat/>
    <w:rsid w:val="000C4C4A"/>
    <w:rPr>
      <w:vertAlign w:val="superscript"/>
    </w:rPr>
  </w:style>
  <w:style w:type="character" w:customStyle="1" w:styleId="Heading2Char">
    <w:name w:val="Heading 2 Char"/>
    <w:basedOn w:val="DefaultParagraphFont"/>
    <w:link w:val="Heading2"/>
    <w:rsid w:val="00F421AA"/>
    <w:rPr>
      <w:rFonts w:ascii="Arial" w:eastAsia="Calibri" w:hAnsi="Arial" w:cs="Arial"/>
      <w:b/>
      <w:bCs/>
      <w:i/>
      <w:iCs/>
      <w:sz w:val="28"/>
      <w:szCs w:val="28"/>
      <w:lang w:val="en-US"/>
    </w:rPr>
  </w:style>
  <w:style w:type="paragraph" w:styleId="Header">
    <w:name w:val="header"/>
    <w:basedOn w:val="Normal"/>
    <w:link w:val="HeaderChar"/>
    <w:unhideWhenUsed/>
    <w:rsid w:val="001E76AE"/>
    <w:pPr>
      <w:tabs>
        <w:tab w:val="center" w:pos="4536"/>
        <w:tab w:val="right" w:pos="9072"/>
      </w:tabs>
      <w:spacing w:after="0" w:line="240" w:lineRule="auto"/>
    </w:pPr>
  </w:style>
  <w:style w:type="character" w:customStyle="1" w:styleId="HeaderChar">
    <w:name w:val="Header Char"/>
    <w:basedOn w:val="DefaultParagraphFont"/>
    <w:link w:val="Header"/>
    <w:rsid w:val="001E76AE"/>
  </w:style>
  <w:style w:type="paragraph" w:styleId="Footer">
    <w:name w:val="footer"/>
    <w:basedOn w:val="Normal"/>
    <w:link w:val="FooterChar"/>
    <w:uiPriority w:val="99"/>
    <w:unhideWhenUsed/>
    <w:rsid w:val="001E76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6AE"/>
  </w:style>
  <w:style w:type="paragraph" w:customStyle="1" w:styleId="GfAheading1">
    <w:name w:val="GfA heading 1"/>
    <w:basedOn w:val="Normal"/>
    <w:rsid w:val="009D37C4"/>
    <w:pPr>
      <w:numPr>
        <w:numId w:val="17"/>
      </w:numPr>
      <w:spacing w:after="0" w:line="240" w:lineRule="auto"/>
    </w:pPr>
    <w:rPr>
      <w:rFonts w:ascii="Times New Roman" w:eastAsia="Times New Roman" w:hAnsi="Times New Roman"/>
      <w:b/>
      <w:snapToGrid w:val="0"/>
      <w:sz w:val="24"/>
      <w:szCs w:val="24"/>
    </w:rPr>
  </w:style>
  <w:style w:type="paragraph" w:customStyle="1" w:styleId="NumPar2">
    <w:name w:val="NumPar 2"/>
    <w:basedOn w:val="Heading2"/>
    <w:next w:val="Normal"/>
    <w:rsid w:val="009D37C4"/>
    <w:pPr>
      <w:keepNext w:val="0"/>
      <w:numPr>
        <w:ilvl w:val="1"/>
        <w:numId w:val="17"/>
      </w:numPr>
      <w:spacing w:before="0" w:after="240" w:line="240" w:lineRule="auto"/>
      <w:jc w:val="both"/>
      <w:outlineLvl w:val="9"/>
    </w:pPr>
    <w:rPr>
      <w:rFonts w:ascii="Times New Roman" w:eastAsia="Times New Roman" w:hAnsi="Times New Roman" w:cs="Times New Roman"/>
      <w:b w:val="0"/>
      <w:bCs w:val="0"/>
      <w:iCs w:val="0"/>
      <w:snapToGrid w:val="0"/>
      <w:sz w:val="24"/>
      <w:szCs w:val="20"/>
      <w:lang w:val="fr-FR"/>
    </w:rPr>
  </w:style>
  <w:style w:type="character" w:styleId="Hyperlink">
    <w:name w:val="Hyperlink"/>
    <w:basedOn w:val="DefaultParagraphFont"/>
    <w:uiPriority w:val="99"/>
    <w:unhideWhenUsed/>
    <w:rsid w:val="00D73196"/>
    <w:rPr>
      <w:color w:val="0000FF" w:themeColor="hyperlink"/>
      <w:u w:val="single"/>
    </w:rPr>
  </w:style>
  <w:style w:type="paragraph" w:styleId="BalloonText">
    <w:name w:val="Balloon Text"/>
    <w:basedOn w:val="Normal"/>
    <w:link w:val="BalloonTextChar"/>
    <w:uiPriority w:val="99"/>
    <w:semiHidden/>
    <w:unhideWhenUsed/>
    <w:rsid w:val="001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078"/>
    <w:rPr>
      <w:rFonts w:ascii="Tahoma" w:hAnsi="Tahoma" w:cs="Tahoma"/>
      <w:sz w:val="16"/>
      <w:szCs w:val="16"/>
    </w:rPr>
  </w:style>
  <w:style w:type="character" w:styleId="CommentReference">
    <w:name w:val="annotation reference"/>
    <w:basedOn w:val="DefaultParagraphFont"/>
    <w:uiPriority w:val="99"/>
    <w:semiHidden/>
    <w:unhideWhenUsed/>
    <w:rsid w:val="00031BC8"/>
    <w:rPr>
      <w:sz w:val="16"/>
      <w:szCs w:val="16"/>
    </w:rPr>
  </w:style>
  <w:style w:type="paragraph" w:styleId="CommentText">
    <w:name w:val="annotation text"/>
    <w:basedOn w:val="Normal"/>
    <w:link w:val="CommentTextChar"/>
    <w:uiPriority w:val="99"/>
    <w:semiHidden/>
    <w:unhideWhenUsed/>
    <w:rsid w:val="00031BC8"/>
    <w:pPr>
      <w:spacing w:line="240" w:lineRule="auto"/>
    </w:pPr>
    <w:rPr>
      <w:sz w:val="20"/>
      <w:szCs w:val="20"/>
    </w:rPr>
  </w:style>
  <w:style w:type="character" w:customStyle="1" w:styleId="CommentTextChar">
    <w:name w:val="Comment Text Char"/>
    <w:basedOn w:val="DefaultParagraphFont"/>
    <w:link w:val="CommentText"/>
    <w:uiPriority w:val="99"/>
    <w:semiHidden/>
    <w:rsid w:val="00031BC8"/>
    <w:rPr>
      <w:sz w:val="20"/>
      <w:szCs w:val="20"/>
    </w:rPr>
  </w:style>
  <w:style w:type="paragraph" w:styleId="CommentSubject">
    <w:name w:val="annotation subject"/>
    <w:basedOn w:val="CommentText"/>
    <w:next w:val="CommentText"/>
    <w:link w:val="CommentSubjectChar"/>
    <w:uiPriority w:val="99"/>
    <w:semiHidden/>
    <w:unhideWhenUsed/>
    <w:rsid w:val="00031BC8"/>
    <w:rPr>
      <w:b/>
      <w:bCs/>
    </w:rPr>
  </w:style>
  <w:style w:type="character" w:customStyle="1" w:styleId="CommentSubjectChar">
    <w:name w:val="Comment Subject Char"/>
    <w:basedOn w:val="CommentTextChar"/>
    <w:link w:val="CommentSubject"/>
    <w:uiPriority w:val="99"/>
    <w:semiHidden/>
    <w:rsid w:val="00031BC8"/>
    <w:rPr>
      <w:b/>
      <w:bCs/>
      <w:sz w:val="20"/>
      <w:szCs w:val="20"/>
    </w:rPr>
  </w:style>
  <w:style w:type="paragraph" w:styleId="BodyText">
    <w:name w:val="Body Text"/>
    <w:basedOn w:val="Normal"/>
    <w:link w:val="BodyTextChar"/>
    <w:unhideWhenUsed/>
    <w:rsid w:val="000F3E21"/>
    <w:pPr>
      <w:spacing w:after="120" w:line="240" w:lineRule="auto"/>
    </w:pPr>
    <w:rPr>
      <w:rFonts w:ascii="Arial" w:eastAsia="Times New Roman" w:hAnsi="Arial"/>
      <w:sz w:val="20"/>
      <w:szCs w:val="20"/>
      <w:lang w:val="en-GB"/>
    </w:rPr>
  </w:style>
  <w:style w:type="character" w:customStyle="1" w:styleId="BodyTextChar">
    <w:name w:val="Body Text Char"/>
    <w:basedOn w:val="DefaultParagraphFont"/>
    <w:link w:val="BodyText"/>
    <w:rsid w:val="000F3E21"/>
    <w:rPr>
      <w:rFonts w:ascii="Arial" w:eastAsia="Times New Roman" w:hAnsi="Arial" w:cs="Times New Roman"/>
      <w:sz w:val="20"/>
      <w:szCs w:val="20"/>
      <w:lang w:val="en-GB"/>
    </w:rPr>
  </w:style>
  <w:style w:type="character" w:customStyle="1" w:styleId="Heading1Char">
    <w:name w:val="Heading 1 Char"/>
    <w:basedOn w:val="DefaultParagraphFont"/>
    <w:link w:val="Heading1"/>
    <w:uiPriority w:val="9"/>
    <w:rsid w:val="000F3E21"/>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mis.minfin.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7A25-E500-42D3-B3D2-4A296DDF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13</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MRRB</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Иванова</dc:creator>
  <cp:lastModifiedBy>Dobromir Vasilev</cp:lastModifiedBy>
  <cp:revision>29</cp:revision>
  <cp:lastPrinted>2015-01-27T13:55:00Z</cp:lastPrinted>
  <dcterms:created xsi:type="dcterms:W3CDTF">2022-09-16T08:26:00Z</dcterms:created>
  <dcterms:modified xsi:type="dcterms:W3CDTF">2022-11-10T10:59:00Z</dcterms:modified>
</cp:coreProperties>
</file>