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93" w:rsidRPr="00564E93" w:rsidRDefault="00564E93" w:rsidP="00564E93">
      <w:pPr>
        <w:pStyle w:val="Style2"/>
        <w:widowControl/>
        <w:spacing w:before="48"/>
        <w:ind w:firstLine="840"/>
        <w:jc w:val="center"/>
        <w:rPr>
          <w:rStyle w:val="FontStyle53"/>
          <w:b/>
          <w:sz w:val="24"/>
          <w:szCs w:val="24"/>
          <w:lang w:val="bg-BG" w:eastAsia="bg-BG"/>
        </w:rPr>
      </w:pPr>
      <w:r w:rsidRPr="00564E93">
        <w:rPr>
          <w:rStyle w:val="FontStyle53"/>
          <w:b/>
          <w:sz w:val="24"/>
          <w:szCs w:val="24"/>
          <w:lang w:val="bg-BG" w:eastAsia="bg-BG"/>
        </w:rPr>
        <w:t>Б</w:t>
      </w:r>
      <w:r w:rsidRPr="00564E93">
        <w:rPr>
          <w:rStyle w:val="FontStyle53"/>
          <w:b/>
          <w:sz w:val="24"/>
          <w:szCs w:val="24"/>
          <w:lang w:val="bg-BG" w:eastAsia="bg-BG"/>
        </w:rPr>
        <w:t xml:space="preserve">юджет  на  Министерството  на регионалното  развитие </w:t>
      </w:r>
      <w:r w:rsidRPr="00564E93">
        <w:rPr>
          <w:rStyle w:val="FontStyle53"/>
          <w:b/>
          <w:sz w:val="24"/>
          <w:szCs w:val="24"/>
          <w:lang w:val="bg-BG" w:eastAsia="bg-BG"/>
        </w:rPr>
        <w:t>и благоустройството за 2017 г.</w:t>
      </w:r>
    </w:p>
    <w:p w:rsidR="00564E93" w:rsidRDefault="00564E93" w:rsidP="00564E93">
      <w:pPr>
        <w:widowControl/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7080"/>
        <w:gridCol w:w="1526"/>
      </w:tblGrid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№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2942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Показатели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30"/>
              <w:widowControl/>
              <w:spacing w:line="562" w:lineRule="exact"/>
              <w:ind w:left="264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Сума (хил. лв.)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3"/>
              <w:widowControl/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3398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605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I.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ПРИХОДИ, ПОМОЩИ И ДАРЕНИЯ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354 173,1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4"/>
              <w:widowControl/>
              <w:rPr>
                <w:rStyle w:val="FontStyle44"/>
                <w:lang w:val="bg-BG" w:eastAsia="bg-BG"/>
              </w:rPr>
            </w:pPr>
            <w:r>
              <w:rPr>
                <w:rStyle w:val="FontStyle44"/>
                <w:lang w:val="bg-BG" w:eastAsia="bg-BG"/>
              </w:rPr>
              <w:t>Неданъчни приходи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354 173,1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3"/>
              <w:widowControl/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в т . ч. приходи от държавни такси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348 352,3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II.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РАЗХОДИ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400 904,1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4"/>
              <w:widowControl/>
              <w:rPr>
                <w:rStyle w:val="FontStyle44"/>
                <w:lang w:val="bg-BG" w:eastAsia="bg-BG"/>
              </w:rPr>
            </w:pPr>
            <w:r>
              <w:rPr>
                <w:rStyle w:val="FontStyle44"/>
                <w:lang w:val="bg-BG" w:eastAsia="bg-BG"/>
              </w:rPr>
              <w:t>Текущи разходи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280 565,4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3"/>
              <w:widowControl/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389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в т . ч.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3"/>
              <w:widowControl/>
            </w:pP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1.</w:t>
            </w:r>
            <w:proofErr w:type="spellStart"/>
            <w:r>
              <w:rPr>
                <w:rStyle w:val="FontStyle51"/>
                <w:lang w:val="bg-BG" w:eastAsia="bg-BG"/>
              </w:rPr>
              <w:t>1</w:t>
            </w:r>
            <w:proofErr w:type="spellEnd"/>
            <w:r>
              <w:rPr>
                <w:rStyle w:val="FontStyle51"/>
                <w:lang w:val="bg-BG" w:eastAsia="bg-BG"/>
              </w:rPr>
              <w:t>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389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Персонал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39 199,5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1.2.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394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Субсидии и други текущи трансфери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435,0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1.2.1.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Субсидии и други текущи трансфери за юридически лица с нестопанска</w:t>
            </w:r>
          </w:p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цел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435,0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4"/>
              <w:widowControl/>
              <w:rPr>
                <w:rStyle w:val="FontStyle44"/>
                <w:lang w:val="bg-BG" w:eastAsia="bg-BG"/>
              </w:rPr>
            </w:pPr>
            <w:r>
              <w:rPr>
                <w:rStyle w:val="FontStyle44"/>
                <w:lang w:val="bg-BG" w:eastAsia="bg-BG"/>
              </w:rPr>
              <w:t>Капиталови разходи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120 338,7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III.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БЮДЖЕТНИ ВЗАИМООТНОШЕНИЯ (ТРАНСФЕРИ) - (+/-)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46 731,0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Бюджетно взаимоотношение с централния бюджет (+/-)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61 731,0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Трансфери между бюджети и сметки за средствата от Европейския съюз (+/-)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-15 000,0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2.1.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4"/>
              <w:widowControl/>
              <w:rPr>
                <w:rStyle w:val="FontStyle44"/>
                <w:lang w:val="bg-BG" w:eastAsia="bg-BG"/>
              </w:rPr>
            </w:pPr>
            <w:r>
              <w:rPr>
                <w:rStyle w:val="FontStyle44"/>
                <w:lang w:val="bg-BG" w:eastAsia="bg-BG"/>
              </w:rPr>
              <w:t>Предоставени трансфери (-)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-15 000,0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IV.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БЮДЖЕТНО САЛДО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3"/>
              <w:widowControl/>
            </w:pP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V.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ОПЕРАЦИИ В ЧАСТТА НА ФИНАНСИРАНЕТО - НЕТО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3"/>
              <w:widowControl/>
            </w:pPr>
          </w:p>
        </w:tc>
      </w:tr>
    </w:tbl>
    <w:p w:rsidR="00564E93" w:rsidRDefault="00564E93" w:rsidP="00564E93">
      <w:pPr>
        <w:widowControl/>
        <w:spacing w:after="197" w:line="1" w:lineRule="exact"/>
        <w:rPr>
          <w:sz w:val="2"/>
          <w:szCs w:val="2"/>
          <w:lang w:val="bg-BG"/>
        </w:rPr>
      </w:pPr>
    </w:p>
    <w:p w:rsidR="00564E93" w:rsidRPr="00564E93" w:rsidRDefault="00564E93" w:rsidP="00564E93">
      <w:pPr>
        <w:widowControl/>
        <w:spacing w:after="197" w:line="1" w:lineRule="exact"/>
        <w:rPr>
          <w:sz w:val="2"/>
          <w:szCs w:val="2"/>
          <w:lang w:val="bg-BG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7080"/>
        <w:gridCol w:w="1531"/>
      </w:tblGrid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11"/>
              <w:widowControl/>
              <w:rPr>
                <w:rStyle w:val="FontStyle51"/>
                <w:lang w:val="bg-BG" w:eastAsia="bg-BG"/>
              </w:rPr>
            </w:pPr>
            <w:r>
              <w:rPr>
                <w:rStyle w:val="FontStyle40"/>
                <w:lang w:val="bg-BG" w:eastAsia="bg-BG"/>
              </w:rPr>
              <w:t>"Г-1—-</w:t>
            </w:r>
            <w:r>
              <w:rPr>
                <w:rStyle w:val="FontStyle51"/>
                <w:lang w:val="bg-BG" w:eastAsia="bg-BG"/>
              </w:rPr>
              <w:t>№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787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Наименование на областта на политика/бюджетната програма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5"/>
              <w:widowControl/>
              <w:ind w:left="264"/>
              <w:jc w:val="lef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Сума (хил. лв.)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3"/>
              <w:widowControl/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3398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605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ind w:right="38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Политика за интегрирано развитие на регионите, ефективно и ефикасно използване на публичните финанси и финансовите инструменти за постигане на растеж и подобряване качеството на жизнената среда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763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2 734,5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88" w:lineRule="exact"/>
              <w:ind w:right="710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Политика за поддържане, модернизация и изграждане на техническата инфраструктура, свързана с подобряване на транспортната достъпност и интегрираното управление на водните ресурси и геозащита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ind w:left="566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351 522,9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3.</w:t>
            </w:r>
          </w:p>
        </w:tc>
        <w:tc>
          <w:tcPr>
            <w:tcW w:w="7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88" w:lineRule="exact"/>
              <w:ind w:right="754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Политика в областта на подобряване на инвестиционния процес чрез усъвършенстване на информационните системи на кадастъра и имотния регистър, подобряване качеството на превантивния и текущ контрол в строителството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27 416,3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4.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Други бюджетни програми (общо), в т.ч.: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2 719,8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4.1.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31"/>
              <w:widowControl/>
              <w:spacing w:line="288" w:lineRule="exact"/>
              <w:ind w:right="480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 xml:space="preserve">Бюджетна програма "Ефективно управление на държавната собственост, държавното участие в търговските дружества и държавни предприятия и развитие на публично-частното партньорство и </w:t>
            </w:r>
            <w:proofErr w:type="spellStart"/>
            <w:r>
              <w:rPr>
                <w:rStyle w:val="FontStyle51"/>
                <w:lang w:val="bg-BG" w:eastAsia="bg-BG"/>
              </w:rPr>
              <w:t>концесионирането</w:t>
            </w:r>
            <w:proofErr w:type="spellEnd"/>
            <w:r>
              <w:rPr>
                <w:rStyle w:val="FontStyle51"/>
                <w:lang w:val="bg-BG" w:eastAsia="bg-BG"/>
              </w:rPr>
              <w:t>"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611,1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4.2.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31"/>
              <w:widowControl/>
              <w:spacing w:line="293" w:lineRule="exact"/>
              <w:ind w:right="5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 xml:space="preserve">Бюджетна програма "Гражданска регистрация и административно обслужване </w:t>
            </w:r>
            <w:r>
              <w:rPr>
                <w:rStyle w:val="FontStyle51"/>
                <w:lang w:val="bg-BG" w:eastAsia="bg-BG"/>
              </w:rPr>
              <w:lastRenderedPageBreak/>
              <w:t>на населението"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lastRenderedPageBreak/>
              <w:t>2 108,7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lastRenderedPageBreak/>
              <w:t>5.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Бюджетна програма "Ефективна администрация и координация"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16 510,6</w:t>
            </w:r>
          </w:p>
        </w:tc>
      </w:tr>
      <w:tr w:rsidR="00564E93" w:rsidTr="00CB65DF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3"/>
              <w:widowControl/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Всичко: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93" w:rsidRDefault="00564E93" w:rsidP="00CB65DF">
            <w:pPr>
              <w:pStyle w:val="Style6"/>
              <w:widowControl/>
              <w:spacing w:line="240" w:lineRule="auto"/>
              <w:jc w:val="right"/>
              <w:rPr>
                <w:rStyle w:val="FontStyle51"/>
                <w:lang w:val="bg-BG" w:eastAsia="bg-BG"/>
              </w:rPr>
            </w:pPr>
            <w:r>
              <w:rPr>
                <w:rStyle w:val="FontStyle51"/>
                <w:lang w:val="bg-BG" w:eastAsia="bg-BG"/>
              </w:rPr>
              <w:t>400 904,1</w:t>
            </w:r>
          </w:p>
        </w:tc>
      </w:tr>
    </w:tbl>
    <w:p w:rsidR="005D7FE2" w:rsidRDefault="005D7FE2"/>
    <w:sectPr w:rsidR="005D7FE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B3"/>
    <w:rsid w:val="002771D6"/>
    <w:rsid w:val="00531EB3"/>
    <w:rsid w:val="00532BD0"/>
    <w:rsid w:val="00535756"/>
    <w:rsid w:val="00564E93"/>
    <w:rsid w:val="005D7FE2"/>
    <w:rsid w:val="0084564D"/>
    <w:rsid w:val="00F7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564E93"/>
    <w:pPr>
      <w:spacing w:line="274" w:lineRule="exact"/>
      <w:ind w:firstLine="845"/>
      <w:jc w:val="both"/>
    </w:pPr>
  </w:style>
  <w:style w:type="paragraph" w:customStyle="1" w:styleId="Style3">
    <w:name w:val="Style3"/>
    <w:basedOn w:val="Normal"/>
    <w:uiPriority w:val="99"/>
    <w:rsid w:val="00564E93"/>
  </w:style>
  <w:style w:type="paragraph" w:customStyle="1" w:styleId="Style4">
    <w:name w:val="Style4"/>
    <w:basedOn w:val="Normal"/>
    <w:uiPriority w:val="99"/>
    <w:rsid w:val="00564E93"/>
  </w:style>
  <w:style w:type="paragraph" w:customStyle="1" w:styleId="Style5">
    <w:name w:val="Style5"/>
    <w:basedOn w:val="Normal"/>
    <w:uiPriority w:val="99"/>
    <w:rsid w:val="00564E93"/>
    <w:pPr>
      <w:spacing w:line="557" w:lineRule="exact"/>
      <w:jc w:val="center"/>
    </w:pPr>
  </w:style>
  <w:style w:type="paragraph" w:customStyle="1" w:styleId="Style6">
    <w:name w:val="Style6"/>
    <w:basedOn w:val="Normal"/>
    <w:uiPriority w:val="99"/>
    <w:rsid w:val="00564E93"/>
    <w:pPr>
      <w:spacing w:line="283" w:lineRule="exact"/>
    </w:pPr>
  </w:style>
  <w:style w:type="paragraph" w:customStyle="1" w:styleId="Style11">
    <w:name w:val="Style11"/>
    <w:basedOn w:val="Normal"/>
    <w:uiPriority w:val="99"/>
    <w:rsid w:val="00564E93"/>
    <w:pPr>
      <w:spacing w:line="571" w:lineRule="exact"/>
    </w:pPr>
  </w:style>
  <w:style w:type="paragraph" w:customStyle="1" w:styleId="Style30">
    <w:name w:val="Style30"/>
    <w:basedOn w:val="Normal"/>
    <w:uiPriority w:val="99"/>
    <w:rsid w:val="00564E93"/>
    <w:pPr>
      <w:spacing w:line="557" w:lineRule="exact"/>
      <w:ind w:firstLine="173"/>
    </w:pPr>
  </w:style>
  <w:style w:type="paragraph" w:customStyle="1" w:styleId="Style31">
    <w:name w:val="Style31"/>
    <w:basedOn w:val="Normal"/>
    <w:uiPriority w:val="99"/>
    <w:rsid w:val="00564E93"/>
    <w:pPr>
      <w:spacing w:line="290" w:lineRule="exact"/>
      <w:ind w:firstLine="221"/>
    </w:pPr>
  </w:style>
  <w:style w:type="character" w:customStyle="1" w:styleId="FontStyle40">
    <w:name w:val="Font Style40"/>
    <w:basedOn w:val="DefaultParagraphFont"/>
    <w:uiPriority w:val="99"/>
    <w:rsid w:val="00564E93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44">
    <w:name w:val="Font Style44"/>
    <w:basedOn w:val="DefaultParagraphFont"/>
    <w:uiPriority w:val="99"/>
    <w:rsid w:val="00564E9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1">
    <w:name w:val="Font Style51"/>
    <w:basedOn w:val="DefaultParagraphFont"/>
    <w:uiPriority w:val="99"/>
    <w:rsid w:val="00564E93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DefaultParagraphFont"/>
    <w:uiPriority w:val="99"/>
    <w:rsid w:val="00564E9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564E93"/>
    <w:pPr>
      <w:spacing w:line="274" w:lineRule="exact"/>
      <w:ind w:firstLine="845"/>
      <w:jc w:val="both"/>
    </w:pPr>
  </w:style>
  <w:style w:type="paragraph" w:customStyle="1" w:styleId="Style3">
    <w:name w:val="Style3"/>
    <w:basedOn w:val="Normal"/>
    <w:uiPriority w:val="99"/>
    <w:rsid w:val="00564E93"/>
  </w:style>
  <w:style w:type="paragraph" w:customStyle="1" w:styleId="Style4">
    <w:name w:val="Style4"/>
    <w:basedOn w:val="Normal"/>
    <w:uiPriority w:val="99"/>
    <w:rsid w:val="00564E93"/>
  </w:style>
  <w:style w:type="paragraph" w:customStyle="1" w:styleId="Style5">
    <w:name w:val="Style5"/>
    <w:basedOn w:val="Normal"/>
    <w:uiPriority w:val="99"/>
    <w:rsid w:val="00564E93"/>
    <w:pPr>
      <w:spacing w:line="557" w:lineRule="exact"/>
      <w:jc w:val="center"/>
    </w:pPr>
  </w:style>
  <w:style w:type="paragraph" w:customStyle="1" w:styleId="Style6">
    <w:name w:val="Style6"/>
    <w:basedOn w:val="Normal"/>
    <w:uiPriority w:val="99"/>
    <w:rsid w:val="00564E93"/>
    <w:pPr>
      <w:spacing w:line="283" w:lineRule="exact"/>
    </w:pPr>
  </w:style>
  <w:style w:type="paragraph" w:customStyle="1" w:styleId="Style11">
    <w:name w:val="Style11"/>
    <w:basedOn w:val="Normal"/>
    <w:uiPriority w:val="99"/>
    <w:rsid w:val="00564E93"/>
    <w:pPr>
      <w:spacing w:line="571" w:lineRule="exact"/>
    </w:pPr>
  </w:style>
  <w:style w:type="paragraph" w:customStyle="1" w:styleId="Style30">
    <w:name w:val="Style30"/>
    <w:basedOn w:val="Normal"/>
    <w:uiPriority w:val="99"/>
    <w:rsid w:val="00564E93"/>
    <w:pPr>
      <w:spacing w:line="557" w:lineRule="exact"/>
      <w:ind w:firstLine="173"/>
    </w:pPr>
  </w:style>
  <w:style w:type="paragraph" w:customStyle="1" w:styleId="Style31">
    <w:name w:val="Style31"/>
    <w:basedOn w:val="Normal"/>
    <w:uiPriority w:val="99"/>
    <w:rsid w:val="00564E93"/>
    <w:pPr>
      <w:spacing w:line="290" w:lineRule="exact"/>
      <w:ind w:firstLine="221"/>
    </w:pPr>
  </w:style>
  <w:style w:type="character" w:customStyle="1" w:styleId="FontStyle40">
    <w:name w:val="Font Style40"/>
    <w:basedOn w:val="DefaultParagraphFont"/>
    <w:uiPriority w:val="99"/>
    <w:rsid w:val="00564E93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44">
    <w:name w:val="Font Style44"/>
    <w:basedOn w:val="DefaultParagraphFont"/>
    <w:uiPriority w:val="99"/>
    <w:rsid w:val="00564E9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1">
    <w:name w:val="Font Style51"/>
    <w:basedOn w:val="DefaultParagraphFont"/>
    <w:uiPriority w:val="99"/>
    <w:rsid w:val="00564E93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DefaultParagraphFont"/>
    <w:uiPriority w:val="99"/>
    <w:rsid w:val="00564E9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2017-01-11T11:34:00Z</dcterms:created>
  <dcterms:modified xsi:type="dcterms:W3CDTF">2017-01-11T11:35:00Z</dcterms:modified>
</cp:coreProperties>
</file>