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DE" w:rsidRPr="006A4CDE" w:rsidRDefault="006A4CDE" w:rsidP="006A4CDE">
      <w:pPr>
        <w:spacing w:line="360" w:lineRule="auto"/>
        <w:jc w:val="center"/>
        <w:rPr>
          <w:b/>
          <w:u w:val="single"/>
        </w:rPr>
      </w:pPr>
      <w:bookmarkStart w:id="0" w:name="_GoBack"/>
      <w:bookmarkEnd w:id="0"/>
      <w:r w:rsidRPr="006A4CDE">
        <w:rPr>
          <w:b/>
          <w:u w:val="single"/>
        </w:rPr>
        <w:t>Съобщение за провеждане на консултации</w:t>
      </w:r>
    </w:p>
    <w:p w:rsidR="00EE379C" w:rsidRDefault="00EE379C" w:rsidP="00EE379C">
      <w:pPr>
        <w:spacing w:line="360" w:lineRule="auto"/>
        <w:jc w:val="center"/>
        <w:rPr>
          <w:b/>
          <w:u w:val="single"/>
        </w:rPr>
      </w:pPr>
    </w:p>
    <w:p w:rsidR="00EE379C" w:rsidRDefault="00EE379C" w:rsidP="00EE379C">
      <w:pPr>
        <w:spacing w:line="360" w:lineRule="auto"/>
        <w:jc w:val="both"/>
      </w:pPr>
      <w:r w:rsidRPr="008C2B6C">
        <w:t>За</w:t>
      </w:r>
      <w:r>
        <w:rPr>
          <w:b/>
        </w:rPr>
        <w:t xml:space="preserve"> Екологична оценка на </w:t>
      </w:r>
      <w:r w:rsidR="00600EB9">
        <w:rPr>
          <w:b/>
        </w:rPr>
        <w:t>П</w:t>
      </w:r>
      <w:r w:rsidR="00600EB9" w:rsidRPr="00600EB9">
        <w:rPr>
          <w:b/>
        </w:rPr>
        <w:t>рограмата за транснационално сътрудничество „Балкани–Средиземно море“ 2014-2020 г.</w:t>
      </w:r>
      <w:r>
        <w:t>, изготвена съгласно изискванията на Наредба за условията и реда за извършване на екологична оценка на планове и програми (</w:t>
      </w:r>
      <w:proofErr w:type="spellStart"/>
      <w:r>
        <w:t>обн</w:t>
      </w:r>
      <w:proofErr w:type="spellEnd"/>
      <w:r>
        <w:t xml:space="preserve">. ДВ бр. 57 от 2 Юли 2004г., </w:t>
      </w:r>
      <w:proofErr w:type="spellStart"/>
      <w:r>
        <w:t>посл</w:t>
      </w:r>
      <w:proofErr w:type="spellEnd"/>
      <w:r>
        <w:t>. изм. ДВ бр.94 от 30 Ноември 2012 г.)</w:t>
      </w:r>
    </w:p>
    <w:p w:rsidR="00EE379C" w:rsidRDefault="00EE379C" w:rsidP="00EE379C">
      <w:pPr>
        <w:spacing w:line="360" w:lineRule="auto"/>
        <w:jc w:val="both"/>
      </w:pPr>
    </w:p>
    <w:p w:rsidR="00EE379C" w:rsidRDefault="00EE379C" w:rsidP="00EE379C">
      <w:pPr>
        <w:pStyle w:val="BodyTextIndent"/>
        <w:numPr>
          <w:ilvl w:val="0"/>
          <w:numId w:val="4"/>
        </w:numPr>
        <w:rPr>
          <w:b/>
          <w:bCs/>
          <w:sz w:val="24"/>
          <w:u w:val="single"/>
        </w:rPr>
      </w:pPr>
      <w:r w:rsidRPr="00455200">
        <w:rPr>
          <w:b/>
          <w:bCs/>
          <w:sz w:val="24"/>
          <w:u w:val="single"/>
        </w:rPr>
        <w:t>Информация за възложителя:</w:t>
      </w:r>
    </w:p>
    <w:p w:rsidR="00EE379C" w:rsidRPr="00455200" w:rsidRDefault="00EE379C" w:rsidP="00EE379C">
      <w:pPr>
        <w:pStyle w:val="BodyTextIndent"/>
        <w:ind w:left="360" w:firstLine="0"/>
        <w:rPr>
          <w:b/>
          <w:bCs/>
          <w:sz w:val="24"/>
          <w:u w:val="single"/>
        </w:rPr>
      </w:pPr>
    </w:p>
    <w:p w:rsidR="00EE379C" w:rsidRDefault="002F60CC" w:rsidP="00600EB9">
      <w:pPr>
        <w:spacing w:line="360" w:lineRule="auto"/>
        <w:jc w:val="both"/>
      </w:pPr>
      <w:r>
        <w:t>Управляващ</w:t>
      </w:r>
      <w:r w:rsidR="00EE379C">
        <w:t xml:space="preserve"> орган на програмата - </w:t>
      </w:r>
      <w:r w:rsidR="00600EB9" w:rsidRPr="00600EB9">
        <w:t>Министерство на регионалното развитие и конкурентоспособността на Република Гърция</w:t>
      </w:r>
    </w:p>
    <w:p w:rsidR="00600EB9" w:rsidRPr="00455200" w:rsidRDefault="00600EB9" w:rsidP="00600EB9">
      <w:pPr>
        <w:spacing w:line="360" w:lineRule="auto"/>
        <w:jc w:val="both"/>
        <w:rPr>
          <w:b/>
          <w:bCs/>
          <w:u w:val="single"/>
        </w:rPr>
      </w:pPr>
    </w:p>
    <w:p w:rsidR="00EE379C" w:rsidRDefault="00600EB9" w:rsidP="00EE379C">
      <w:pPr>
        <w:pStyle w:val="BodyTextIndent"/>
        <w:spacing w:line="360" w:lineRule="auto"/>
        <w:ind w:left="0" w:firstLine="0"/>
        <w:rPr>
          <w:sz w:val="24"/>
          <w:lang w:eastAsia="bg-BG"/>
        </w:rPr>
      </w:pPr>
      <w:r>
        <w:rPr>
          <w:sz w:val="24"/>
          <w:lang w:eastAsia="bg-BG"/>
        </w:rPr>
        <w:t>Национален</w:t>
      </w:r>
      <w:r w:rsidR="00EE379C" w:rsidRPr="008C2B6C">
        <w:rPr>
          <w:sz w:val="24"/>
          <w:lang w:eastAsia="bg-BG"/>
        </w:rPr>
        <w:t xml:space="preserve"> орган за програмата - Министерство на регионалното развитие – </w:t>
      </w:r>
      <w:r w:rsidR="00EE379C">
        <w:rPr>
          <w:sz w:val="24"/>
          <w:lang w:eastAsia="bg-BG"/>
        </w:rPr>
        <w:t>Г</w:t>
      </w:r>
      <w:r w:rsidR="00EE379C" w:rsidRPr="008C2B6C">
        <w:rPr>
          <w:sz w:val="24"/>
          <w:lang w:eastAsia="bg-BG"/>
        </w:rPr>
        <w:t xml:space="preserve">лавна дирекция </w:t>
      </w:r>
      <w:r w:rsidR="00EE379C">
        <w:rPr>
          <w:sz w:val="24"/>
          <w:lang w:eastAsia="bg-BG"/>
        </w:rPr>
        <w:t xml:space="preserve">„Управление на териториалното сътрудничество“, гр. </w:t>
      </w:r>
      <w:r w:rsidR="00EE379C" w:rsidRPr="006F19DC">
        <w:rPr>
          <w:sz w:val="24"/>
          <w:lang w:eastAsia="bg-BG"/>
        </w:rPr>
        <w:t>София 1202, ул. "Св.</w:t>
      </w:r>
      <w:proofErr w:type="spellStart"/>
      <w:r w:rsidR="00EE379C" w:rsidRPr="006F19DC">
        <w:rPr>
          <w:sz w:val="24"/>
          <w:lang w:eastAsia="bg-BG"/>
        </w:rPr>
        <w:t>Св</w:t>
      </w:r>
      <w:proofErr w:type="spellEnd"/>
      <w:r w:rsidR="00EE379C" w:rsidRPr="006F19DC">
        <w:rPr>
          <w:sz w:val="24"/>
          <w:lang w:eastAsia="bg-BG"/>
        </w:rPr>
        <w:t>. Кирил и Методий" № 17-19</w:t>
      </w:r>
    </w:p>
    <w:p w:rsidR="00600EB9" w:rsidRDefault="00600EB9" w:rsidP="00EE379C">
      <w:pPr>
        <w:pStyle w:val="BodyTextIndent"/>
        <w:spacing w:line="360" w:lineRule="auto"/>
        <w:ind w:left="0" w:firstLine="0"/>
        <w:rPr>
          <w:sz w:val="24"/>
          <w:lang w:eastAsia="bg-BG"/>
        </w:rPr>
      </w:pPr>
    </w:p>
    <w:p w:rsidR="00EE379C" w:rsidRPr="008C2B6C" w:rsidRDefault="00EE379C" w:rsidP="00EE379C">
      <w:pPr>
        <w:pStyle w:val="BodyTextIndent"/>
        <w:spacing w:line="360" w:lineRule="auto"/>
        <w:ind w:left="0" w:firstLine="0"/>
        <w:rPr>
          <w:b/>
          <w:sz w:val="24"/>
        </w:rPr>
      </w:pPr>
      <w:proofErr w:type="spellStart"/>
      <w:r w:rsidRPr="008C2B6C">
        <w:rPr>
          <w:b/>
          <w:sz w:val="24"/>
        </w:rPr>
        <w:t>Лиц</w:t>
      </w:r>
      <w:proofErr w:type="spellEnd"/>
      <w:r w:rsidRPr="008C2B6C">
        <w:rPr>
          <w:b/>
          <w:sz w:val="24"/>
          <w:lang w:val="en-US"/>
        </w:rPr>
        <w:t>a</w:t>
      </w:r>
      <w:r w:rsidRPr="008C2B6C">
        <w:rPr>
          <w:b/>
          <w:sz w:val="24"/>
        </w:rPr>
        <w:t xml:space="preserve"> за контакт: </w:t>
      </w:r>
    </w:p>
    <w:p w:rsidR="00EE379C" w:rsidRDefault="00EE379C" w:rsidP="00EE379C">
      <w:pPr>
        <w:pStyle w:val="BodyTextIndent"/>
        <w:spacing w:line="360" w:lineRule="auto"/>
        <w:ind w:left="0" w:firstLine="0"/>
        <w:rPr>
          <w:sz w:val="24"/>
        </w:rPr>
      </w:pPr>
      <w:r>
        <w:rPr>
          <w:sz w:val="24"/>
        </w:rPr>
        <w:t>Милен Обретенов – началник отдел „Наблюдение, оценка и програмиране“ към ГД „Управление на териториалното сътрудничество“</w:t>
      </w:r>
    </w:p>
    <w:p w:rsidR="00EE379C" w:rsidRDefault="00EE379C" w:rsidP="00EE379C">
      <w:pPr>
        <w:pStyle w:val="BodyTextIndent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тел. 94 05 592; </w:t>
      </w:r>
      <w:r w:rsidRPr="006F19DC">
        <w:rPr>
          <w:sz w:val="24"/>
        </w:rPr>
        <w:t xml:space="preserve">факс 987 </w:t>
      </w:r>
      <w:r>
        <w:rPr>
          <w:sz w:val="24"/>
        </w:rPr>
        <w:t>07 37</w:t>
      </w:r>
    </w:p>
    <w:p w:rsidR="00EE379C" w:rsidRDefault="00EE379C" w:rsidP="00EE379C">
      <w:pPr>
        <w:pStyle w:val="BodyTextIndent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електронна поща: </w:t>
      </w:r>
      <w:r w:rsidRPr="008C2B6C">
        <w:rPr>
          <w:sz w:val="24"/>
        </w:rPr>
        <w:t>mobretenov@mrrb.government.bg</w:t>
      </w:r>
    </w:p>
    <w:p w:rsidR="00EE379C" w:rsidRDefault="00600EB9" w:rsidP="00EE379C">
      <w:pPr>
        <w:pStyle w:val="BodyTextIndent"/>
        <w:spacing w:line="360" w:lineRule="auto"/>
        <w:ind w:left="0" w:firstLine="0"/>
        <w:rPr>
          <w:sz w:val="24"/>
        </w:rPr>
      </w:pPr>
      <w:r>
        <w:rPr>
          <w:sz w:val="24"/>
        </w:rPr>
        <w:t>Стефан Стайков</w:t>
      </w:r>
      <w:r w:rsidR="00EE379C">
        <w:rPr>
          <w:sz w:val="24"/>
        </w:rPr>
        <w:t xml:space="preserve"> – </w:t>
      </w:r>
      <w:r>
        <w:rPr>
          <w:sz w:val="24"/>
        </w:rPr>
        <w:t>главен</w:t>
      </w:r>
      <w:r w:rsidR="00EE379C">
        <w:rPr>
          <w:sz w:val="24"/>
        </w:rPr>
        <w:t xml:space="preserve"> експерт в отдел „Наблюдение, оценка и програмиране“ към ГД „Управление на териториалното сътрудничество“</w:t>
      </w:r>
    </w:p>
    <w:p w:rsidR="00EE379C" w:rsidRDefault="00EE379C" w:rsidP="00EE379C">
      <w:pPr>
        <w:pStyle w:val="BodyTextIndent"/>
        <w:spacing w:line="360" w:lineRule="auto"/>
        <w:ind w:left="0" w:firstLine="0"/>
        <w:rPr>
          <w:sz w:val="24"/>
        </w:rPr>
      </w:pPr>
      <w:r>
        <w:rPr>
          <w:sz w:val="24"/>
        </w:rPr>
        <w:t>тел. 94 05 </w:t>
      </w:r>
      <w:r w:rsidR="00600EB9">
        <w:rPr>
          <w:sz w:val="24"/>
        </w:rPr>
        <w:t>557</w:t>
      </w:r>
      <w:r>
        <w:rPr>
          <w:sz w:val="24"/>
        </w:rPr>
        <w:t xml:space="preserve">; </w:t>
      </w:r>
      <w:r w:rsidRPr="006F19DC">
        <w:rPr>
          <w:sz w:val="24"/>
        </w:rPr>
        <w:t xml:space="preserve">факс 987 </w:t>
      </w:r>
      <w:r>
        <w:rPr>
          <w:sz w:val="24"/>
        </w:rPr>
        <w:t>07 37</w:t>
      </w:r>
    </w:p>
    <w:p w:rsidR="00EE379C" w:rsidRDefault="00EE379C" w:rsidP="00EE379C">
      <w:pPr>
        <w:pStyle w:val="BodyTextIndent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електронна поща: </w:t>
      </w:r>
      <w:proofErr w:type="spellStart"/>
      <w:r w:rsidR="00600EB9">
        <w:rPr>
          <w:sz w:val="24"/>
          <w:lang w:val="en-US"/>
        </w:rPr>
        <w:t>sstaykov</w:t>
      </w:r>
      <w:proofErr w:type="spellEnd"/>
      <w:r w:rsidRPr="00F5699E">
        <w:rPr>
          <w:sz w:val="24"/>
        </w:rPr>
        <w:t>@</w:t>
      </w:r>
      <w:proofErr w:type="spellStart"/>
      <w:r w:rsidRPr="00F5699E">
        <w:rPr>
          <w:sz w:val="24"/>
        </w:rPr>
        <w:t>mrrb</w:t>
      </w:r>
      <w:proofErr w:type="spellEnd"/>
      <w:r w:rsidRPr="00F5699E">
        <w:rPr>
          <w:sz w:val="24"/>
        </w:rPr>
        <w:t>.</w:t>
      </w:r>
      <w:proofErr w:type="spellStart"/>
      <w:r w:rsidRPr="00F5699E">
        <w:rPr>
          <w:sz w:val="24"/>
        </w:rPr>
        <w:t>government</w:t>
      </w:r>
      <w:proofErr w:type="spellEnd"/>
      <w:r w:rsidRPr="00F5699E">
        <w:rPr>
          <w:sz w:val="24"/>
        </w:rPr>
        <w:t>.</w:t>
      </w:r>
      <w:proofErr w:type="spellStart"/>
      <w:r w:rsidRPr="00F5699E">
        <w:rPr>
          <w:sz w:val="24"/>
        </w:rPr>
        <w:t>bg</w:t>
      </w:r>
      <w:proofErr w:type="spellEnd"/>
    </w:p>
    <w:p w:rsidR="00EE379C" w:rsidRDefault="00EE379C" w:rsidP="00EE379C">
      <w:pPr>
        <w:pStyle w:val="BodyTextIndent"/>
        <w:spacing w:line="360" w:lineRule="auto"/>
        <w:ind w:left="0" w:firstLine="0"/>
        <w:rPr>
          <w:sz w:val="24"/>
        </w:rPr>
      </w:pPr>
    </w:p>
    <w:p w:rsidR="00EE379C" w:rsidRPr="00455200" w:rsidRDefault="00EE379C" w:rsidP="00EE379C">
      <w:pPr>
        <w:pStyle w:val="Style"/>
        <w:numPr>
          <w:ilvl w:val="0"/>
          <w:numId w:val="4"/>
        </w:numPr>
        <w:spacing w:line="360" w:lineRule="auto"/>
        <w:rPr>
          <w:b/>
          <w:u w:val="single"/>
        </w:rPr>
      </w:pPr>
      <w:r w:rsidRPr="00455200">
        <w:rPr>
          <w:b/>
          <w:u w:val="single"/>
        </w:rPr>
        <w:t xml:space="preserve"> Обща информация за </w:t>
      </w:r>
      <w:r>
        <w:rPr>
          <w:b/>
          <w:u w:val="single"/>
        </w:rPr>
        <w:t>предложената Програма</w:t>
      </w:r>
      <w:r w:rsidRPr="00455200">
        <w:rPr>
          <w:b/>
          <w:u w:val="single"/>
        </w:rPr>
        <w:t>:</w:t>
      </w:r>
    </w:p>
    <w:p w:rsidR="00EE379C" w:rsidRPr="00455200" w:rsidRDefault="00EE379C" w:rsidP="00EE379C">
      <w:pPr>
        <w:pStyle w:val="Style"/>
        <w:spacing w:line="360" w:lineRule="auto"/>
        <w:ind w:left="0" w:firstLine="0"/>
        <w:rPr>
          <w:b/>
        </w:rPr>
      </w:pPr>
    </w:p>
    <w:p w:rsidR="00EE379C" w:rsidRPr="0090554A" w:rsidRDefault="00EE379C" w:rsidP="00EE379C">
      <w:pPr>
        <w:pStyle w:val="BodyTextIndent"/>
        <w:spacing w:line="360" w:lineRule="auto"/>
        <w:ind w:left="0" w:firstLine="0"/>
        <w:rPr>
          <w:b/>
          <w:sz w:val="24"/>
        </w:rPr>
      </w:pPr>
      <w:r w:rsidRPr="0090554A">
        <w:rPr>
          <w:b/>
          <w:sz w:val="24"/>
        </w:rPr>
        <w:t>а)</w:t>
      </w:r>
      <w:r w:rsidRPr="0090554A">
        <w:rPr>
          <w:sz w:val="24"/>
        </w:rPr>
        <w:t xml:space="preserve"> </w:t>
      </w:r>
      <w:r w:rsidRPr="0090554A">
        <w:rPr>
          <w:b/>
          <w:sz w:val="24"/>
        </w:rPr>
        <w:t xml:space="preserve">Основание за изготвяне на </w:t>
      </w:r>
      <w:r>
        <w:rPr>
          <w:b/>
          <w:sz w:val="24"/>
        </w:rPr>
        <w:t>Програмата:</w:t>
      </w:r>
    </w:p>
    <w:p w:rsidR="00600EB9" w:rsidRPr="00600EB9" w:rsidRDefault="00600EB9" w:rsidP="00600EB9">
      <w:pPr>
        <w:numPr>
          <w:ilvl w:val="0"/>
          <w:numId w:val="2"/>
        </w:numPr>
        <w:spacing w:line="360" w:lineRule="auto"/>
        <w:jc w:val="both"/>
        <w:rPr>
          <w:lang w:eastAsia="en-US"/>
        </w:rPr>
      </w:pPr>
      <w:r w:rsidRPr="00600EB9">
        <w:rPr>
          <w:lang w:eastAsia="en-US"/>
        </w:rPr>
        <w:t>РЕГЛАМЕНТ (EС) № 1299/2013 НА ЕВРОПЕЙСКИЯ ПАРЛАМЕНТ И НА СЪВЕТА от 17 декември 2013 г. относно специфични разпоредби за подкрепа на Европейския фонд за регионално развитие към цел „Европейско териториално сътрудничество</w:t>
      </w:r>
    </w:p>
    <w:p w:rsidR="00600EB9" w:rsidRPr="00600EB9" w:rsidRDefault="00600EB9" w:rsidP="00600EB9">
      <w:pPr>
        <w:numPr>
          <w:ilvl w:val="0"/>
          <w:numId w:val="2"/>
        </w:numPr>
        <w:spacing w:line="360" w:lineRule="auto"/>
        <w:jc w:val="both"/>
        <w:rPr>
          <w:lang w:eastAsia="en-US"/>
        </w:rPr>
      </w:pPr>
      <w:r w:rsidRPr="00600EB9">
        <w:rPr>
          <w:lang w:eastAsia="en-US"/>
        </w:rPr>
        <w:t>РЕГЛАМЕНТ (EС) № 1301/2013 НА ЕВРОПЕЙСКИЯ ПАРЛАМЕНТ И НА СЪВЕТА от 17 декември 2013 г. относно на Европейския фонд за регионално развитие и специфични разпоредби, отнасящи се за цел „</w:t>
      </w:r>
      <w:proofErr w:type="spellStart"/>
      <w:r w:rsidRPr="00600EB9">
        <w:rPr>
          <w:lang w:eastAsia="en-US"/>
        </w:rPr>
        <w:t>Ивестиции</w:t>
      </w:r>
      <w:proofErr w:type="spellEnd"/>
      <w:r w:rsidRPr="00600EB9">
        <w:rPr>
          <w:lang w:eastAsia="en-US"/>
        </w:rPr>
        <w:t xml:space="preserve"> за растеж и работни места“ , и за отмяна на Регламент (EО) №1080/2006</w:t>
      </w:r>
    </w:p>
    <w:p w:rsidR="00600EB9" w:rsidRPr="00600EB9" w:rsidRDefault="00600EB9" w:rsidP="00600EB9">
      <w:pPr>
        <w:numPr>
          <w:ilvl w:val="0"/>
          <w:numId w:val="2"/>
        </w:numPr>
        <w:spacing w:line="360" w:lineRule="auto"/>
        <w:jc w:val="both"/>
        <w:rPr>
          <w:lang w:eastAsia="en-US"/>
        </w:rPr>
      </w:pPr>
      <w:r w:rsidRPr="00600EB9">
        <w:rPr>
          <w:lang w:eastAsia="en-US"/>
        </w:rPr>
        <w:lastRenderedPageBreak/>
        <w:t xml:space="preserve">РЕГЛАМЕНТ (EС) № 1303/2013 НА ЕВРОПЕЙСКИЯ ПАРЛАМЕНТ И НА СЪВЕТА от 17 декември 2013 г. установяващ </w:t>
      </w:r>
      <w:proofErr w:type="spellStart"/>
      <w:r w:rsidRPr="00600EB9">
        <w:rPr>
          <w:lang w:eastAsia="en-US"/>
        </w:rPr>
        <w:t>общоприложимите</w:t>
      </w:r>
      <w:proofErr w:type="spellEnd"/>
      <w:r w:rsidRPr="00600EB9">
        <w:rPr>
          <w:lang w:eastAsia="en-US"/>
        </w:rPr>
        <w:t xml:space="preserve"> разпоредби за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рибарство, и за отмяна на Регламент (EО) №1083/2006 на Съвета</w:t>
      </w:r>
    </w:p>
    <w:p w:rsidR="00600EB9" w:rsidRPr="00600EB9" w:rsidRDefault="00600EB9" w:rsidP="00600EB9">
      <w:pPr>
        <w:numPr>
          <w:ilvl w:val="0"/>
          <w:numId w:val="2"/>
        </w:numPr>
        <w:spacing w:line="360" w:lineRule="auto"/>
        <w:jc w:val="both"/>
        <w:rPr>
          <w:lang w:eastAsia="en-US"/>
        </w:rPr>
      </w:pPr>
      <w:r w:rsidRPr="00600EB9">
        <w:rPr>
          <w:lang w:eastAsia="en-US"/>
        </w:rPr>
        <w:t>Проект</w:t>
      </w:r>
      <w:r w:rsidRPr="00600EB9">
        <w:t xml:space="preserve"> на прилагащ акта на ЕК относно списъка с региони и области, допустими за финансиране от ЕФРР по линия на трансграничния (ТГС) и транснационалния (ТНС) компонент на цел ЕТС </w:t>
      </w:r>
    </w:p>
    <w:p w:rsidR="00600EB9" w:rsidRPr="00600EB9" w:rsidRDefault="00600EB9" w:rsidP="00600EB9">
      <w:pPr>
        <w:numPr>
          <w:ilvl w:val="0"/>
          <w:numId w:val="2"/>
        </w:numPr>
        <w:spacing w:line="360" w:lineRule="auto"/>
        <w:jc w:val="both"/>
        <w:rPr>
          <w:lang w:eastAsia="en-US"/>
        </w:rPr>
      </w:pPr>
      <w:r w:rsidRPr="00600EB9">
        <w:t xml:space="preserve">Проект на прилагащ акт на ЕК относно списъка с програми за сътрудничество и глобалната сума от ЕФРР за всяка програма по цел ЕТС за периода 2014-2020. </w:t>
      </w:r>
    </w:p>
    <w:p w:rsidR="00EE379C" w:rsidRDefault="00EE379C" w:rsidP="00EE379C">
      <w:pPr>
        <w:pStyle w:val="BodyTextIndent"/>
        <w:spacing w:line="360" w:lineRule="auto"/>
        <w:ind w:left="0" w:firstLine="0"/>
        <w:rPr>
          <w:b/>
          <w:sz w:val="24"/>
        </w:rPr>
      </w:pPr>
    </w:p>
    <w:p w:rsidR="00EE379C" w:rsidRDefault="00EE379C" w:rsidP="00EE379C">
      <w:pPr>
        <w:pStyle w:val="BodyTextIndent"/>
        <w:spacing w:line="360" w:lineRule="auto"/>
        <w:ind w:left="0" w:firstLine="0"/>
        <w:rPr>
          <w:b/>
          <w:sz w:val="24"/>
        </w:rPr>
      </w:pPr>
      <w:r w:rsidRPr="0090554A">
        <w:rPr>
          <w:b/>
          <w:sz w:val="24"/>
        </w:rPr>
        <w:t>б)</w:t>
      </w:r>
      <w:r w:rsidRPr="0090554A">
        <w:rPr>
          <w:sz w:val="24"/>
        </w:rPr>
        <w:t xml:space="preserve"> </w:t>
      </w:r>
      <w:r w:rsidRPr="0090554A">
        <w:rPr>
          <w:b/>
          <w:sz w:val="24"/>
        </w:rPr>
        <w:t xml:space="preserve">Период на действие и етапи на изпълнение на </w:t>
      </w:r>
      <w:r>
        <w:rPr>
          <w:b/>
          <w:sz w:val="24"/>
        </w:rPr>
        <w:t>Програмата</w:t>
      </w:r>
      <w:r w:rsidRPr="0090554A">
        <w:rPr>
          <w:b/>
          <w:sz w:val="24"/>
        </w:rPr>
        <w:t xml:space="preserve">: </w:t>
      </w:r>
    </w:p>
    <w:p w:rsidR="005448AD" w:rsidRPr="009B2F6C" w:rsidRDefault="005448AD" w:rsidP="005448AD">
      <w:pPr>
        <w:pStyle w:val="BodyTextIndent"/>
        <w:spacing w:line="360" w:lineRule="auto"/>
        <w:ind w:left="0" w:firstLine="0"/>
        <w:rPr>
          <w:sz w:val="24"/>
        </w:rPr>
      </w:pPr>
      <w:r w:rsidRPr="009B2F6C">
        <w:rPr>
          <w:sz w:val="24"/>
        </w:rPr>
        <w:t xml:space="preserve">Периодът на действие на програмата за </w:t>
      </w:r>
      <w:r w:rsidRPr="00BC0A3E">
        <w:rPr>
          <w:sz w:val="24"/>
        </w:rPr>
        <w:t>транснационално сътрудничество „Балкани–Средиземно море“</w:t>
      </w:r>
      <w:r>
        <w:rPr>
          <w:sz w:val="24"/>
        </w:rPr>
        <w:t xml:space="preserve"> </w:t>
      </w:r>
      <w:r w:rsidRPr="009B2F6C">
        <w:rPr>
          <w:sz w:val="24"/>
        </w:rPr>
        <w:t>е 2014-2023 г</w:t>
      </w:r>
    </w:p>
    <w:p w:rsidR="00600EB9" w:rsidRPr="00600EB9" w:rsidRDefault="00600EB9" w:rsidP="00EE379C">
      <w:pPr>
        <w:pStyle w:val="BodyTextIndent"/>
        <w:spacing w:line="360" w:lineRule="auto"/>
        <w:ind w:left="0" w:firstLine="0"/>
        <w:rPr>
          <w:b/>
          <w:sz w:val="24"/>
          <w:lang w:val="en-US"/>
        </w:rPr>
      </w:pPr>
    </w:p>
    <w:p w:rsidR="00EE379C" w:rsidRPr="00455200" w:rsidRDefault="00EE379C" w:rsidP="00EE379C">
      <w:pPr>
        <w:pStyle w:val="BodyTextIndent"/>
        <w:spacing w:line="360" w:lineRule="auto"/>
        <w:ind w:left="0" w:firstLine="0"/>
        <w:rPr>
          <w:b/>
          <w:sz w:val="24"/>
        </w:rPr>
      </w:pPr>
      <w:r w:rsidRPr="00455200">
        <w:rPr>
          <w:b/>
          <w:sz w:val="24"/>
        </w:rPr>
        <w:t>в) Териториален обхват:</w:t>
      </w:r>
    </w:p>
    <w:p w:rsidR="005448AD" w:rsidRDefault="005448AD" w:rsidP="005448AD">
      <w:pPr>
        <w:pStyle w:val="BodyTextIndent"/>
        <w:spacing w:line="360" w:lineRule="auto"/>
        <w:ind w:left="0" w:firstLine="0"/>
        <w:rPr>
          <w:sz w:val="24"/>
          <w:lang w:val="en-US"/>
        </w:rPr>
      </w:pPr>
      <w:r w:rsidRPr="00600EB9">
        <w:rPr>
          <w:sz w:val="24"/>
        </w:rPr>
        <w:t>Географският обхват на програмата за транснационално сътрудничество „Балкани</w:t>
      </w:r>
      <w:r>
        <w:rPr>
          <w:sz w:val="24"/>
        </w:rPr>
        <w:t xml:space="preserve">–Средиземно море“ 2014-2020 г. </w:t>
      </w:r>
      <w:r w:rsidRPr="00600EB9">
        <w:rPr>
          <w:sz w:val="24"/>
        </w:rPr>
        <w:t>включва участието на три държави-членки: Гърция, Кипър и България и две държави кандидат-членки на ЕС: Албания и Македония.</w:t>
      </w:r>
    </w:p>
    <w:p w:rsidR="005448AD" w:rsidRPr="005448AD" w:rsidRDefault="005448AD" w:rsidP="005448AD">
      <w:pPr>
        <w:pStyle w:val="BodyTextIndent"/>
        <w:spacing w:line="360" w:lineRule="auto"/>
        <w:ind w:left="0" w:firstLine="0"/>
        <w:rPr>
          <w:sz w:val="24"/>
          <w:lang w:val="en-US"/>
        </w:rPr>
      </w:pPr>
    </w:p>
    <w:p w:rsidR="00EE379C" w:rsidRDefault="00EE379C" w:rsidP="00EE379C">
      <w:pPr>
        <w:pStyle w:val="BodyTextIndent"/>
        <w:spacing w:line="360" w:lineRule="auto"/>
        <w:ind w:left="0" w:firstLine="0"/>
        <w:jc w:val="left"/>
        <w:rPr>
          <w:sz w:val="24"/>
          <w:highlight w:val="green"/>
        </w:rPr>
      </w:pPr>
    </w:p>
    <w:p w:rsidR="00EE379C" w:rsidRPr="00455200" w:rsidRDefault="00EE379C" w:rsidP="00EE379C">
      <w:pPr>
        <w:pStyle w:val="Style"/>
        <w:spacing w:line="360" w:lineRule="auto"/>
        <w:ind w:left="0" w:firstLine="0"/>
        <w:rPr>
          <w:b/>
        </w:rPr>
      </w:pPr>
      <w:r w:rsidRPr="00455200">
        <w:rPr>
          <w:b/>
        </w:rPr>
        <w:t xml:space="preserve">г) Основни цели и предмет на </w:t>
      </w:r>
      <w:r>
        <w:rPr>
          <w:b/>
        </w:rPr>
        <w:t>П</w:t>
      </w:r>
      <w:r w:rsidRPr="00455200">
        <w:rPr>
          <w:b/>
        </w:rPr>
        <w:t>рограмата</w:t>
      </w:r>
      <w:r>
        <w:rPr>
          <w:b/>
        </w:rPr>
        <w:t>:</w:t>
      </w:r>
      <w:r w:rsidRPr="00455200">
        <w:rPr>
          <w:b/>
        </w:rPr>
        <w:t xml:space="preserve"> </w:t>
      </w:r>
    </w:p>
    <w:p w:rsidR="005448AD" w:rsidRPr="006A2C25" w:rsidRDefault="005448AD" w:rsidP="005448AD">
      <w:pPr>
        <w:spacing w:line="360" w:lineRule="auto"/>
        <w:jc w:val="both"/>
        <w:rPr>
          <w:rFonts w:eastAsia="Calibri" w:cs="Arial"/>
          <w:szCs w:val="22"/>
        </w:rPr>
      </w:pPr>
      <w:r>
        <w:rPr>
          <w:rFonts w:cs="Arial"/>
          <w:szCs w:val="22"/>
        </w:rPr>
        <w:t xml:space="preserve">Стратегията на Програмата </w:t>
      </w:r>
      <w:r>
        <w:rPr>
          <w:rFonts w:eastAsia="Calibri" w:cs="Arial"/>
          <w:szCs w:val="22"/>
        </w:rPr>
        <w:t xml:space="preserve">е </w:t>
      </w:r>
      <w:r w:rsidRPr="00043DFC">
        <w:rPr>
          <w:rFonts w:eastAsia="Calibri" w:cs="Arial"/>
          <w:szCs w:val="22"/>
        </w:rPr>
        <w:t>да допринесе за изпълнението на стратегия „Европа</w:t>
      </w:r>
      <w:r w:rsidRPr="00DB6462">
        <w:rPr>
          <w:rFonts w:eastAsia="Calibri" w:cs="Arial"/>
          <w:szCs w:val="22"/>
        </w:rPr>
        <w:t xml:space="preserve"> 2020</w:t>
      </w:r>
      <w:r w:rsidRPr="00043DFC">
        <w:rPr>
          <w:rFonts w:eastAsia="Calibri" w:cs="Arial"/>
          <w:szCs w:val="22"/>
        </w:rPr>
        <w:t xml:space="preserve">“ </w:t>
      </w:r>
      <w:r>
        <w:rPr>
          <w:rFonts w:eastAsia="Calibri" w:cs="Arial"/>
          <w:szCs w:val="22"/>
        </w:rPr>
        <w:t xml:space="preserve">за </w:t>
      </w:r>
      <w:r w:rsidRPr="004063DF">
        <w:rPr>
          <w:rFonts w:eastAsia="Calibri" w:cs="Arial"/>
          <w:szCs w:val="22"/>
        </w:rPr>
        <w:t>интели</w:t>
      </w:r>
      <w:r w:rsidRPr="00043DFC">
        <w:rPr>
          <w:rFonts w:eastAsia="Calibri" w:cs="Arial"/>
          <w:szCs w:val="22"/>
        </w:rPr>
        <w:t>гентен</w:t>
      </w:r>
      <w:r w:rsidRPr="00DB6462">
        <w:rPr>
          <w:rFonts w:eastAsia="Calibri" w:cs="Arial"/>
          <w:szCs w:val="22"/>
        </w:rPr>
        <w:t xml:space="preserve">, </w:t>
      </w:r>
      <w:r w:rsidRPr="00043DFC">
        <w:rPr>
          <w:rFonts w:eastAsia="Calibri" w:cs="Arial"/>
          <w:szCs w:val="22"/>
        </w:rPr>
        <w:t>устойчив</w:t>
      </w:r>
      <w:r w:rsidRPr="00DB6462">
        <w:rPr>
          <w:rFonts w:eastAsia="Calibri" w:cs="Arial"/>
          <w:szCs w:val="22"/>
        </w:rPr>
        <w:t xml:space="preserve"> </w:t>
      </w:r>
      <w:r w:rsidRPr="00043DFC">
        <w:rPr>
          <w:rFonts w:eastAsia="Calibri" w:cs="Arial"/>
          <w:szCs w:val="22"/>
        </w:rPr>
        <w:t>и</w:t>
      </w:r>
      <w:r w:rsidRPr="00DB6462">
        <w:rPr>
          <w:rFonts w:eastAsia="Calibri" w:cs="Arial"/>
          <w:szCs w:val="22"/>
        </w:rPr>
        <w:t xml:space="preserve"> </w:t>
      </w:r>
      <w:r w:rsidRPr="00043DFC">
        <w:rPr>
          <w:rFonts w:eastAsia="Calibri" w:cs="Arial"/>
          <w:szCs w:val="22"/>
        </w:rPr>
        <w:t>приобщаващ</w:t>
      </w:r>
      <w:r w:rsidRPr="00DB6462">
        <w:rPr>
          <w:rFonts w:eastAsia="Calibri" w:cs="Arial"/>
          <w:szCs w:val="22"/>
        </w:rPr>
        <w:t xml:space="preserve"> </w:t>
      </w:r>
      <w:r w:rsidRPr="00043DFC">
        <w:rPr>
          <w:rFonts w:eastAsia="Calibri" w:cs="Arial"/>
          <w:szCs w:val="22"/>
        </w:rPr>
        <w:t>растеж</w:t>
      </w:r>
      <w:r>
        <w:rPr>
          <w:rFonts w:eastAsia="Calibri" w:cs="Arial"/>
          <w:szCs w:val="22"/>
        </w:rPr>
        <w:t xml:space="preserve"> и за постигането на икономическо, социално и териториално сближаване.</w:t>
      </w:r>
    </w:p>
    <w:p w:rsidR="005448AD" w:rsidRDefault="005448AD" w:rsidP="005448AD">
      <w:pPr>
        <w:spacing w:line="360" w:lineRule="auto"/>
        <w:jc w:val="both"/>
        <w:rPr>
          <w:rFonts w:eastAsia="Calibri" w:cs="Arial"/>
          <w:szCs w:val="22"/>
        </w:rPr>
      </w:pPr>
      <w:r w:rsidRPr="00043DFC">
        <w:rPr>
          <w:rFonts w:eastAsia="Calibri" w:cs="Arial"/>
          <w:szCs w:val="22"/>
        </w:rPr>
        <w:t xml:space="preserve">В допълнение, програмата се стреми да подкрепя и съдейства за реализацията на </w:t>
      </w:r>
      <w:r>
        <w:rPr>
          <w:rFonts w:eastAsia="Calibri" w:cs="Arial"/>
          <w:szCs w:val="22"/>
        </w:rPr>
        <w:t xml:space="preserve">приложимите макрорегионални и морски стратегии. </w:t>
      </w:r>
    </w:p>
    <w:p w:rsidR="005448AD" w:rsidRDefault="005448AD" w:rsidP="005448AD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szCs w:val="22"/>
          <w:lang w:val="en-US"/>
        </w:rPr>
      </w:pPr>
      <w:r w:rsidRPr="00043DFC">
        <w:rPr>
          <w:rFonts w:eastAsia="Calibri" w:cs="Arial"/>
          <w:szCs w:val="22"/>
        </w:rPr>
        <w:t>Инвестиционните приоритети на Програма</w:t>
      </w:r>
      <w:r>
        <w:rPr>
          <w:rFonts w:eastAsia="Calibri" w:cs="Arial"/>
          <w:szCs w:val="22"/>
        </w:rPr>
        <w:t xml:space="preserve">та </w:t>
      </w:r>
      <w:r w:rsidRPr="00043DFC">
        <w:rPr>
          <w:rFonts w:eastAsia="Calibri" w:cs="Arial"/>
          <w:szCs w:val="22"/>
        </w:rPr>
        <w:t>са обобщени посредство</w:t>
      </w:r>
      <w:r w:rsidRPr="00DD5504">
        <w:rPr>
          <w:rFonts w:eastAsia="Calibri" w:cs="Arial"/>
          <w:szCs w:val="22"/>
        </w:rPr>
        <w:t>м</w:t>
      </w:r>
      <w:r w:rsidRPr="00043DFC">
        <w:rPr>
          <w:rFonts w:eastAsia="Calibri" w:cs="Arial"/>
          <w:szCs w:val="22"/>
        </w:rPr>
        <w:t xml:space="preserve"> Специфични цели и са представени в следващата таблица</w:t>
      </w:r>
      <w:r w:rsidRPr="00DB6462">
        <w:rPr>
          <w:rFonts w:ascii="Calibri" w:eastAsia="Calibri" w:hAnsi="Calibri" w:cs="Arial"/>
          <w:szCs w:val="22"/>
        </w:rPr>
        <w:t>.</w:t>
      </w:r>
    </w:p>
    <w:p w:rsidR="005448AD" w:rsidRDefault="005448AD" w:rsidP="005448AD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szCs w:val="22"/>
          <w:lang w:val="en-US"/>
        </w:rPr>
      </w:pPr>
    </w:p>
    <w:p w:rsidR="005448AD" w:rsidRDefault="005448AD" w:rsidP="005448AD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szCs w:val="22"/>
          <w:lang w:val="en-US"/>
        </w:rPr>
      </w:pPr>
    </w:p>
    <w:p w:rsidR="005448AD" w:rsidRPr="005448AD" w:rsidRDefault="005448AD" w:rsidP="005448AD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szCs w:val="22"/>
          <w:lang w:val="en-US"/>
        </w:rPr>
      </w:pPr>
    </w:p>
    <w:p w:rsidR="005448AD" w:rsidRPr="006A2C25" w:rsidRDefault="005448AD" w:rsidP="005448AD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sz w:val="18"/>
          <w:szCs w:val="18"/>
        </w:rPr>
      </w:pPr>
      <w:r w:rsidRPr="00A66D83">
        <w:rPr>
          <w:rFonts w:cs="Arial"/>
          <w:b/>
          <w:sz w:val="18"/>
          <w:szCs w:val="18"/>
        </w:rPr>
        <w:t>Таблица 1: Приоритетни оси и инвестиционни приоритети / специфични цели на Програмата</w:t>
      </w:r>
      <w:r w:rsidRPr="006A2C25">
        <w:rPr>
          <w:rFonts w:cs="Arial"/>
          <w:b/>
          <w:sz w:val="18"/>
          <w:szCs w:val="18"/>
        </w:rPr>
        <w:t xml:space="preserve"> 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3670"/>
        <w:gridCol w:w="3675"/>
      </w:tblGrid>
      <w:tr w:rsidR="005448AD" w:rsidRPr="001125ED" w:rsidTr="00DE48AA">
        <w:trPr>
          <w:tblHeader/>
        </w:trPr>
        <w:tc>
          <w:tcPr>
            <w:tcW w:w="2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</w:tcPr>
          <w:p w:rsidR="005448AD" w:rsidRPr="001125ED" w:rsidRDefault="005448AD" w:rsidP="00DE48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Helvetica"/>
                <w:b/>
                <w:szCs w:val="22"/>
                <w:lang w:val="en-GB"/>
              </w:rPr>
            </w:pPr>
            <w:r w:rsidRPr="001125ED">
              <w:rPr>
                <w:rFonts w:eastAsia="Helvetica"/>
                <w:b/>
                <w:szCs w:val="22"/>
              </w:rPr>
              <w:lastRenderedPageBreak/>
              <w:t>Приоритетна ос</w:t>
            </w:r>
          </w:p>
        </w:tc>
        <w:tc>
          <w:tcPr>
            <w:tcW w:w="3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</w:tcPr>
          <w:p w:rsidR="005448AD" w:rsidRPr="001125ED" w:rsidRDefault="005448AD" w:rsidP="00DE48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Cs w:val="22"/>
              </w:rPr>
            </w:pPr>
            <w:r w:rsidRPr="001125ED">
              <w:rPr>
                <w:b/>
                <w:szCs w:val="22"/>
              </w:rPr>
              <w:t>Инвестиционни приоритети</w:t>
            </w:r>
          </w:p>
        </w:tc>
        <w:tc>
          <w:tcPr>
            <w:tcW w:w="3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5448AD" w:rsidRPr="001125ED" w:rsidRDefault="005448AD" w:rsidP="00DE48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Helvetica"/>
                <w:b/>
                <w:szCs w:val="22"/>
                <w:lang w:val="en-GB"/>
              </w:rPr>
            </w:pPr>
            <w:r w:rsidRPr="001125ED">
              <w:rPr>
                <w:b/>
                <w:szCs w:val="22"/>
              </w:rPr>
              <w:t>Специфични цели</w:t>
            </w:r>
          </w:p>
        </w:tc>
      </w:tr>
      <w:tr w:rsidR="005448AD" w:rsidRPr="00E15DA8" w:rsidTr="00DE48AA">
        <w:tc>
          <w:tcPr>
            <w:tcW w:w="255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</w:tcPr>
          <w:p w:rsidR="005448AD" w:rsidRPr="008F33F8" w:rsidRDefault="005448AD" w:rsidP="00DE48AA">
            <w:pPr>
              <w:pStyle w:val="ListParagraph"/>
              <w:ind w:left="0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  <w:r w:rsidRPr="001125ED">
              <w:rPr>
                <w:rFonts w:ascii="Times New Roman" w:eastAsia="Helvetica" w:hAnsi="Times New Roman"/>
                <w:szCs w:val="22"/>
                <w:lang w:val="en-GB"/>
              </w:rPr>
              <w:t>1.</w:t>
            </w:r>
            <w:r w:rsidRPr="00E15DA8">
              <w:rPr>
                <w:rFonts w:cs="Arial"/>
                <w:color w:val="222222"/>
                <w:lang w:val="bg-BG" w:eastAsia="bg-BG"/>
              </w:rPr>
              <w:t xml:space="preserve"> </w:t>
            </w:r>
            <w:r>
              <w:rPr>
                <w:rFonts w:cs="Arial"/>
                <w:color w:val="222222"/>
                <w:lang w:val="bg-BG" w:eastAsia="bg-BG"/>
              </w:rPr>
              <w:t>П</w:t>
            </w:r>
            <w:r w:rsidRPr="00BC0A3E">
              <w:rPr>
                <w:rFonts w:ascii="Times New Roman" w:eastAsia="Helvetica" w:hAnsi="Times New Roman"/>
                <w:szCs w:val="22"/>
                <w:lang w:val="bg-BG"/>
              </w:rPr>
              <w:t>редприемачество</w:t>
            </w:r>
            <w:r>
              <w:rPr>
                <w:rFonts w:ascii="Times New Roman" w:eastAsia="Helvetica" w:hAnsi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eastAsia="Helvetica" w:hAnsi="Times New Roman"/>
                <w:szCs w:val="22"/>
                <w:lang w:val="bg-BG"/>
              </w:rPr>
              <w:t>и иновации</w:t>
            </w:r>
          </w:p>
          <w:p w:rsidR="005448AD" w:rsidRPr="00381429" w:rsidRDefault="005448AD" w:rsidP="00DE48AA">
            <w:pPr>
              <w:pStyle w:val="ListParagraph"/>
              <w:spacing w:after="120"/>
              <w:ind w:left="0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  <w:r w:rsidRPr="00E15DA8">
              <w:rPr>
                <w:rFonts w:ascii="Times New Roman" w:eastAsia="Helvetica" w:hAnsi="Times New Roman"/>
                <w:szCs w:val="22"/>
                <w:lang w:val="bg-BG"/>
              </w:rPr>
              <w:t xml:space="preserve"> </w:t>
            </w:r>
          </w:p>
        </w:tc>
        <w:tc>
          <w:tcPr>
            <w:tcW w:w="3670" w:type="dxa"/>
            <w:tcBorders>
              <w:top w:val="double" w:sz="4" w:space="0" w:color="auto"/>
              <w:bottom w:val="single" w:sz="4" w:space="0" w:color="auto"/>
            </w:tcBorders>
          </w:tcPr>
          <w:p w:rsidR="005448AD" w:rsidRPr="00827D31" w:rsidRDefault="005448AD" w:rsidP="005448AD">
            <w:pPr>
              <w:pStyle w:val="ListParagraph"/>
              <w:numPr>
                <w:ilvl w:val="0"/>
                <w:numId w:val="3"/>
              </w:numPr>
              <w:spacing w:after="120"/>
              <w:ind w:left="37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  <w:r>
              <w:rPr>
                <w:rFonts w:ascii="Times New Roman" w:eastAsia="Helvetica" w:hAnsi="Times New Roman"/>
                <w:szCs w:val="22"/>
                <w:lang w:val="bg-BG"/>
              </w:rPr>
              <w:t>ИП 3</w:t>
            </w:r>
            <w:r w:rsidRPr="00827D31">
              <w:rPr>
                <w:rFonts w:ascii="Times New Roman" w:eastAsia="Helvetica" w:hAnsi="Times New Roman"/>
                <w:szCs w:val="22"/>
                <w:lang w:val="bg-BG"/>
              </w:rPr>
              <w:t>а: Насърчаване на предприемачеството, по-специално чрез улесняване на икономическото оползотворяване на нови идеи и стимулиране на създаването на нови предприятия, включително чрез бизнес инкубатори</w:t>
            </w:r>
          </w:p>
        </w:tc>
        <w:tc>
          <w:tcPr>
            <w:tcW w:w="367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48AD" w:rsidRPr="00827D31" w:rsidRDefault="005448AD" w:rsidP="005448AD">
            <w:pPr>
              <w:pStyle w:val="ListParagraph"/>
              <w:numPr>
                <w:ilvl w:val="0"/>
                <w:numId w:val="3"/>
              </w:numPr>
              <w:spacing w:after="120"/>
              <w:ind w:left="37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  <w:r w:rsidRPr="00827D31">
              <w:rPr>
                <w:rFonts w:ascii="Times New Roman" w:eastAsia="Helvetica" w:hAnsi="Times New Roman"/>
                <w:szCs w:val="22"/>
                <w:lang w:val="bg-BG"/>
              </w:rPr>
              <w:t>Насърчаване на предприемачеството и създаването на собствен бизнес на постъпления от продажбата на нови идеи, иновации и нови видове бизнес модели</w:t>
            </w:r>
          </w:p>
          <w:p w:rsidR="005448AD" w:rsidRPr="00E15DA8" w:rsidRDefault="005448AD" w:rsidP="00DE48AA">
            <w:pPr>
              <w:pStyle w:val="ListParagraph"/>
              <w:spacing w:after="120"/>
              <w:ind w:left="1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</w:p>
        </w:tc>
      </w:tr>
      <w:tr w:rsidR="005448AD" w:rsidRPr="00E15DA8" w:rsidTr="00DE48AA">
        <w:tc>
          <w:tcPr>
            <w:tcW w:w="2559" w:type="dxa"/>
            <w:vMerge/>
            <w:tcBorders>
              <w:left w:val="double" w:sz="4" w:space="0" w:color="auto"/>
            </w:tcBorders>
            <w:shd w:val="clear" w:color="auto" w:fill="F2F2F2"/>
          </w:tcPr>
          <w:p w:rsidR="005448AD" w:rsidRPr="00E15DA8" w:rsidRDefault="005448AD" w:rsidP="00DE48AA">
            <w:pPr>
              <w:pStyle w:val="ListParagraph"/>
              <w:ind w:left="0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</w:p>
        </w:tc>
        <w:tc>
          <w:tcPr>
            <w:tcW w:w="3670" w:type="dxa"/>
            <w:tcBorders>
              <w:top w:val="single" w:sz="4" w:space="0" w:color="auto"/>
            </w:tcBorders>
          </w:tcPr>
          <w:p w:rsidR="005448AD" w:rsidRPr="00827D31" w:rsidRDefault="005448AD" w:rsidP="005448AD">
            <w:pPr>
              <w:pStyle w:val="ListParagraph"/>
              <w:numPr>
                <w:ilvl w:val="0"/>
                <w:numId w:val="3"/>
              </w:numPr>
              <w:spacing w:after="120"/>
              <w:ind w:left="37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  <w:r>
              <w:rPr>
                <w:rFonts w:ascii="Times New Roman" w:eastAsia="Helvetica" w:hAnsi="Times New Roman"/>
                <w:szCs w:val="22"/>
                <w:lang w:val="bg-BG"/>
              </w:rPr>
              <w:t>ИП 3</w:t>
            </w:r>
            <w:r w:rsidRPr="00827D31">
              <w:rPr>
                <w:rFonts w:ascii="Times New Roman" w:eastAsia="Helvetica" w:hAnsi="Times New Roman"/>
                <w:szCs w:val="22"/>
                <w:lang w:val="bg-BG"/>
              </w:rPr>
              <w:t>d: Подпомагане на капацитета на МСП да нарастват в регионални, национални и международни пазари, както и да участват в процесите на иновация</w:t>
            </w:r>
          </w:p>
        </w:tc>
        <w:tc>
          <w:tcPr>
            <w:tcW w:w="3675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5448AD" w:rsidRPr="00827D31" w:rsidRDefault="005448AD" w:rsidP="005448AD">
            <w:pPr>
              <w:pStyle w:val="ListParagraph"/>
              <w:numPr>
                <w:ilvl w:val="0"/>
                <w:numId w:val="3"/>
              </w:numPr>
              <w:spacing w:after="120"/>
              <w:ind w:left="37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  <w:r w:rsidRPr="00827D31">
              <w:rPr>
                <w:rFonts w:ascii="Times New Roman" w:eastAsia="Helvetica" w:hAnsi="Times New Roman"/>
                <w:szCs w:val="22"/>
                <w:lang w:val="bg-BG"/>
              </w:rPr>
              <w:t>Улесняване на иновациите в бизнес моделите и разрешаване на максимален брой от МСП да въвеждат иновации и да адаптират своите бизнес модели към променящите се социално-икономически и политически / регулаторни обстоятелства</w:t>
            </w:r>
          </w:p>
        </w:tc>
      </w:tr>
      <w:tr w:rsidR="005448AD" w:rsidRPr="00B34F71" w:rsidTr="00DE48AA">
        <w:trPr>
          <w:trHeight w:val="70"/>
        </w:trPr>
        <w:tc>
          <w:tcPr>
            <w:tcW w:w="2559" w:type="dxa"/>
            <w:vMerge/>
            <w:tcBorders>
              <w:left w:val="double" w:sz="4" w:space="0" w:color="auto"/>
            </w:tcBorders>
            <w:shd w:val="clear" w:color="auto" w:fill="F2F2F2"/>
          </w:tcPr>
          <w:p w:rsidR="005448AD" w:rsidRPr="00B34F71" w:rsidRDefault="005448AD" w:rsidP="00DE48AA">
            <w:pPr>
              <w:pStyle w:val="ListParagraph"/>
              <w:ind w:left="0"/>
              <w:jc w:val="both"/>
              <w:rPr>
                <w:rFonts w:eastAsia="Helvetica"/>
                <w:szCs w:val="22"/>
                <w:lang w:val="bg-BG"/>
              </w:rPr>
            </w:pPr>
          </w:p>
        </w:tc>
        <w:tc>
          <w:tcPr>
            <w:tcW w:w="3670" w:type="dxa"/>
            <w:tcBorders>
              <w:right w:val="double" w:sz="4" w:space="0" w:color="auto"/>
            </w:tcBorders>
          </w:tcPr>
          <w:p w:rsidR="005448AD" w:rsidRDefault="005448AD" w:rsidP="005448AD">
            <w:pPr>
              <w:pStyle w:val="ListParagraph"/>
              <w:numPr>
                <w:ilvl w:val="0"/>
                <w:numId w:val="3"/>
              </w:numPr>
              <w:spacing w:after="120"/>
              <w:ind w:left="373"/>
              <w:jc w:val="both"/>
              <w:rPr>
                <w:color w:val="777777"/>
                <w:sz w:val="20"/>
              </w:rPr>
            </w:pPr>
            <w:r>
              <w:rPr>
                <w:rFonts w:ascii="Times New Roman" w:eastAsia="Helvetica" w:hAnsi="Times New Roman"/>
                <w:szCs w:val="22"/>
                <w:lang w:val="bg-BG"/>
              </w:rPr>
              <w:t xml:space="preserve">ИП 10 </w:t>
            </w:r>
            <w:proofErr w:type="spellStart"/>
            <w:r>
              <w:rPr>
                <w:rFonts w:ascii="Times New Roman" w:eastAsia="Helvetica" w:hAnsi="Times New Roman"/>
                <w:szCs w:val="22"/>
                <w:lang w:val="bg-BG"/>
              </w:rPr>
              <w:t>Д</w:t>
            </w:r>
            <w:r w:rsidRPr="00A216A4">
              <w:rPr>
                <w:rFonts w:ascii="Times New Roman" w:eastAsia="Helvetica" w:hAnsi="Times New Roman"/>
                <w:szCs w:val="22"/>
                <w:lang w:val="bg-BG"/>
              </w:rPr>
              <w:t>опълнителн</w:t>
            </w:r>
            <w:proofErr w:type="spellEnd"/>
            <w:r w:rsidRPr="00A216A4">
              <w:rPr>
                <w:rFonts w:ascii="Times New Roman" w:eastAsia="Helvetica" w:hAnsi="Times New Roman"/>
                <w:szCs w:val="22"/>
              </w:rPr>
              <w:t>и</w:t>
            </w:r>
            <w:r w:rsidRPr="00A216A4">
              <w:rPr>
                <w:rFonts w:ascii="Times New Roman" w:eastAsia="Helvetica" w:hAnsi="Times New Roman"/>
                <w:szCs w:val="22"/>
                <w:lang w:val="bg-BG"/>
              </w:rPr>
              <w:t xml:space="preserve"> системи за разработване и изпълнение на </w:t>
            </w:r>
            <w:proofErr w:type="spellStart"/>
            <w:r w:rsidRPr="00A216A4">
              <w:rPr>
                <w:rFonts w:ascii="Times New Roman" w:eastAsia="Helvetica" w:hAnsi="Times New Roman"/>
                <w:szCs w:val="22"/>
                <w:lang w:val="bg-BG"/>
              </w:rPr>
              <w:t>съвместн</w:t>
            </w:r>
            <w:proofErr w:type="spellEnd"/>
            <w:r w:rsidRPr="00A216A4">
              <w:rPr>
                <w:rFonts w:ascii="Times New Roman" w:eastAsia="Helvetica" w:hAnsi="Times New Roman"/>
                <w:szCs w:val="22"/>
              </w:rPr>
              <w:t xml:space="preserve">о </w:t>
            </w:r>
            <w:proofErr w:type="spellStart"/>
            <w:r w:rsidRPr="00A216A4">
              <w:rPr>
                <w:rFonts w:ascii="Times New Roman" w:eastAsia="Helvetica" w:hAnsi="Times New Roman"/>
                <w:szCs w:val="22"/>
              </w:rPr>
              <w:t>обучение</w:t>
            </w:r>
            <w:proofErr w:type="spellEnd"/>
          </w:p>
          <w:p w:rsidR="005448AD" w:rsidRPr="00A216A4" w:rsidRDefault="005448AD" w:rsidP="00DE48AA">
            <w:pPr>
              <w:pStyle w:val="ListParagraph"/>
              <w:spacing w:after="120"/>
              <w:ind w:left="1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</w:p>
        </w:tc>
        <w:tc>
          <w:tcPr>
            <w:tcW w:w="3675" w:type="dxa"/>
            <w:tcBorders>
              <w:right w:val="double" w:sz="4" w:space="0" w:color="auto"/>
            </w:tcBorders>
          </w:tcPr>
          <w:p w:rsidR="005448AD" w:rsidRPr="00B34F71" w:rsidRDefault="005448AD" w:rsidP="005448AD">
            <w:pPr>
              <w:pStyle w:val="ListParagraph"/>
              <w:numPr>
                <w:ilvl w:val="0"/>
                <w:numId w:val="3"/>
              </w:numPr>
              <w:spacing w:after="120"/>
              <w:ind w:left="37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  <w:r w:rsidRPr="00A216A4">
              <w:rPr>
                <w:rFonts w:ascii="Times New Roman" w:eastAsia="Helvetica" w:hAnsi="Times New Roman"/>
                <w:szCs w:val="22"/>
                <w:lang w:val="bg-BG"/>
              </w:rPr>
              <w:t>Повишаване на трансфера на технологии и знания за по-конкурентоспособни МСП</w:t>
            </w:r>
          </w:p>
        </w:tc>
      </w:tr>
      <w:tr w:rsidR="005448AD" w:rsidRPr="00397E60" w:rsidTr="00DE48AA">
        <w:tc>
          <w:tcPr>
            <w:tcW w:w="2559" w:type="dxa"/>
            <w:vMerge w:val="restart"/>
            <w:tcBorders>
              <w:left w:val="double" w:sz="4" w:space="0" w:color="auto"/>
            </w:tcBorders>
            <w:shd w:val="clear" w:color="auto" w:fill="F2F2F2"/>
          </w:tcPr>
          <w:p w:rsidR="005448AD" w:rsidRPr="007C39AC" w:rsidRDefault="005448AD" w:rsidP="00DE48AA">
            <w:pPr>
              <w:pStyle w:val="ListParagraph"/>
              <w:spacing w:after="120"/>
              <w:ind w:left="0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  <w:r>
              <w:rPr>
                <w:rFonts w:ascii="Times New Roman" w:eastAsia="Helvetica" w:hAnsi="Times New Roman"/>
                <w:szCs w:val="22"/>
                <w:lang w:val="bg-BG"/>
              </w:rPr>
              <w:t>2</w:t>
            </w:r>
            <w:r w:rsidRPr="00397E60">
              <w:rPr>
                <w:rFonts w:ascii="Times New Roman" w:eastAsia="Helvetica" w:hAnsi="Times New Roman"/>
                <w:szCs w:val="22"/>
                <w:lang w:val="bg-BG"/>
              </w:rPr>
              <w:t xml:space="preserve">. </w:t>
            </w:r>
            <w:r>
              <w:rPr>
                <w:rFonts w:ascii="Times New Roman" w:eastAsia="Helvetica" w:hAnsi="Times New Roman"/>
                <w:szCs w:val="22"/>
                <w:lang w:val="bg-BG"/>
              </w:rPr>
              <w:t>Околна среда</w:t>
            </w:r>
          </w:p>
          <w:p w:rsidR="005448AD" w:rsidRPr="001125ED" w:rsidRDefault="005448AD" w:rsidP="00DE48AA">
            <w:pPr>
              <w:pStyle w:val="ListParagraph"/>
              <w:spacing w:after="120"/>
              <w:ind w:left="0"/>
              <w:jc w:val="both"/>
              <w:rPr>
                <w:rFonts w:ascii="Times New Roman" w:eastAsia="Helvetica" w:hAnsi="Times New Roman"/>
                <w:szCs w:val="22"/>
                <w:lang w:val="en-GB"/>
              </w:rPr>
            </w:pPr>
          </w:p>
        </w:tc>
        <w:tc>
          <w:tcPr>
            <w:tcW w:w="3670" w:type="dxa"/>
          </w:tcPr>
          <w:p w:rsidR="005448AD" w:rsidRPr="009703C2" w:rsidRDefault="005448AD" w:rsidP="005448AD">
            <w:pPr>
              <w:pStyle w:val="ListParagraph"/>
              <w:numPr>
                <w:ilvl w:val="0"/>
                <w:numId w:val="3"/>
              </w:numPr>
              <w:spacing w:after="120"/>
              <w:ind w:left="37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  <w:r>
              <w:rPr>
                <w:rFonts w:ascii="Times New Roman" w:eastAsia="Helvetica" w:hAnsi="Times New Roman"/>
                <w:szCs w:val="22"/>
                <w:lang w:val="bg-BG"/>
              </w:rPr>
              <w:t>ИП 6с:</w:t>
            </w:r>
            <w:r w:rsidRPr="009703C2">
              <w:rPr>
                <w:rFonts w:ascii="Times New Roman" w:eastAsia="Helvetica" w:hAnsi="Times New Roman"/>
                <w:szCs w:val="22"/>
                <w:lang w:val="bg-BG"/>
              </w:rPr>
              <w:t xml:space="preserve"> </w:t>
            </w:r>
            <w:r>
              <w:rPr>
                <w:rFonts w:ascii="Times New Roman" w:eastAsia="Helvetica" w:hAnsi="Times New Roman"/>
                <w:szCs w:val="22"/>
                <w:lang w:val="bg-BG"/>
              </w:rPr>
              <w:t>О</w:t>
            </w:r>
            <w:r w:rsidRPr="009703C2">
              <w:rPr>
                <w:rFonts w:ascii="Times New Roman" w:eastAsia="Helvetica" w:hAnsi="Times New Roman"/>
                <w:szCs w:val="22"/>
                <w:lang w:val="bg-BG"/>
              </w:rPr>
              <w:t xml:space="preserve">пазване, </w:t>
            </w:r>
            <w:r>
              <w:rPr>
                <w:rFonts w:ascii="Times New Roman" w:eastAsia="Helvetica" w:hAnsi="Times New Roman"/>
                <w:szCs w:val="22"/>
                <w:lang w:val="bg-BG"/>
              </w:rPr>
              <w:t>з</w:t>
            </w:r>
            <w:r w:rsidRPr="009703C2">
              <w:rPr>
                <w:rFonts w:ascii="Times New Roman" w:eastAsia="Helvetica" w:hAnsi="Times New Roman"/>
                <w:szCs w:val="22"/>
                <w:lang w:val="bg-BG"/>
              </w:rPr>
              <w:t>ащита, насърчаване и развитие на природното и културното наследство.</w:t>
            </w:r>
          </w:p>
          <w:p w:rsidR="005448AD" w:rsidRPr="00BA30F5" w:rsidRDefault="005448AD" w:rsidP="00DE48AA">
            <w:pPr>
              <w:pStyle w:val="ListParagraph"/>
              <w:spacing w:after="120"/>
              <w:ind w:left="1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</w:p>
        </w:tc>
        <w:tc>
          <w:tcPr>
            <w:tcW w:w="3675" w:type="dxa"/>
            <w:tcBorders>
              <w:right w:val="double" w:sz="4" w:space="0" w:color="auto"/>
            </w:tcBorders>
            <w:shd w:val="clear" w:color="auto" w:fill="auto"/>
          </w:tcPr>
          <w:p w:rsidR="005448AD" w:rsidRPr="00E8396E" w:rsidRDefault="005448AD" w:rsidP="005448AD">
            <w:pPr>
              <w:pStyle w:val="ListParagraph"/>
              <w:numPr>
                <w:ilvl w:val="0"/>
                <w:numId w:val="3"/>
              </w:numPr>
              <w:spacing w:after="120"/>
              <w:ind w:left="37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  <w:r w:rsidRPr="00E20CF6">
              <w:rPr>
                <w:rFonts w:ascii="Times New Roman" w:eastAsia="Helvetica" w:hAnsi="Times New Roman"/>
                <w:szCs w:val="22"/>
                <w:lang w:val="bg-BG"/>
              </w:rPr>
              <w:t xml:space="preserve">Поддържане на биологичното разнообразие и природните екосистеми чрез укрепване на работата в мрежа и управление на защитени територии, вкл. Натура 2000 </w:t>
            </w:r>
          </w:p>
          <w:p w:rsidR="005448AD" w:rsidRPr="00BA30F5" w:rsidRDefault="005448AD" w:rsidP="00DE48AA">
            <w:pPr>
              <w:pStyle w:val="ListParagraph"/>
              <w:spacing w:after="120"/>
              <w:ind w:left="1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</w:p>
        </w:tc>
      </w:tr>
      <w:tr w:rsidR="005448AD" w:rsidRPr="00397E60" w:rsidTr="00DE48AA">
        <w:tc>
          <w:tcPr>
            <w:tcW w:w="2559" w:type="dxa"/>
            <w:vMerge/>
            <w:tcBorders>
              <w:left w:val="double" w:sz="4" w:space="0" w:color="auto"/>
            </w:tcBorders>
            <w:shd w:val="clear" w:color="auto" w:fill="F2F2F2"/>
          </w:tcPr>
          <w:p w:rsidR="005448AD" w:rsidRDefault="005448AD" w:rsidP="00DE48AA">
            <w:pPr>
              <w:pStyle w:val="ListParagraph"/>
              <w:spacing w:after="120"/>
              <w:ind w:left="0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</w:p>
        </w:tc>
        <w:tc>
          <w:tcPr>
            <w:tcW w:w="3670" w:type="dxa"/>
          </w:tcPr>
          <w:p w:rsidR="005448AD" w:rsidRPr="00E8396E" w:rsidRDefault="005448AD" w:rsidP="005448AD">
            <w:pPr>
              <w:pStyle w:val="ListParagraph"/>
              <w:numPr>
                <w:ilvl w:val="0"/>
                <w:numId w:val="3"/>
              </w:numPr>
              <w:spacing w:after="120"/>
              <w:ind w:left="37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  <w:r w:rsidRPr="009703C2">
              <w:rPr>
                <w:rFonts w:ascii="Times New Roman" w:eastAsia="Helvetica" w:hAnsi="Times New Roman"/>
                <w:szCs w:val="22"/>
                <w:lang w:val="bg-BG"/>
              </w:rPr>
              <w:t>ИП</w:t>
            </w:r>
            <w:r>
              <w:rPr>
                <w:rFonts w:ascii="Times New Roman" w:eastAsia="Helvetica" w:hAnsi="Times New Roman"/>
                <w:szCs w:val="22"/>
                <w:lang w:val="bg-BG"/>
              </w:rPr>
              <w:t xml:space="preserve"> 6</w:t>
            </w:r>
            <w:r w:rsidRPr="00E8396E">
              <w:rPr>
                <w:rFonts w:ascii="Times New Roman" w:eastAsia="Helvetica" w:hAnsi="Times New Roman"/>
                <w:szCs w:val="22"/>
                <w:lang w:val="bg-BG"/>
              </w:rPr>
              <w:t>f</w:t>
            </w:r>
            <w:r>
              <w:rPr>
                <w:rFonts w:ascii="Times New Roman" w:eastAsia="Helvetica" w:hAnsi="Times New Roman"/>
                <w:szCs w:val="22"/>
                <w:lang w:val="bg-BG"/>
              </w:rPr>
              <w:t xml:space="preserve">: </w:t>
            </w:r>
            <w:r w:rsidRPr="00E8396E">
              <w:rPr>
                <w:rFonts w:ascii="Times New Roman" w:eastAsia="Helvetica" w:hAnsi="Times New Roman"/>
                <w:szCs w:val="22"/>
                <w:lang w:val="bg-BG"/>
              </w:rPr>
              <w:t>Насърчаване на иновативните технологии за подобряване на защитата на околната среда и ефективното използване на ресурсите в сектора на отпадъците, водите и почвата, или да се намали замърсяването на въздуха.</w:t>
            </w:r>
          </w:p>
          <w:p w:rsidR="005448AD" w:rsidRPr="009703C2" w:rsidRDefault="005448AD" w:rsidP="00DE48AA">
            <w:pPr>
              <w:pStyle w:val="ListParagraph"/>
              <w:spacing w:after="120"/>
              <w:ind w:left="1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</w:p>
        </w:tc>
        <w:tc>
          <w:tcPr>
            <w:tcW w:w="3675" w:type="dxa"/>
            <w:tcBorders>
              <w:right w:val="double" w:sz="4" w:space="0" w:color="auto"/>
            </w:tcBorders>
            <w:shd w:val="clear" w:color="auto" w:fill="auto"/>
          </w:tcPr>
          <w:p w:rsidR="005448AD" w:rsidRPr="00E20CF6" w:rsidRDefault="005448AD" w:rsidP="005448AD">
            <w:pPr>
              <w:pStyle w:val="ListParagraph"/>
              <w:numPr>
                <w:ilvl w:val="0"/>
                <w:numId w:val="3"/>
              </w:numPr>
              <w:spacing w:after="120"/>
              <w:ind w:left="37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  <w:r w:rsidRPr="00E20CF6">
              <w:rPr>
                <w:rFonts w:ascii="Times New Roman" w:eastAsia="Helvetica" w:hAnsi="Times New Roman"/>
                <w:szCs w:val="22"/>
                <w:lang w:val="bg-BG"/>
              </w:rPr>
              <w:t>Насърчаване на сътрудничеството и работата в мрежа с цел да се въведат иновативните технологии за ефективно управление на сектора на отпадъците, почвата и водния сектор включително адаптирането към Рамковата директива за водите (EC/60/2000)</w:t>
            </w:r>
          </w:p>
          <w:p w:rsidR="005448AD" w:rsidRPr="00E8396E" w:rsidRDefault="005448AD" w:rsidP="00DE48AA">
            <w:pPr>
              <w:pStyle w:val="ListParagraph"/>
              <w:spacing w:after="120"/>
              <w:ind w:left="1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</w:p>
        </w:tc>
      </w:tr>
      <w:tr w:rsidR="005448AD" w:rsidRPr="00397E60" w:rsidTr="00DE48AA">
        <w:tc>
          <w:tcPr>
            <w:tcW w:w="2559" w:type="dxa"/>
            <w:vMerge/>
            <w:tcBorders>
              <w:left w:val="double" w:sz="4" w:space="0" w:color="auto"/>
            </w:tcBorders>
            <w:shd w:val="clear" w:color="auto" w:fill="F2F2F2"/>
          </w:tcPr>
          <w:p w:rsidR="005448AD" w:rsidRDefault="005448AD" w:rsidP="00DE48AA">
            <w:pPr>
              <w:pStyle w:val="ListParagraph"/>
              <w:spacing w:after="120"/>
              <w:ind w:left="0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</w:p>
        </w:tc>
        <w:tc>
          <w:tcPr>
            <w:tcW w:w="3670" w:type="dxa"/>
          </w:tcPr>
          <w:p w:rsidR="005448AD" w:rsidRPr="00BB2789" w:rsidRDefault="005448AD" w:rsidP="005448AD">
            <w:pPr>
              <w:pStyle w:val="ListParagraph"/>
              <w:numPr>
                <w:ilvl w:val="0"/>
                <w:numId w:val="3"/>
              </w:numPr>
              <w:spacing w:after="120"/>
              <w:ind w:left="37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  <w:r>
              <w:rPr>
                <w:rFonts w:ascii="Times New Roman" w:eastAsia="Helvetica" w:hAnsi="Times New Roman"/>
                <w:szCs w:val="22"/>
                <w:lang w:val="bg-BG"/>
              </w:rPr>
              <w:t xml:space="preserve">ИП 11 </w:t>
            </w:r>
            <w:r w:rsidRPr="00BB2789">
              <w:rPr>
                <w:rFonts w:ascii="Times New Roman" w:eastAsia="Helvetica" w:hAnsi="Times New Roman"/>
                <w:szCs w:val="22"/>
                <w:lang w:val="bg-BG"/>
              </w:rPr>
              <w:t xml:space="preserve">Повишаване на институционалния капацитет на публичните органи и заинтересованите страни и ефективна публична администрация посредством действията за засилване на институционалния капацитет и ефективността на публичната администрация и обществените услуги, свързани с подпомагане </w:t>
            </w:r>
            <w:r w:rsidRPr="00BB2789">
              <w:rPr>
                <w:rFonts w:ascii="Times New Roman" w:eastAsia="Helvetica" w:hAnsi="Times New Roman"/>
                <w:szCs w:val="22"/>
                <w:lang w:val="bg-BG"/>
              </w:rPr>
              <w:lastRenderedPageBreak/>
              <w:t>на изпълнението на ЕФРР, и в подкрепа на действията по линия на ЕСФ, за да бъде засилен институционалния капацитет и ефективността на публичната администрация</w:t>
            </w:r>
          </w:p>
          <w:p w:rsidR="005448AD" w:rsidRPr="009703C2" w:rsidRDefault="005448AD" w:rsidP="00DE48AA">
            <w:pPr>
              <w:pStyle w:val="ListParagraph"/>
              <w:spacing w:after="120"/>
              <w:ind w:left="1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</w:p>
        </w:tc>
        <w:tc>
          <w:tcPr>
            <w:tcW w:w="3675" w:type="dxa"/>
            <w:tcBorders>
              <w:right w:val="double" w:sz="4" w:space="0" w:color="auto"/>
            </w:tcBorders>
            <w:shd w:val="clear" w:color="auto" w:fill="auto"/>
          </w:tcPr>
          <w:p w:rsidR="005448AD" w:rsidRPr="00A3134D" w:rsidRDefault="005448AD" w:rsidP="005448AD">
            <w:pPr>
              <w:pStyle w:val="ListParagraph"/>
              <w:numPr>
                <w:ilvl w:val="0"/>
                <w:numId w:val="3"/>
              </w:numPr>
              <w:spacing w:after="120"/>
              <w:ind w:left="37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  <w:r w:rsidRPr="00A3134D">
              <w:rPr>
                <w:rFonts w:ascii="Times New Roman" w:eastAsia="Helvetica" w:hAnsi="Times New Roman"/>
                <w:szCs w:val="22"/>
                <w:lang w:val="bg-BG"/>
              </w:rPr>
              <w:lastRenderedPageBreak/>
              <w:t xml:space="preserve">Създаване на умения за по-добро управление на околната среда и </w:t>
            </w:r>
            <w:r>
              <w:rPr>
                <w:rFonts w:ascii="Times New Roman" w:eastAsia="Helvetica" w:hAnsi="Times New Roman"/>
                <w:szCs w:val="22"/>
                <w:lang w:val="bg-BG"/>
              </w:rPr>
              <w:t>повишаване на капацитета на публичната администрация</w:t>
            </w:r>
          </w:p>
          <w:p w:rsidR="005448AD" w:rsidRPr="00E8396E" w:rsidRDefault="005448AD" w:rsidP="00DE48AA">
            <w:pPr>
              <w:pStyle w:val="ListParagraph"/>
              <w:spacing w:after="120"/>
              <w:ind w:left="1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</w:p>
        </w:tc>
      </w:tr>
      <w:tr w:rsidR="005448AD" w:rsidRPr="00397E60" w:rsidTr="00DE48AA">
        <w:tc>
          <w:tcPr>
            <w:tcW w:w="2559" w:type="dxa"/>
            <w:tcBorders>
              <w:left w:val="double" w:sz="4" w:space="0" w:color="auto"/>
            </w:tcBorders>
            <w:shd w:val="clear" w:color="auto" w:fill="F2F2F2"/>
          </w:tcPr>
          <w:p w:rsidR="005448AD" w:rsidRDefault="005448AD" w:rsidP="00DE48AA">
            <w:pPr>
              <w:pStyle w:val="ListParagraph"/>
              <w:spacing w:after="120"/>
              <w:ind w:left="0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  <w:r>
              <w:rPr>
                <w:rFonts w:ascii="Times New Roman" w:eastAsia="Helvetica" w:hAnsi="Times New Roman"/>
                <w:szCs w:val="22"/>
                <w:lang w:val="bg-BG"/>
              </w:rPr>
              <w:lastRenderedPageBreak/>
              <w:t>3. Техническа помощ</w:t>
            </w:r>
          </w:p>
        </w:tc>
        <w:tc>
          <w:tcPr>
            <w:tcW w:w="3670" w:type="dxa"/>
          </w:tcPr>
          <w:p w:rsidR="005448AD" w:rsidRDefault="005448AD" w:rsidP="00DE48AA">
            <w:pPr>
              <w:pStyle w:val="ListParagraph"/>
              <w:spacing w:after="120"/>
              <w:ind w:left="1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</w:p>
        </w:tc>
        <w:tc>
          <w:tcPr>
            <w:tcW w:w="3675" w:type="dxa"/>
            <w:tcBorders>
              <w:right w:val="double" w:sz="4" w:space="0" w:color="auto"/>
            </w:tcBorders>
            <w:shd w:val="clear" w:color="auto" w:fill="auto"/>
          </w:tcPr>
          <w:p w:rsidR="005448AD" w:rsidRPr="00A3134D" w:rsidRDefault="005448AD" w:rsidP="00DE48AA">
            <w:pPr>
              <w:pStyle w:val="ListParagraph"/>
              <w:spacing w:after="120"/>
              <w:ind w:left="13"/>
              <w:jc w:val="both"/>
              <w:rPr>
                <w:rFonts w:ascii="Times New Roman" w:eastAsia="Helvetica" w:hAnsi="Times New Roman"/>
                <w:szCs w:val="22"/>
                <w:lang w:val="bg-BG"/>
              </w:rPr>
            </w:pPr>
          </w:p>
        </w:tc>
      </w:tr>
    </w:tbl>
    <w:p w:rsidR="005448AD" w:rsidRDefault="005448AD" w:rsidP="005448AD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i/>
          <w:sz w:val="22"/>
          <w:szCs w:val="22"/>
          <w:lang w:val="en-US"/>
        </w:rPr>
      </w:pPr>
      <w:r w:rsidRPr="001125ED">
        <w:rPr>
          <w:rFonts w:eastAsia="Calibri" w:cs="Arial"/>
          <w:i/>
          <w:sz w:val="22"/>
          <w:szCs w:val="22"/>
        </w:rPr>
        <w:t>Източник</w:t>
      </w:r>
      <w:r w:rsidRPr="00397E60">
        <w:rPr>
          <w:rFonts w:eastAsia="Calibri" w:cs="Arial"/>
          <w:i/>
          <w:sz w:val="22"/>
          <w:szCs w:val="22"/>
        </w:rPr>
        <w:t xml:space="preserve">: </w:t>
      </w:r>
      <w:r>
        <w:rPr>
          <w:rFonts w:eastAsia="Calibri" w:cs="Arial"/>
          <w:i/>
          <w:sz w:val="22"/>
          <w:szCs w:val="22"/>
        </w:rPr>
        <w:t>Последна версия на програмата</w:t>
      </w:r>
      <w:r w:rsidRPr="001125ED">
        <w:rPr>
          <w:rFonts w:eastAsia="Calibri" w:cs="Arial"/>
          <w:i/>
          <w:sz w:val="22"/>
          <w:szCs w:val="22"/>
        </w:rPr>
        <w:t xml:space="preserve">, разработена към </w:t>
      </w:r>
      <w:r>
        <w:rPr>
          <w:rFonts w:eastAsia="Calibri" w:cs="Arial"/>
          <w:i/>
          <w:sz w:val="22"/>
          <w:szCs w:val="22"/>
        </w:rPr>
        <w:t>18.07.2014</w:t>
      </w:r>
      <w:r w:rsidRPr="00397E60">
        <w:rPr>
          <w:rFonts w:eastAsia="Calibri" w:cs="Arial"/>
          <w:i/>
          <w:sz w:val="22"/>
          <w:szCs w:val="22"/>
        </w:rPr>
        <w:t xml:space="preserve"> </w:t>
      </w:r>
      <w:r w:rsidRPr="001125ED">
        <w:rPr>
          <w:rFonts w:eastAsia="Calibri" w:cs="Arial"/>
          <w:i/>
          <w:sz w:val="22"/>
          <w:szCs w:val="22"/>
        </w:rPr>
        <w:t xml:space="preserve"> г.</w:t>
      </w:r>
    </w:p>
    <w:p w:rsidR="005448AD" w:rsidRPr="00455200" w:rsidRDefault="005448AD" w:rsidP="005448AD">
      <w:pPr>
        <w:pStyle w:val="BodyTextIndent"/>
        <w:spacing w:line="360" w:lineRule="auto"/>
        <w:ind w:left="0" w:firstLine="0"/>
        <w:rPr>
          <w:b/>
          <w:sz w:val="24"/>
        </w:rPr>
      </w:pPr>
      <w:r w:rsidRPr="007917DB">
        <w:rPr>
          <w:b/>
          <w:sz w:val="24"/>
        </w:rPr>
        <w:t>д) Срокове и етапи на изготвянето на плана и програмата:</w:t>
      </w:r>
    </w:p>
    <w:p w:rsidR="005448AD" w:rsidRPr="005448AD" w:rsidRDefault="005448AD" w:rsidP="005448AD">
      <w:pPr>
        <w:pStyle w:val="BodyTextIndent"/>
        <w:spacing w:line="360" w:lineRule="auto"/>
        <w:ind w:left="0" w:firstLine="0"/>
        <w:rPr>
          <w:sz w:val="24"/>
        </w:rPr>
      </w:pPr>
      <w:r>
        <w:rPr>
          <w:sz w:val="24"/>
        </w:rPr>
        <w:t>Индикативният график за изготвяне на Програмата е:</w:t>
      </w:r>
    </w:p>
    <w:tbl>
      <w:tblPr>
        <w:tblW w:w="9619" w:type="dxa"/>
        <w:jc w:val="center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7"/>
        <w:gridCol w:w="4612"/>
      </w:tblGrid>
      <w:tr w:rsidR="005448AD" w:rsidRPr="00A66D83" w:rsidTr="00D142C2">
        <w:trPr>
          <w:tblHeader/>
          <w:jc w:val="center"/>
        </w:trPr>
        <w:tc>
          <w:tcPr>
            <w:tcW w:w="5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:rsidR="005448AD" w:rsidRPr="00A66D83" w:rsidRDefault="005448AD" w:rsidP="00DE48AA">
            <w:pPr>
              <w:spacing w:line="360" w:lineRule="auto"/>
              <w:jc w:val="both"/>
              <w:rPr>
                <w:rFonts w:cs="Arial"/>
                <w:b/>
                <w:bCs/>
                <w:szCs w:val="22"/>
                <w:highlight w:val="yellow"/>
              </w:rPr>
            </w:pPr>
            <w:r w:rsidRPr="00EF5CCF">
              <w:rPr>
                <w:rFonts w:cs="Arial"/>
                <w:b/>
                <w:bCs/>
                <w:szCs w:val="22"/>
              </w:rPr>
              <w:t>Работна фаза/ дейност</w:t>
            </w:r>
          </w:p>
        </w:tc>
        <w:tc>
          <w:tcPr>
            <w:tcW w:w="46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5448AD" w:rsidRPr="00A66D83" w:rsidRDefault="005448AD" w:rsidP="00DE48AA">
            <w:pPr>
              <w:spacing w:line="360" w:lineRule="auto"/>
              <w:jc w:val="both"/>
              <w:rPr>
                <w:rFonts w:cs="Arial"/>
                <w:b/>
                <w:bCs/>
                <w:szCs w:val="22"/>
                <w:highlight w:val="yellow"/>
              </w:rPr>
            </w:pPr>
            <w:r w:rsidRPr="00EA7193">
              <w:rPr>
                <w:rFonts w:cs="Arial"/>
                <w:b/>
                <w:bCs/>
                <w:szCs w:val="22"/>
              </w:rPr>
              <w:t>Краен срок</w:t>
            </w:r>
          </w:p>
        </w:tc>
      </w:tr>
      <w:tr w:rsidR="005448AD" w:rsidRPr="00A66D83" w:rsidTr="00D142C2">
        <w:trPr>
          <w:jc w:val="center"/>
        </w:trPr>
        <w:tc>
          <w:tcPr>
            <w:tcW w:w="500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448AD" w:rsidRPr="00EF5CCF" w:rsidRDefault="005448AD" w:rsidP="00DE48AA">
            <w:pPr>
              <w:spacing w:line="360" w:lineRule="auto"/>
              <w:jc w:val="both"/>
              <w:rPr>
                <w:rFonts w:cs="Arial"/>
                <w:b/>
                <w:bCs/>
                <w:szCs w:val="22"/>
              </w:rPr>
            </w:pPr>
            <w:r w:rsidRPr="00EF5CCF">
              <w:rPr>
                <w:rFonts w:cs="Arial"/>
                <w:b/>
                <w:bCs/>
                <w:szCs w:val="22"/>
              </w:rPr>
              <w:t>Планиране на ОП, Окончателен териториален анализ</w:t>
            </w:r>
          </w:p>
        </w:tc>
        <w:tc>
          <w:tcPr>
            <w:tcW w:w="461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448AD" w:rsidRPr="009A381A" w:rsidRDefault="005448AD" w:rsidP="00DE48AA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9A381A">
              <w:rPr>
                <w:rFonts w:cs="Arial"/>
                <w:szCs w:val="22"/>
              </w:rPr>
              <w:t>февруари 2014 г.</w:t>
            </w:r>
          </w:p>
        </w:tc>
      </w:tr>
      <w:tr w:rsidR="005448AD" w:rsidRPr="00A66D83" w:rsidTr="00D142C2">
        <w:trPr>
          <w:jc w:val="center"/>
        </w:trPr>
        <w:tc>
          <w:tcPr>
            <w:tcW w:w="500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5448AD" w:rsidRPr="00EF5CCF" w:rsidRDefault="005448AD" w:rsidP="00DE48AA">
            <w:pPr>
              <w:spacing w:line="360" w:lineRule="auto"/>
              <w:jc w:val="both"/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4612" w:type="dxa"/>
            <w:tcBorders>
              <w:right w:val="double" w:sz="4" w:space="0" w:color="auto"/>
            </w:tcBorders>
            <w:shd w:val="clear" w:color="auto" w:fill="auto"/>
          </w:tcPr>
          <w:p w:rsidR="005448AD" w:rsidRPr="009A381A" w:rsidRDefault="005448AD" w:rsidP="00DE48AA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9A381A">
              <w:rPr>
                <w:rFonts w:cs="Arial"/>
                <w:szCs w:val="22"/>
              </w:rPr>
              <w:t xml:space="preserve">май 2014 г. </w:t>
            </w:r>
          </w:p>
        </w:tc>
      </w:tr>
      <w:tr w:rsidR="005448AD" w:rsidRPr="00A66D83" w:rsidTr="00D142C2">
        <w:trPr>
          <w:trHeight w:val="530"/>
          <w:jc w:val="center"/>
        </w:trPr>
        <w:tc>
          <w:tcPr>
            <w:tcW w:w="5007" w:type="dxa"/>
            <w:tcBorders>
              <w:left w:val="double" w:sz="4" w:space="0" w:color="auto"/>
            </w:tcBorders>
            <w:shd w:val="clear" w:color="auto" w:fill="auto"/>
          </w:tcPr>
          <w:p w:rsidR="005448AD" w:rsidRPr="00EF5CCF" w:rsidRDefault="005448AD" w:rsidP="00DE48AA">
            <w:pPr>
              <w:spacing w:line="360" w:lineRule="auto"/>
              <w:jc w:val="both"/>
              <w:rPr>
                <w:rFonts w:cs="Arial"/>
                <w:bCs/>
                <w:i/>
                <w:szCs w:val="22"/>
              </w:rPr>
            </w:pPr>
            <w:r w:rsidRPr="00EF5CCF">
              <w:rPr>
                <w:rFonts w:cs="Arial"/>
                <w:bCs/>
                <w:i/>
                <w:szCs w:val="22"/>
              </w:rPr>
              <w:t>Съвместна работна група (СРГ) - преглед на избора на тематични цели и инвестиционни приоритети</w:t>
            </w:r>
          </w:p>
          <w:p w:rsidR="005448AD" w:rsidRPr="00EF5CCF" w:rsidRDefault="005448AD" w:rsidP="00DE48AA">
            <w:pPr>
              <w:spacing w:line="360" w:lineRule="auto"/>
              <w:jc w:val="both"/>
              <w:rPr>
                <w:rFonts w:cs="Arial"/>
                <w:b/>
                <w:bCs/>
                <w:i/>
                <w:szCs w:val="22"/>
              </w:rPr>
            </w:pPr>
            <w:r w:rsidRPr="00EF5CCF">
              <w:rPr>
                <w:rFonts w:cs="Arial"/>
                <w:bCs/>
                <w:i/>
                <w:szCs w:val="22"/>
              </w:rPr>
              <w:t>(+ индикативни дейности)</w:t>
            </w:r>
          </w:p>
        </w:tc>
        <w:tc>
          <w:tcPr>
            <w:tcW w:w="4612" w:type="dxa"/>
            <w:tcBorders>
              <w:right w:val="double" w:sz="4" w:space="0" w:color="auto"/>
            </w:tcBorders>
            <w:shd w:val="clear" w:color="auto" w:fill="auto"/>
          </w:tcPr>
          <w:p w:rsidR="005448AD" w:rsidRPr="009A381A" w:rsidRDefault="005448AD" w:rsidP="00DE48AA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9A381A">
              <w:rPr>
                <w:rFonts w:cs="Arial"/>
                <w:szCs w:val="22"/>
              </w:rPr>
              <w:t>17 юли 2014 г.</w:t>
            </w:r>
          </w:p>
        </w:tc>
      </w:tr>
      <w:tr w:rsidR="005448AD" w:rsidRPr="00A66D83" w:rsidTr="00D142C2">
        <w:trPr>
          <w:jc w:val="center"/>
        </w:trPr>
        <w:tc>
          <w:tcPr>
            <w:tcW w:w="5007" w:type="dxa"/>
            <w:tcBorders>
              <w:left w:val="double" w:sz="4" w:space="0" w:color="auto"/>
            </w:tcBorders>
            <w:shd w:val="clear" w:color="auto" w:fill="auto"/>
          </w:tcPr>
          <w:p w:rsidR="005448AD" w:rsidRPr="00EF5CCF" w:rsidRDefault="005448AD" w:rsidP="00DE48AA">
            <w:pPr>
              <w:spacing w:line="360" w:lineRule="auto"/>
              <w:jc w:val="both"/>
              <w:rPr>
                <w:rFonts w:cs="Arial"/>
                <w:b/>
                <w:bCs/>
                <w:i/>
                <w:szCs w:val="22"/>
              </w:rPr>
            </w:pPr>
            <w:r w:rsidRPr="00EF5CCF">
              <w:rPr>
                <w:rFonts w:cs="Arial"/>
                <w:bCs/>
                <w:i/>
                <w:szCs w:val="22"/>
              </w:rPr>
              <w:t>Първи проект на ОП</w:t>
            </w:r>
          </w:p>
        </w:tc>
        <w:tc>
          <w:tcPr>
            <w:tcW w:w="4612" w:type="dxa"/>
            <w:tcBorders>
              <w:right w:val="double" w:sz="4" w:space="0" w:color="auto"/>
            </w:tcBorders>
            <w:shd w:val="clear" w:color="auto" w:fill="auto"/>
          </w:tcPr>
          <w:p w:rsidR="005448AD" w:rsidRPr="009A381A" w:rsidRDefault="005448AD" w:rsidP="00DE48AA">
            <w:pPr>
              <w:spacing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22</w:t>
            </w:r>
            <w:r w:rsidRPr="009A381A">
              <w:rPr>
                <w:rFonts w:cs="Arial"/>
                <w:szCs w:val="22"/>
              </w:rPr>
              <w:t xml:space="preserve"> юли 2014 г.</w:t>
            </w:r>
          </w:p>
        </w:tc>
      </w:tr>
      <w:tr w:rsidR="005448AD" w:rsidRPr="004E6DD7" w:rsidTr="00D142C2">
        <w:trPr>
          <w:jc w:val="center"/>
        </w:trPr>
        <w:tc>
          <w:tcPr>
            <w:tcW w:w="5007" w:type="dxa"/>
            <w:tcBorders>
              <w:left w:val="double" w:sz="4" w:space="0" w:color="auto"/>
            </w:tcBorders>
            <w:shd w:val="clear" w:color="auto" w:fill="auto"/>
          </w:tcPr>
          <w:p w:rsidR="005448AD" w:rsidRPr="00EF5CCF" w:rsidRDefault="005448AD" w:rsidP="00DE48AA">
            <w:pPr>
              <w:spacing w:line="360" w:lineRule="auto"/>
              <w:jc w:val="both"/>
              <w:rPr>
                <w:rFonts w:cs="Arial"/>
                <w:b/>
                <w:bCs/>
                <w:i/>
                <w:szCs w:val="22"/>
              </w:rPr>
            </w:pPr>
            <w:r w:rsidRPr="00EF5CCF">
              <w:rPr>
                <w:rFonts w:cs="Arial"/>
                <w:bCs/>
                <w:i/>
                <w:szCs w:val="22"/>
              </w:rPr>
              <w:t>Разработен проект</w:t>
            </w:r>
          </w:p>
        </w:tc>
        <w:tc>
          <w:tcPr>
            <w:tcW w:w="4612" w:type="dxa"/>
            <w:tcBorders>
              <w:right w:val="double" w:sz="4" w:space="0" w:color="auto"/>
            </w:tcBorders>
            <w:shd w:val="clear" w:color="auto" w:fill="auto"/>
          </w:tcPr>
          <w:p w:rsidR="005448AD" w:rsidRPr="009A381A" w:rsidRDefault="005448AD" w:rsidP="00DE48AA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9A381A">
              <w:rPr>
                <w:rFonts w:cs="Arial"/>
                <w:szCs w:val="22"/>
              </w:rPr>
              <w:t xml:space="preserve">11 август 2014 г. </w:t>
            </w:r>
          </w:p>
        </w:tc>
      </w:tr>
      <w:tr w:rsidR="005448AD" w:rsidRPr="004E6DD7" w:rsidTr="00D142C2">
        <w:trPr>
          <w:jc w:val="center"/>
        </w:trPr>
        <w:tc>
          <w:tcPr>
            <w:tcW w:w="5007" w:type="dxa"/>
            <w:tcBorders>
              <w:left w:val="double" w:sz="4" w:space="0" w:color="auto"/>
            </w:tcBorders>
            <w:shd w:val="clear" w:color="auto" w:fill="auto"/>
          </w:tcPr>
          <w:p w:rsidR="005448AD" w:rsidRPr="004E6DD7" w:rsidRDefault="005448AD" w:rsidP="00DE48AA">
            <w:pPr>
              <w:spacing w:line="360" w:lineRule="auto"/>
              <w:jc w:val="both"/>
              <w:rPr>
                <w:rFonts w:cs="Arial"/>
                <w:b/>
                <w:bCs/>
                <w:i/>
                <w:szCs w:val="22"/>
              </w:rPr>
            </w:pPr>
            <w:r w:rsidRPr="00EF5CCF">
              <w:rPr>
                <w:rFonts w:cs="Arial"/>
                <w:b/>
                <w:bCs/>
                <w:szCs w:val="22"/>
              </w:rPr>
              <w:t>Преглед на ОП</w:t>
            </w:r>
            <w:r w:rsidRPr="004E6DD7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4612" w:type="dxa"/>
            <w:tcBorders>
              <w:right w:val="double" w:sz="4" w:space="0" w:color="auto"/>
            </w:tcBorders>
            <w:shd w:val="clear" w:color="auto" w:fill="auto"/>
          </w:tcPr>
          <w:p w:rsidR="005448AD" w:rsidRPr="009A381A" w:rsidRDefault="005448AD" w:rsidP="00DE48AA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5448AD" w:rsidRPr="00A66D83" w:rsidTr="00D142C2">
        <w:trPr>
          <w:jc w:val="center"/>
        </w:trPr>
        <w:tc>
          <w:tcPr>
            <w:tcW w:w="500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5448AD" w:rsidRPr="004E6DD7" w:rsidRDefault="005448AD" w:rsidP="00DE48AA">
            <w:pPr>
              <w:spacing w:line="360" w:lineRule="auto"/>
              <w:jc w:val="both"/>
              <w:rPr>
                <w:rFonts w:cs="Arial"/>
                <w:b/>
                <w:bCs/>
                <w:i/>
                <w:szCs w:val="22"/>
              </w:rPr>
            </w:pPr>
            <w:r w:rsidRPr="00EF5CCF">
              <w:rPr>
                <w:rFonts w:cs="Arial"/>
                <w:bCs/>
                <w:i/>
                <w:szCs w:val="22"/>
              </w:rPr>
              <w:t>Интегриране на предварителната и екологичната оценка, окончателен проект на ОП</w:t>
            </w:r>
          </w:p>
        </w:tc>
        <w:tc>
          <w:tcPr>
            <w:tcW w:w="4612" w:type="dxa"/>
            <w:tcBorders>
              <w:right w:val="double" w:sz="4" w:space="0" w:color="auto"/>
            </w:tcBorders>
            <w:shd w:val="clear" w:color="auto" w:fill="auto"/>
          </w:tcPr>
          <w:p w:rsidR="005448AD" w:rsidRPr="009A381A" w:rsidRDefault="005448AD" w:rsidP="00DE48AA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9A381A">
              <w:rPr>
                <w:rFonts w:cs="Arial"/>
                <w:szCs w:val="22"/>
              </w:rPr>
              <w:t>15 август 2014 г. (окончателен проект на ОП)</w:t>
            </w:r>
          </w:p>
        </w:tc>
      </w:tr>
      <w:tr w:rsidR="005448AD" w:rsidRPr="00A66D83" w:rsidTr="00D142C2">
        <w:trPr>
          <w:jc w:val="center"/>
        </w:trPr>
        <w:tc>
          <w:tcPr>
            <w:tcW w:w="500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5448AD" w:rsidRPr="00EF5CCF" w:rsidRDefault="005448AD" w:rsidP="00DE48AA">
            <w:pPr>
              <w:spacing w:line="360" w:lineRule="auto"/>
              <w:jc w:val="both"/>
              <w:rPr>
                <w:rFonts w:cs="Arial"/>
                <w:b/>
                <w:bCs/>
                <w:i/>
                <w:szCs w:val="22"/>
              </w:rPr>
            </w:pPr>
          </w:p>
        </w:tc>
        <w:tc>
          <w:tcPr>
            <w:tcW w:w="4612" w:type="dxa"/>
            <w:tcBorders>
              <w:right w:val="double" w:sz="4" w:space="0" w:color="auto"/>
            </w:tcBorders>
            <w:shd w:val="clear" w:color="auto" w:fill="auto"/>
          </w:tcPr>
          <w:p w:rsidR="005448AD" w:rsidRPr="009A381A" w:rsidRDefault="005448AD" w:rsidP="00DE48AA">
            <w:pPr>
              <w:spacing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19</w:t>
            </w:r>
            <w:r w:rsidRPr="009A381A">
              <w:rPr>
                <w:rFonts w:cs="Arial"/>
                <w:szCs w:val="22"/>
              </w:rPr>
              <w:t xml:space="preserve"> август 2014 г. (одобрение на ОП от СРГ)</w:t>
            </w:r>
          </w:p>
        </w:tc>
      </w:tr>
      <w:tr w:rsidR="005448AD" w:rsidRPr="00A66D83" w:rsidTr="00D142C2">
        <w:trPr>
          <w:jc w:val="center"/>
        </w:trPr>
        <w:tc>
          <w:tcPr>
            <w:tcW w:w="500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5448AD" w:rsidRPr="00EF5CCF" w:rsidRDefault="005448AD" w:rsidP="00DE48AA">
            <w:pPr>
              <w:spacing w:line="360" w:lineRule="auto"/>
              <w:jc w:val="both"/>
              <w:rPr>
                <w:rFonts w:cs="Arial"/>
                <w:b/>
                <w:bCs/>
                <w:i/>
                <w:szCs w:val="22"/>
              </w:rPr>
            </w:pPr>
            <w:r w:rsidRPr="00EF5CCF">
              <w:rPr>
                <w:rFonts w:cs="Arial"/>
                <w:b/>
                <w:bCs/>
                <w:szCs w:val="22"/>
              </w:rPr>
              <w:t>Преговори с ЕК</w:t>
            </w:r>
          </w:p>
        </w:tc>
        <w:tc>
          <w:tcPr>
            <w:tcW w:w="4612" w:type="dxa"/>
            <w:tcBorders>
              <w:right w:val="double" w:sz="4" w:space="0" w:color="auto"/>
            </w:tcBorders>
            <w:shd w:val="clear" w:color="auto" w:fill="auto"/>
          </w:tcPr>
          <w:p w:rsidR="005448AD" w:rsidRPr="009A381A" w:rsidRDefault="005448AD" w:rsidP="00DE48AA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9A381A">
              <w:rPr>
                <w:rFonts w:cs="Arial"/>
                <w:szCs w:val="22"/>
              </w:rPr>
              <w:t xml:space="preserve">22 </w:t>
            </w:r>
            <w:r w:rsidRPr="009A381A">
              <w:rPr>
                <w:rStyle w:val="hps"/>
              </w:rPr>
              <w:t>септември</w:t>
            </w:r>
            <w:r w:rsidRPr="009A381A">
              <w:rPr>
                <w:rFonts w:cs="Arial"/>
                <w:szCs w:val="22"/>
              </w:rPr>
              <w:t>-края на м. декември 2014 г.</w:t>
            </w:r>
          </w:p>
        </w:tc>
      </w:tr>
      <w:tr w:rsidR="005448AD" w:rsidRPr="006A2C25" w:rsidTr="00D142C2">
        <w:trPr>
          <w:jc w:val="center"/>
        </w:trPr>
        <w:tc>
          <w:tcPr>
            <w:tcW w:w="500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448AD" w:rsidRPr="00A66D83" w:rsidRDefault="005448AD" w:rsidP="00DE48AA">
            <w:pPr>
              <w:spacing w:line="360" w:lineRule="auto"/>
              <w:jc w:val="both"/>
              <w:rPr>
                <w:rFonts w:cs="Arial"/>
                <w:b/>
                <w:bCs/>
                <w:szCs w:val="22"/>
                <w:highlight w:val="yellow"/>
              </w:rPr>
            </w:pPr>
          </w:p>
        </w:tc>
        <w:tc>
          <w:tcPr>
            <w:tcW w:w="461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48AD" w:rsidRPr="009A381A" w:rsidRDefault="005448AD" w:rsidP="00DE48AA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9A381A">
              <w:rPr>
                <w:rFonts w:cs="Arial"/>
                <w:szCs w:val="22"/>
              </w:rPr>
              <w:t>Края на м. декември 2014 г. (предвижда се одобрение на ОП от ЕК)</w:t>
            </w:r>
          </w:p>
        </w:tc>
      </w:tr>
    </w:tbl>
    <w:p w:rsidR="00EE379C" w:rsidRDefault="00EE379C" w:rsidP="00EE379C">
      <w:pPr>
        <w:suppressAutoHyphens/>
        <w:spacing w:line="360" w:lineRule="auto"/>
        <w:jc w:val="both"/>
        <w:rPr>
          <w:rFonts w:eastAsia="Calibri" w:cs="Arial"/>
          <w:szCs w:val="22"/>
        </w:rPr>
      </w:pPr>
    </w:p>
    <w:p w:rsidR="00EE379C" w:rsidRDefault="00EE379C" w:rsidP="005448AD">
      <w:pPr>
        <w:numPr>
          <w:ilvl w:val="0"/>
          <w:numId w:val="4"/>
        </w:numPr>
        <w:suppressAutoHyphens/>
        <w:spacing w:line="360" w:lineRule="auto"/>
        <w:jc w:val="both"/>
        <w:rPr>
          <w:rFonts w:eastAsia="Calibri"/>
          <w:szCs w:val="22"/>
        </w:rPr>
      </w:pPr>
      <w:r w:rsidRPr="00B334BC">
        <w:rPr>
          <w:rFonts w:eastAsia="Calibri" w:cs="Arial"/>
          <w:b/>
          <w:szCs w:val="22"/>
          <w:u w:val="single"/>
        </w:rPr>
        <w:t xml:space="preserve">Органът, отговорен за одобрението на бъдещата </w:t>
      </w:r>
      <w:r w:rsidR="005448AD" w:rsidRPr="005448AD">
        <w:rPr>
          <w:rFonts w:eastAsia="Calibri" w:cs="Arial"/>
          <w:b/>
          <w:szCs w:val="22"/>
          <w:u w:val="single"/>
        </w:rPr>
        <w:t>програма за транснационално сътрудничество „Балкани–Средиземно море“ е 2014-2023 г</w:t>
      </w:r>
      <w:r w:rsidR="005448AD">
        <w:rPr>
          <w:rFonts w:eastAsia="Calibri" w:cs="Arial"/>
          <w:b/>
          <w:szCs w:val="22"/>
          <w:u w:val="single"/>
          <w:lang w:val="en-US"/>
        </w:rPr>
        <w:t>.</w:t>
      </w:r>
      <w:r>
        <w:rPr>
          <w:rFonts w:eastAsia="Calibri" w:cs="Arial"/>
          <w:szCs w:val="22"/>
        </w:rPr>
        <w:t xml:space="preserve">, е Европейската комисия. Редът за разработване на проектите на оперативните програми за програмен период 2014-2020 година, тяхното внасяне, разглеждане и одобрение на национално ниво, е разписан в ПМС </w:t>
      </w:r>
      <w:r>
        <w:rPr>
          <w:rFonts w:eastAsia="Calibri"/>
          <w:szCs w:val="22"/>
        </w:rPr>
        <w:t>№ 5/18.01.2012 г.</w:t>
      </w:r>
    </w:p>
    <w:p w:rsidR="00EE379C" w:rsidRPr="00B334BC" w:rsidRDefault="00EE379C" w:rsidP="005448AD">
      <w:pPr>
        <w:pStyle w:val="Style"/>
        <w:numPr>
          <w:ilvl w:val="0"/>
          <w:numId w:val="4"/>
        </w:numPr>
        <w:spacing w:line="360" w:lineRule="auto"/>
        <w:rPr>
          <w:b/>
          <w:u w:val="single"/>
        </w:rPr>
      </w:pPr>
      <w:r w:rsidRPr="00825BB2">
        <w:rPr>
          <w:b/>
          <w:u w:val="single"/>
        </w:rPr>
        <w:t>Място за публичен достъп</w:t>
      </w:r>
      <w:r>
        <w:rPr>
          <w:b/>
          <w:u w:val="single"/>
        </w:rPr>
        <w:t xml:space="preserve"> </w:t>
      </w:r>
      <w:r>
        <w:rPr>
          <w:b/>
        </w:rPr>
        <w:t xml:space="preserve"> - </w:t>
      </w:r>
      <w:r>
        <w:t xml:space="preserve">Докладът за </w:t>
      </w:r>
      <w:r w:rsidRPr="00825BB2">
        <w:t xml:space="preserve">Екологична оценка на </w:t>
      </w:r>
      <w:r w:rsidR="005448AD" w:rsidRPr="005448AD">
        <w:t>програмата за транснационално сътрудничество „Балкани–Средиземно море“ е 2014-2023 г</w:t>
      </w:r>
      <w:r w:rsidR="005448AD">
        <w:rPr>
          <w:lang w:val="en-US"/>
        </w:rPr>
        <w:t>.</w:t>
      </w:r>
      <w:r>
        <w:t xml:space="preserve"> е на </w:t>
      </w:r>
      <w:r>
        <w:lastRenderedPageBreak/>
        <w:t xml:space="preserve">разположение на заинтересованите лица на адрес: гр. София 1202, ул. „Кирил и Методий“ </w:t>
      </w:r>
      <w:r>
        <w:rPr>
          <w:rFonts w:eastAsia="Calibri"/>
          <w:szCs w:val="22"/>
        </w:rPr>
        <w:t>№ 17-19, ет.</w:t>
      </w:r>
      <w:r w:rsidR="005448AD">
        <w:rPr>
          <w:rFonts w:eastAsia="Calibri"/>
          <w:szCs w:val="22"/>
          <w:lang w:val="en-US"/>
        </w:rPr>
        <w:t>5</w:t>
      </w:r>
      <w:r>
        <w:rPr>
          <w:rFonts w:eastAsia="Calibri"/>
          <w:szCs w:val="22"/>
        </w:rPr>
        <w:t xml:space="preserve">, стая </w:t>
      </w:r>
      <w:r w:rsidR="005448AD">
        <w:rPr>
          <w:rFonts w:eastAsia="Calibri"/>
          <w:szCs w:val="22"/>
          <w:lang w:val="en-US"/>
        </w:rPr>
        <w:t>514</w:t>
      </w:r>
      <w:r>
        <w:rPr>
          <w:rFonts w:eastAsia="Calibri"/>
          <w:szCs w:val="22"/>
        </w:rPr>
        <w:t xml:space="preserve">, отдел „НОП“, всеки работен ден от 09:00 до 17:00 ч. </w:t>
      </w:r>
      <w:r>
        <w:t>Документът е публикуван на електронната страница на Министерството на регионалното развитие (</w:t>
      </w:r>
      <w:r w:rsidRPr="00F5699E">
        <w:rPr>
          <w:lang w:val="en-US"/>
        </w:rPr>
        <w:t>www.mrrb.government.bg</w:t>
      </w:r>
      <w:r w:rsidRPr="00B334BC">
        <w:rPr>
          <w:lang w:val="en-US"/>
        </w:rPr>
        <w:t xml:space="preserve">), </w:t>
      </w:r>
      <w:r>
        <w:t>в секция „Обяви“.</w:t>
      </w:r>
    </w:p>
    <w:p w:rsidR="00D142C2" w:rsidRPr="00D142C2" w:rsidRDefault="00EE379C" w:rsidP="00EE379C">
      <w:pPr>
        <w:pStyle w:val="Style"/>
        <w:numPr>
          <w:ilvl w:val="0"/>
          <w:numId w:val="4"/>
        </w:numPr>
        <w:spacing w:line="360" w:lineRule="auto"/>
        <w:rPr>
          <w:rFonts w:eastAsia="Calibri"/>
          <w:szCs w:val="22"/>
        </w:rPr>
      </w:pPr>
      <w:r w:rsidRPr="00D142C2">
        <w:rPr>
          <w:b/>
          <w:u w:val="single"/>
        </w:rPr>
        <w:t>Време за публичен достъп</w:t>
      </w:r>
      <w:r>
        <w:t xml:space="preserve"> – 30 дни от</w:t>
      </w:r>
      <w:r w:rsidR="005448AD">
        <w:t xml:space="preserve"> датата на публикуване</w:t>
      </w:r>
    </w:p>
    <w:p w:rsidR="00EE379C" w:rsidRPr="00D142C2" w:rsidRDefault="00EE379C" w:rsidP="00EE379C">
      <w:pPr>
        <w:pStyle w:val="Style"/>
        <w:numPr>
          <w:ilvl w:val="0"/>
          <w:numId w:val="4"/>
        </w:numPr>
        <w:spacing w:line="360" w:lineRule="auto"/>
        <w:rPr>
          <w:rFonts w:eastAsia="Calibri"/>
          <w:szCs w:val="22"/>
        </w:rPr>
      </w:pPr>
      <w:r w:rsidRPr="00D142C2">
        <w:rPr>
          <w:b/>
          <w:u w:val="single"/>
        </w:rPr>
        <w:t>Начин на изразяване на становище</w:t>
      </w:r>
      <w:r>
        <w:t xml:space="preserve"> – становища и мнения могат да се депозират на място с писма на адрес: гр. София 1202, ул. „Кирил и Методий“ </w:t>
      </w:r>
      <w:r w:rsidRPr="00D142C2">
        <w:rPr>
          <w:rFonts w:eastAsia="Calibri"/>
          <w:szCs w:val="22"/>
        </w:rPr>
        <w:t xml:space="preserve">№ 17-19, по факс: 02/987 07 37 и по електронна поща: </w:t>
      </w:r>
      <w:proofErr w:type="spellStart"/>
      <w:r w:rsidRPr="00D142C2">
        <w:rPr>
          <w:rFonts w:eastAsia="Calibri"/>
          <w:szCs w:val="22"/>
        </w:rPr>
        <w:t>mobretenov@mrrb</w:t>
      </w:r>
      <w:proofErr w:type="spellEnd"/>
      <w:r w:rsidRPr="00D142C2">
        <w:rPr>
          <w:rFonts w:eastAsia="Calibri"/>
          <w:szCs w:val="22"/>
        </w:rPr>
        <w:t>.</w:t>
      </w:r>
      <w:proofErr w:type="spellStart"/>
      <w:r w:rsidRPr="00D142C2">
        <w:rPr>
          <w:rFonts w:eastAsia="Calibri"/>
          <w:szCs w:val="22"/>
        </w:rPr>
        <w:t>government</w:t>
      </w:r>
      <w:proofErr w:type="spellEnd"/>
      <w:r w:rsidRPr="00D142C2">
        <w:rPr>
          <w:rFonts w:eastAsia="Calibri"/>
          <w:szCs w:val="22"/>
        </w:rPr>
        <w:t>.</w:t>
      </w:r>
      <w:proofErr w:type="spellStart"/>
      <w:r w:rsidRPr="00D142C2">
        <w:rPr>
          <w:rFonts w:eastAsia="Calibri"/>
          <w:szCs w:val="22"/>
        </w:rPr>
        <w:t>bg</w:t>
      </w:r>
      <w:proofErr w:type="spellEnd"/>
      <w:r w:rsidRPr="00D142C2">
        <w:rPr>
          <w:rFonts w:eastAsia="Calibri"/>
          <w:szCs w:val="22"/>
        </w:rPr>
        <w:t xml:space="preserve">, </w:t>
      </w:r>
      <w:proofErr w:type="spellStart"/>
      <w:r w:rsidR="005448AD" w:rsidRPr="00D142C2">
        <w:rPr>
          <w:rFonts w:eastAsia="Calibri"/>
          <w:szCs w:val="22"/>
          <w:lang w:val="en-US"/>
        </w:rPr>
        <w:t>sstaykov</w:t>
      </w:r>
      <w:proofErr w:type="spellEnd"/>
      <w:r w:rsidRPr="00D142C2">
        <w:rPr>
          <w:rFonts w:eastAsia="Calibri"/>
          <w:szCs w:val="22"/>
        </w:rPr>
        <w:t>@</w:t>
      </w:r>
      <w:proofErr w:type="spellStart"/>
      <w:r w:rsidRPr="00D142C2">
        <w:rPr>
          <w:rFonts w:eastAsia="Calibri"/>
          <w:szCs w:val="22"/>
        </w:rPr>
        <w:t>mrrb</w:t>
      </w:r>
      <w:proofErr w:type="spellEnd"/>
      <w:r w:rsidRPr="00D142C2">
        <w:rPr>
          <w:rFonts w:eastAsia="Calibri"/>
          <w:szCs w:val="22"/>
        </w:rPr>
        <w:t>.</w:t>
      </w:r>
      <w:proofErr w:type="spellStart"/>
      <w:r w:rsidRPr="00D142C2">
        <w:rPr>
          <w:rFonts w:eastAsia="Calibri"/>
          <w:szCs w:val="22"/>
        </w:rPr>
        <w:t>government</w:t>
      </w:r>
      <w:proofErr w:type="spellEnd"/>
      <w:r w:rsidRPr="00D142C2">
        <w:rPr>
          <w:rFonts w:eastAsia="Calibri"/>
          <w:szCs w:val="22"/>
        </w:rPr>
        <w:t>.</w:t>
      </w:r>
      <w:proofErr w:type="spellStart"/>
      <w:r w:rsidRPr="00D142C2">
        <w:rPr>
          <w:rFonts w:eastAsia="Calibri"/>
          <w:szCs w:val="22"/>
        </w:rPr>
        <w:t>bg</w:t>
      </w:r>
      <w:proofErr w:type="spellEnd"/>
    </w:p>
    <w:p w:rsidR="002329AA" w:rsidRDefault="009E1F9D"/>
    <w:sectPr w:rsidR="002329AA" w:rsidSect="00D142C2">
      <w:footerReference w:type="default" r:id="rId8"/>
      <w:pgSz w:w="11906" w:h="16838" w:code="9"/>
      <w:pgMar w:top="993" w:right="907" w:bottom="964" w:left="1134" w:header="568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9D" w:rsidRDefault="009E1F9D" w:rsidP="00EE379C">
      <w:r>
        <w:separator/>
      </w:r>
    </w:p>
  </w:endnote>
  <w:endnote w:type="continuationSeparator" w:id="0">
    <w:p w:rsidR="009E1F9D" w:rsidRDefault="009E1F9D" w:rsidP="00EE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E8" w:rsidRPr="00A503EB" w:rsidRDefault="005448AD" w:rsidP="004E5EE8">
    <w:pPr>
      <w:pStyle w:val="Footer"/>
      <w:pBdr>
        <w:top w:val="inset" w:sz="6" w:space="1" w:color="auto"/>
      </w:pBdr>
      <w:jc w:val="center"/>
      <w:rPr>
        <w:sz w:val="20"/>
        <w:szCs w:val="20"/>
        <w:lang w:val="ru-RU"/>
      </w:rPr>
    </w:pPr>
    <w:r>
      <w:rPr>
        <w:sz w:val="20"/>
        <w:szCs w:val="20"/>
      </w:rPr>
      <w:t>гр. София, ул. „Св.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t>Св. Кирил и Методий” 1</w:t>
    </w:r>
    <w:r w:rsidRPr="00A503EB">
      <w:rPr>
        <w:sz w:val="20"/>
        <w:szCs w:val="20"/>
        <w:lang w:val="ru-RU"/>
      </w:rPr>
      <w:t>7</w:t>
    </w:r>
    <w:r>
      <w:rPr>
        <w:sz w:val="20"/>
        <w:szCs w:val="20"/>
      </w:rPr>
      <w:t>-1</w:t>
    </w:r>
    <w:r w:rsidRPr="00A503EB">
      <w:rPr>
        <w:sz w:val="20"/>
        <w:szCs w:val="20"/>
        <w:lang w:val="ru-RU"/>
      </w:rPr>
      <w:t>9</w:t>
    </w:r>
  </w:p>
  <w:p w:rsidR="004E5EE8" w:rsidRDefault="005448AD" w:rsidP="004E5EE8">
    <w:pPr>
      <w:pStyle w:val="Footer"/>
      <w:pBdr>
        <w:top w:val="inset" w:sz="6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тел.</w:t>
    </w:r>
    <w:r w:rsidR="00604DC4">
      <w:rPr>
        <w:sz w:val="20"/>
        <w:szCs w:val="20"/>
        <w:lang w:val="ru-RU"/>
      </w:rPr>
      <w:t xml:space="preserve"> 94</w:t>
    </w:r>
    <w:r w:rsidRPr="00A503EB">
      <w:rPr>
        <w:sz w:val="20"/>
        <w:szCs w:val="20"/>
        <w:lang w:val="ru-RU"/>
      </w:rPr>
      <w:t>05</w:t>
    </w:r>
    <w:r w:rsidR="00604DC4">
      <w:rPr>
        <w:sz w:val="20"/>
        <w:szCs w:val="20"/>
        <w:lang w:val="en-US"/>
      </w:rPr>
      <w:t xml:space="preserve"> </w:t>
    </w:r>
    <w:r w:rsidRPr="00A503EB">
      <w:rPr>
        <w:sz w:val="20"/>
        <w:szCs w:val="20"/>
        <w:lang w:val="ru-RU"/>
      </w:rPr>
      <w:t>9</w:t>
    </w:r>
    <w:r w:rsidR="00604DC4">
      <w:rPr>
        <w:sz w:val="20"/>
        <w:szCs w:val="20"/>
        <w:lang w:val="en-US"/>
      </w:rPr>
      <w:t>00</w:t>
    </w:r>
    <w:r>
      <w:rPr>
        <w:sz w:val="20"/>
        <w:szCs w:val="20"/>
      </w:rPr>
      <w:t>, факс</w:t>
    </w:r>
    <w:r w:rsidRPr="00A503EB">
      <w:rPr>
        <w:sz w:val="20"/>
        <w:szCs w:val="20"/>
        <w:lang w:val="ru-RU"/>
      </w:rPr>
      <w:t xml:space="preserve"> 987 25 17</w:t>
    </w:r>
  </w:p>
  <w:p w:rsidR="009F19D0" w:rsidRPr="004E5EE8" w:rsidRDefault="009E1F9D" w:rsidP="004E5EE8">
    <w:pPr>
      <w:pStyle w:val="Footer"/>
      <w:pBdr>
        <w:top w:val="inset" w:sz="6" w:space="1" w:color="auto"/>
      </w:pBdr>
      <w:jc w:val="center"/>
      <w:rPr>
        <w:sz w:val="20"/>
        <w:szCs w:val="20"/>
      </w:rPr>
    </w:pPr>
    <w:hyperlink r:id="rId1" w:history="1">
      <w:r w:rsidR="005448AD" w:rsidRPr="003D3C67">
        <w:rPr>
          <w:rStyle w:val="Hyperlink"/>
          <w:sz w:val="20"/>
          <w:szCs w:val="20"/>
          <w:lang w:val="en-US"/>
        </w:rPr>
        <w:t>www.mrrb.government.bg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9D" w:rsidRDefault="009E1F9D" w:rsidP="00EE379C">
      <w:r>
        <w:separator/>
      </w:r>
    </w:p>
  </w:footnote>
  <w:footnote w:type="continuationSeparator" w:id="0">
    <w:p w:rsidR="009E1F9D" w:rsidRDefault="009E1F9D" w:rsidP="00EE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676"/>
    <w:multiLevelType w:val="hybridMultilevel"/>
    <w:tmpl w:val="99864D80"/>
    <w:lvl w:ilvl="0" w:tplc="C2828A0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7D73BA"/>
    <w:multiLevelType w:val="hybridMultilevel"/>
    <w:tmpl w:val="0960E3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15AC0"/>
    <w:multiLevelType w:val="hybridMultilevel"/>
    <w:tmpl w:val="6194D6F4"/>
    <w:lvl w:ilvl="0" w:tplc="22C086F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C474C"/>
    <w:multiLevelType w:val="hybridMultilevel"/>
    <w:tmpl w:val="D2BE57C0"/>
    <w:lvl w:ilvl="0" w:tplc="E7B6F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0E"/>
    <w:rsid w:val="001B18D3"/>
    <w:rsid w:val="002E1D37"/>
    <w:rsid w:val="002F60CC"/>
    <w:rsid w:val="005448AD"/>
    <w:rsid w:val="00600EB9"/>
    <w:rsid w:val="00604DC4"/>
    <w:rsid w:val="00656F0A"/>
    <w:rsid w:val="006A4CDE"/>
    <w:rsid w:val="00776C0E"/>
    <w:rsid w:val="009E1F9D"/>
    <w:rsid w:val="00AF605F"/>
    <w:rsid w:val="00CC2462"/>
    <w:rsid w:val="00D142C2"/>
    <w:rsid w:val="00ED6A13"/>
    <w:rsid w:val="00E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37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79C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EE37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E379C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Hyperlink">
    <w:name w:val="Hyperlink"/>
    <w:rsid w:val="00EE379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EE379C"/>
    <w:pPr>
      <w:ind w:left="5760" w:firstLine="720"/>
      <w:jc w:val="both"/>
    </w:pPr>
    <w:rPr>
      <w:sz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E379C"/>
    <w:rPr>
      <w:rFonts w:ascii="Times New Roman" w:eastAsia="Times New Roman" w:hAnsi="Times New Roman" w:cs="Times New Roman"/>
      <w:sz w:val="28"/>
      <w:szCs w:val="24"/>
      <w:lang w:val="bg-BG"/>
    </w:rPr>
  </w:style>
  <w:style w:type="paragraph" w:customStyle="1" w:styleId="Style">
    <w:name w:val="Style"/>
    <w:rsid w:val="00EE379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FootnoteReference">
    <w:name w:val="footnote reference"/>
    <w:aliases w:val="Überschrift 4 Zchn1,Título 4 Car Zchn,Heading 4 Char1 Car Zchn,no vale 2 Zchn,no vale 2 Car Zchn,ftref,Footnote symbol,-E Fußnotenzeichen,ESPON Footnote No,Footnote call,Odwołanie przypisu,Voetnootverwijzing,BVI fnr"/>
    <w:rsid w:val="00EE379C"/>
    <w:rPr>
      <w:vertAlign w:val="superscript"/>
    </w:rPr>
  </w:style>
  <w:style w:type="paragraph" w:customStyle="1" w:styleId="Default">
    <w:name w:val="Default"/>
    <w:rsid w:val="00EE379C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de-AT" w:eastAsia="de-AT"/>
    </w:rPr>
  </w:style>
  <w:style w:type="paragraph" w:styleId="ListParagraph">
    <w:name w:val="List Paragraph"/>
    <w:basedOn w:val="Normal"/>
    <w:link w:val="ListParagraphChar"/>
    <w:uiPriority w:val="99"/>
    <w:qFormat/>
    <w:rsid w:val="005448AD"/>
    <w:pPr>
      <w:spacing w:before="120"/>
      <w:ind w:left="720"/>
    </w:pPr>
    <w:rPr>
      <w:rFonts w:ascii="Arial" w:hAnsi="Arial"/>
      <w:sz w:val="22"/>
      <w:szCs w:val="20"/>
      <w:lang w:val="de-AT" w:eastAsia="de-AT"/>
    </w:rPr>
  </w:style>
  <w:style w:type="character" w:customStyle="1" w:styleId="ListParagraphChar">
    <w:name w:val="List Paragraph Char"/>
    <w:link w:val="ListParagraph"/>
    <w:uiPriority w:val="99"/>
    <w:rsid w:val="005448AD"/>
    <w:rPr>
      <w:rFonts w:ascii="Arial" w:eastAsia="Times New Roman" w:hAnsi="Arial" w:cs="Times New Roman"/>
      <w:szCs w:val="20"/>
      <w:lang w:val="de-AT" w:eastAsia="de-AT"/>
    </w:rPr>
  </w:style>
  <w:style w:type="character" w:customStyle="1" w:styleId="hps">
    <w:name w:val="hps"/>
    <w:rsid w:val="00544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37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79C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EE37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E379C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Hyperlink">
    <w:name w:val="Hyperlink"/>
    <w:rsid w:val="00EE379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EE379C"/>
    <w:pPr>
      <w:ind w:left="5760" w:firstLine="720"/>
      <w:jc w:val="both"/>
    </w:pPr>
    <w:rPr>
      <w:sz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E379C"/>
    <w:rPr>
      <w:rFonts w:ascii="Times New Roman" w:eastAsia="Times New Roman" w:hAnsi="Times New Roman" w:cs="Times New Roman"/>
      <w:sz w:val="28"/>
      <w:szCs w:val="24"/>
      <w:lang w:val="bg-BG"/>
    </w:rPr>
  </w:style>
  <w:style w:type="paragraph" w:customStyle="1" w:styleId="Style">
    <w:name w:val="Style"/>
    <w:rsid w:val="00EE379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FootnoteReference">
    <w:name w:val="footnote reference"/>
    <w:aliases w:val="Überschrift 4 Zchn1,Título 4 Car Zchn,Heading 4 Char1 Car Zchn,no vale 2 Zchn,no vale 2 Car Zchn,ftref,Footnote symbol,-E Fußnotenzeichen,ESPON Footnote No,Footnote call,Odwołanie przypisu,Voetnootverwijzing,BVI fnr"/>
    <w:rsid w:val="00EE379C"/>
    <w:rPr>
      <w:vertAlign w:val="superscript"/>
    </w:rPr>
  </w:style>
  <w:style w:type="paragraph" w:customStyle="1" w:styleId="Default">
    <w:name w:val="Default"/>
    <w:rsid w:val="00EE379C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de-AT" w:eastAsia="de-AT"/>
    </w:rPr>
  </w:style>
  <w:style w:type="paragraph" w:styleId="ListParagraph">
    <w:name w:val="List Paragraph"/>
    <w:basedOn w:val="Normal"/>
    <w:link w:val="ListParagraphChar"/>
    <w:uiPriority w:val="99"/>
    <w:qFormat/>
    <w:rsid w:val="005448AD"/>
    <w:pPr>
      <w:spacing w:before="120"/>
      <w:ind w:left="720"/>
    </w:pPr>
    <w:rPr>
      <w:rFonts w:ascii="Arial" w:hAnsi="Arial"/>
      <w:sz w:val="22"/>
      <w:szCs w:val="20"/>
      <w:lang w:val="de-AT" w:eastAsia="de-AT"/>
    </w:rPr>
  </w:style>
  <w:style w:type="character" w:customStyle="1" w:styleId="ListParagraphChar">
    <w:name w:val="List Paragraph Char"/>
    <w:link w:val="ListParagraph"/>
    <w:uiPriority w:val="99"/>
    <w:rsid w:val="005448AD"/>
    <w:rPr>
      <w:rFonts w:ascii="Arial" w:eastAsia="Times New Roman" w:hAnsi="Arial" w:cs="Times New Roman"/>
      <w:szCs w:val="20"/>
      <w:lang w:val="de-AT" w:eastAsia="de-AT"/>
    </w:rPr>
  </w:style>
  <w:style w:type="character" w:customStyle="1" w:styleId="hps">
    <w:name w:val="hps"/>
    <w:rsid w:val="0054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Lashova</dc:creator>
  <cp:lastModifiedBy>Administrator</cp:lastModifiedBy>
  <cp:revision>3</cp:revision>
  <dcterms:created xsi:type="dcterms:W3CDTF">2014-08-21T07:37:00Z</dcterms:created>
  <dcterms:modified xsi:type="dcterms:W3CDTF">2014-08-21T07:37:00Z</dcterms:modified>
</cp:coreProperties>
</file>