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FE9" w:rsidRDefault="00426FE9">
      <w:pPr>
        <w:spacing w:after="0" w:line="240" w:lineRule="auto"/>
        <w:ind w:left="2977" w:hanging="2977"/>
        <w:jc w:val="center"/>
        <w:rPr>
          <w:rFonts w:ascii="Times New Roman" w:eastAsia="Times New Roman" w:hAnsi="Times New Roman" w:cs="Times New Roman"/>
          <w:b/>
          <w:color w:val="0000CC"/>
          <w:lang w:val="en-US"/>
        </w:rPr>
      </w:pPr>
    </w:p>
    <w:p w:rsidR="00426FE9" w:rsidRDefault="00D0590D">
      <w:pPr>
        <w:spacing w:after="0" w:line="240" w:lineRule="auto"/>
        <w:jc w:val="center"/>
        <w:rPr>
          <w:rFonts w:ascii="Times New Roman" w:eastAsia="Times New Roman" w:hAnsi="Times New Roman" w:cs="Times New Roman"/>
          <w:b/>
          <w:color w:val="0000CC"/>
          <w:lang w:val="en-US"/>
        </w:rPr>
      </w:pPr>
      <w:r>
        <w:rPr>
          <w:noProof/>
          <w:lang w:val="en-US"/>
        </w:rPr>
        <w:drawing>
          <wp:inline distT="0" distB="0" distL="0" distR="0">
            <wp:extent cx="6219825" cy="880110"/>
            <wp:effectExtent l="0" t="0" r="0" b="0"/>
            <wp:docPr id="1" name="Picture 1" descr="head_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_home"/>
                    <pic:cNvPicPr>
                      <a:picLocks noChangeAspect="1" noChangeArrowheads="1"/>
                    </pic:cNvPicPr>
                  </pic:nvPicPr>
                  <pic:blipFill>
                    <a:blip r:embed="rId9"/>
                    <a:stretch>
                      <a:fillRect/>
                    </a:stretch>
                  </pic:blipFill>
                  <pic:spPr>
                    <a:xfrm>
                      <a:off x="0" y="0"/>
                      <a:ext cx="6219825" cy="880110"/>
                    </a:xfrm>
                    <a:prstGeom prst="rect">
                      <a:avLst/>
                    </a:prstGeom>
                  </pic:spPr>
                </pic:pic>
              </a:graphicData>
            </a:graphic>
          </wp:inline>
        </w:drawing>
      </w:r>
    </w:p>
    <w:p w:rsidR="00426FE9" w:rsidRDefault="00D0590D">
      <w:pPr>
        <w:spacing w:after="0" w:line="240" w:lineRule="auto"/>
        <w:ind w:left="-104"/>
        <w:rPr>
          <w:rFonts w:ascii="Times New Roman" w:eastAsia="Times New Roman" w:hAnsi="Times New Roman" w:cs="Times New Roman"/>
          <w:b/>
          <w:color w:val="0A55A3"/>
        </w:rPr>
      </w:pPr>
      <w:r>
        <w:rPr>
          <w:rFonts w:ascii="Times New Roman" w:eastAsia="Times New Roman" w:hAnsi="Times New Roman" w:cs="Times New Roman"/>
          <w:bCs/>
          <w:color w:val="0A55A3"/>
        </w:rPr>
        <w:t xml:space="preserve"> </w:t>
      </w:r>
      <w:r>
        <w:rPr>
          <w:rFonts w:ascii="Times New Roman" w:eastAsia="Times New Roman" w:hAnsi="Times New Roman" w:cs="Times New Roman"/>
          <w:b/>
          <w:color w:val="0A55A3"/>
        </w:rPr>
        <w:t xml:space="preserve">  </w:t>
      </w:r>
      <w:r>
        <w:rPr>
          <w:rFonts w:ascii="Times New Roman" w:eastAsia="Times New Roman" w:hAnsi="Times New Roman" w:cs="Times New Roman"/>
          <w:bCs/>
          <w:color w:val="0A55A3"/>
        </w:rPr>
        <w:tab/>
      </w:r>
      <w:r>
        <w:rPr>
          <w:rFonts w:ascii="Times New Roman" w:eastAsia="Times New Roman" w:hAnsi="Times New Roman" w:cs="Times New Roman"/>
          <w:bCs/>
          <w:color w:val="0A55A3"/>
        </w:rPr>
        <w:tab/>
      </w:r>
      <w:r>
        <w:rPr>
          <w:rFonts w:ascii="Times New Roman" w:eastAsia="Times New Roman" w:hAnsi="Times New Roman" w:cs="Times New Roman"/>
          <w:bCs/>
          <w:color w:val="0A55A3"/>
        </w:rPr>
        <w:tab/>
      </w:r>
      <w:r>
        <w:rPr>
          <w:rFonts w:ascii="Times New Roman" w:eastAsia="Times New Roman" w:hAnsi="Times New Roman" w:cs="Times New Roman"/>
          <w:bCs/>
          <w:color w:val="0A55A3"/>
        </w:rPr>
        <w:tab/>
      </w:r>
      <w:r>
        <w:rPr>
          <w:rFonts w:ascii="Times New Roman" w:eastAsia="Times New Roman" w:hAnsi="Times New Roman" w:cs="Times New Roman"/>
          <w:bCs/>
          <w:color w:val="0A55A3"/>
        </w:rPr>
        <w:tab/>
        <w:t xml:space="preserve">        </w:t>
      </w:r>
    </w:p>
    <w:p w:rsidR="00426FE9" w:rsidRDefault="00426FE9">
      <w:pPr>
        <w:spacing w:after="0" w:line="240" w:lineRule="auto"/>
        <w:ind w:left="-29"/>
        <w:rPr>
          <w:rFonts w:ascii="Times New Roman" w:hAnsi="Times New Roman" w:cs="Times New Roman"/>
          <w:color w:val="000099"/>
        </w:rPr>
      </w:pPr>
    </w:p>
    <w:p w:rsidR="00426FE9" w:rsidRDefault="00426FE9">
      <w:pPr>
        <w:spacing w:after="0" w:line="240" w:lineRule="auto"/>
        <w:ind w:left="-29"/>
        <w:jc w:val="center"/>
        <w:rPr>
          <w:rFonts w:ascii="Times New Roman" w:hAnsi="Times New Roman" w:cs="Times New Roman"/>
          <w:b/>
          <w:color w:val="0000CC"/>
          <w:lang w:val="en-US"/>
        </w:rPr>
      </w:pPr>
    </w:p>
    <w:p w:rsidR="00426FE9" w:rsidRDefault="00426FE9">
      <w:pPr>
        <w:spacing w:after="0" w:line="240" w:lineRule="auto"/>
        <w:ind w:left="-29"/>
        <w:jc w:val="center"/>
        <w:rPr>
          <w:rFonts w:ascii="Times New Roman" w:hAnsi="Times New Roman" w:cs="Times New Roman"/>
          <w:b/>
          <w:color w:val="0000CC"/>
          <w:lang w:val="en-US"/>
        </w:rPr>
      </w:pPr>
    </w:p>
    <w:p w:rsidR="00426FE9" w:rsidRDefault="00426FE9">
      <w:pPr>
        <w:spacing w:after="0" w:line="240" w:lineRule="auto"/>
        <w:ind w:left="-29"/>
        <w:jc w:val="center"/>
        <w:rPr>
          <w:rFonts w:ascii="Times New Roman" w:hAnsi="Times New Roman" w:cs="Times New Roman"/>
          <w:b/>
          <w:color w:val="0000CC"/>
          <w:lang w:val="en-US"/>
        </w:rPr>
      </w:pPr>
    </w:p>
    <w:p w:rsidR="00426FE9" w:rsidRDefault="00426FE9">
      <w:pPr>
        <w:spacing w:after="0" w:line="240" w:lineRule="auto"/>
        <w:ind w:left="2977" w:hanging="2977"/>
        <w:jc w:val="center"/>
        <w:rPr>
          <w:rFonts w:ascii="Times New Roman" w:eastAsia="Times New Roman" w:hAnsi="Times New Roman" w:cs="Times New Roman"/>
          <w:b/>
          <w:color w:val="0000CC"/>
        </w:rPr>
      </w:pPr>
    </w:p>
    <w:p w:rsidR="00426FE9" w:rsidRDefault="00426FE9">
      <w:pPr>
        <w:spacing w:after="0" w:line="240" w:lineRule="auto"/>
        <w:ind w:left="2977" w:hanging="2977"/>
        <w:jc w:val="center"/>
        <w:rPr>
          <w:rFonts w:ascii="Times New Roman" w:eastAsia="Times New Roman" w:hAnsi="Times New Roman" w:cs="Times New Roman"/>
          <w:b/>
          <w:color w:val="0000CC"/>
        </w:rPr>
      </w:pPr>
    </w:p>
    <w:p w:rsidR="00426FE9" w:rsidRDefault="00D0590D">
      <w:pPr>
        <w:spacing w:after="0" w:line="480" w:lineRule="auto"/>
        <w:jc w:val="center"/>
        <w:rPr>
          <w:rFonts w:ascii="Times New Roman" w:eastAsia="Times New Roman" w:hAnsi="Times New Roman" w:cs="Times New Roman"/>
          <w:b/>
          <w:color w:val="0000CC"/>
          <w:sz w:val="36"/>
          <w:szCs w:val="36"/>
        </w:rPr>
      </w:pPr>
      <w:r>
        <w:rPr>
          <w:rFonts w:ascii="Times New Roman" w:eastAsia="Times New Roman" w:hAnsi="Times New Roman" w:cs="Times New Roman"/>
          <w:b/>
          <w:color w:val="0000CC"/>
          <w:sz w:val="36"/>
          <w:szCs w:val="36"/>
        </w:rPr>
        <w:t xml:space="preserve">БЮДЖЕТ ЗА 2026 Г. </w:t>
      </w:r>
    </w:p>
    <w:p w:rsidR="00426FE9" w:rsidRDefault="00D0590D">
      <w:pPr>
        <w:spacing w:after="0" w:line="480" w:lineRule="auto"/>
        <w:jc w:val="center"/>
        <w:rPr>
          <w:rFonts w:ascii="Times New Roman" w:eastAsia="Times New Roman" w:hAnsi="Times New Roman" w:cs="Times New Roman"/>
          <w:b/>
          <w:color w:val="0000CC"/>
          <w:sz w:val="36"/>
          <w:szCs w:val="36"/>
        </w:rPr>
      </w:pPr>
      <w:r>
        <w:rPr>
          <w:rFonts w:ascii="Times New Roman" w:eastAsia="Times New Roman" w:hAnsi="Times New Roman" w:cs="Times New Roman"/>
          <w:b/>
          <w:color w:val="0000CC"/>
          <w:sz w:val="36"/>
          <w:szCs w:val="36"/>
        </w:rPr>
        <w:t xml:space="preserve">И АКТУАЛИЗИРАНА БЮДЖЕТНА ПРОГНОЗА ЗА </w:t>
      </w:r>
    </w:p>
    <w:p w:rsidR="00426FE9" w:rsidRDefault="00D0590D">
      <w:pPr>
        <w:spacing w:after="0" w:line="480" w:lineRule="auto"/>
        <w:jc w:val="center"/>
        <w:rPr>
          <w:rFonts w:ascii="Times New Roman" w:eastAsia="Times New Roman" w:hAnsi="Times New Roman" w:cs="Times New Roman"/>
          <w:b/>
          <w:color w:val="0000CC"/>
          <w:sz w:val="36"/>
          <w:szCs w:val="36"/>
        </w:rPr>
      </w:pPr>
      <w:r>
        <w:rPr>
          <w:rFonts w:ascii="Times New Roman" w:eastAsia="Times New Roman" w:hAnsi="Times New Roman" w:cs="Times New Roman"/>
          <w:b/>
          <w:color w:val="0000CC"/>
          <w:sz w:val="36"/>
          <w:szCs w:val="36"/>
        </w:rPr>
        <w:t xml:space="preserve">ПЕРИОДА 2027 - 2028 Г. В ПРОГРАМЕН ФОРМАТ НА МИНИСТЕРСТВО НА РЕГИОНАЛНОТО РАЗВИТИЕ И БЛАГОУСТРОЙСТВОТО </w:t>
      </w:r>
    </w:p>
    <w:p w:rsidR="00426FE9" w:rsidRDefault="00D0590D">
      <w:pPr>
        <w:spacing w:after="0" w:line="480" w:lineRule="auto"/>
        <w:jc w:val="center"/>
        <w:rPr>
          <w:rFonts w:ascii="Times New Roman" w:hAnsi="Times New Roman" w:cs="Times New Roman"/>
          <w:b/>
          <w:color w:val="000099"/>
          <w:sz w:val="16"/>
          <w:szCs w:val="16"/>
        </w:rPr>
      </w:pPr>
      <w:r>
        <w:rPr>
          <w:rFonts w:ascii="Times New Roman" w:eastAsia="Times New Roman" w:hAnsi="Times New Roman" w:cs="Times New Roman"/>
          <w:b/>
          <w:color w:val="0000CC"/>
          <w:sz w:val="16"/>
          <w:szCs w:val="16"/>
        </w:rPr>
        <w:t xml:space="preserve">(ПО ОБЛАСТИ НА ПОЛИТИКИ/ФУНКЦИОНАЛНИ ОБЛАСТИ И БЮДЖЕТНИ ПРОГРАМИ) </w:t>
      </w:r>
    </w:p>
    <w:p w:rsidR="00426FE9" w:rsidRDefault="00426FE9">
      <w:pPr>
        <w:spacing w:after="0" w:line="480" w:lineRule="auto"/>
        <w:jc w:val="center"/>
        <w:rPr>
          <w:rFonts w:ascii="Times New Roman" w:eastAsia="Times New Roman" w:hAnsi="Times New Roman" w:cs="Times New Roman"/>
          <w:b/>
          <w:bCs/>
          <w:sz w:val="52"/>
          <w:szCs w:val="52"/>
        </w:rPr>
      </w:pPr>
    </w:p>
    <w:p w:rsidR="00426FE9" w:rsidRDefault="00426FE9">
      <w:pPr>
        <w:spacing w:after="0" w:line="480" w:lineRule="auto"/>
        <w:jc w:val="center"/>
        <w:rPr>
          <w:rFonts w:ascii="Times New Roman" w:eastAsia="Times New Roman" w:hAnsi="Times New Roman" w:cs="Times New Roman"/>
          <w:b/>
          <w:bCs/>
          <w:sz w:val="52"/>
          <w:szCs w:val="52"/>
        </w:rPr>
      </w:pPr>
    </w:p>
    <w:p w:rsidR="00426FE9" w:rsidRDefault="00426FE9">
      <w:pPr>
        <w:spacing w:after="0" w:line="480" w:lineRule="auto"/>
        <w:jc w:val="center"/>
        <w:rPr>
          <w:rFonts w:ascii="Times New Roman" w:eastAsia="Times New Roman" w:hAnsi="Times New Roman" w:cs="Times New Roman"/>
          <w:b/>
          <w:bCs/>
          <w:sz w:val="52"/>
          <w:szCs w:val="52"/>
        </w:rPr>
      </w:pPr>
    </w:p>
    <w:p w:rsidR="00426FE9" w:rsidRDefault="00426FE9">
      <w:pPr>
        <w:spacing w:after="0" w:line="480" w:lineRule="auto"/>
        <w:jc w:val="center"/>
        <w:rPr>
          <w:rFonts w:ascii="Times New Roman" w:eastAsia="Times New Roman" w:hAnsi="Times New Roman" w:cs="Times New Roman"/>
          <w:b/>
          <w:bCs/>
          <w:sz w:val="52"/>
          <w:szCs w:val="52"/>
        </w:rPr>
      </w:pPr>
    </w:p>
    <w:p w:rsidR="00426FE9" w:rsidRDefault="00D0590D">
      <w:pPr>
        <w:spacing w:line="480" w:lineRule="auto"/>
        <w:rPr>
          <w:rFonts w:ascii="Times New Roman" w:eastAsia="Times New Roman" w:hAnsi="Times New Roman" w:cs="Times New Roman"/>
          <w:b/>
          <w:bCs/>
          <w:sz w:val="24"/>
        </w:rPr>
      </w:pPr>
      <w:r>
        <w:br w:type="page"/>
      </w:r>
    </w:p>
    <w:p w:rsidR="00426FE9" w:rsidRDefault="00D0590D">
      <w:pPr>
        <w:tabs>
          <w:tab w:val="left" w:pos="4365"/>
        </w:tabs>
        <w:spacing w:after="0" w:line="48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СЪДЪРЖАНИЕ</w:t>
      </w:r>
    </w:p>
    <w:p w:rsidR="00426FE9" w:rsidRDefault="00426FE9">
      <w:pPr>
        <w:spacing w:after="0" w:line="480" w:lineRule="auto"/>
        <w:jc w:val="center"/>
        <w:rPr>
          <w:rFonts w:ascii="Times New Roman" w:eastAsia="Times New Roman" w:hAnsi="Times New Roman" w:cs="Times New Roman"/>
          <w:b/>
          <w:bCs/>
        </w:rPr>
      </w:pPr>
    </w:p>
    <w:p w:rsidR="00426FE9" w:rsidRDefault="00D0590D">
      <w:pPr>
        <w:tabs>
          <w:tab w:val="left" w:pos="709"/>
        </w:tabs>
        <w:spacing w:after="0" w:line="480" w:lineRule="auto"/>
        <w:rPr>
          <w:rFonts w:ascii="Times New Roman" w:hAnsi="Times New Roman" w:cs="Times New Roman"/>
          <w:lang w:eastAsia="bg-BG"/>
        </w:rPr>
      </w:pPr>
      <w:r>
        <w:rPr>
          <w:rFonts w:ascii="Times New Roman" w:hAnsi="Times New Roman" w:cs="Times New Roman"/>
        </w:rPr>
        <w:softHyphen/>
      </w:r>
      <w:r>
        <w:rPr>
          <w:rFonts w:ascii="Times New Roman" w:hAnsi="Times New Roman" w:cs="Times New Roman"/>
          <w:lang w:val="en-US"/>
        </w:rPr>
        <w:t>I</w:t>
      </w:r>
      <w:r>
        <w:rPr>
          <w:rFonts w:ascii="Times New Roman" w:hAnsi="Times New Roman" w:cs="Times New Roman"/>
          <w:lang w:val="ru-RU"/>
        </w:rPr>
        <w:t xml:space="preserve">. Мисия </w:t>
      </w:r>
      <w:r>
        <w:rPr>
          <w:rFonts w:ascii="Times New Roman" w:hAnsi="Times New Roman" w:cs="Times New Roman"/>
        </w:rPr>
        <w:t>на Министерство на регионалното развитие и благоустройството………………..………......</w:t>
      </w:r>
      <w:r w:rsidR="007019FA">
        <w:rPr>
          <w:rFonts w:ascii="Times New Roman" w:hAnsi="Times New Roman" w:cs="Times New Roman"/>
        </w:rPr>
        <w:t>..</w:t>
      </w:r>
      <w:r>
        <w:rPr>
          <w:rFonts w:ascii="Times New Roman" w:hAnsi="Times New Roman" w:cs="Times New Roman"/>
        </w:rPr>
        <w:t xml:space="preserve">стр. 2 </w:t>
      </w:r>
    </w:p>
    <w:p w:rsidR="00426FE9" w:rsidRDefault="00D0590D">
      <w:pPr>
        <w:tabs>
          <w:tab w:val="left" w:pos="709"/>
        </w:tabs>
        <w:spacing w:after="0" w:line="480" w:lineRule="auto"/>
        <w:rPr>
          <w:rFonts w:ascii="Times New Roman" w:hAnsi="Times New Roman" w:cs="Times New Roman"/>
          <w:lang w:val="ru-RU" w:eastAsia="bg-BG"/>
        </w:rPr>
      </w:pPr>
      <w:r>
        <w:rPr>
          <w:rFonts w:ascii="Times New Roman" w:hAnsi="Times New Roman" w:cs="Times New Roman"/>
          <w:lang w:val="en-US"/>
        </w:rPr>
        <w:t>II</w:t>
      </w:r>
      <w:r>
        <w:rPr>
          <w:rFonts w:ascii="Times New Roman" w:hAnsi="Times New Roman" w:cs="Times New Roman"/>
          <w:lang w:val="ru-RU"/>
        </w:rPr>
        <w:t xml:space="preserve">. </w:t>
      </w:r>
      <w:r>
        <w:rPr>
          <w:rFonts w:ascii="Times New Roman" w:hAnsi="Times New Roman" w:cs="Times New Roman"/>
        </w:rPr>
        <w:t xml:space="preserve">Организационно развитие и капацитет………………………………………………………….....…… стр. 2     </w:t>
      </w:r>
    </w:p>
    <w:p w:rsidR="00426FE9" w:rsidRDefault="00D0590D">
      <w:pPr>
        <w:tabs>
          <w:tab w:val="left" w:pos="709"/>
        </w:tabs>
        <w:spacing w:after="0" w:line="480" w:lineRule="auto"/>
        <w:rPr>
          <w:rFonts w:ascii="Times New Roman" w:hAnsi="Times New Roman" w:cs="Times New Roman"/>
        </w:rPr>
      </w:pPr>
      <w:r>
        <w:rPr>
          <w:rFonts w:ascii="Times New Roman" w:hAnsi="Times New Roman" w:cs="Times New Roman"/>
        </w:rPr>
        <w:t>IІІ. Области на политики ………………………………………………………………………….…….….. стр. 5</w:t>
      </w:r>
    </w:p>
    <w:p w:rsidR="00426FE9" w:rsidRDefault="00D0590D">
      <w:pPr>
        <w:tabs>
          <w:tab w:val="left" w:pos="709"/>
        </w:tabs>
        <w:spacing w:after="0" w:line="480" w:lineRule="auto"/>
        <w:rPr>
          <w:rFonts w:ascii="Times New Roman" w:hAnsi="Times New Roman" w:cs="Times New Roman"/>
          <w:lang w:val="ru-RU"/>
        </w:rPr>
      </w:pPr>
      <w:r>
        <w:rPr>
          <w:rFonts w:ascii="Times New Roman" w:hAnsi="Times New Roman" w:cs="Times New Roman"/>
          <w:lang w:val="en-US"/>
        </w:rPr>
        <w:t>I</w:t>
      </w:r>
      <w:r>
        <w:rPr>
          <w:rFonts w:ascii="Times New Roman" w:hAnsi="Times New Roman" w:cs="Times New Roman"/>
        </w:rPr>
        <w:t>V</w:t>
      </w:r>
      <w:r>
        <w:rPr>
          <w:rFonts w:ascii="Times New Roman" w:hAnsi="Times New Roman" w:cs="Times New Roman"/>
          <w:lang w:val="ru-RU"/>
        </w:rPr>
        <w:t xml:space="preserve">. </w:t>
      </w:r>
      <w:r>
        <w:rPr>
          <w:rFonts w:ascii="Times New Roman" w:hAnsi="Times New Roman" w:cs="Times New Roman"/>
        </w:rPr>
        <w:t>Основни параметри на бюджета за 2026 г. и актуализираната прогноза за 2027-2028...</w:t>
      </w:r>
      <w:r>
        <w:rPr>
          <w:rFonts w:ascii="Times New Roman" w:hAnsi="Times New Roman" w:cs="Times New Roman"/>
          <w:lang w:val="en-US"/>
        </w:rPr>
        <w:t>.</w:t>
      </w:r>
      <w:r w:rsidR="00194E4A">
        <w:rPr>
          <w:rFonts w:ascii="Times New Roman" w:hAnsi="Times New Roman" w:cs="Times New Roman"/>
        </w:rPr>
        <w:t>..................</w:t>
      </w:r>
      <w:r>
        <w:rPr>
          <w:rFonts w:ascii="Times New Roman" w:hAnsi="Times New Roman" w:cs="Times New Roman"/>
        </w:rPr>
        <w:t xml:space="preserve">стр.23  </w:t>
      </w:r>
    </w:p>
    <w:p w:rsidR="00426FE9" w:rsidRPr="00764D76" w:rsidRDefault="00D0590D">
      <w:pPr>
        <w:tabs>
          <w:tab w:val="left" w:pos="709"/>
        </w:tabs>
        <w:spacing w:after="0" w:line="480" w:lineRule="auto"/>
        <w:rPr>
          <w:rFonts w:ascii="Times New Roman" w:hAnsi="Times New Roman" w:cs="Times New Roman"/>
          <w:lang w:val="en-US"/>
        </w:rPr>
      </w:pPr>
      <w:r>
        <w:rPr>
          <w:rFonts w:ascii="Times New Roman" w:hAnsi="Times New Roman" w:cs="Times New Roman"/>
          <w:lang w:val="en-US"/>
        </w:rPr>
        <w:t>V</w:t>
      </w:r>
      <w:r>
        <w:rPr>
          <w:rFonts w:ascii="Times New Roman" w:hAnsi="Times New Roman" w:cs="Times New Roman"/>
        </w:rPr>
        <w:t xml:space="preserve">. Описание на бюджетните програми и разпределение по ведомствени и администрирани разходи стр. </w:t>
      </w:r>
      <w:r w:rsidR="00764D76">
        <w:rPr>
          <w:rFonts w:ascii="Times New Roman" w:hAnsi="Times New Roman" w:cs="Times New Roman"/>
          <w:lang w:val="en-US"/>
        </w:rPr>
        <w:t>30</w:t>
      </w:r>
    </w:p>
    <w:p w:rsidR="00426FE9" w:rsidRDefault="00D0590D">
      <w:pPr>
        <w:tabs>
          <w:tab w:val="left" w:pos="709"/>
        </w:tabs>
        <w:spacing w:after="0" w:line="480" w:lineRule="auto"/>
        <w:rPr>
          <w:rFonts w:ascii="Times New Roman" w:hAnsi="Times New Roman" w:cs="Times New Roman"/>
        </w:rPr>
      </w:pPr>
      <w:r>
        <w:rPr>
          <w:rFonts w:ascii="Times New Roman" w:hAnsi="Times New Roman" w:cs="Times New Roman"/>
        </w:rPr>
        <w:t>1. Бюджетна програма 2100.01.01 ………</w:t>
      </w:r>
      <w:r w:rsidR="00824911">
        <w:rPr>
          <w:rFonts w:ascii="Times New Roman" w:hAnsi="Times New Roman" w:cs="Times New Roman"/>
        </w:rPr>
        <w:t>…….………………………………………….……..………....</w:t>
      </w:r>
      <w:r>
        <w:rPr>
          <w:rFonts w:ascii="Times New Roman" w:hAnsi="Times New Roman" w:cs="Times New Roman"/>
        </w:rPr>
        <w:t xml:space="preserve">стр. </w:t>
      </w:r>
      <w:r w:rsidR="00764D76">
        <w:rPr>
          <w:rFonts w:ascii="Times New Roman" w:hAnsi="Times New Roman" w:cs="Times New Roman"/>
          <w:lang w:val="en-US"/>
        </w:rPr>
        <w:t>30</w:t>
      </w:r>
      <w:r>
        <w:rPr>
          <w:rFonts w:ascii="Times New Roman" w:hAnsi="Times New Roman" w:cs="Times New Roman"/>
        </w:rPr>
        <w:t xml:space="preserve"> </w:t>
      </w:r>
    </w:p>
    <w:p w:rsidR="00426FE9" w:rsidRPr="00764D76" w:rsidRDefault="00D0590D">
      <w:pPr>
        <w:tabs>
          <w:tab w:val="left" w:pos="709"/>
        </w:tabs>
        <w:spacing w:after="0" w:line="480" w:lineRule="auto"/>
        <w:rPr>
          <w:rFonts w:ascii="Times New Roman" w:hAnsi="Times New Roman" w:cs="Times New Roman"/>
          <w:lang w:val="en-US"/>
        </w:rPr>
      </w:pPr>
      <w:r>
        <w:rPr>
          <w:rFonts w:ascii="Times New Roman" w:hAnsi="Times New Roman" w:cs="Times New Roman"/>
        </w:rPr>
        <w:t xml:space="preserve">2. Бюджетна програма 2100.01.02 </w:t>
      </w:r>
      <w:r w:rsidR="00824911">
        <w:rPr>
          <w:rFonts w:ascii="Times New Roman" w:hAnsi="Times New Roman" w:cs="Times New Roman"/>
        </w:rPr>
        <w:t>……………………………………………………………….….……..</w:t>
      </w:r>
      <w:r>
        <w:rPr>
          <w:rFonts w:ascii="Times New Roman" w:hAnsi="Times New Roman" w:cs="Times New Roman"/>
        </w:rPr>
        <w:t>стр. 4</w:t>
      </w:r>
      <w:r w:rsidR="000E373F">
        <w:rPr>
          <w:rFonts w:ascii="Times New Roman" w:hAnsi="Times New Roman" w:cs="Times New Roman"/>
          <w:lang w:val="en-US"/>
        </w:rPr>
        <w:t>4</w:t>
      </w:r>
    </w:p>
    <w:p w:rsidR="00426FE9" w:rsidRPr="00764D76" w:rsidRDefault="00D0590D">
      <w:pPr>
        <w:tabs>
          <w:tab w:val="left" w:pos="709"/>
        </w:tabs>
        <w:spacing w:after="0" w:line="480" w:lineRule="auto"/>
        <w:rPr>
          <w:rFonts w:ascii="Times New Roman" w:hAnsi="Times New Roman" w:cs="Times New Roman"/>
          <w:lang w:val="en-US"/>
        </w:rPr>
      </w:pPr>
      <w:r>
        <w:rPr>
          <w:rFonts w:ascii="Times New Roman" w:hAnsi="Times New Roman" w:cs="Times New Roman"/>
        </w:rPr>
        <w:t>3. Бюджетна програма 2100.01.03 .……</w:t>
      </w:r>
      <w:r w:rsidR="00824911">
        <w:rPr>
          <w:rFonts w:ascii="Times New Roman" w:hAnsi="Times New Roman" w:cs="Times New Roman"/>
        </w:rPr>
        <w:t>……………………………..………………………….………. ..</w:t>
      </w:r>
      <w:r>
        <w:rPr>
          <w:rFonts w:ascii="Times New Roman" w:hAnsi="Times New Roman" w:cs="Times New Roman"/>
        </w:rPr>
        <w:t>стр. 4</w:t>
      </w:r>
      <w:r w:rsidR="00764D76">
        <w:rPr>
          <w:rFonts w:ascii="Times New Roman" w:hAnsi="Times New Roman" w:cs="Times New Roman"/>
          <w:lang w:val="en-US"/>
        </w:rPr>
        <w:t>6</w:t>
      </w:r>
    </w:p>
    <w:p w:rsidR="00426FE9" w:rsidRDefault="00D0590D">
      <w:pPr>
        <w:tabs>
          <w:tab w:val="left" w:pos="709"/>
        </w:tabs>
        <w:spacing w:after="0" w:line="480" w:lineRule="auto"/>
        <w:rPr>
          <w:rFonts w:ascii="Times New Roman" w:hAnsi="Times New Roman" w:cs="Times New Roman"/>
        </w:rPr>
      </w:pPr>
      <w:r>
        <w:rPr>
          <w:rFonts w:ascii="Times New Roman" w:hAnsi="Times New Roman" w:cs="Times New Roman"/>
        </w:rPr>
        <w:t xml:space="preserve">4. Бюджетна програма 2100.02.01 </w:t>
      </w:r>
      <w:r w:rsidR="00824911">
        <w:rPr>
          <w:rFonts w:ascii="Times New Roman" w:hAnsi="Times New Roman" w:cs="Times New Roman"/>
        </w:rPr>
        <w:t>………………………………………………………..………………..</w:t>
      </w:r>
      <w:r>
        <w:rPr>
          <w:rFonts w:ascii="Times New Roman" w:hAnsi="Times New Roman" w:cs="Times New Roman"/>
        </w:rPr>
        <w:t xml:space="preserve">стр. 50 </w:t>
      </w:r>
    </w:p>
    <w:p w:rsidR="00426FE9" w:rsidRPr="00764D76" w:rsidRDefault="00D0590D">
      <w:pPr>
        <w:tabs>
          <w:tab w:val="left" w:pos="709"/>
        </w:tabs>
        <w:spacing w:after="0" w:line="480" w:lineRule="auto"/>
        <w:rPr>
          <w:rFonts w:ascii="Times New Roman" w:hAnsi="Times New Roman" w:cs="Times New Roman"/>
          <w:lang w:val="en-US"/>
        </w:rPr>
      </w:pPr>
      <w:r>
        <w:rPr>
          <w:rFonts w:ascii="Times New Roman" w:hAnsi="Times New Roman" w:cs="Times New Roman"/>
        </w:rPr>
        <w:t>5. Бюджетна програма 2100.02.02 ………</w:t>
      </w:r>
      <w:r w:rsidR="00824911">
        <w:rPr>
          <w:rFonts w:ascii="Times New Roman" w:hAnsi="Times New Roman" w:cs="Times New Roman"/>
        </w:rPr>
        <w:t>………………………………………..………………....……..</w:t>
      </w:r>
      <w:r>
        <w:rPr>
          <w:rFonts w:ascii="Times New Roman" w:hAnsi="Times New Roman" w:cs="Times New Roman"/>
        </w:rPr>
        <w:t xml:space="preserve">стр. </w:t>
      </w:r>
      <w:r w:rsidR="00764D76">
        <w:rPr>
          <w:rFonts w:ascii="Times New Roman" w:hAnsi="Times New Roman" w:cs="Times New Roman"/>
          <w:lang w:val="en-US"/>
        </w:rPr>
        <w:t>54</w:t>
      </w:r>
    </w:p>
    <w:p w:rsidR="00426FE9" w:rsidRDefault="00D0590D">
      <w:pPr>
        <w:tabs>
          <w:tab w:val="left" w:pos="709"/>
        </w:tabs>
        <w:spacing w:after="0" w:line="480" w:lineRule="auto"/>
        <w:rPr>
          <w:rFonts w:ascii="Times New Roman" w:hAnsi="Times New Roman" w:cs="Times New Roman"/>
        </w:rPr>
      </w:pPr>
      <w:r>
        <w:rPr>
          <w:rFonts w:ascii="Times New Roman" w:hAnsi="Times New Roman" w:cs="Times New Roman"/>
        </w:rPr>
        <w:t>6. Бюджетна програма 2100.02.03 …………………………………</w:t>
      </w:r>
      <w:r w:rsidR="00824911">
        <w:rPr>
          <w:rFonts w:ascii="Times New Roman" w:hAnsi="Times New Roman" w:cs="Times New Roman"/>
        </w:rPr>
        <w:t>……………………………................</w:t>
      </w:r>
      <w:r w:rsidR="00764D76">
        <w:rPr>
          <w:rFonts w:ascii="Times New Roman" w:hAnsi="Times New Roman" w:cs="Times New Roman"/>
        </w:rPr>
        <w:t>стр. 68</w:t>
      </w:r>
    </w:p>
    <w:p w:rsidR="00426FE9" w:rsidRPr="00764D76" w:rsidRDefault="00D0590D">
      <w:pPr>
        <w:tabs>
          <w:tab w:val="left" w:pos="709"/>
          <w:tab w:val="left" w:pos="9498"/>
        </w:tabs>
        <w:spacing w:after="0" w:line="480" w:lineRule="auto"/>
        <w:rPr>
          <w:rFonts w:ascii="Times New Roman" w:hAnsi="Times New Roman" w:cs="Times New Roman"/>
          <w:lang w:val="en-US"/>
        </w:rPr>
      </w:pPr>
      <w:r>
        <w:rPr>
          <w:rFonts w:ascii="Times New Roman" w:hAnsi="Times New Roman" w:cs="Times New Roman"/>
        </w:rPr>
        <w:t>7. Бюджетна програма 2100.0</w:t>
      </w:r>
      <w:r>
        <w:rPr>
          <w:rFonts w:ascii="Times New Roman" w:hAnsi="Times New Roman" w:cs="Times New Roman"/>
          <w:lang w:val="en-US"/>
        </w:rPr>
        <w:t>3</w:t>
      </w:r>
      <w:r>
        <w:rPr>
          <w:rFonts w:ascii="Times New Roman" w:hAnsi="Times New Roman" w:cs="Times New Roman"/>
        </w:rPr>
        <w:t>.00 ………………………</w:t>
      </w:r>
      <w:r w:rsidR="00824911">
        <w:rPr>
          <w:rFonts w:ascii="Times New Roman" w:hAnsi="Times New Roman" w:cs="Times New Roman"/>
        </w:rPr>
        <w:t>………………………………………................</w:t>
      </w:r>
      <w:r>
        <w:rPr>
          <w:rFonts w:ascii="Times New Roman" w:hAnsi="Times New Roman" w:cs="Times New Roman"/>
        </w:rPr>
        <w:t xml:space="preserve">стр. </w:t>
      </w:r>
      <w:r w:rsidR="00764D76">
        <w:rPr>
          <w:rFonts w:ascii="Times New Roman" w:hAnsi="Times New Roman" w:cs="Times New Roman"/>
          <w:lang w:val="en-US"/>
        </w:rPr>
        <w:t>72</w:t>
      </w:r>
    </w:p>
    <w:p w:rsidR="00426FE9" w:rsidRDefault="00426FE9">
      <w:pPr>
        <w:tabs>
          <w:tab w:val="left" w:pos="709"/>
          <w:tab w:val="left" w:pos="9498"/>
        </w:tabs>
        <w:spacing w:after="0" w:line="48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426FE9">
      <w:pPr>
        <w:tabs>
          <w:tab w:val="left" w:pos="709"/>
          <w:tab w:val="left" w:pos="9498"/>
        </w:tabs>
        <w:spacing w:after="0" w:line="240" w:lineRule="auto"/>
        <w:rPr>
          <w:rFonts w:ascii="Times New Roman" w:hAnsi="Times New Roman" w:cs="Times New Roman"/>
        </w:rPr>
      </w:pPr>
    </w:p>
    <w:p w:rsidR="00426FE9" w:rsidRDefault="00D0590D">
      <w:pPr>
        <w:pStyle w:val="ListParagraph"/>
        <w:keepNext/>
        <w:numPr>
          <w:ilvl w:val="0"/>
          <w:numId w:val="10"/>
        </w:numPr>
        <w:tabs>
          <w:tab w:val="left" w:pos="851"/>
        </w:tabs>
        <w:snapToGrid w:val="0"/>
        <w:spacing w:after="0" w:line="240" w:lineRule="auto"/>
        <w:ind w:left="567" w:firstLine="0"/>
        <w:jc w:val="both"/>
        <w:outlineLvl w:val="0"/>
        <w:rPr>
          <w:rFonts w:ascii="Times New Roman" w:eastAsia="Batang" w:hAnsi="Times New Roman"/>
          <w:b/>
          <w:i/>
          <w:color w:val="0000CC"/>
          <w:lang w:val="en-US" w:eastAsia="ko-KR"/>
        </w:rPr>
      </w:pPr>
      <w:r>
        <w:rPr>
          <w:rFonts w:ascii="Times New Roman" w:eastAsia="Batang" w:hAnsi="Times New Roman"/>
          <w:b/>
          <w:i/>
          <w:color w:val="0000CC"/>
          <w:lang w:val="ru-RU" w:eastAsia="ko-KR"/>
        </w:rPr>
        <w:lastRenderedPageBreak/>
        <w:t xml:space="preserve">МИСИЯ </w:t>
      </w:r>
    </w:p>
    <w:p w:rsidR="00426FE9" w:rsidRDefault="00426FE9">
      <w:pPr>
        <w:pStyle w:val="ListParagraph"/>
        <w:keepNext/>
        <w:tabs>
          <w:tab w:val="left" w:pos="851"/>
        </w:tabs>
        <w:snapToGrid w:val="0"/>
        <w:spacing w:after="0" w:line="240" w:lineRule="auto"/>
        <w:ind w:left="1287"/>
        <w:jc w:val="both"/>
        <w:outlineLvl w:val="0"/>
        <w:rPr>
          <w:rFonts w:ascii="Times New Roman" w:eastAsia="Batang" w:hAnsi="Times New Roman"/>
          <w:b/>
          <w:i/>
          <w:color w:val="0000CC"/>
          <w:sz w:val="12"/>
          <w:lang w:val="en-US" w:eastAsia="ko-KR"/>
        </w:rPr>
      </w:pP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Мисията на Министерство на регионалното развитие и благоустройстовото (МРРБ) е формулирането и провеждането на политика за регионално развитие, която да създава условия за балансирано и устойчиво интегрирано развитие на регионите в</w:t>
      </w:r>
      <w:r>
        <w:rPr>
          <w:rFonts w:ascii="Times New Roman" w:hAnsi="Times New Roman" w:cs="Times New Roman"/>
          <w:lang w:val="en-US"/>
        </w:rPr>
        <w:t xml:space="preserve"> </w:t>
      </w:r>
      <w:r>
        <w:rPr>
          <w:rFonts w:ascii="Times New Roman" w:hAnsi="Times New Roman" w:cs="Times New Roman"/>
        </w:rPr>
        <w:t>Република България, както и превръщането им в по-атрактивни места за живеене и работа чрез подобряване на средата за живеене и бизнес, транспортната  свързаност, достъпа до публични услуги, повишаване на трудовата заетост и съхраняване на природната среда и опазване на  културната им идентичност.</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Дирекцията за национален строителен контрол (ДНСК) 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Началникът на ДНСК провежда държавната политика в областта на националния строителен контрол.</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 xml:space="preserve">Агенция „Пътна инфраструктура” (АПИ) е отговорна за дейностите, свързани с проектирането, строителството, експлоатацията и поддръжката на републиканските пътища извън градовете и при пътните възли. За обезпечаване реализацията на инфраструктурните обекти, в качеството си на заинтересовано ведомство, тя инициира производства по отчуждаване на имоти, попадащи под техните трасета и поддържане на правото на преминаване на пътищата през чужда територия. </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Агенция по геодезия, картография и кадастър (АГКК) да се превърне в единствена институция, която създава, поддържа и предоставя геодезическа, картографска и кадастрална информация, осигурява достъп до тези пространствени данни и предоставя услуги, свързани с тях.</w:t>
      </w:r>
    </w:p>
    <w:p w:rsidR="00426FE9" w:rsidRDefault="00426FE9">
      <w:pPr>
        <w:spacing w:after="0" w:line="240" w:lineRule="auto"/>
        <w:ind w:firstLine="567"/>
        <w:jc w:val="both"/>
        <w:rPr>
          <w:rFonts w:ascii="Times New Roman" w:hAnsi="Times New Roman" w:cs="Times New Roman"/>
        </w:rPr>
      </w:pPr>
    </w:p>
    <w:p w:rsidR="00426FE9" w:rsidRDefault="00D0590D">
      <w:pPr>
        <w:pStyle w:val="ListParagraph"/>
        <w:keepNext/>
        <w:numPr>
          <w:ilvl w:val="0"/>
          <w:numId w:val="10"/>
        </w:numPr>
        <w:snapToGrid w:val="0"/>
        <w:spacing w:after="0" w:line="240" w:lineRule="auto"/>
        <w:ind w:left="993" w:hanging="426"/>
        <w:jc w:val="both"/>
        <w:outlineLvl w:val="0"/>
        <w:rPr>
          <w:rFonts w:ascii="Times New Roman" w:eastAsia="Batang" w:hAnsi="Times New Roman"/>
          <w:b/>
          <w:i/>
          <w:color w:val="0000CC"/>
          <w:lang w:val="ru-RU" w:eastAsia="ko-KR"/>
        </w:rPr>
      </w:pPr>
      <w:r>
        <w:rPr>
          <w:rFonts w:ascii="Times New Roman" w:eastAsia="Batang" w:hAnsi="Times New Roman"/>
          <w:b/>
          <w:i/>
          <w:color w:val="0000CC"/>
          <w:lang w:eastAsia="ko-KR"/>
        </w:rPr>
        <w:t>О</w:t>
      </w:r>
      <w:r>
        <w:rPr>
          <w:rFonts w:ascii="Times New Roman" w:eastAsia="Batang" w:hAnsi="Times New Roman"/>
          <w:b/>
          <w:i/>
          <w:color w:val="0000CC"/>
          <w:lang w:val="ru-RU" w:eastAsia="ko-KR"/>
        </w:rPr>
        <w:t>РГАНИЗАЦИОННО РАЗВИТИЕ И КАПАЦИТЕТ</w:t>
      </w:r>
    </w:p>
    <w:p w:rsidR="00426FE9" w:rsidRDefault="00426FE9">
      <w:pPr>
        <w:pStyle w:val="ListParagraph"/>
        <w:keepNext/>
        <w:snapToGrid w:val="0"/>
        <w:spacing w:after="0" w:line="240" w:lineRule="auto"/>
        <w:ind w:left="993"/>
        <w:jc w:val="both"/>
        <w:outlineLvl w:val="0"/>
        <w:rPr>
          <w:rFonts w:ascii="Times New Roman" w:eastAsia="Batang" w:hAnsi="Times New Roman"/>
          <w:b/>
          <w:i/>
          <w:color w:val="0000CC"/>
          <w:sz w:val="12"/>
          <w:lang w:val="ru-RU" w:eastAsia="ko-KR"/>
        </w:rPr>
      </w:pP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 xml:space="preserve">Някои от функциите на МРРБ водят началото си от Министерство на обществените сгради, пътищата и благоустройството създадено през 1912 г. През  годините министерството многократно е преименувано и реорганизирано. </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В МРРБ са създадени организационни предпоставки и функционален капацитет за изпълнение на мисията и целите на провежданите политики.</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Министерството е структурирано в политически кабинет, парламентарен секретар, главен секретар, 2 главни дирекции, 13 дирекции и инспекторат, които подпомагат министъра на регионалното развитие и благоустройството при осъществяване на правомощията му, осигуряват технически дейността му и извършват дейности по административното обслужване на гражданите и юридическите лица.</w:t>
      </w:r>
    </w:p>
    <w:p w:rsidR="00426FE9" w:rsidRDefault="00D0590D">
      <w:pPr>
        <w:spacing w:after="0" w:line="240" w:lineRule="auto"/>
        <w:ind w:firstLine="567"/>
        <w:jc w:val="both"/>
        <w:rPr>
          <w:rFonts w:ascii="Times New Roman" w:hAnsi="Times New Roman" w:cs="Times New Roman"/>
          <w:b/>
        </w:rPr>
      </w:pPr>
      <w:r>
        <w:rPr>
          <w:rFonts w:ascii="Times New Roman" w:hAnsi="Times New Roman" w:cs="Times New Roman"/>
        </w:rPr>
        <w:t xml:space="preserve">Министърът на регионалното развитие и благоустройството е първостепенен разпоредител с бюджет. Второстепенни разпоредители с бюджет към министъра на регионалното развитие и благоустройството са Агенция „Пътна инфраструктура“(АПИ), Дирекция за национален строителен контрол (ДНСК) и Агенция по геодезия, картография и кадастър </w:t>
      </w:r>
      <w:r>
        <w:rPr>
          <w:rFonts w:ascii="Times New Roman" w:hAnsi="Times New Roman" w:cs="Times New Roman"/>
          <w:lang w:val="en-US"/>
        </w:rPr>
        <w:t>(</w:t>
      </w:r>
      <w:r>
        <w:rPr>
          <w:rFonts w:ascii="Times New Roman" w:hAnsi="Times New Roman" w:cs="Times New Roman"/>
        </w:rPr>
        <w:t>АГКК</w:t>
      </w:r>
      <w:r>
        <w:rPr>
          <w:rFonts w:ascii="Times New Roman" w:hAnsi="Times New Roman" w:cs="Times New Roman"/>
          <w:lang w:val="en-US"/>
        </w:rPr>
        <w:t>)</w:t>
      </w:r>
      <w:r>
        <w:rPr>
          <w:rFonts w:ascii="Times New Roman" w:hAnsi="Times New Roman" w:cs="Times New Roman"/>
        </w:rPr>
        <w:t>.</w:t>
      </w:r>
    </w:p>
    <w:p w:rsidR="00426FE9" w:rsidRDefault="00D0590D">
      <w:pPr>
        <w:pStyle w:val="ListParagraph"/>
        <w:spacing w:after="0" w:line="240" w:lineRule="auto"/>
        <w:ind w:left="0" w:firstLine="567"/>
        <w:jc w:val="both"/>
        <w:rPr>
          <w:rFonts w:ascii="Times New Roman" w:eastAsia="Times New Roman" w:hAnsi="Times New Roman"/>
          <w:lang w:eastAsia="bg-BG"/>
        </w:rPr>
      </w:pPr>
      <w:r>
        <w:rPr>
          <w:rFonts w:ascii="Times New Roman" w:eastAsia="Times New Roman" w:hAnsi="Times New Roman"/>
          <w:b/>
          <w:lang w:eastAsia="bg-BG"/>
        </w:rPr>
        <w:t xml:space="preserve">АПИ </w:t>
      </w:r>
      <w:r>
        <w:rPr>
          <w:rFonts w:ascii="Times New Roman" w:eastAsia="Times New Roman" w:hAnsi="Times New Roman"/>
          <w:lang w:eastAsia="bg-BG"/>
        </w:rPr>
        <w:t xml:space="preserve">отговаря за дейностите, свързани с проектирането, строителството, експлоатацията и поддръжката на републиканските пътища извън градовете и при пътните възли. Като част от основната дейност е и придобиването на земи и поддържане на правото на преминаване на пътищата през чужда територия. АПИ се ръководи от Управителен съвет, който се състои от председател и двама членове. Административното ръководство на агенцията се осъществява от главен секретар, в съответствие с решенията на управителния съвет. Главният секретар е на пряко подчинение на председателя на управителния съвет на агенцията.Числеността на АПИ е 2 411 щатни бройки. </w:t>
      </w:r>
    </w:p>
    <w:p w:rsidR="00426FE9" w:rsidRDefault="00D0590D">
      <w:pPr>
        <w:spacing w:after="0" w:line="240" w:lineRule="auto"/>
        <w:ind w:firstLine="567"/>
        <w:jc w:val="both"/>
        <w:rPr>
          <w:rFonts w:ascii="Times New Roman" w:hAnsi="Times New Roman" w:cs="Times New Roman"/>
          <w:lang w:eastAsia="bg-BG"/>
        </w:rPr>
      </w:pPr>
      <w:r>
        <w:rPr>
          <w:rFonts w:ascii="Times New Roman" w:eastAsia="Times New Roman" w:hAnsi="Times New Roman" w:cs="Times New Roman"/>
          <w:b/>
          <w:lang w:eastAsia="bg-BG"/>
        </w:rPr>
        <w:t>ДНСК</w:t>
      </w:r>
      <w:r>
        <w:rPr>
          <w:rFonts w:ascii="Times New Roman" w:eastAsia="Times New Roman" w:hAnsi="Times New Roman" w:cs="Times New Roman"/>
          <w:lang w:eastAsia="bg-BG"/>
        </w:rPr>
        <w:t xml:space="preserve"> </w:t>
      </w:r>
      <w:r>
        <w:rPr>
          <w:rFonts w:ascii="Times New Roman" w:hAnsi="Times New Roman" w:cs="Times New Roman"/>
          <w:lang w:eastAsia="bg-BG"/>
        </w:rPr>
        <w:t xml:space="preserve">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Началникът на ДНСК провежда държавната политика в областта на националния строителен контрол. </w:t>
      </w:r>
      <w:r>
        <w:rPr>
          <w:rFonts w:ascii="Times New Roman" w:eastAsia="Times New Roman" w:hAnsi="Times New Roman" w:cs="Times New Roman"/>
          <w:lang w:eastAsia="bg-BG"/>
        </w:rPr>
        <w:t>ДНСК упражнява контрол върху законосъобразността на разрешеното и извършваното строителство, въвеждането в експлоатация на строежите и законосъобразността на ползване  на строежите, контрол при прилагане на нормативните актове по проектиране и строителство, съответствието на строежите с предвижданията на подробния устройствен план, строителните правила и нормативи и съществените изисквания към строежите.</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Дирекцията за национален строителен контрол упражнява контрол по проектирането и строителството, в това число влагането на качествени строителни материали и изделия, с оглед осигуряването на сигурността, безопасността, достъпността и другите нормативни изисквания към строежите.</w:t>
      </w:r>
    </w:p>
    <w:p w:rsidR="00426FE9" w:rsidRDefault="00D0590D">
      <w:pPr>
        <w:spacing w:after="0" w:line="240" w:lineRule="auto"/>
        <w:ind w:firstLine="567"/>
        <w:jc w:val="both"/>
        <w:rPr>
          <w:rFonts w:ascii="Times New Roman" w:eastAsia="Times New Roman" w:hAnsi="Times New Roman"/>
          <w:lang w:eastAsia="bg-BG"/>
        </w:rPr>
      </w:pPr>
      <w:r>
        <w:rPr>
          <w:rFonts w:ascii="Times New Roman" w:eastAsia="Times New Roman" w:hAnsi="Times New Roman" w:cs="Times New Roman"/>
          <w:lang w:eastAsia="bg-BG"/>
        </w:rPr>
        <w:lastRenderedPageBreak/>
        <w:t>Предоставяните услуги от ДНСК са с високо качество, тъй като е въведена „Система за управление на качеството /СУК/ на ДНСК в съответствие с изискванията на международния стандарт БДС EN ISO 9001:2008”. ДНСК е сертифицирана от ОНМI EURO SERT GMBH MAGDEBURG, а през 2018 г. премина към стандарт БДС EN ISO 9001:2015. През 2023 г. ДНСК е сертифицирана по EN ISO 9001:2015 със срок на действие 2026 г. Сертифицирането по ISO е доброволен акт на различните организации, но по този начин, ДНСК демонстрира способността си да предоставя непрекъснато услуги, които да отговарят на клиентите и на приложимите нормативни изисквания и се стреми непрекъснато да повишава удовлетвореността от предоставяните услуги. Интегрираната система за управление на качеството</w:t>
      </w:r>
      <w:r>
        <w:rPr>
          <w:rFonts w:ascii="Times New Roman" w:eastAsia="Times New Roman" w:hAnsi="Times New Roman"/>
          <w:lang w:eastAsia="bg-BG"/>
        </w:rPr>
        <w:t xml:space="preserve"> на ДНСК е със следния обхват:</w:t>
      </w:r>
    </w:p>
    <w:p w:rsidR="00426FE9" w:rsidRDefault="00D0590D">
      <w:pPr>
        <w:numPr>
          <w:ilvl w:val="0"/>
          <w:numId w:val="11"/>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Контрол върху строителните книжа;</w:t>
      </w:r>
    </w:p>
    <w:p w:rsidR="00426FE9" w:rsidRDefault="00D0590D">
      <w:pPr>
        <w:numPr>
          <w:ilvl w:val="0"/>
          <w:numId w:val="11"/>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по контрол на строителството и ликвидиране на последиците от незаконното строителство;</w:t>
      </w:r>
    </w:p>
    <w:p w:rsidR="00426FE9" w:rsidRDefault="00D0590D">
      <w:pPr>
        <w:numPr>
          <w:ilvl w:val="0"/>
          <w:numId w:val="11"/>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Контрол върху дейността на лицата упражняващи строителен надзор;</w:t>
      </w:r>
    </w:p>
    <w:p w:rsidR="00426FE9" w:rsidRDefault="00D0590D">
      <w:pPr>
        <w:numPr>
          <w:ilvl w:val="0"/>
          <w:numId w:val="11"/>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Обследване на аварии в строителството;</w:t>
      </w:r>
    </w:p>
    <w:p w:rsidR="00426FE9" w:rsidRDefault="00D0590D">
      <w:pPr>
        <w:numPr>
          <w:ilvl w:val="0"/>
          <w:numId w:val="11"/>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Контрол върху ползването на строежите;</w:t>
      </w:r>
    </w:p>
    <w:p w:rsidR="00426FE9" w:rsidRDefault="00D0590D">
      <w:pPr>
        <w:numPr>
          <w:ilvl w:val="0"/>
          <w:numId w:val="11"/>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Въвеждане в експлоатация на строежите.</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b/>
        </w:rPr>
        <w:t>АГКК</w:t>
      </w:r>
      <w:r>
        <w:rPr>
          <w:rFonts w:ascii="Times New Roman" w:hAnsi="Times New Roman" w:cs="Times New Roman"/>
        </w:rPr>
        <w:t xml:space="preserve"> изпълнява дейности в съответствие със Закона за кадастъра и имотния регистър (ЗКИР), както и геодезическите и картографски задачи, произтичащи от Закона за геодезията и картографията (ЗГК) и създаване и поддържане на специализирани карти и регистри съгласно Закона за устройството на Черноморското крайбрежие (ЗУЧК).  </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АГКК е държавен орган, който създава, поддържа и предоставя геодезическата, картографска и кадастрална информация в Република България, както и осигурява достъп до пространствените данни и предоставянето на услуги, свързани с тях. Кадастралната и геодезическа информация се ползва и предоставя основно за сделки с недвижими имоти, при ипотеките, за нуждите на планирането, инвестиционното проектиране, изграждането на инфраструктурни обекти, решаването на проблеми при бедствия, опазване на околната среда и други.</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С Постановление № 254 от 10 октомври 2019 г. за допълнение на Постановление № 181 на Министерския съвет от 2009 г. за определяне на стратегическите обекти и дейности, които са от значение за националната сигурност АГКК е обявена за стратегически обект.</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АГКК е единственият държавен орган с отговорност по създаване, поддържане и издаване на държавните топографски карти в мащаби 1:5000 и 1:10 000 за територията на страната и българската база в Антарктика. Цифровата едромащабна топографска карта е необходима за широк спектър от дейности, като устройствено планиране, планиране и мониторинг на земеползването, планирането на инфраструктурата, гражданска защита, борба с ефектите от изменението на климата, опазването на околната среда, инвестиционно проектиране и др. Едромащабната топографска карта (ЕТК) служи и за основа при създаване на други картографски продукти. Актуалната географска информация е необходима за вземане на решения в много сектори и е предпоставка за целесъобразно и ефективно разработване на политики за устойчиво развитие на територията.</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АГКК е единственият държавен орган с отговорност по създаване и поддържане на регистър на географските имена в Република България, създаването и поддържането на информационна система за тях, както и по установяване транскрипцията на чуждите географски имена. Географските имена са важна част от общия обем геопространствена информация.</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 xml:space="preserve">АГКК е единственият държавен орган с отговорност по създаване и поддържане на Държавната нивелачна мрежа (ДНМ) I и II клас, която установява единна система от височини за цялата територия на страната и служи за основа на всички височинни измервания при инженерно-геодезически работи, свързани с икономиката, инфраструктурата, инвестиционното проектиране и отбраната, както и решаване на научно-приложни и научноизследователски задачи при определяне фигурата на Земята, вертикалните движения на земната кора, разликите в нивата на моретата и океаните, сеизмично райониране и др. АГКК поддържа и мрежата от мареографни станции по чл. 13, ал. 1, т. 4 от Закона за геодезията и картографията, чрез която се извършват непрекъснати наблюдения и мониторинг на нивото на Черно море. Мониторингът е необходим за научни изследвания, оценка на климатичните промени и прогнозиране на наводнения, както и за сигурността  на корабоплаването в крайбрежните райони и контрол при строителство и ремонт на пристанищните съоръжения. С промените в Закона за геодезията и картографията (в сила от 22.08.2019 г.) </w:t>
      </w:r>
      <w:r w:rsidRPr="009407E3">
        <w:rPr>
          <w:rFonts w:ascii="Times New Roman" w:hAnsi="Times New Roman" w:cs="Times New Roman"/>
        </w:rPr>
        <w:lastRenderedPageBreak/>
        <w:t>на АГКК се вмениха и отговорностите по създаване и поддържане на Държавната гравиметрична мрежа (ДГрМ, която е изходна основа за всички гравиметрични измервания и снимки за геодезически, геофизични, научни и научноизследователски цели.</w:t>
      </w:r>
      <w:r w:rsidRPr="009407E3">
        <w:rPr>
          <w:rFonts w:ascii="Times New Roman" w:hAnsi="Times New Roman" w:cs="Times New Roman"/>
          <w:lang w:val="en-GB"/>
        </w:rPr>
        <w:t xml:space="preserve"> </w:t>
      </w:r>
      <w:r w:rsidRPr="009407E3">
        <w:rPr>
          <w:rFonts w:ascii="Times New Roman" w:hAnsi="Times New Roman" w:cs="Times New Roman"/>
        </w:rPr>
        <w:t>От състоянието на мрежата до голяма степен зависи  състоянието и на ДНМ.</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АГКК организира и поддържа Държавния геодезически, картографски и кадастрален фонд (Геокартфонд), който е част от Националния архивен фонд.</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АГКК отговаря, съвместно с МО и МВР, за определянето и осъвременяването на Българската геодезическа система.</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ab/>
        <w:t>Агенцията по геодезия, картография и кадастър е със седалище в гр. София и включва 28 служби по геодезия, картография и кадастър (СГКК), разположени в областните градове. След създаване на кадастъра за цялата територия на страната АГКК ще бъде единствения орган, който осигурява на гражданите от едно място кадастрална информация за недвижимите имоти, както в населените места, така и в земеделските земи, горите и другите видове територии. СГКК обслужват гражданите в офисите си в областните градове, както и в офис в централната градска част на София - на ул. „Сердика“ 5.</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Към 31.12.202</w:t>
      </w:r>
      <w:r w:rsidRPr="009407E3">
        <w:rPr>
          <w:rFonts w:ascii="Times New Roman" w:hAnsi="Times New Roman" w:cs="Times New Roman"/>
          <w:lang w:val="en-US"/>
        </w:rPr>
        <w:t>5</w:t>
      </w:r>
      <w:r w:rsidRPr="009407E3">
        <w:rPr>
          <w:rFonts w:ascii="Times New Roman" w:hAnsi="Times New Roman" w:cs="Times New Roman"/>
        </w:rPr>
        <w:t xml:space="preserve"> г.</w:t>
      </w:r>
      <w:r w:rsidRPr="009407E3">
        <w:rPr>
          <w:rFonts w:ascii="Times New Roman" w:hAnsi="Times New Roman" w:cs="Times New Roman"/>
          <w:lang w:val="en-US"/>
        </w:rPr>
        <w:t xml:space="preserve"> </w:t>
      </w:r>
      <w:r w:rsidRPr="009407E3">
        <w:rPr>
          <w:rFonts w:ascii="Times New Roman" w:hAnsi="Times New Roman" w:cs="Times New Roman"/>
          <w:lang w:val="en-GB"/>
        </w:rPr>
        <w:t xml:space="preserve">АГКК има сключени 168 броя </w:t>
      </w:r>
      <w:r w:rsidRPr="009407E3">
        <w:rPr>
          <w:rFonts w:ascii="Times New Roman" w:hAnsi="Times New Roman" w:cs="Times New Roman"/>
        </w:rPr>
        <w:t>с</w:t>
      </w:r>
      <w:r w:rsidRPr="009407E3">
        <w:rPr>
          <w:rFonts w:ascii="Times New Roman" w:hAnsi="Times New Roman" w:cs="Times New Roman"/>
          <w:lang w:val="en-GB"/>
        </w:rPr>
        <w:t>поразумения с общини за подпомагане на Агенцията при административното обслужване на ползвателите на административни услуги, предоставяни от АГКК по реда на ЗКИР, като за Столична община има сключени 14 броя споразумения с отделни райони на Столична община. Оправомощените общински служители да извършват тази дейност са 6</w:t>
      </w:r>
      <w:r w:rsidRPr="009407E3">
        <w:rPr>
          <w:rFonts w:ascii="Times New Roman" w:hAnsi="Times New Roman" w:cs="Times New Roman"/>
        </w:rPr>
        <w:t>16</w:t>
      </w:r>
      <w:r w:rsidRPr="009407E3">
        <w:rPr>
          <w:rFonts w:ascii="Times New Roman" w:hAnsi="Times New Roman" w:cs="Times New Roman"/>
          <w:lang w:val="en-GB"/>
        </w:rPr>
        <w:t xml:space="preserve"> броя. </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 xml:space="preserve">На основание чл. 55, ал. 9 от Закона за кадастъра и имотния регистър оправомощени служители на Общинските служби по земеделие подпомагат СГКК, извън административните центрове на областите, при административното обслужване на потребителите на кадастрална информация, за земеделски и горски територии с одобрени кадастрална карта и кадастрални регистри. </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 xml:space="preserve">     С промени в ЗКИР (в сила от 22.08.2019 г.) се създаде правна възможност лицата, придобили правоспособност по реда на ЗКИР да подпомагат СГКК при административното обслужване, като предоставят на потребителите на кадастрални услуги скици, схеми и удостоверения. Документите се изработват автоматично, от информационната система на кадастъра, разпечатват се от правоспособните лица и след удостоверяване от тях се предоставят на потребителите на хартиен носител.</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 xml:space="preserve">  С нарастване на териториите с одобрена кадастрална карта ежегодно се увеличава и броят на гражданите и клиентите, на които Агенцията по геодезия, картография и кадастър предоставя административно - технически услуги.</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 xml:space="preserve"> Във връзка с преобразуването на картата на възстановената собственост (КВС) в кадастрална карта и кадастрални регистри (КККР), със свое решение от 11.06.2015 година Съвета за административна реформа към Министерския съвет подкрепи прехвърлянето на 300 щатни бройки от системата на Министерството на земеделието и храните (МЗХ) към АГКК. С измененията на ЗКИР, извършени през 2016 г., от МЗХ към АГКК бяха прехвърлени 52 щатни бройки. През 2018 г. с изменение на устройствения правилник на АГКК щатната численост се увеличи с 20 щ. бр, с което щатният състав на АГКК стана 417 бройки.</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През 2025 г., с изменение на устройствения правилник на АГКК, щатната численост беше увеличена с 5 щ. бр., с което щатният състав на АГКК стана 422 бройки, като организационната структура беше запазена.</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Въпреки това, щатната численост на АГКК продължава да е значително по-малка от предвидената и необходимата за изпълнение на възложените функции на АГКК.</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 xml:space="preserve">От началото на 2009 г. в Агенцията по геодезия, картография и кадастър е внедрена и функционира интегрирана информационна система за кадастъра и имотния регистър (ИИСКИР). Чрез системата се поддържа и съхранява кадастралната информация и се предоставят услуги за гражданите, дружествата, общините и ведомствата.  </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През 2014 г. в пълна степен започна да функционира новата кадастрална административна информационна система (КАИС) на АГКК, чрез която се създаде  възможност всички услуги, предоставяни от АГКК, да бъдат реализирани в електронен вид. Осигури се възможности за достъп на незрящи и слабовиждащи граждани</w:t>
      </w:r>
      <w:r w:rsidRPr="009407E3">
        <w:rPr>
          <w:rFonts w:ascii="Times New Roman" w:hAnsi="Times New Roman" w:cs="Times New Roman"/>
          <w:lang w:val="en-US"/>
        </w:rPr>
        <w:t xml:space="preserve"> </w:t>
      </w:r>
      <w:r w:rsidRPr="009407E3">
        <w:rPr>
          <w:rFonts w:ascii="Times New Roman" w:hAnsi="Times New Roman" w:cs="Times New Roman"/>
        </w:rPr>
        <w:t xml:space="preserve">и на чуждоговорящи клиенти. Извърши се оптимизиране на работата на системата с кадастрална информация, като базите данни на 28-те СГКК се обединиха в една централна база данни на кадастъра и официалните документи (скици, схеми, удостоверения и други) се издават от всяка служба по </w:t>
      </w:r>
      <w:r w:rsidRPr="009407E3">
        <w:rPr>
          <w:rFonts w:ascii="Times New Roman" w:hAnsi="Times New Roman" w:cs="Times New Roman"/>
        </w:rPr>
        <w:lastRenderedPageBreak/>
        <w:t xml:space="preserve">геодезия, картография и кадастър за цялата територия на страната, независимо от местоположението на обекта на кадастъра.   </w:t>
      </w:r>
    </w:p>
    <w:p w:rsidR="009407E3" w:rsidRP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Създадена е възможност да се издават електронни скици и схеми. Потребителите на кадастрална информация могат не само да заявяват, но и да получават скици и схеми по електронен път, вместо на гише.</w:t>
      </w:r>
    </w:p>
    <w:p w:rsidR="009407E3" w:rsidRDefault="009407E3" w:rsidP="009407E3">
      <w:pPr>
        <w:spacing w:after="0" w:line="240" w:lineRule="auto"/>
        <w:ind w:firstLine="567"/>
        <w:jc w:val="both"/>
        <w:rPr>
          <w:rFonts w:ascii="Times New Roman" w:hAnsi="Times New Roman" w:cs="Times New Roman"/>
        </w:rPr>
      </w:pPr>
      <w:r w:rsidRPr="009407E3">
        <w:rPr>
          <w:rFonts w:ascii="Times New Roman" w:hAnsi="Times New Roman" w:cs="Times New Roman"/>
        </w:rPr>
        <w:t>През 2021 г. АГКК стартира дейности по развитие на специализираните информационни системи за пространствени данни, които</w:t>
      </w:r>
      <w:r w:rsidRPr="009407E3">
        <w:rPr>
          <w:rFonts w:ascii="Times New Roman" w:hAnsi="Times New Roman" w:cs="Times New Roman"/>
          <w:lang w:val="en-US"/>
        </w:rPr>
        <w:t xml:space="preserve"> </w:t>
      </w:r>
      <w:r w:rsidRPr="009407E3">
        <w:rPr>
          <w:rFonts w:ascii="Times New Roman" w:hAnsi="Times New Roman" w:cs="Times New Roman"/>
        </w:rPr>
        <w:t>приключиха успешно в края на 31.12.2024 г. Проектът осъществи развитие на текущите информационни системи на АГКК и тяхното интегриране в една нова информационна система за кадастрални и специализирани данни, постигане на висока устойчивост, прозрачност и оперативна съвместимост, както и обезпечаване на интеграциите с първични регистри и системи на електронното управление.</w:t>
      </w:r>
    </w:p>
    <w:p w:rsidR="00B55753" w:rsidRPr="009407E3" w:rsidRDefault="00B55753" w:rsidP="009407E3">
      <w:pPr>
        <w:spacing w:after="0" w:line="240" w:lineRule="auto"/>
        <w:ind w:firstLine="567"/>
        <w:jc w:val="both"/>
        <w:rPr>
          <w:rFonts w:ascii="Times New Roman" w:hAnsi="Times New Roman" w:cs="Times New Roman"/>
        </w:rPr>
      </w:pPr>
    </w:p>
    <w:p w:rsidR="00426FE9" w:rsidRDefault="00D0590D">
      <w:pPr>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ІІІ. ОБЛАСТИ НА ПОЛИТИКИ</w:t>
      </w:r>
    </w:p>
    <w:p w:rsidR="00426FE9" w:rsidRDefault="00426FE9">
      <w:pPr>
        <w:spacing w:after="0" w:line="240" w:lineRule="auto"/>
        <w:ind w:firstLine="567"/>
        <w:jc w:val="both"/>
        <w:rPr>
          <w:rFonts w:ascii="Times New Roman" w:hAnsi="Times New Roman" w:cs="Times New Roman"/>
          <w:b/>
          <w:i/>
          <w:color w:val="0000CC"/>
          <w:sz w:val="12"/>
        </w:rPr>
      </w:pPr>
    </w:p>
    <w:p w:rsidR="00426FE9" w:rsidRDefault="00D0590D">
      <w:pPr>
        <w:spacing w:after="0" w:line="240" w:lineRule="auto"/>
        <w:ind w:firstLine="567"/>
        <w:jc w:val="both"/>
        <w:rPr>
          <w:rFonts w:ascii="Times New Roman" w:hAnsi="Times New Roman" w:cs="Times New Roman"/>
          <w:b/>
        </w:rPr>
      </w:pPr>
      <w:r>
        <w:rPr>
          <w:rFonts w:ascii="Times New Roman" w:hAnsi="Times New Roman" w:cs="Times New Roman"/>
          <w:b/>
        </w:rPr>
        <w:t>Политиките, осъществявани от МРРБ са:</w:t>
      </w:r>
    </w:p>
    <w:p w:rsidR="00426FE9" w:rsidRDefault="00D0590D">
      <w:pPr>
        <w:keepNext/>
        <w:snapToGrid w:val="0"/>
        <w:spacing w:after="0" w:line="240" w:lineRule="auto"/>
        <w:ind w:firstLine="567"/>
        <w:jc w:val="both"/>
        <w:outlineLvl w:val="0"/>
        <w:rPr>
          <w:rFonts w:ascii="Times New Roman" w:eastAsia="Batang" w:hAnsi="Times New Roman" w:cs="Times New Roman"/>
          <w:b/>
          <w:i/>
          <w:color w:val="AA2B1E" w:themeColor="accent2"/>
          <w:lang w:val="ru-RU" w:eastAsia="ko-KR"/>
        </w:rPr>
      </w:pPr>
      <w:r>
        <w:rPr>
          <w:rFonts w:ascii="Times New Roman" w:eastAsia="Batang" w:hAnsi="Times New Roman" w:cs="Times New Roman"/>
          <w:b/>
          <w:i/>
          <w:color w:val="AA2B1E" w:themeColor="accent2"/>
          <w:lang w:val="ru-RU" w:eastAsia="ko-KR"/>
        </w:rPr>
        <w:t>2100.01.00 ПОЛИТИКА ЗА ИНТЕГРИРАНО РАЗВИТИЕ НА РЕГИОНИТЕ ЗА ПОСТИГАНЕ НА РАСТЕЖ И ПОДОБРЯВАНЕ КАЧЕСТВОТО НА ЖИЗНЕНАТА СРЕДА</w:t>
      </w:r>
    </w:p>
    <w:p w:rsidR="00426FE9" w:rsidRDefault="00D0590D">
      <w:pPr>
        <w:spacing w:after="0" w:line="240" w:lineRule="auto"/>
        <w:ind w:firstLine="567"/>
        <w:jc w:val="both"/>
        <w:rPr>
          <w:rFonts w:ascii="Times New Roman" w:hAnsi="Times New Roman" w:cs="Times New Roman"/>
          <w:b/>
          <w:bCs/>
          <w:color w:val="4A7C2C" w:themeColor="accent4" w:themeShade="BF"/>
        </w:rPr>
      </w:pPr>
      <w:r>
        <w:rPr>
          <w:rFonts w:ascii="Times New Roman" w:hAnsi="Times New Roman" w:cs="Times New Roman"/>
          <w:b/>
          <w:bCs/>
          <w:color w:val="4A7C2C" w:themeColor="accent4" w:themeShade="BF"/>
        </w:rPr>
        <w:t xml:space="preserve">2100.01.01 Бюджетна програма „Стратегическо планиране на регионалното и пространственото развитие, децентрализация и териториално сътрудничество“ </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Главна дирекция „Стратегическо планиране и програми за регионално развитие“;</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Дирекция „Управление на териториалното сътрудничество“;</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Дирекция „Устройство на територията и административно-териториално устройство“.</w:t>
      </w:r>
    </w:p>
    <w:p w:rsidR="00426FE9" w:rsidRDefault="00D0590D">
      <w:pPr>
        <w:spacing w:after="0" w:line="240" w:lineRule="auto"/>
        <w:ind w:firstLine="567"/>
        <w:jc w:val="both"/>
        <w:rPr>
          <w:rFonts w:ascii="Times New Roman" w:hAnsi="Times New Roman" w:cs="Times New Roman"/>
          <w:b/>
          <w:bCs/>
          <w:color w:val="4A7C2C" w:themeColor="accent4" w:themeShade="BF"/>
        </w:rPr>
      </w:pPr>
      <w:r>
        <w:rPr>
          <w:rFonts w:ascii="Times New Roman" w:hAnsi="Times New Roman" w:cs="Times New Roman"/>
          <w:b/>
          <w:color w:val="4A7C2C" w:themeColor="accent4" w:themeShade="BF"/>
        </w:rPr>
        <w:t xml:space="preserve">2100.01.02 </w:t>
      </w:r>
      <w:r>
        <w:rPr>
          <w:rFonts w:ascii="Times New Roman" w:hAnsi="Times New Roman" w:cs="Times New Roman"/>
          <w:b/>
          <w:bCs/>
          <w:color w:val="4A7C2C" w:themeColor="accent4" w:themeShade="BF"/>
        </w:rPr>
        <w:t>Бюджетна програма</w:t>
      </w:r>
      <w:r>
        <w:rPr>
          <w:rFonts w:ascii="Times New Roman" w:hAnsi="Times New Roman" w:cs="Times New Roman"/>
          <w:b/>
          <w:color w:val="4A7C2C" w:themeColor="accent4" w:themeShade="BF"/>
        </w:rPr>
        <w:t xml:space="preserve"> „</w:t>
      </w:r>
      <w:r>
        <w:rPr>
          <w:rFonts w:ascii="Times New Roman" w:hAnsi="Times New Roman" w:cs="Times New Roman"/>
          <w:b/>
          <w:bCs/>
          <w:color w:val="4A7C2C" w:themeColor="accent4" w:themeShade="BF"/>
        </w:rPr>
        <w:t>Подобряване на жилищните условия на маргинализирани групи от населението”</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„Жилищна политика“.</w:t>
      </w:r>
    </w:p>
    <w:p w:rsidR="00426FE9" w:rsidRDefault="00D0590D">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 xml:space="preserve">2100.01.03 </w:t>
      </w:r>
      <w:r>
        <w:rPr>
          <w:rFonts w:ascii="Times New Roman" w:hAnsi="Times New Roman" w:cs="Times New Roman"/>
          <w:b/>
          <w:bCs/>
          <w:color w:val="4A7C2C" w:themeColor="accent4" w:themeShade="BF"/>
        </w:rPr>
        <w:t xml:space="preserve">Бюджетна програма </w:t>
      </w:r>
      <w:r>
        <w:rPr>
          <w:rFonts w:ascii="Times New Roman" w:hAnsi="Times New Roman" w:cs="Times New Roman"/>
          <w:b/>
          <w:color w:val="4A7C2C" w:themeColor="accent4" w:themeShade="BF"/>
        </w:rPr>
        <w:t>„Ефективно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Дирекция „Държавна собственост и търговски дружества“.</w:t>
      </w:r>
    </w:p>
    <w:p w:rsidR="00426FE9" w:rsidRDefault="00426FE9">
      <w:pPr>
        <w:spacing w:after="0" w:line="240" w:lineRule="auto"/>
        <w:ind w:firstLine="567"/>
        <w:jc w:val="both"/>
        <w:rPr>
          <w:rFonts w:ascii="Times New Roman" w:hAnsi="Times New Roman" w:cs="Times New Roman"/>
          <w:b/>
          <w:i/>
          <w:color w:val="AA2B1E" w:themeColor="accent2"/>
        </w:rPr>
      </w:pPr>
    </w:p>
    <w:p w:rsidR="00426FE9" w:rsidRDefault="00D0590D">
      <w:pPr>
        <w:spacing w:after="0" w:line="240" w:lineRule="auto"/>
        <w:ind w:firstLine="567"/>
        <w:jc w:val="both"/>
        <w:rPr>
          <w:rFonts w:ascii="Times New Roman" w:hAnsi="Times New Roman" w:cs="Times New Roman"/>
          <w:b/>
          <w:i/>
          <w:color w:val="AA2B1E" w:themeColor="accent2"/>
        </w:rPr>
      </w:pPr>
      <w:r>
        <w:rPr>
          <w:rFonts w:ascii="Times New Roman" w:hAnsi="Times New Roman" w:cs="Times New Roman"/>
          <w:b/>
          <w:i/>
          <w:color w:val="AA2B1E" w:themeColor="accent2"/>
        </w:rPr>
        <w:t>2100.02.00 ПОЛИТИКА ЗА ПОДОБРЯВАНЕ НА ИНВЕСТИЦИОННИЯ ПРОЦЕС, ПОДДЪРЖАНЕ, МОДЕРНИЗАЦИЯ И ИЗГРАЖДАНЕ НА ТЕХНИЧЕСКАТА ИНФРАСТРУКТУРА</w:t>
      </w:r>
    </w:p>
    <w:p w:rsidR="00426FE9" w:rsidRDefault="00D0590D">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 xml:space="preserve">2100.02.01 </w:t>
      </w:r>
      <w:r>
        <w:rPr>
          <w:rFonts w:ascii="Times New Roman" w:hAnsi="Times New Roman" w:cs="Times New Roman"/>
          <w:b/>
          <w:bCs/>
          <w:color w:val="4A7C2C" w:themeColor="accent4" w:themeShade="BF"/>
        </w:rPr>
        <w:t>Бюджетна програма</w:t>
      </w:r>
      <w:r>
        <w:rPr>
          <w:rFonts w:ascii="Times New Roman" w:hAnsi="Times New Roman" w:cs="Times New Roman"/>
          <w:b/>
          <w:color w:val="4A7C2C" w:themeColor="accent4" w:themeShade="BF"/>
        </w:rPr>
        <w:t xml:space="preserve"> „Рехабилитация и изграждане на пътна инфраструктура“</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Дирекция „Водоснабдяване и канализация и благоустройствени дейности“;</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Агенция „Пътна инфраструктура“.</w:t>
      </w:r>
    </w:p>
    <w:p w:rsidR="00426FE9" w:rsidRDefault="00D0590D">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 xml:space="preserve">2100.02.02 </w:t>
      </w:r>
      <w:r>
        <w:rPr>
          <w:rFonts w:ascii="Times New Roman" w:hAnsi="Times New Roman" w:cs="Times New Roman"/>
          <w:b/>
          <w:bCs/>
          <w:color w:val="4A7C2C" w:themeColor="accent4" w:themeShade="BF"/>
        </w:rPr>
        <w:t xml:space="preserve">Бюджетна програма </w:t>
      </w:r>
      <w:r>
        <w:rPr>
          <w:rFonts w:ascii="Times New Roman" w:hAnsi="Times New Roman" w:cs="Times New Roman"/>
          <w:b/>
          <w:color w:val="4A7C2C" w:themeColor="accent4" w:themeShade="BF"/>
        </w:rPr>
        <w:t>„Устройство на територията, благоустройство, геозащита, водоснабдяване и канализация“</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Дирекция „Устройство на територията и административно-териториално устройство“;</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Дирекция „Водоснабдяване и канализация и благоустройствени дейности“;</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Агенция по геодезия, картография и кадастър.</w:t>
      </w:r>
    </w:p>
    <w:p w:rsidR="00426FE9" w:rsidRDefault="00D0590D">
      <w:pPr>
        <w:spacing w:after="0" w:line="240" w:lineRule="auto"/>
        <w:ind w:firstLine="567"/>
        <w:contextualSpacing/>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 xml:space="preserve">2100.02.03 </w:t>
      </w:r>
      <w:r>
        <w:rPr>
          <w:rFonts w:ascii="Times New Roman" w:hAnsi="Times New Roman" w:cs="Times New Roman"/>
          <w:b/>
          <w:bCs/>
          <w:color w:val="4A7C2C" w:themeColor="accent4" w:themeShade="BF"/>
        </w:rPr>
        <w:t>Бюджетна програма</w:t>
      </w:r>
      <w:r>
        <w:rPr>
          <w:rFonts w:ascii="Times New Roman" w:hAnsi="Times New Roman" w:cs="Times New Roman"/>
          <w:b/>
          <w:color w:val="4A7C2C" w:themeColor="accent4" w:themeShade="BF"/>
        </w:rPr>
        <w:t xml:space="preserve"> „Нормативно регулиране и контрол на строителните продукти и инвестиционния процес в строителството“</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hAnsi="Times New Roman" w:cs="Times New Roman"/>
        </w:rPr>
      </w:pPr>
      <w:r>
        <w:rPr>
          <w:rFonts w:ascii="Times New Roman" w:hAnsi="Times New Roman" w:cs="Times New Roman"/>
        </w:rPr>
        <w:t>Дирекция „Технически правила и норми“;</w:t>
      </w:r>
    </w:p>
    <w:p w:rsidR="00426FE9" w:rsidRDefault="00D0590D">
      <w:pPr>
        <w:spacing w:after="0" w:line="240" w:lineRule="auto"/>
        <w:ind w:firstLine="567"/>
        <w:contextualSpacing/>
        <w:jc w:val="both"/>
        <w:rPr>
          <w:rFonts w:ascii="Times New Roman" w:hAnsi="Times New Roman" w:cs="Times New Roman"/>
        </w:rPr>
      </w:pPr>
      <w:r>
        <w:rPr>
          <w:rFonts w:ascii="Times New Roman" w:hAnsi="Times New Roman" w:cs="Times New Roman"/>
        </w:rPr>
        <w:t>Дирекция за национален строителен контрол.</w:t>
      </w:r>
    </w:p>
    <w:p w:rsidR="00426FE9" w:rsidRDefault="00426FE9">
      <w:pPr>
        <w:spacing w:after="0" w:line="240" w:lineRule="auto"/>
        <w:ind w:firstLine="567"/>
        <w:jc w:val="both"/>
        <w:rPr>
          <w:rFonts w:ascii="Times New Roman" w:hAnsi="Times New Roman" w:cs="Times New Roman"/>
          <w:b/>
          <w:i/>
          <w:color w:val="AA2B1E" w:themeColor="accent2"/>
        </w:rPr>
      </w:pPr>
    </w:p>
    <w:p w:rsidR="00426FE9" w:rsidRDefault="00D0590D">
      <w:pPr>
        <w:spacing w:after="0" w:line="240" w:lineRule="auto"/>
        <w:ind w:firstLine="567"/>
        <w:jc w:val="both"/>
        <w:rPr>
          <w:rFonts w:ascii="Times New Roman" w:hAnsi="Times New Roman" w:cs="Times New Roman"/>
          <w:b/>
          <w:i/>
          <w:color w:val="AA2B1E" w:themeColor="accent2"/>
        </w:rPr>
      </w:pPr>
      <w:r>
        <w:rPr>
          <w:rFonts w:ascii="Times New Roman" w:hAnsi="Times New Roman" w:cs="Times New Roman"/>
          <w:b/>
          <w:i/>
          <w:color w:val="AA2B1E" w:themeColor="accent2"/>
        </w:rPr>
        <w:t>2100.03.00 БЮДЖЕТНА ПРОГРАМА „ЕФЕКТИВНА АДМИНИСТРАЦИЯ И КООРДИНАЦИЯ“</w:t>
      </w:r>
    </w:p>
    <w:p w:rsidR="00426FE9" w:rsidRDefault="00D0590D">
      <w:pPr>
        <w:spacing w:after="0" w:line="240" w:lineRule="auto"/>
        <w:ind w:firstLine="567"/>
        <w:jc w:val="both"/>
        <w:rPr>
          <w:rFonts w:ascii="Times New Roman" w:hAnsi="Times New Roman" w:cs="Times New Roman"/>
          <w:b/>
          <w:i/>
        </w:rPr>
      </w:pPr>
      <w:r>
        <w:rPr>
          <w:rFonts w:ascii="Times New Roman" w:hAnsi="Times New Roman" w:cs="Times New Roman"/>
          <w:b/>
          <w:bCs/>
          <w:i/>
        </w:rPr>
        <w:t>Структурни звена, участващи в изпълнението на програмата:</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„Инспекторат“;</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„Вътрешен одит“;</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lastRenderedPageBreak/>
        <w:t>Дирекция „Административно обслужване и човешки ресурси“;</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„Финансово-стопански дейности“;</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„Правна“;</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„Информационно обслужване и системи за сигурност“;</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„Обществени поръчки“;</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Дирекция „Връзки с обществеността, протокол и международно сътрудничество“;</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Главна дирекция „Гражданска регистрация и административно обслужване“</w:t>
      </w:r>
    </w:p>
    <w:p w:rsidR="00426FE9" w:rsidRDefault="00426FE9">
      <w:pPr>
        <w:spacing w:after="0" w:line="240" w:lineRule="auto"/>
        <w:ind w:firstLine="567"/>
        <w:contextualSpacing/>
        <w:jc w:val="both"/>
        <w:rPr>
          <w:rFonts w:ascii="Times New Roman" w:eastAsia="Calibri" w:hAnsi="Times New Roman" w:cs="Times New Roman"/>
          <w:bCs/>
        </w:rPr>
      </w:pPr>
      <w:bookmarkStart w:id="0" w:name="_Toc61175759"/>
      <w:bookmarkEnd w:id="0"/>
    </w:p>
    <w:p w:rsidR="00426FE9" w:rsidRDefault="00D0590D">
      <w:pPr>
        <w:tabs>
          <w:tab w:val="left" w:pos="993"/>
        </w:tabs>
        <w:spacing w:after="0" w:line="240" w:lineRule="auto"/>
        <w:ind w:left="567"/>
        <w:jc w:val="both"/>
        <w:rPr>
          <w:rFonts w:ascii="Times New Roman" w:hAnsi="Times New Roman"/>
          <w:b/>
          <w:i/>
          <w:color w:val="0000CC"/>
          <w:sz w:val="24"/>
        </w:rPr>
      </w:pPr>
      <w:r>
        <w:rPr>
          <w:rFonts w:ascii="Times New Roman" w:hAnsi="Times New Roman"/>
          <w:b/>
          <w:i/>
          <w:color w:val="0000CC"/>
          <w:sz w:val="24"/>
        </w:rPr>
        <w:t xml:space="preserve">Визия за развитието на политиките </w:t>
      </w:r>
    </w:p>
    <w:p w:rsidR="00426FE9" w:rsidRDefault="00426FE9">
      <w:pPr>
        <w:spacing w:after="0" w:line="240" w:lineRule="auto"/>
        <w:ind w:left="567"/>
        <w:jc w:val="both"/>
        <w:rPr>
          <w:rFonts w:ascii="Times New Roman" w:hAnsi="Times New Roman" w:cs="Times New Roman"/>
          <w:b/>
          <w:i/>
          <w:color w:val="AA2B1E" w:themeColor="accent2"/>
          <w:lang w:val="en-US"/>
        </w:rPr>
      </w:pPr>
    </w:p>
    <w:tbl>
      <w:tblPr>
        <w:tblStyle w:val="TableGrid"/>
        <w:tblW w:w="9952" w:type="dxa"/>
        <w:tblInd w:w="108" w:type="dxa"/>
        <w:tblLayout w:type="fixed"/>
        <w:tblLook w:val="04A0" w:firstRow="1" w:lastRow="0" w:firstColumn="1" w:lastColumn="0" w:noHBand="0" w:noVBand="1"/>
      </w:tblPr>
      <w:tblGrid>
        <w:gridCol w:w="9952"/>
      </w:tblGrid>
      <w:tr w:rsidR="00426FE9" w:rsidTr="001B420F">
        <w:trPr>
          <w:trHeight w:val="281"/>
        </w:trPr>
        <w:tc>
          <w:tcPr>
            <w:tcW w:w="9952" w:type="dxa"/>
          </w:tcPr>
          <w:p w:rsidR="00426FE9" w:rsidRDefault="00D0590D">
            <w:pPr>
              <w:spacing w:after="0" w:line="240" w:lineRule="auto"/>
              <w:ind w:left="34"/>
              <w:jc w:val="both"/>
              <w:rPr>
                <w:rFonts w:ascii="Times New Roman" w:eastAsia="SimSun" w:hAnsi="Times New Roman" w:cs="Times New Roman"/>
                <w:b/>
                <w:i/>
                <w:color w:val="AA2B1E" w:themeColor="accent2"/>
              </w:rPr>
            </w:pPr>
            <w:r>
              <w:rPr>
                <w:rFonts w:ascii="Times New Roman" w:eastAsia="SimSun" w:hAnsi="Times New Roman" w:cs="Times New Roman"/>
                <w:b/>
                <w:i/>
                <w:color w:val="AA2B1E" w:themeColor="accent2"/>
              </w:rPr>
              <w:t>2100.01.00 ПОЛИТИКА ЗА ИНТЕГРИРАНО РАЗВИТИЕ НА РЕГИОНИТЕ ЗА ПОСТИГАНЕ НА РАСТЕЖ И ПОДОБРЯВАНЕ КАЧЕСТВОТО НА ЖИЗНЕНАТА СРЕДА</w:t>
            </w:r>
          </w:p>
        </w:tc>
      </w:tr>
    </w:tbl>
    <w:p w:rsidR="00426FE9" w:rsidRDefault="00426FE9">
      <w:pPr>
        <w:spacing w:after="0" w:line="240" w:lineRule="auto"/>
        <w:jc w:val="both"/>
        <w:rPr>
          <w:rFonts w:ascii="Times New Roman" w:hAnsi="Times New Roman" w:cs="Times New Roman"/>
          <w:b/>
          <w:i/>
          <w:color w:val="0000CC"/>
          <w:sz w:val="14"/>
          <w:lang w:val="en-US"/>
        </w:rPr>
      </w:pPr>
    </w:p>
    <w:p w:rsidR="00426FE9" w:rsidRDefault="00D0590D">
      <w:pPr>
        <w:tabs>
          <w:tab w:val="left" w:pos="851"/>
          <w:tab w:val="left" w:pos="993"/>
        </w:tabs>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Политиката в областта на интегрирано развитие на регионите, ефективно и ефикасно използване на публичните финанси и финансовите инструменти за постигане на растеж и подобряване качеството на жизнената среда, се основава на принципа за ефективно управление и изпълнение, укрепване на сътрудничеството и комуникацията с партньорите и заинтересованите страни, гарантиране на прозрачност в работата и преодоляване на корупционните практики и се осъществява чрез Програма „Развитие на регионите“ 2021-2027 и Националния план за възстановяване и устойчивост</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 xml:space="preserve"> Политиката съдейства за общото икономическо и социално развитие на страната и развитието на териториалното сътрудничество, с цел постигане на интелигентен, устойчив и приобщаващ растеж и висока заетост. Политиката е насочена към извършване на целенасочени промени в условията за живот и труд в районите, административно-териториалните и териториалните единици, чрез взаимосвързани действия в икономическата и социалната сфера, в съответствие с изискванията за опазване на околната среда и защитата срещу всички форми на дискриминация.</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 xml:space="preserve">Политиката е интегрирана по своя характер и тясно свързана със секторните политики. </w:t>
      </w:r>
    </w:p>
    <w:p w:rsidR="00426FE9" w:rsidRDefault="00D0590D">
      <w:pPr>
        <w:tabs>
          <w:tab w:val="left" w:pos="851"/>
          <w:tab w:val="left" w:pos="993"/>
        </w:tabs>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Политиката в областта на интегрирано развитие на регионите за постигане на растеж и подобряване качеството на жизнената среда е насочена към подобряване качеството на жизнената среда на българските граждани и превръщането на регионите в привлекателно място за инвестиции и бизнес, както и прилагане на целенасочени мерки за подпомагане на регионите, изоставащи с развитието си, като се отчитат специфичните им нужди и местния потенциал за развитие.</w:t>
      </w:r>
    </w:p>
    <w:p w:rsidR="00426FE9" w:rsidRDefault="00D0590D">
      <w:pPr>
        <w:tabs>
          <w:tab w:val="left" w:pos="851"/>
          <w:tab w:val="left" w:pos="993"/>
        </w:tabs>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Желаният резултат ще се постигне чрез интегрирани действия в различни области на развитие, насочени в един фокус – сближаване.</w:t>
      </w:r>
    </w:p>
    <w:p w:rsidR="00426FE9" w:rsidRDefault="00D0590D">
      <w:pPr>
        <w:tabs>
          <w:tab w:val="left" w:pos="851"/>
          <w:tab w:val="left" w:pos="993"/>
        </w:tabs>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Сближаването има три аспекта – икономическо, социално и териториално сближаване, както и три нива – европейско – с регионите на ЕС, национално – между българските райони и вътрешно регионално – между общините в отделните райони.</w:t>
      </w:r>
    </w:p>
    <w:p w:rsidR="00426FE9" w:rsidRDefault="00D0590D">
      <w:pPr>
        <w:tabs>
          <w:tab w:val="left" w:pos="851"/>
          <w:tab w:val="left" w:pos="993"/>
        </w:tabs>
        <w:spacing w:after="0" w:line="240" w:lineRule="auto"/>
        <w:ind w:firstLine="567"/>
        <w:jc w:val="both"/>
        <w:rPr>
          <w:rFonts w:ascii="Times New Roman" w:hAnsi="Times New Roman"/>
          <w:b/>
          <w:i/>
          <w:color w:val="0000CC"/>
        </w:rPr>
      </w:pPr>
      <w:r>
        <w:rPr>
          <w:rFonts w:ascii="Times New Roman" w:hAnsi="Times New Roman"/>
          <w:b/>
          <w:i/>
          <w:color w:val="0000CC"/>
        </w:rPr>
        <w:t xml:space="preserve">Визия за развитието на политиката </w:t>
      </w:r>
    </w:p>
    <w:p w:rsidR="00426FE9" w:rsidRDefault="00D0590D">
      <w:pPr>
        <w:keepNext/>
        <w:tabs>
          <w:tab w:val="left" w:pos="709"/>
          <w:tab w:val="left" w:pos="1134"/>
        </w:tabs>
        <w:spacing w:after="0" w:line="240" w:lineRule="auto"/>
        <w:ind w:firstLine="567"/>
        <w:jc w:val="both"/>
        <w:outlineLvl w:val="0"/>
        <w:rPr>
          <w:rFonts w:ascii="Times New Roman" w:eastAsia="Times New Roman" w:hAnsi="Times New Roman" w:cs="Times New Roman"/>
          <w:lang w:val="en-US" w:eastAsia="bg-BG"/>
        </w:rPr>
      </w:pPr>
      <w:r>
        <w:rPr>
          <w:rFonts w:ascii="Times New Roman" w:eastAsia="Times New Roman" w:hAnsi="Times New Roman" w:cs="Times New Roman"/>
          <w:lang w:eastAsia="bg-BG"/>
        </w:rPr>
        <w:t xml:space="preserve">Визията за развитието на политиката е тясно обвързана с мерките, определени в Приоритет 5 „Балансирано регионално развитие“ от програмата за управление на Правителството на Република България, както и с приоритетите на министерството, съгласно стратегическите документи в областта на регионалното развитие и ефективното усвояване на ресурсите на оперативните програми. </w:t>
      </w:r>
    </w:p>
    <w:p w:rsidR="00426FE9" w:rsidRDefault="00D0590D">
      <w:pPr>
        <w:keepNext/>
        <w:tabs>
          <w:tab w:val="left" w:pos="709"/>
          <w:tab w:val="left" w:pos="1134"/>
        </w:tabs>
        <w:spacing w:after="0" w:line="240" w:lineRule="auto"/>
        <w:ind w:firstLine="567"/>
        <w:jc w:val="both"/>
        <w:outlineLvl w:val="0"/>
        <w:rPr>
          <w:rFonts w:ascii="Times New Roman" w:eastAsia="Times New Roman" w:hAnsi="Times New Roman" w:cs="Times New Roman"/>
          <w:lang w:eastAsia="bg-BG"/>
        </w:rPr>
      </w:pPr>
      <w:r>
        <w:rPr>
          <w:rFonts w:ascii="Times New Roman" w:eastAsia="Times New Roman" w:hAnsi="Times New Roman" w:cs="Times New Roman"/>
          <w:b/>
          <w:i/>
          <w:lang w:eastAsia="bg-BG"/>
        </w:rPr>
        <w:t>Министърът, чрез Главна дирекция „Стратегическо планиране и програми за регионално развитие“,</w:t>
      </w:r>
      <w:r>
        <w:rPr>
          <w:rFonts w:ascii="Times New Roman" w:eastAsia="Times New Roman" w:hAnsi="Times New Roman" w:cs="Times New Roman"/>
          <w:lang w:eastAsia="bg-BG"/>
        </w:rPr>
        <w:t xml:space="preserve"> провежда политика за регионално развитие, която да създава условия за балансирано и устойчиво интегрирано развитие на регионите в България, както и превръщането им в по-привлекателни места за живеене и работа</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 xml:space="preserve"> чрез подобряване на средата за живеене и бизнес, транспортната свързаност, достъпа до публични услуги, повишаване на трудовата заетост и съхраняване на природната среда и опазване на културната им идентичност.</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 xml:space="preserve">Развитието на политиката обхваща и: </w:t>
      </w:r>
    </w:p>
    <w:p w:rsidR="00426FE9" w:rsidRDefault="00D0590D">
      <w:pPr>
        <w:numPr>
          <w:ilvl w:val="0"/>
          <w:numId w:val="12"/>
        </w:numPr>
        <w:tabs>
          <w:tab w:val="left" w:pos="851"/>
        </w:tabs>
        <w:spacing w:after="0" w:line="240" w:lineRule="auto"/>
        <w:ind w:left="0" w:firstLine="567"/>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разработване и изпълнение на система от нормативно регламентирани стратегически документи, в които са формулирани цели и приоритети за устойчиво регионално развитие, с цел постигане на интелигентен, устойчив и приобщаващ растеж и висока заетост в районите, в административно – териториалните и в териториалните единици;</w:t>
      </w:r>
    </w:p>
    <w:p w:rsidR="00426FE9" w:rsidRDefault="00D0590D">
      <w:pPr>
        <w:numPr>
          <w:ilvl w:val="0"/>
          <w:numId w:val="12"/>
        </w:numPr>
        <w:tabs>
          <w:tab w:val="left" w:pos="851"/>
        </w:tabs>
        <w:spacing w:after="0" w:line="240" w:lineRule="auto"/>
        <w:ind w:left="0" w:firstLine="567"/>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разработване и прилагане на целенасочени мерки за подпомагане развитието на регионите, изоставащи развитието си, като се отчитат специфичните им нужди и местния потенциал за развитие;</w:t>
      </w:r>
    </w:p>
    <w:p w:rsidR="00426FE9" w:rsidRDefault="00D0590D">
      <w:pPr>
        <w:numPr>
          <w:ilvl w:val="0"/>
          <w:numId w:val="12"/>
        </w:numPr>
        <w:tabs>
          <w:tab w:val="left" w:pos="851"/>
        </w:tabs>
        <w:spacing w:after="0" w:line="240" w:lineRule="auto"/>
        <w:ind w:left="0" w:firstLine="567"/>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lastRenderedPageBreak/>
        <w:t>насърчаване на регионалното и местно развитие и подобряване съгласуваността на политиката за регионално развитие с другите структуроопределящи политики.</w:t>
      </w:r>
    </w:p>
    <w:p w:rsidR="00426FE9" w:rsidRDefault="00D0590D">
      <w:pPr>
        <w:keepNext/>
        <w:tabs>
          <w:tab w:val="left" w:pos="709"/>
          <w:tab w:val="left" w:pos="1134"/>
        </w:tabs>
        <w:spacing w:after="0" w:line="240" w:lineRule="auto"/>
        <w:ind w:firstLine="567"/>
        <w:jc w:val="both"/>
        <w:outlineLvl w:val="0"/>
        <w:rPr>
          <w:rFonts w:ascii="Times New Roman" w:eastAsia="Times New Roman" w:hAnsi="Times New Roman" w:cs="Times New Roman"/>
          <w:lang w:eastAsia="bg-BG"/>
        </w:rPr>
      </w:pPr>
      <w:r>
        <w:rPr>
          <w:rFonts w:ascii="Times New Roman" w:eastAsia="Times New Roman" w:hAnsi="Times New Roman" w:cs="Times New Roman"/>
          <w:b/>
          <w:bCs/>
          <w:i/>
          <w:iCs/>
          <w:lang w:eastAsia="bg-BG"/>
        </w:rPr>
        <w:t>Министърът, чрез Дирекция „Управление на териториалното сътрудничество“,</w:t>
      </w:r>
      <w:r>
        <w:rPr>
          <w:rFonts w:ascii="Times New Roman" w:eastAsia="Times New Roman" w:hAnsi="Times New Roman" w:cs="Times New Roman"/>
          <w:lang w:eastAsia="bg-BG"/>
        </w:rPr>
        <w:t xml:space="preserve"> провежда политиката като се стреми към:</w:t>
      </w:r>
    </w:p>
    <w:p w:rsidR="00426FE9" w:rsidRDefault="00D0590D">
      <w:pPr>
        <w:numPr>
          <w:ilvl w:val="0"/>
          <w:numId w:val="12"/>
        </w:numPr>
        <w:tabs>
          <w:tab w:val="left" w:pos="851"/>
        </w:tabs>
        <w:spacing w:after="0" w:line="240" w:lineRule="auto"/>
        <w:ind w:left="0" w:firstLine="567"/>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Устойчиво развитие на трансграничните региони в подкрепа на усилията за разширено европейско сътрудничество и интеграция;</w:t>
      </w:r>
    </w:p>
    <w:p w:rsidR="00426FE9" w:rsidRDefault="00D0590D">
      <w:pPr>
        <w:numPr>
          <w:ilvl w:val="0"/>
          <w:numId w:val="12"/>
        </w:numPr>
        <w:tabs>
          <w:tab w:val="left" w:pos="851"/>
        </w:tabs>
        <w:spacing w:after="0" w:line="240" w:lineRule="auto"/>
        <w:ind w:left="0" w:firstLine="567"/>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Организиране и координация на цялостния процес при изпълнението на проектите и програмите по европейско териториално сътрудничество (вкл. програмиране, наблюдение, контрол, оценка на риска, оценка на програмите, финансово управление и др.);</w:t>
      </w:r>
    </w:p>
    <w:p w:rsidR="00426FE9" w:rsidRDefault="00D0590D">
      <w:pPr>
        <w:numPr>
          <w:ilvl w:val="0"/>
          <w:numId w:val="12"/>
        </w:numPr>
        <w:tabs>
          <w:tab w:val="left" w:pos="851"/>
        </w:tabs>
        <w:spacing w:after="0" w:line="240" w:lineRule="auto"/>
        <w:ind w:left="0" w:firstLine="567"/>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Укрепване на капацитета на структурите по програмите за европейско териториално сътрудничество, в които Република България участва.</w:t>
      </w:r>
    </w:p>
    <w:p w:rsidR="00426FE9" w:rsidRDefault="00D0590D">
      <w:pPr>
        <w:tabs>
          <w:tab w:val="left" w:pos="709"/>
          <w:tab w:val="left" w:pos="851"/>
        </w:tabs>
        <w:spacing w:after="0" w:line="240" w:lineRule="auto"/>
        <w:ind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 xml:space="preserve">Политиката се усъвършенства чрез постигане на интегрирано устойчиво развитие на регионите в България на основата на балансирано </w:t>
      </w:r>
      <w:r>
        <w:rPr>
          <w:rFonts w:ascii="Times New Roman" w:eastAsia="Times New Roman" w:hAnsi="Times New Roman"/>
          <w:b/>
          <w:i/>
          <w:color w:val="000000" w:themeColor="text1"/>
          <w:lang w:eastAsia="bg-BG"/>
        </w:rPr>
        <w:t>административно-териториално устройство, ефективна децентрализация на държавното управление, подкрепа и усъвършенстване на местното самоуправление</w:t>
      </w:r>
      <w:r>
        <w:rPr>
          <w:rFonts w:ascii="Times New Roman" w:eastAsia="Times New Roman" w:hAnsi="Times New Roman"/>
          <w:color w:val="000000" w:themeColor="text1"/>
          <w:lang w:eastAsia="bg-BG"/>
        </w:rPr>
        <w:t xml:space="preserve"> и насърчаване на доброто демократично управление в контекста на европейските принципи и стандарти за качество.</w:t>
      </w:r>
    </w:p>
    <w:p w:rsidR="00426FE9" w:rsidRDefault="00D0590D">
      <w:pPr>
        <w:spacing w:after="0" w:line="240" w:lineRule="auto"/>
        <w:ind w:firstLine="567"/>
        <w:jc w:val="both"/>
        <w:rPr>
          <w:rFonts w:ascii="Times New Roman" w:eastAsia="Calibri" w:hAnsi="Times New Roman" w:cs="Times New Roman"/>
        </w:rPr>
      </w:pPr>
      <w:r>
        <w:rPr>
          <w:rFonts w:ascii="Times New Roman" w:eastAsia="Calibri" w:hAnsi="Times New Roman" w:cs="Times New Roman"/>
        </w:rPr>
        <w:t>По отношение на дейността, свързана с</w:t>
      </w:r>
      <w:r>
        <w:rPr>
          <w:rFonts w:ascii="Times New Roman" w:eastAsia="Calibri" w:hAnsi="Times New Roman" w:cs="Times New Roman"/>
          <w:b/>
          <w:i/>
        </w:rPr>
        <w:t xml:space="preserve"> обновяване на жилищния сграден фонд,</w:t>
      </w:r>
      <w:r>
        <w:rPr>
          <w:rFonts w:ascii="Times New Roman" w:eastAsia="Calibri" w:hAnsi="Times New Roman" w:cs="Times New Roman"/>
        </w:rPr>
        <w:t xml:space="preserve"> с</w:t>
      </w:r>
      <w:r>
        <w:rPr>
          <w:rFonts w:ascii="Times New Roman" w:eastAsia="Times New Roman" w:hAnsi="Times New Roman" w:cs="Times New Roman"/>
          <w:sz w:val="24"/>
          <w:szCs w:val="24"/>
          <w:lang w:eastAsia="bg-BG"/>
        </w:rPr>
        <w:t xml:space="preserve">тремежът е към </w:t>
      </w:r>
      <w:r>
        <w:rPr>
          <w:rFonts w:ascii="Times New Roman" w:eastAsia="Calibri" w:hAnsi="Times New Roman" w:cs="Times New Roman"/>
        </w:rPr>
        <w:t>създаване на балансирана, съразмерно развиваща се и устойчива жилищна система чрез осигуряване на условия за достъп до качествени жилища (собствени или наемни), които да задоволяват нуждите на българските граждани.</w:t>
      </w:r>
    </w:p>
    <w:p w:rsidR="00426FE9" w:rsidRDefault="00D0590D">
      <w:pPr>
        <w:spacing w:after="0" w:line="240" w:lineRule="auto"/>
        <w:ind w:firstLine="567"/>
        <w:jc w:val="both"/>
        <w:rPr>
          <w:rFonts w:ascii="Times New Roman" w:hAnsi="Times New Roman" w:cs="Times New Roman"/>
          <w:b/>
          <w:i/>
          <w:color w:val="0000CC"/>
          <w:lang w:val="en-US"/>
        </w:rPr>
      </w:pPr>
      <w:r>
        <w:rPr>
          <w:rFonts w:ascii="Times New Roman" w:hAnsi="Times New Roman" w:cs="Times New Roman"/>
          <w:b/>
          <w:i/>
          <w:color w:val="0000CC"/>
        </w:rPr>
        <w:t>Стратегически цели</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Създаване на условия за постигане на устойчиво интегрирано развитие на регионите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Икономическо сближаване в европейски, национален и вътрешнорегионален план, чрез развитие на собствения потенциал на регионите и опазване на околната среда;</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Балансирано териториално развитие, чрез укрепване на мрежата от градове-центрове, подобряване свързаността в регионите и качеството на средата в населените места;</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Предоставяне на възможност на регионите и хората да се справят със социалните, икономическите и екологичните последици от прехода към целите на Съюза за 2030 в областта на енергетиката и климата и към неутрална по отношение на климата икономика на Съюза до 2050 въз основа на Парижкото споразумение.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Подпомагане на икономическото и социално развитие на трансграничните региони и намаляване на регионалните различия‚ посредством подобряване на инфраструктурата в граничните райони, опазване на околната среда, насърчаване на сътрудничество между регионите, устойчиво използване на природните и културните ресурси, насърчаване на съвместното трансгранично сътрудничество, разширяване на трансгранични икономически дейности, социалното предприемачество и здравна помощ;</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Развитие на транснационално и междурегионално сътрудничество в следните приоритети: иновации, околна среда, туризъм, достъпност и устойчиво градско развитие;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hAnsi="Times New Roman" w:cs="Times New Roman"/>
        </w:rPr>
        <w:t>Създаване на съвременна нормативна база, подобрена междуинституционална координация и сътрудничество със заинтересованите страни, както и привличане на повече ресурси за реформиране и модернизиране на досегашните стандарти и политики в областта на административното деление и териториалното управление, децентрализацията и развитието на местното самоуправление и местната демокрация;</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Обновяване на многофамилни жилищни сгради чрез изпълнение на мерки за енергийна ефективност за осигуряване на по-добри условия на живот и по-високо качество на жизнената среда.</w:t>
      </w:r>
    </w:p>
    <w:p w:rsidR="00426FE9" w:rsidRDefault="00D0590D" w:rsidP="00E26CDF">
      <w:pPr>
        <w:numPr>
          <w:ilvl w:val="0"/>
          <w:numId w:val="13"/>
        </w:numPr>
        <w:tabs>
          <w:tab w:val="clear" w:pos="720"/>
          <w:tab w:val="left" w:pos="851"/>
        </w:tabs>
        <w:spacing w:after="0" w:line="240" w:lineRule="auto"/>
        <w:ind w:left="0" w:firstLine="567"/>
        <w:contextualSpacing/>
        <w:jc w:val="both"/>
        <w:rPr>
          <w:rFonts w:ascii="Times New Roman" w:eastAsia="Times New Roman" w:hAnsi="Times New Roman" w:cs="Times New Roman"/>
          <w:color w:val="000000" w:themeColor="text1"/>
          <w:lang w:eastAsia="bg-BG"/>
        </w:rPr>
      </w:pPr>
      <w:r>
        <w:rPr>
          <w:rFonts w:ascii="Times New Roman" w:eastAsia="Times New Roman" w:hAnsi="Times New Roman" w:cs="Times New Roman"/>
          <w:color w:val="000000" w:themeColor="text1"/>
          <w:lang w:eastAsia="bg-BG"/>
        </w:rPr>
        <w:t>Разработване на нов работещ модел на българската жилищна система, в който да бъде намерено трайно решение на основните ѝ проблеми.</w:t>
      </w:r>
    </w:p>
    <w:p w:rsidR="00E26CDF" w:rsidRPr="00E26CDF" w:rsidRDefault="00E26CDF" w:rsidP="00E26CDF">
      <w:pPr>
        <w:pStyle w:val="ListParagraph"/>
        <w:numPr>
          <w:ilvl w:val="0"/>
          <w:numId w:val="13"/>
        </w:numPr>
        <w:tabs>
          <w:tab w:val="clear" w:pos="720"/>
          <w:tab w:val="left" w:pos="851"/>
        </w:tabs>
        <w:spacing w:after="0"/>
        <w:ind w:left="0" w:firstLine="567"/>
        <w:rPr>
          <w:rFonts w:ascii="Times New Roman" w:eastAsia="Times New Roman" w:hAnsi="Times New Roman"/>
          <w:color w:val="000000" w:themeColor="text1"/>
          <w:lang w:eastAsia="bg-BG"/>
        </w:rPr>
      </w:pPr>
      <w:r w:rsidRPr="00E26CDF">
        <w:rPr>
          <w:rFonts w:ascii="Times New Roman" w:eastAsia="Times New Roman" w:hAnsi="Times New Roman"/>
          <w:color w:val="000000" w:themeColor="text1"/>
          <w:lang w:eastAsia="bg-BG"/>
        </w:rPr>
        <w:t>Oсигуряване на необходимата информация и прозрачност, относно упра</w:t>
      </w:r>
      <w:r>
        <w:rPr>
          <w:rFonts w:ascii="Times New Roman" w:eastAsia="Times New Roman" w:hAnsi="Times New Roman"/>
          <w:color w:val="000000" w:themeColor="text1"/>
          <w:lang w:eastAsia="bg-BG"/>
        </w:rPr>
        <w:t>влението на етажната собственост.</w:t>
      </w:r>
    </w:p>
    <w:p w:rsidR="00426FE9" w:rsidRDefault="00D0590D" w:rsidP="00E26CDF">
      <w:pPr>
        <w:tabs>
          <w:tab w:val="left" w:pos="851"/>
        </w:tabs>
        <w:spacing w:after="0" w:line="240" w:lineRule="auto"/>
        <w:ind w:firstLine="567"/>
        <w:jc w:val="both"/>
        <w:rPr>
          <w:rFonts w:ascii="Times New Roman" w:hAnsi="Times New Roman" w:cs="Times New Roman"/>
          <w:b/>
          <w:i/>
          <w:color w:val="0000CC"/>
          <w:lang w:val="en-US"/>
        </w:rPr>
      </w:pPr>
      <w:r>
        <w:rPr>
          <w:rFonts w:ascii="Times New Roman" w:hAnsi="Times New Roman" w:cs="Times New Roman"/>
          <w:b/>
          <w:i/>
          <w:color w:val="0000CC"/>
        </w:rPr>
        <w:t>Оперативни цели</w:t>
      </w:r>
    </w:p>
    <w:p w:rsidR="00426FE9" w:rsidRDefault="00D0590D" w:rsidP="00E26CDF">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lastRenderedPageBreak/>
        <w:t>Създаване на стратегическа планова и нормативна база за намаляване на междурегионалните и вътрешнорегионалните различия в нивата на икономическо, социално и териториално развитие на районите и доближаване до средните нива в ЕС;</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Повишаване качеството на живот с оглед преодоляване на отрицателните демографски тенденции и използване потенциала на градовете за балансирано развитие на цялата територия на страната;</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Повишаване на качеството на живот, социално включване, и подобряване на  екологичната среда, чрез благоустрояване на физическата среда в градовете;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Ефективно управление и изпълнение на</w:t>
      </w:r>
      <w:r w:rsidR="00F453C0">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lang w:val="en-US"/>
        </w:rPr>
        <w:t>Програма „Развитие на регионите“ 2021-2027 г. в подкрепа на поставените стратегически цели за реализация на държавната политика за регионално развитие;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Укрепване на сътрудничеството и комуникацията с партньорите от ЕС и с другите заинтересовани страни, гарантиране на прозрачност в работата и преодоляване на корупционните практики;</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Подкрепа на въглищните региони за плавен преход към неутрална по отношение на климата икономика чрез инвестиции във ВЕИ, внедряване на технологии в системи и инфраструктури за чиста енергия, съхранение на енергия, повишаване на квалификацията и уменията на работната сила, диверсификация на регионалната икономика и др.;</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Приключване на програмите от програмен период 2014-2020;</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Създаване на подходящи механизми за договаряне на средствата по програмите за ЕТС 2021-2027 без риск за бюджета и с оглед усвояване в максимална степен на предоставените средства;</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Разработване на системите за управление и контрол на програмите за ЕТС за периода 2021-2027 и подобряване на административния капацитет за тяхното управление;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Разработване на опростени административни процедури за изпълнението на проектите с цел ускоряване процеса по усвояване на средства и намаляване на административната тежест за бенефициентите;</w:t>
      </w:r>
    </w:p>
    <w:p w:rsidR="00426FE9" w:rsidRDefault="00D0590D">
      <w:pPr>
        <w:numPr>
          <w:ilvl w:val="0"/>
          <w:numId w:val="13"/>
        </w:numPr>
        <w:tabs>
          <w:tab w:val="clear" w:pos="720"/>
          <w:tab w:val="left" w:pos="851"/>
        </w:tabs>
        <w:spacing w:after="0" w:line="240" w:lineRule="auto"/>
        <w:ind w:left="0" w:firstLine="567"/>
        <w:contextualSpacing/>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Усъвършенстване на информационните системи за наблюдение и контрол, въвеждане и управление на електронното отчитане на проектите;</w:t>
      </w:r>
    </w:p>
    <w:p w:rsidR="00426FE9" w:rsidRDefault="00D0590D">
      <w:pPr>
        <w:numPr>
          <w:ilvl w:val="0"/>
          <w:numId w:val="13"/>
        </w:numPr>
        <w:tabs>
          <w:tab w:val="clear" w:pos="720"/>
          <w:tab w:val="left" w:pos="851"/>
        </w:tabs>
        <w:spacing w:after="0" w:line="240" w:lineRule="auto"/>
        <w:ind w:left="0" w:firstLine="567"/>
        <w:jc w:val="both"/>
        <w:rPr>
          <w:rFonts w:ascii="Times New Roman" w:hAnsi="Times New Roman" w:cs="Times New Roman"/>
          <w:color w:val="000000"/>
        </w:rPr>
      </w:pPr>
      <w:r>
        <w:rPr>
          <w:rFonts w:ascii="Times New Roman" w:hAnsi="Times New Roman" w:cs="Times New Roman"/>
          <w:color w:val="000000"/>
        </w:rPr>
        <w:t>Усъвършенстване на дейността по административно-териториално устройство на страната и подпомагане развитието на устойчиви и жизнеспособни административно-териториални и териториалните  единици;</w:t>
      </w:r>
    </w:p>
    <w:p w:rsidR="00426FE9" w:rsidRDefault="00D0590D">
      <w:pPr>
        <w:numPr>
          <w:ilvl w:val="0"/>
          <w:numId w:val="13"/>
        </w:numPr>
        <w:tabs>
          <w:tab w:val="clear" w:pos="720"/>
          <w:tab w:val="left" w:pos="851"/>
        </w:tabs>
        <w:spacing w:after="0" w:line="240" w:lineRule="auto"/>
        <w:ind w:left="0" w:firstLine="567"/>
        <w:jc w:val="both"/>
        <w:rPr>
          <w:rFonts w:ascii="Times New Roman" w:hAnsi="Times New Roman" w:cs="Times New Roman"/>
          <w:color w:val="000000"/>
        </w:rPr>
      </w:pPr>
      <w:r>
        <w:rPr>
          <w:rFonts w:ascii="Times New Roman" w:hAnsi="Times New Roman" w:cs="Times New Roman"/>
          <w:color w:val="000000"/>
        </w:rPr>
        <w:t>Развитие на процеса на децентрализация на държавното управление и постигане на балансирано териториално управление;</w:t>
      </w:r>
    </w:p>
    <w:p w:rsidR="00426FE9" w:rsidRDefault="00D0590D">
      <w:pPr>
        <w:numPr>
          <w:ilvl w:val="0"/>
          <w:numId w:val="13"/>
        </w:numPr>
        <w:tabs>
          <w:tab w:val="clear" w:pos="720"/>
          <w:tab w:val="left" w:pos="851"/>
        </w:tabs>
        <w:spacing w:after="0" w:line="240" w:lineRule="auto"/>
        <w:ind w:left="0" w:firstLine="567"/>
        <w:jc w:val="both"/>
        <w:rPr>
          <w:rFonts w:ascii="Times New Roman" w:hAnsi="Times New Roman" w:cs="Times New Roman"/>
          <w:color w:val="000000"/>
        </w:rPr>
      </w:pPr>
      <w:r>
        <w:rPr>
          <w:rFonts w:ascii="Times New Roman" w:hAnsi="Times New Roman" w:cs="Times New Roman"/>
          <w:color w:val="000000"/>
        </w:rPr>
        <w:t>Укрепване на местното самоуправление и прилагане на европейските стандарти за доброто демократично управление на местно ниво;</w:t>
      </w:r>
    </w:p>
    <w:p w:rsidR="00426FE9" w:rsidRDefault="00D0590D">
      <w:pPr>
        <w:numPr>
          <w:ilvl w:val="0"/>
          <w:numId w:val="13"/>
        </w:numPr>
        <w:tabs>
          <w:tab w:val="clear" w:pos="720"/>
          <w:tab w:val="left" w:pos="851"/>
        </w:tabs>
        <w:spacing w:after="0" w:line="240" w:lineRule="auto"/>
        <w:ind w:left="0" w:firstLine="567"/>
        <w:jc w:val="both"/>
        <w:rPr>
          <w:rFonts w:ascii="Times New Roman" w:hAnsi="Times New Roman" w:cs="Times New Roman"/>
          <w:color w:val="000000"/>
        </w:rPr>
      </w:pPr>
      <w:r>
        <w:rPr>
          <w:rFonts w:ascii="Times New Roman" w:hAnsi="Times New Roman" w:cs="Times New Roman"/>
          <w:color w:val="000000"/>
        </w:rPr>
        <w:t>Управление държавната собственост и търговските дружества от системата на МРРБ;</w:t>
      </w:r>
    </w:p>
    <w:p w:rsidR="00426FE9" w:rsidRDefault="00D0590D">
      <w:pPr>
        <w:pStyle w:val="ListParagraph"/>
        <w:numPr>
          <w:ilvl w:val="0"/>
          <w:numId w:val="13"/>
        </w:numPr>
        <w:tabs>
          <w:tab w:val="clear" w:pos="720"/>
          <w:tab w:val="left" w:pos="851"/>
        </w:tabs>
        <w:spacing w:after="0" w:line="240" w:lineRule="auto"/>
        <w:ind w:left="0" w:firstLine="567"/>
        <w:jc w:val="both"/>
        <w:rPr>
          <w:rFonts w:ascii="Times New Roman" w:hAnsi="Times New Roman"/>
          <w:color w:val="000000"/>
        </w:rPr>
      </w:pPr>
      <w:r>
        <w:rPr>
          <w:rFonts w:ascii="Times New Roman" w:hAnsi="Times New Roman"/>
          <w:color w:val="000000"/>
        </w:rPr>
        <w:t>Осигуряване на повишени експлоатационни качества на жилищата и комфорт на обитаване, повишаване на енергийната ефективност на жилищните сгради, намаляване на емисиите на парникови газове (СО2 и еквивалентни), икономия на потребление на енергия в обновените жилищни сгради;</w:t>
      </w:r>
    </w:p>
    <w:p w:rsidR="00426FE9" w:rsidRDefault="00D0590D">
      <w:pPr>
        <w:pStyle w:val="ListParagraph"/>
        <w:tabs>
          <w:tab w:val="left" w:pos="851"/>
        </w:tabs>
        <w:spacing w:after="0" w:line="240" w:lineRule="auto"/>
        <w:ind w:left="0" w:firstLine="567"/>
        <w:jc w:val="both"/>
        <w:rPr>
          <w:rFonts w:ascii="Times New Roman" w:hAnsi="Times New Roman"/>
          <w:color w:val="000000"/>
        </w:rPr>
      </w:pPr>
      <w:r>
        <w:rPr>
          <w:rFonts w:ascii="Times New Roman" w:hAnsi="Times New Roman"/>
          <w:color w:val="000000"/>
        </w:rPr>
        <w:t>Въз основа на подготвени от страна на Дирекция „Държавна собственост и търговски дружества“ доклади от министъра на регионалното развитие относно проекти на Решения на Министерския съвет, касаещи имотите – държавна собственост, и приемането им от МС се осъществява и постига:</w:t>
      </w:r>
    </w:p>
    <w:p w:rsidR="00426FE9" w:rsidRDefault="00D0590D">
      <w:pPr>
        <w:pStyle w:val="ListParagraph"/>
        <w:numPr>
          <w:ilvl w:val="0"/>
          <w:numId w:val="13"/>
        </w:numPr>
        <w:tabs>
          <w:tab w:val="clear" w:pos="720"/>
          <w:tab w:val="left" w:pos="851"/>
        </w:tabs>
        <w:spacing w:after="0" w:line="240" w:lineRule="auto"/>
        <w:ind w:left="0" w:firstLine="567"/>
        <w:jc w:val="both"/>
        <w:rPr>
          <w:rFonts w:ascii="Times New Roman" w:hAnsi="Times New Roman"/>
          <w:color w:val="000000"/>
        </w:rPr>
      </w:pPr>
      <w:r>
        <w:rPr>
          <w:rFonts w:ascii="Times New Roman" w:hAnsi="Times New Roman"/>
          <w:color w:val="000000"/>
        </w:rPr>
        <w:t>Трайно задоволяване на обществени нужди от местно значение и реализиране на отделни проекти с обществена значимост;</w:t>
      </w:r>
    </w:p>
    <w:p w:rsidR="00426FE9" w:rsidRDefault="00D0590D">
      <w:pPr>
        <w:pStyle w:val="ListParagraph"/>
        <w:numPr>
          <w:ilvl w:val="0"/>
          <w:numId w:val="13"/>
        </w:numPr>
        <w:tabs>
          <w:tab w:val="clear" w:pos="720"/>
          <w:tab w:val="left" w:pos="851"/>
        </w:tabs>
        <w:spacing w:after="0" w:line="240" w:lineRule="auto"/>
        <w:ind w:left="0" w:firstLine="567"/>
        <w:jc w:val="both"/>
        <w:rPr>
          <w:rFonts w:ascii="Times New Roman" w:hAnsi="Times New Roman"/>
          <w:color w:val="000000"/>
        </w:rPr>
      </w:pPr>
      <w:r>
        <w:rPr>
          <w:rFonts w:ascii="Times New Roman" w:hAnsi="Times New Roman"/>
          <w:color w:val="000000"/>
        </w:rPr>
        <w:t>Задоволяване административните нужди на различни ведомства и организации на бюджетна издръжка;</w:t>
      </w:r>
    </w:p>
    <w:p w:rsidR="00426FE9" w:rsidRDefault="00D0590D">
      <w:pPr>
        <w:pStyle w:val="ListParagraph"/>
        <w:numPr>
          <w:ilvl w:val="0"/>
          <w:numId w:val="13"/>
        </w:numPr>
        <w:tabs>
          <w:tab w:val="clear" w:pos="720"/>
          <w:tab w:val="left" w:pos="851"/>
        </w:tabs>
        <w:spacing w:after="0" w:line="240" w:lineRule="auto"/>
        <w:ind w:left="0" w:firstLine="567"/>
        <w:jc w:val="both"/>
        <w:rPr>
          <w:rFonts w:ascii="Times New Roman" w:hAnsi="Times New Roman"/>
          <w:color w:val="000000"/>
        </w:rPr>
      </w:pPr>
      <w:r>
        <w:rPr>
          <w:rFonts w:ascii="Times New Roman" w:hAnsi="Times New Roman"/>
          <w:color w:val="000000"/>
        </w:rPr>
        <w:t>Изграждането на обектите на транспортната инфраструктура, което е  пряко свързано с осигуряването на съвременни модерни експлоатационни условия и подобряване стандарта на транспортното обслужване на вътрешния и международния трафик, и подобряване безопасността и сигурността на движението;</w:t>
      </w:r>
    </w:p>
    <w:p w:rsidR="00426FE9" w:rsidRDefault="00D0590D">
      <w:pPr>
        <w:pStyle w:val="ListParagraph"/>
        <w:tabs>
          <w:tab w:val="left" w:pos="851"/>
        </w:tabs>
        <w:spacing w:after="0" w:line="240" w:lineRule="auto"/>
        <w:ind w:left="0" w:firstLine="567"/>
        <w:jc w:val="both"/>
        <w:rPr>
          <w:rFonts w:ascii="Times New Roman" w:hAnsi="Times New Roman"/>
          <w:color w:val="000000"/>
        </w:rPr>
      </w:pPr>
      <w:r>
        <w:rPr>
          <w:rFonts w:ascii="Times New Roman" w:hAnsi="Times New Roman"/>
          <w:color w:val="000000"/>
        </w:rPr>
        <w:t>Въз основа на упражняване на правомощията и компетенциите на министъра на регионалното развитие и благоустройството в качеството му на представител на държавата, като собственик на акции и дялове в публичните предприятия с над 50 на сто държавно участие от системата на МРРБ се обезпечават:</w:t>
      </w:r>
    </w:p>
    <w:p w:rsidR="00426FE9" w:rsidRDefault="00D0590D">
      <w:pPr>
        <w:pStyle w:val="ListParagraph"/>
        <w:numPr>
          <w:ilvl w:val="0"/>
          <w:numId w:val="14"/>
        </w:numPr>
        <w:spacing w:after="0" w:line="240" w:lineRule="auto"/>
        <w:ind w:left="0" w:firstLine="567"/>
        <w:jc w:val="both"/>
        <w:rPr>
          <w:rFonts w:ascii="Times New Roman" w:hAnsi="Times New Roman"/>
          <w:color w:val="000000"/>
        </w:rPr>
      </w:pPr>
      <w:r>
        <w:rPr>
          <w:rFonts w:ascii="Times New Roman" w:hAnsi="Times New Roman"/>
          <w:color w:val="000000"/>
        </w:rPr>
        <w:t>Благоприятни условия и възможност за ефективно и ефикасно управление и функциониране на публичните предприятия;</w:t>
      </w:r>
    </w:p>
    <w:p w:rsidR="00426FE9" w:rsidRDefault="00D0590D">
      <w:pPr>
        <w:pStyle w:val="ListParagraph"/>
        <w:numPr>
          <w:ilvl w:val="0"/>
          <w:numId w:val="14"/>
        </w:numPr>
        <w:spacing w:after="0" w:line="240" w:lineRule="auto"/>
        <w:ind w:left="0" w:firstLine="567"/>
        <w:jc w:val="both"/>
        <w:rPr>
          <w:rFonts w:ascii="Times New Roman" w:hAnsi="Times New Roman"/>
          <w:color w:val="000000"/>
        </w:rPr>
      </w:pPr>
      <w:r>
        <w:rPr>
          <w:rFonts w:ascii="Times New Roman" w:hAnsi="Times New Roman"/>
          <w:color w:val="000000"/>
        </w:rPr>
        <w:lastRenderedPageBreak/>
        <w:t>Максимизиране на ползите за обществото, чрез предоставяне на качествени стоки и услуги, обект на висок обществен интерес, поддържане и следене за осигуряване на планираните приходи от дивиденти в полза на държавата, както и прилагане на мерки за максимално усвояване от предприятията на безвъзмездния финансов ресурс, предоставян чрез Структурните фондове и програми на Европейския съюз.</w:t>
      </w:r>
    </w:p>
    <w:p w:rsidR="00426FE9" w:rsidRDefault="00D0590D">
      <w:pPr>
        <w:tabs>
          <w:tab w:val="left" w:pos="851"/>
        </w:tabs>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Полза/ефект за обществото</w:t>
      </w:r>
    </w:p>
    <w:p w:rsidR="00426FE9" w:rsidRDefault="00D0590D">
      <w:pPr>
        <w:numPr>
          <w:ilvl w:val="0"/>
          <w:numId w:val="15"/>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Подобряване качеството на живот в районите и общините в страната при осигуряване по-висока добавена стойност на инвестициите за регионално и местно развитие;</w:t>
      </w:r>
    </w:p>
    <w:p w:rsidR="00426FE9" w:rsidRDefault="00D0590D">
      <w:pPr>
        <w:numPr>
          <w:ilvl w:val="0"/>
          <w:numId w:val="15"/>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Постигане на сближаване на нивата на икономическо и социално развитие на българските региони и на страната като цяло с нивата в рамките на ЕС;</w:t>
      </w:r>
    </w:p>
    <w:p w:rsidR="00426FE9" w:rsidRDefault="00D0590D">
      <w:pPr>
        <w:numPr>
          <w:ilvl w:val="0"/>
          <w:numId w:val="15"/>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Намаляване на вътрешнорегионалните различия, чрез подпомагане на изоставащите в развитието си райони;</w:t>
      </w:r>
    </w:p>
    <w:p w:rsidR="00426FE9" w:rsidRDefault="00D0590D">
      <w:pPr>
        <w:numPr>
          <w:ilvl w:val="0"/>
          <w:numId w:val="15"/>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Повишаване ефективността на политиката за регионално развитие на основата на системен мониторинг и оценка на изпълнението на стратегическите документи;</w:t>
      </w:r>
    </w:p>
    <w:p w:rsidR="00426FE9" w:rsidRDefault="00D0590D">
      <w:pPr>
        <w:numPr>
          <w:ilvl w:val="0"/>
          <w:numId w:val="16"/>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Развитие и модернизация на инфраструктурата, създаваща условия за растеж и заетост;</w:t>
      </w:r>
    </w:p>
    <w:p w:rsidR="00426FE9" w:rsidRDefault="00D0590D">
      <w:pPr>
        <w:numPr>
          <w:ilvl w:val="0"/>
          <w:numId w:val="16"/>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Стимулиране на вътрешното сближаване в рамките на градските ареали, с което се цели подобряване на положението в областите (с действия, свързани с рехабилитацията на физическата среда);</w:t>
      </w:r>
    </w:p>
    <w:p w:rsidR="00426FE9" w:rsidRDefault="00D0590D">
      <w:pPr>
        <w:numPr>
          <w:ilvl w:val="0"/>
          <w:numId w:val="16"/>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Осигуряване на равни възможности за икономическо развитие, ефективно използване на местния потенциал за развитие и достъп до икономически ресурси, по-висок жизнен стандарт и благоприятни условия за живот във всички райони за планиране, противодействие на специфичните проблемни ситуации в районите за целенасочено въздействие и като цяло доближаване до стандартите на развитие с регионите на ЕС;</w:t>
      </w:r>
    </w:p>
    <w:p w:rsidR="00426FE9" w:rsidRDefault="00D0590D">
      <w:pPr>
        <w:numPr>
          <w:ilvl w:val="0"/>
          <w:numId w:val="16"/>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Повишена осведоменост, относно устойчивото използване на природните ресурси</w:t>
      </w:r>
      <w:r>
        <w:rPr>
          <w:rFonts w:ascii="Times New Roman" w:eastAsia="TTA2036468t00" w:hAnsi="Times New Roman" w:cs="Times New Roman"/>
          <w:b/>
          <w:bCs/>
          <w:lang w:eastAsia="bg-BG"/>
        </w:rPr>
        <w:t xml:space="preserve">, </w:t>
      </w:r>
      <w:r>
        <w:rPr>
          <w:rFonts w:ascii="Times New Roman" w:eastAsia="TTA2036468t00" w:hAnsi="Times New Roman" w:cs="Times New Roman"/>
          <w:bCs/>
          <w:lang w:eastAsia="bg-BG"/>
        </w:rPr>
        <w:t>намаляване на замърсяването в регионите, като се финансират проекти на общини, публични организации и институции, свързани с използването на природните ресурси, опазването на околната среда, намаляване на замърсяването, защита при бедствия и аварии;</w:t>
      </w:r>
    </w:p>
    <w:p w:rsidR="00426FE9" w:rsidRDefault="00D0590D">
      <w:pPr>
        <w:numPr>
          <w:ilvl w:val="0"/>
          <w:numId w:val="15"/>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Икономия на потребление на енергия в обновените жилищни сгради;</w:t>
      </w:r>
    </w:p>
    <w:p w:rsidR="00426FE9" w:rsidRDefault="00D0590D">
      <w:pPr>
        <w:numPr>
          <w:ilvl w:val="0"/>
          <w:numId w:val="15"/>
        </w:numPr>
        <w:tabs>
          <w:tab w:val="left" w:pos="851"/>
        </w:tabs>
        <w:spacing w:after="0" w:line="240" w:lineRule="auto"/>
        <w:ind w:left="0" w:firstLine="567"/>
        <w:jc w:val="both"/>
        <w:rPr>
          <w:rFonts w:ascii="Times New Roman" w:eastAsia="TTA2036468t00" w:hAnsi="Times New Roman" w:cs="Times New Roman"/>
          <w:bCs/>
          <w:lang w:eastAsia="bg-BG"/>
        </w:rPr>
      </w:pPr>
      <w:r>
        <w:rPr>
          <w:rFonts w:ascii="Times New Roman" w:eastAsia="TTA2036468t00" w:hAnsi="Times New Roman" w:cs="Times New Roman"/>
          <w:bCs/>
          <w:lang w:eastAsia="bg-BG"/>
        </w:rPr>
        <w:t>Подобряване на материалната база и техническото оборудване в детските градини, училищата и висшите учебни заведения.</w:t>
      </w:r>
    </w:p>
    <w:p w:rsidR="00426FE9" w:rsidRDefault="00D0590D">
      <w:pPr>
        <w:spacing w:after="0" w:line="240" w:lineRule="auto"/>
        <w:ind w:firstLine="567"/>
        <w:jc w:val="both"/>
        <w:rPr>
          <w:rFonts w:ascii="Times New Roman" w:hAnsi="Times New Roman" w:cs="Times New Roman"/>
          <w:bCs/>
          <w:iCs/>
        </w:rPr>
      </w:pPr>
      <w:r>
        <w:rPr>
          <w:rFonts w:ascii="Times New Roman" w:hAnsi="Times New Roman" w:cs="Times New Roman"/>
          <w:lang w:val="ru-RU"/>
        </w:rPr>
        <w:t>П</w:t>
      </w:r>
      <w:r>
        <w:rPr>
          <w:rFonts w:ascii="Times New Roman" w:hAnsi="Times New Roman" w:cs="Times New Roman"/>
        </w:rPr>
        <w:t>олзите/ефектите от провеждането на политиката включват с</w:t>
      </w:r>
      <w:r>
        <w:rPr>
          <w:rFonts w:ascii="Times New Roman" w:hAnsi="Times New Roman" w:cs="Times New Roman"/>
          <w:bCs/>
          <w:iCs/>
        </w:rPr>
        <w:t>ъздаване на условия за:</w:t>
      </w:r>
    </w:p>
    <w:p w:rsidR="00426FE9" w:rsidRDefault="00D0590D">
      <w:pPr>
        <w:pStyle w:val="ListParagraph"/>
        <w:numPr>
          <w:ilvl w:val="0"/>
          <w:numId w:val="16"/>
        </w:numPr>
        <w:tabs>
          <w:tab w:val="left" w:pos="851"/>
        </w:tabs>
        <w:spacing w:after="0" w:line="240" w:lineRule="auto"/>
        <w:ind w:left="0" w:firstLine="567"/>
        <w:jc w:val="both"/>
        <w:rPr>
          <w:rFonts w:ascii="Times New Roman" w:hAnsi="Times New Roman"/>
          <w:bCs/>
          <w:iCs/>
        </w:rPr>
      </w:pPr>
      <w:r>
        <w:rPr>
          <w:rFonts w:ascii="Times New Roman" w:hAnsi="Times New Roman"/>
          <w:bCs/>
          <w:iCs/>
        </w:rPr>
        <w:t>Устойчиво и балансирано социално-икономическо развитие на общините и населените места в страната;</w:t>
      </w:r>
    </w:p>
    <w:p w:rsidR="00426FE9" w:rsidRDefault="00D0590D">
      <w:pPr>
        <w:pStyle w:val="ListParagraph"/>
        <w:numPr>
          <w:ilvl w:val="0"/>
          <w:numId w:val="16"/>
        </w:numPr>
        <w:tabs>
          <w:tab w:val="left" w:pos="851"/>
        </w:tabs>
        <w:spacing w:after="0" w:line="240" w:lineRule="auto"/>
        <w:ind w:left="0" w:firstLine="567"/>
        <w:jc w:val="both"/>
        <w:rPr>
          <w:rFonts w:ascii="Times New Roman" w:hAnsi="Times New Roman"/>
          <w:bCs/>
          <w:iCs/>
        </w:rPr>
      </w:pPr>
      <w:r>
        <w:rPr>
          <w:rFonts w:ascii="Times New Roman" w:hAnsi="Times New Roman"/>
          <w:bCs/>
          <w:iCs/>
        </w:rPr>
        <w:t xml:space="preserve">Ефективно и ефикасно разпределение на правомощия и публични ресурси на всички териториални нива на управление; </w:t>
      </w:r>
    </w:p>
    <w:p w:rsidR="00426FE9" w:rsidRDefault="00D0590D">
      <w:pPr>
        <w:pStyle w:val="ListParagraph"/>
        <w:numPr>
          <w:ilvl w:val="0"/>
          <w:numId w:val="16"/>
        </w:numPr>
        <w:tabs>
          <w:tab w:val="left" w:pos="851"/>
        </w:tabs>
        <w:spacing w:after="0" w:line="240" w:lineRule="auto"/>
        <w:ind w:left="0" w:firstLine="567"/>
        <w:jc w:val="both"/>
        <w:rPr>
          <w:rFonts w:ascii="Times New Roman" w:hAnsi="Times New Roman"/>
          <w:bCs/>
          <w:iCs/>
        </w:rPr>
      </w:pPr>
      <w:r>
        <w:rPr>
          <w:rFonts w:ascii="Times New Roman" w:hAnsi="Times New Roman"/>
          <w:bCs/>
          <w:iCs/>
        </w:rPr>
        <w:t>Постигане на по-добро качество на управлението на местно ниво в интерес на местните общности и бизнеса;</w:t>
      </w:r>
    </w:p>
    <w:p w:rsidR="00426FE9" w:rsidRDefault="00D0590D">
      <w:pPr>
        <w:pStyle w:val="ListParagraph"/>
        <w:numPr>
          <w:ilvl w:val="0"/>
          <w:numId w:val="16"/>
        </w:numPr>
        <w:tabs>
          <w:tab w:val="left" w:pos="851"/>
        </w:tabs>
        <w:spacing w:after="0" w:line="240" w:lineRule="auto"/>
        <w:ind w:left="0" w:firstLine="567"/>
        <w:jc w:val="both"/>
        <w:rPr>
          <w:rFonts w:ascii="Times New Roman" w:hAnsi="Times New Roman"/>
          <w:bCs/>
          <w:iCs/>
        </w:rPr>
      </w:pPr>
      <w:r>
        <w:rPr>
          <w:rFonts w:ascii="Times New Roman" w:hAnsi="Times New Roman"/>
          <w:bCs/>
          <w:iCs/>
        </w:rPr>
        <w:t>Обновяване на многофамилни жилищни сгради, като с нея се цели чрез изпълнение на мерки за енергийна ефективност да се осигурят по-добри условия на живот за гражданите в многофамилни жилищни сгради, топлинен комфорт и по-високо качество на жизнената среда;</w:t>
      </w:r>
    </w:p>
    <w:p w:rsidR="00426FE9" w:rsidRDefault="00D0590D">
      <w:pPr>
        <w:pStyle w:val="ListParagraph"/>
        <w:tabs>
          <w:tab w:val="left" w:pos="851"/>
        </w:tabs>
        <w:spacing w:after="0" w:line="240" w:lineRule="auto"/>
        <w:ind w:left="0" w:firstLine="567"/>
        <w:jc w:val="both"/>
        <w:rPr>
          <w:rFonts w:ascii="Times New Roman" w:hAnsi="Times New Roman"/>
        </w:rPr>
      </w:pPr>
      <w:r>
        <w:rPr>
          <w:rFonts w:ascii="Times New Roman" w:hAnsi="Times New Roman"/>
        </w:rPr>
        <w:t>Според дейностите, които се изпълняват и резултатите, които се очаква да се постигнат са определени пет показателя за измерването и отчитането на изпълнението на програмите ИНТЕРРЕГ VI-A ИПП 2021-2027, по които дирекция УТС е Управляващ орган</w:t>
      </w:r>
      <w:r>
        <w:rPr>
          <w:rFonts w:ascii="Times New Roman" w:eastAsia="Times New Roman" w:hAnsi="Times New Roman"/>
          <w:bCs/>
          <w:iCs/>
          <w:lang w:eastAsia="bg-BG"/>
        </w:rPr>
        <w:t>:</w:t>
      </w:r>
    </w:p>
    <w:p w:rsidR="00426FE9" w:rsidRDefault="00D0590D">
      <w:pPr>
        <w:pStyle w:val="ListParagraph"/>
        <w:numPr>
          <w:ilvl w:val="0"/>
          <w:numId w:val="15"/>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lang w:eastAsia="bg-BG"/>
        </w:rPr>
        <w:t>Брой подкрепени културни обекти</w:t>
      </w:r>
      <w:r>
        <w:rPr>
          <w:rFonts w:ascii="Times New Roman" w:eastAsia="Times New Roman" w:hAnsi="Times New Roman"/>
          <w:bCs/>
          <w:iCs/>
          <w:lang w:eastAsia="bg-BG"/>
        </w:rPr>
        <w:t>;</w:t>
      </w:r>
    </w:p>
    <w:p w:rsidR="00426FE9" w:rsidRDefault="00D0590D">
      <w:pPr>
        <w:pStyle w:val="ListParagraph"/>
        <w:numPr>
          <w:ilvl w:val="0"/>
          <w:numId w:val="15"/>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lang w:eastAsia="bg-BG"/>
        </w:rPr>
        <w:t>Население, ползващо се от мерки за защита от пожари;</w:t>
      </w:r>
    </w:p>
    <w:p w:rsidR="00426FE9" w:rsidRDefault="00D0590D">
      <w:pPr>
        <w:pStyle w:val="ListParagraph"/>
        <w:numPr>
          <w:ilvl w:val="0"/>
          <w:numId w:val="15"/>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eastAsia="bg-BG"/>
        </w:rPr>
        <w:t>Подкрепена специализирана велосипедна инфраструктура;</w:t>
      </w:r>
    </w:p>
    <w:p w:rsidR="00426FE9" w:rsidRDefault="00D0590D">
      <w:pPr>
        <w:pStyle w:val="ListParagraph"/>
        <w:numPr>
          <w:ilvl w:val="0"/>
          <w:numId w:val="15"/>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eastAsia="bg-BG"/>
        </w:rPr>
        <w:t>Изграден гранично контролно пропускателен пункт (ГКПП);</w:t>
      </w:r>
    </w:p>
    <w:p w:rsidR="00426FE9" w:rsidRDefault="00D0590D">
      <w:pPr>
        <w:pStyle w:val="ListParagraph"/>
        <w:numPr>
          <w:ilvl w:val="0"/>
          <w:numId w:val="15"/>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eastAsia="bg-BG"/>
        </w:rPr>
        <w:t>Подкрепени с безвъзмездна финансова помощ малки и средни предприятия (МСП);</w:t>
      </w:r>
    </w:p>
    <w:p w:rsidR="00426FE9" w:rsidRDefault="00D0590D">
      <w:pPr>
        <w:pStyle w:val="ListParagraph"/>
        <w:tabs>
          <w:tab w:val="left" w:pos="851"/>
        </w:tabs>
        <w:spacing w:after="0" w:line="240" w:lineRule="auto"/>
        <w:ind w:left="567"/>
        <w:jc w:val="both"/>
        <w:rPr>
          <w:rFonts w:ascii="Times New Roman" w:eastAsia="Times New Roman" w:hAnsi="Times New Roman"/>
          <w:bCs/>
          <w:iCs/>
          <w:lang w:eastAsia="bg-BG"/>
        </w:rPr>
      </w:pPr>
      <w:r>
        <w:rPr>
          <w:rFonts w:ascii="Times New Roman" w:eastAsia="Times New Roman" w:hAnsi="Times New Roman"/>
          <w:bCs/>
          <w:iCs/>
          <w:lang w:eastAsia="bg-BG"/>
        </w:rPr>
        <w:t>Ползите/ефекти, свързани с държавната собственост и търговски дружества:</w:t>
      </w:r>
    </w:p>
    <w:p w:rsidR="00426FE9" w:rsidRDefault="00D0590D">
      <w:pPr>
        <w:pStyle w:val="ListParagraph"/>
        <w:numPr>
          <w:ilvl w:val="0"/>
          <w:numId w:val="17"/>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val="ru-RU" w:eastAsia="bg-BG"/>
        </w:rPr>
        <w:t xml:space="preserve">Осигуряване и поддържане на условия за по-добро управление на ТД с над 50% държавно участие от системата на МРРБ. Извършваните дейности по програмата се основават на разпоредбите на Търговския закон, Закона за публичните предприятия, Правилника за прилагане на Закона за публичните предприятия, приет с ПМС № 85 от 30.04.2020 г., Закона за водите, Закона за регулиране на водоснабдителните и канализационните услуги и др. законови и подзаконови нормативни актове регламентиращи дейността и </w:t>
      </w:r>
      <w:r>
        <w:rPr>
          <w:rFonts w:ascii="Times New Roman" w:eastAsia="Times New Roman" w:hAnsi="Times New Roman"/>
          <w:bCs/>
          <w:iCs/>
          <w:lang w:val="ru-RU" w:eastAsia="bg-BG"/>
        </w:rPr>
        <w:lastRenderedPageBreak/>
        <w:t>управлението на търговските дружества с над 50% държавно участие</w:t>
      </w:r>
      <w:r>
        <w:rPr>
          <w:rFonts w:ascii="Times New Roman" w:eastAsia="Times New Roman" w:hAnsi="Times New Roman"/>
          <w:bCs/>
          <w:iCs/>
          <w:lang w:val="en-US" w:eastAsia="bg-BG"/>
        </w:rPr>
        <w:t xml:space="preserve"> </w:t>
      </w:r>
      <w:r>
        <w:rPr>
          <w:rFonts w:ascii="Times New Roman" w:eastAsia="Times New Roman" w:hAnsi="Times New Roman"/>
          <w:bCs/>
          <w:iCs/>
          <w:lang w:eastAsia="bg-BG"/>
        </w:rPr>
        <w:t>и публичните предприятия от системата на МРРБ;</w:t>
      </w:r>
    </w:p>
    <w:p w:rsidR="00426FE9" w:rsidRDefault="00D0590D">
      <w:pPr>
        <w:pStyle w:val="ListParagraph"/>
        <w:numPr>
          <w:ilvl w:val="0"/>
          <w:numId w:val="17"/>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eastAsia="bg-BG"/>
        </w:rPr>
        <w:t>Подобряване на дейността – финансовата независимост и ликвидност на дружествата от отрасъл ВиК чрез осигуряване на финансиране и кредитиране от страна на „Български ВиК холдинг“ ЕАД, гр. София;</w:t>
      </w:r>
    </w:p>
    <w:p w:rsidR="00426FE9" w:rsidRDefault="00D0590D">
      <w:pPr>
        <w:pStyle w:val="ListParagraph"/>
        <w:numPr>
          <w:ilvl w:val="0"/>
          <w:numId w:val="17"/>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eastAsia="bg-BG"/>
        </w:rPr>
        <w:t>Създаване на възможности за самоиздръжка, конкурентоспособност и пазарно присъствие на дружествата с над 50% държавно участие;</w:t>
      </w:r>
    </w:p>
    <w:p w:rsidR="00426FE9" w:rsidRDefault="00D0590D">
      <w:pPr>
        <w:pStyle w:val="ListParagraph"/>
        <w:numPr>
          <w:ilvl w:val="0"/>
          <w:numId w:val="17"/>
        </w:numPr>
        <w:tabs>
          <w:tab w:val="left" w:pos="851"/>
        </w:tabs>
        <w:spacing w:after="0" w:line="240" w:lineRule="auto"/>
        <w:ind w:left="0" w:firstLine="567"/>
        <w:jc w:val="both"/>
        <w:rPr>
          <w:rFonts w:ascii="Times New Roman" w:eastAsia="Times New Roman" w:hAnsi="Times New Roman"/>
          <w:bCs/>
          <w:iCs/>
          <w:lang w:eastAsia="bg-BG"/>
        </w:rPr>
      </w:pPr>
      <w:r>
        <w:rPr>
          <w:rFonts w:ascii="Times New Roman" w:eastAsia="Times New Roman" w:hAnsi="Times New Roman"/>
          <w:bCs/>
          <w:iCs/>
          <w:lang w:eastAsia="bg-BG"/>
        </w:rPr>
        <w:t>Вземане на своевременни управленски решения от органите на управление на дружествата в интерес на обществото и предприятията, възможност за дългосрочно планиране развитието на фирмите и предоставяните от тях съгласно предмета на дейност услуги с необходимия обем и качество.</w:t>
      </w:r>
    </w:p>
    <w:p w:rsidR="00426FE9" w:rsidRDefault="00D0590D">
      <w:pPr>
        <w:pStyle w:val="ListParagraph"/>
        <w:tabs>
          <w:tab w:val="left" w:pos="851"/>
        </w:tabs>
        <w:spacing w:after="0" w:line="240" w:lineRule="auto"/>
        <w:ind w:left="567"/>
        <w:jc w:val="both"/>
        <w:rPr>
          <w:rFonts w:ascii="Times New Roman" w:eastAsia="Times New Roman" w:hAnsi="Times New Roman"/>
          <w:bCs/>
          <w:iCs/>
          <w:lang w:eastAsia="bg-BG"/>
        </w:rPr>
      </w:pPr>
      <w:r>
        <w:rPr>
          <w:rFonts w:ascii="Times New Roman" w:hAnsi="Times New Roman"/>
          <w:b/>
          <w:i/>
          <w:color w:val="0000CC"/>
        </w:rPr>
        <w:t>Взаимоотношения с други институции, допринасящи за изпълнение на политиката</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Европейска комисия;</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ИА „Одит на средствата от ЕС”;</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Управляващи органи и национални партниращи органи;</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Министерства;</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Областни администрации и общини;</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Сдружения на собствениците</w:t>
      </w:r>
      <w:r>
        <w:rPr>
          <w:rFonts w:ascii="Times New Roman" w:hAnsi="Times New Roman"/>
        </w:rPr>
        <w:t xml:space="preserve"> в етажната собственост на многофамилни жилищни сгради</w:t>
      </w:r>
      <w:r>
        <w:rPr>
          <w:rFonts w:ascii="Times New Roman" w:eastAsia="Times New Roman" w:hAnsi="Times New Roman"/>
          <w:color w:val="000000" w:themeColor="text1"/>
          <w:lang w:eastAsia="bg-BG"/>
        </w:rPr>
        <w:t>;</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Образователни и културни институции;</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Национален статистически институт;</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Неправителствени организации;</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Представители на големи предприятия, представители на малки и средни предприятия</w:t>
      </w:r>
      <w:r>
        <w:rPr>
          <w:rFonts w:ascii="Times New Roman" w:eastAsia="Times New Roman" w:hAnsi="Times New Roman"/>
          <w:color w:val="000000" w:themeColor="text1"/>
          <w:lang w:val="en-US" w:eastAsia="bg-BG"/>
        </w:rPr>
        <w:t>;</w:t>
      </w:r>
      <w:r>
        <w:rPr>
          <w:rFonts w:ascii="Times New Roman" w:eastAsia="Times New Roman" w:hAnsi="Times New Roman"/>
          <w:color w:val="000000" w:themeColor="text1"/>
          <w:lang w:eastAsia="bg-BG"/>
        </w:rPr>
        <w:t xml:space="preserve"> Национално сдружение на общините в Република България и др.;</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Българска банка за развитие;</w:t>
      </w:r>
    </w:p>
    <w:p w:rsidR="00426FE9" w:rsidRDefault="00D0590D">
      <w:pPr>
        <w:pStyle w:val="ListParagraph"/>
        <w:numPr>
          <w:ilvl w:val="0"/>
          <w:numId w:val="18"/>
        </w:numPr>
        <w:tabs>
          <w:tab w:val="left" w:pos="851"/>
        </w:tabs>
        <w:spacing w:after="0" w:line="240" w:lineRule="auto"/>
        <w:ind w:left="0" w:firstLine="567"/>
        <w:jc w:val="both"/>
        <w:rPr>
          <w:rFonts w:ascii="Times New Roman" w:eastAsia="Times New Roman" w:hAnsi="Times New Roman"/>
          <w:color w:val="000000" w:themeColor="text1"/>
          <w:lang w:eastAsia="bg-BG"/>
        </w:rPr>
      </w:pPr>
      <w:r>
        <w:rPr>
          <w:rFonts w:ascii="Times New Roman" w:eastAsia="Times New Roman" w:hAnsi="Times New Roman"/>
          <w:color w:val="000000" w:themeColor="text1"/>
          <w:lang w:eastAsia="bg-BG"/>
        </w:rPr>
        <w:t>Национално сдружение на общините в Република България и др.;</w:t>
      </w:r>
    </w:p>
    <w:p w:rsidR="00426FE9" w:rsidRDefault="00D0590D">
      <w:pPr>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Показатели за полза/ефект и целеви стойности</w:t>
      </w:r>
    </w:p>
    <w:tbl>
      <w:tblPr>
        <w:tblW w:w="10000" w:type="dxa"/>
        <w:tblInd w:w="55" w:type="dxa"/>
        <w:tblLayout w:type="fixed"/>
        <w:tblCellMar>
          <w:left w:w="70" w:type="dxa"/>
          <w:right w:w="70" w:type="dxa"/>
        </w:tblCellMar>
        <w:tblLook w:val="04A0" w:firstRow="1" w:lastRow="0" w:firstColumn="1" w:lastColumn="0" w:noHBand="0" w:noVBand="1"/>
      </w:tblPr>
      <w:tblGrid>
        <w:gridCol w:w="4756"/>
        <w:gridCol w:w="992"/>
        <w:gridCol w:w="992"/>
        <w:gridCol w:w="1134"/>
        <w:gridCol w:w="993"/>
        <w:gridCol w:w="1133"/>
      </w:tblGrid>
      <w:tr w:rsidR="00426FE9">
        <w:trPr>
          <w:trHeight w:val="420"/>
        </w:trPr>
        <w:tc>
          <w:tcPr>
            <w:tcW w:w="9999" w:type="dxa"/>
            <w:gridSpan w:val="6"/>
            <w:tcBorders>
              <w:top w:val="single" w:sz="8" w:space="0" w:color="000000"/>
              <w:left w:val="single" w:sz="8" w:space="0" w:color="000000"/>
              <w:bottom w:val="single" w:sz="4" w:space="0" w:color="000000"/>
              <w:right w:val="single" w:sz="8" w:space="0" w:color="000000"/>
            </w:tcBorders>
            <w:shd w:val="clear" w:color="auto" w:fill="FFCC99"/>
            <w:vAlign w:val="center"/>
          </w:tcPr>
          <w:p w:rsidR="00426FE9" w:rsidRDefault="00D0590D">
            <w:pPr>
              <w:spacing w:after="0" w:line="240" w:lineRule="auto"/>
              <w:jc w:val="center"/>
              <w:rPr>
                <w:rFonts w:ascii="Times New Roman" w:eastAsia="Times New Roman" w:hAnsi="Times New Roman" w:cs="Times New Roman"/>
                <w:b/>
                <w:bCs/>
                <w:sz w:val="16"/>
                <w:szCs w:val="16"/>
                <w:lang w:eastAsia="bg-BG"/>
              </w:rPr>
            </w:pPr>
            <w:r>
              <w:rPr>
                <w:rFonts w:ascii="Times New Roman" w:eastAsia="Times New Roman" w:hAnsi="Times New Roman" w:cs="Times New Roman"/>
                <w:b/>
                <w:bCs/>
                <w:sz w:val="16"/>
                <w:szCs w:val="16"/>
                <w:lang w:eastAsia="bg-BG"/>
              </w:rPr>
              <w:t>ПОКАЗАТЕЛИ ЗА ИЗПЪЛНЕНИЕ И ЦЕЛЕВИ СТОЙНОСТИ</w:t>
            </w:r>
          </w:p>
        </w:tc>
      </w:tr>
      <w:tr w:rsidR="00426FE9">
        <w:trPr>
          <w:trHeight w:val="255"/>
        </w:trPr>
        <w:tc>
          <w:tcPr>
            <w:tcW w:w="4755" w:type="dxa"/>
            <w:tcBorders>
              <w:left w:val="single" w:sz="8" w:space="0" w:color="000000"/>
              <w:bottom w:val="single" w:sz="4" w:space="0" w:color="000000"/>
              <w:right w:val="single" w:sz="4" w:space="0" w:color="000000"/>
            </w:tcBorders>
            <w:shd w:val="clear" w:color="auto" w:fill="FFCC99"/>
            <w:vAlign w:val="center"/>
          </w:tcPr>
          <w:p w:rsidR="00426FE9" w:rsidRDefault="00D0590D">
            <w:pPr>
              <w:spacing w:after="0" w:line="240" w:lineRule="auto"/>
              <w:jc w:val="center"/>
              <w:rPr>
                <w:rFonts w:ascii="Times New Roman" w:eastAsia="Times New Roman" w:hAnsi="Times New Roman" w:cs="Times New Roman"/>
                <w:i/>
                <w:iCs/>
                <w:sz w:val="16"/>
                <w:szCs w:val="16"/>
                <w:lang w:eastAsia="bg-BG"/>
              </w:rPr>
            </w:pPr>
            <w:r>
              <w:rPr>
                <w:rFonts w:ascii="Times New Roman" w:eastAsia="Times New Roman" w:hAnsi="Times New Roman" w:cs="Times New Roman"/>
                <w:i/>
                <w:iCs/>
                <w:sz w:val="16"/>
                <w:szCs w:val="16"/>
                <w:lang w:eastAsia="bg-BG"/>
              </w:rPr>
              <w:t>Ползи/ефекти:</w:t>
            </w:r>
          </w:p>
        </w:tc>
        <w:tc>
          <w:tcPr>
            <w:tcW w:w="992" w:type="dxa"/>
            <w:tcBorders>
              <w:bottom w:val="single" w:sz="4" w:space="0" w:color="000000"/>
              <w:right w:val="single" w:sz="4" w:space="0" w:color="000000"/>
            </w:tcBorders>
            <w:shd w:val="clear" w:color="auto" w:fill="FFCC99"/>
          </w:tcPr>
          <w:p w:rsidR="00426FE9" w:rsidRDefault="00D0590D">
            <w:pPr>
              <w:spacing w:after="0" w:line="240" w:lineRule="auto"/>
              <w:rPr>
                <w:rFonts w:ascii="Times New Roman" w:eastAsia="Times New Roman" w:hAnsi="Times New Roman" w:cs="Times New Roman"/>
                <w:sz w:val="16"/>
                <w:szCs w:val="16"/>
                <w:lang w:eastAsia="bg-BG"/>
              </w:rPr>
            </w:pPr>
            <w:r>
              <w:rPr>
                <w:rFonts w:ascii="Times New Roman" w:eastAsia="Times New Roman" w:hAnsi="Times New Roman" w:cs="Times New Roman"/>
                <w:sz w:val="16"/>
                <w:szCs w:val="16"/>
                <w:lang w:eastAsia="bg-BG"/>
              </w:rPr>
              <w:t> </w:t>
            </w:r>
          </w:p>
        </w:tc>
        <w:tc>
          <w:tcPr>
            <w:tcW w:w="4252" w:type="dxa"/>
            <w:gridSpan w:val="4"/>
            <w:tcBorders>
              <w:top w:val="single" w:sz="4" w:space="0" w:color="000000"/>
              <w:bottom w:val="single" w:sz="4" w:space="0" w:color="000000"/>
              <w:right w:val="single" w:sz="8" w:space="0" w:color="000000"/>
            </w:tcBorders>
            <w:shd w:val="clear" w:color="auto" w:fill="FFCC99"/>
          </w:tcPr>
          <w:p w:rsidR="00426FE9" w:rsidRDefault="00D0590D">
            <w:pPr>
              <w:spacing w:after="0" w:line="240" w:lineRule="auto"/>
              <w:jc w:val="center"/>
              <w:rPr>
                <w:rFonts w:ascii="Times New Roman" w:eastAsia="Times New Roman" w:hAnsi="Times New Roman" w:cs="Times New Roman"/>
                <w:b/>
                <w:bCs/>
                <w:sz w:val="16"/>
                <w:szCs w:val="16"/>
                <w:lang w:eastAsia="bg-BG"/>
              </w:rPr>
            </w:pPr>
            <w:r>
              <w:rPr>
                <w:rFonts w:ascii="Times New Roman" w:eastAsia="Times New Roman" w:hAnsi="Times New Roman" w:cs="Times New Roman"/>
                <w:b/>
                <w:bCs/>
                <w:sz w:val="16"/>
                <w:szCs w:val="16"/>
                <w:lang w:eastAsia="bg-BG"/>
              </w:rPr>
              <w:t>Целева стойност</w:t>
            </w:r>
          </w:p>
        </w:tc>
      </w:tr>
      <w:tr w:rsidR="00426FE9">
        <w:trPr>
          <w:trHeight w:val="450"/>
        </w:trPr>
        <w:tc>
          <w:tcPr>
            <w:tcW w:w="4755" w:type="dxa"/>
            <w:tcBorders>
              <w:left w:val="single" w:sz="8" w:space="0" w:color="000000"/>
              <w:bottom w:val="single" w:sz="4" w:space="0" w:color="000000"/>
              <w:right w:val="single" w:sz="4" w:space="0" w:color="000000"/>
            </w:tcBorders>
            <w:shd w:val="clear" w:color="auto" w:fill="FFCC99"/>
            <w:vAlign w:val="center"/>
          </w:tcPr>
          <w:p w:rsidR="00426FE9" w:rsidRDefault="00D0590D">
            <w:pPr>
              <w:spacing w:after="0" w:line="240" w:lineRule="auto"/>
              <w:jc w:val="center"/>
              <w:rPr>
                <w:rFonts w:ascii="Times New Roman" w:eastAsia="Times New Roman" w:hAnsi="Times New Roman" w:cs="Times New Roman"/>
                <w:b/>
                <w:bCs/>
                <w:sz w:val="16"/>
                <w:szCs w:val="16"/>
                <w:lang w:eastAsia="bg-BG"/>
              </w:rPr>
            </w:pPr>
            <w:r>
              <w:rPr>
                <w:rFonts w:ascii="Times New Roman" w:eastAsia="Times New Roman" w:hAnsi="Times New Roman" w:cs="Times New Roman"/>
                <w:b/>
                <w:bCs/>
                <w:sz w:val="16"/>
                <w:szCs w:val="16"/>
                <w:lang w:eastAsia="bg-BG"/>
              </w:rPr>
              <w:t>Показатели за изпълнение</w:t>
            </w:r>
          </w:p>
        </w:tc>
        <w:tc>
          <w:tcPr>
            <w:tcW w:w="992" w:type="dxa"/>
            <w:tcBorders>
              <w:bottom w:val="single" w:sz="4" w:space="0" w:color="000000"/>
              <w:right w:val="single" w:sz="4" w:space="0" w:color="000000"/>
            </w:tcBorders>
            <w:shd w:val="clear" w:color="auto" w:fill="FFCC99"/>
            <w:vAlign w:val="center"/>
          </w:tcPr>
          <w:p w:rsidR="00426FE9" w:rsidRDefault="00D0590D">
            <w:pPr>
              <w:spacing w:after="0" w:line="240" w:lineRule="auto"/>
              <w:jc w:val="center"/>
              <w:rPr>
                <w:rFonts w:ascii="Times New Roman" w:eastAsia="Times New Roman" w:hAnsi="Times New Roman" w:cs="Times New Roman"/>
                <w:b/>
                <w:bCs/>
                <w:sz w:val="16"/>
                <w:szCs w:val="16"/>
                <w:lang w:eastAsia="bg-BG"/>
              </w:rPr>
            </w:pPr>
            <w:r>
              <w:rPr>
                <w:rFonts w:ascii="Times New Roman" w:eastAsia="Times New Roman" w:hAnsi="Times New Roman" w:cs="Times New Roman"/>
                <w:b/>
                <w:bCs/>
                <w:sz w:val="16"/>
                <w:szCs w:val="16"/>
                <w:lang w:eastAsia="bg-BG"/>
              </w:rPr>
              <w:t>Мерна единица</w:t>
            </w:r>
          </w:p>
        </w:tc>
        <w:tc>
          <w:tcPr>
            <w:tcW w:w="992" w:type="dxa"/>
            <w:tcBorders>
              <w:bottom w:val="single" w:sz="4" w:space="0" w:color="000000"/>
              <w:right w:val="single" w:sz="4" w:space="0" w:color="000000"/>
            </w:tcBorders>
            <w:shd w:val="clear" w:color="auto" w:fill="FFCC99"/>
            <w:vAlign w:val="center"/>
          </w:tcPr>
          <w:p w:rsidR="00426FE9" w:rsidRDefault="00194E4A">
            <w:pPr>
              <w:spacing w:after="0" w:line="240" w:lineRule="auto"/>
              <w:jc w:val="center"/>
              <w:rPr>
                <w:rFonts w:ascii="Times New Roman" w:eastAsia="Times New Roman" w:hAnsi="Times New Roman" w:cs="Times New Roman"/>
                <w:b/>
                <w:bCs/>
                <w:i/>
                <w:iCs/>
                <w:sz w:val="16"/>
                <w:szCs w:val="16"/>
                <w:lang w:eastAsia="bg-BG"/>
              </w:rPr>
            </w:pPr>
            <w:r>
              <w:rPr>
                <w:rFonts w:ascii="Times New Roman" w:eastAsia="Times New Roman" w:hAnsi="Times New Roman" w:cs="Times New Roman"/>
                <w:b/>
                <w:bCs/>
                <w:i/>
                <w:iCs/>
                <w:sz w:val="16"/>
                <w:szCs w:val="16"/>
                <w:lang w:eastAsia="bg-BG"/>
              </w:rPr>
              <w:t xml:space="preserve">Бюджет </w:t>
            </w:r>
            <w:r w:rsidR="00D0590D">
              <w:rPr>
                <w:rFonts w:ascii="Times New Roman" w:eastAsia="Times New Roman" w:hAnsi="Times New Roman" w:cs="Times New Roman"/>
                <w:b/>
                <w:bCs/>
                <w:i/>
                <w:iCs/>
                <w:sz w:val="16"/>
                <w:szCs w:val="16"/>
                <w:lang w:eastAsia="bg-BG"/>
              </w:rPr>
              <w:t>2026 г.</w:t>
            </w:r>
          </w:p>
        </w:tc>
        <w:tc>
          <w:tcPr>
            <w:tcW w:w="1134" w:type="dxa"/>
            <w:tcBorders>
              <w:bottom w:val="single" w:sz="4" w:space="0" w:color="000000"/>
              <w:right w:val="single" w:sz="8" w:space="0" w:color="000000"/>
            </w:tcBorders>
            <w:shd w:val="clear" w:color="auto" w:fill="FFCC99"/>
            <w:vAlign w:val="center"/>
          </w:tcPr>
          <w:p w:rsidR="00426FE9" w:rsidRDefault="00D0590D">
            <w:pPr>
              <w:spacing w:after="0" w:line="240" w:lineRule="auto"/>
              <w:jc w:val="center"/>
              <w:rPr>
                <w:rFonts w:ascii="Times New Roman" w:eastAsia="Times New Roman" w:hAnsi="Times New Roman" w:cs="Times New Roman"/>
                <w:b/>
                <w:bCs/>
                <w:i/>
                <w:iCs/>
                <w:sz w:val="16"/>
                <w:szCs w:val="16"/>
                <w:lang w:eastAsia="bg-BG"/>
              </w:rPr>
            </w:pPr>
            <w:r>
              <w:rPr>
                <w:rFonts w:ascii="Times New Roman" w:eastAsia="Times New Roman" w:hAnsi="Times New Roman" w:cs="Times New Roman"/>
                <w:b/>
                <w:bCs/>
                <w:i/>
                <w:iCs/>
                <w:sz w:val="16"/>
                <w:szCs w:val="16"/>
                <w:lang w:eastAsia="bg-BG"/>
              </w:rPr>
              <w:t>Прогноза 2027 г.</w:t>
            </w:r>
          </w:p>
        </w:tc>
        <w:tc>
          <w:tcPr>
            <w:tcW w:w="993" w:type="dxa"/>
            <w:tcBorders>
              <w:bottom w:val="single" w:sz="4" w:space="0" w:color="000000"/>
              <w:right w:val="single" w:sz="8" w:space="0" w:color="000000"/>
            </w:tcBorders>
            <w:shd w:val="clear" w:color="auto" w:fill="FFCC99"/>
            <w:vAlign w:val="center"/>
          </w:tcPr>
          <w:p w:rsidR="00426FE9" w:rsidRDefault="00D0590D">
            <w:pPr>
              <w:spacing w:after="0" w:line="240" w:lineRule="auto"/>
              <w:jc w:val="center"/>
              <w:rPr>
                <w:rFonts w:ascii="Times New Roman" w:eastAsia="Times New Roman" w:hAnsi="Times New Roman" w:cs="Times New Roman"/>
                <w:b/>
                <w:bCs/>
                <w:i/>
                <w:iCs/>
                <w:sz w:val="16"/>
                <w:szCs w:val="16"/>
                <w:lang w:eastAsia="bg-BG"/>
              </w:rPr>
            </w:pPr>
            <w:r>
              <w:rPr>
                <w:rFonts w:ascii="Times New Roman" w:eastAsia="Times New Roman" w:hAnsi="Times New Roman" w:cs="Times New Roman"/>
                <w:b/>
                <w:bCs/>
                <w:i/>
                <w:iCs/>
                <w:sz w:val="16"/>
                <w:szCs w:val="16"/>
                <w:lang w:eastAsia="bg-BG"/>
              </w:rPr>
              <w:t>Прогноза 2028 г.</w:t>
            </w:r>
          </w:p>
        </w:tc>
        <w:tc>
          <w:tcPr>
            <w:tcW w:w="1133" w:type="dxa"/>
            <w:tcBorders>
              <w:bottom w:val="single" w:sz="4" w:space="0" w:color="000000"/>
              <w:right w:val="single" w:sz="8" w:space="0" w:color="000000"/>
            </w:tcBorders>
            <w:shd w:val="clear" w:color="auto" w:fill="FFCC99"/>
          </w:tcPr>
          <w:p w:rsidR="00426FE9" w:rsidRDefault="00D0590D">
            <w:pPr>
              <w:spacing w:after="0" w:line="240" w:lineRule="auto"/>
              <w:jc w:val="center"/>
              <w:rPr>
                <w:rFonts w:ascii="Times New Roman" w:eastAsia="Times New Roman" w:hAnsi="Times New Roman" w:cs="Times New Roman"/>
                <w:b/>
                <w:bCs/>
                <w:i/>
                <w:iCs/>
                <w:sz w:val="16"/>
                <w:szCs w:val="16"/>
                <w:lang w:eastAsia="bg-BG"/>
              </w:rPr>
            </w:pPr>
            <w:r>
              <w:rPr>
                <w:rFonts w:ascii="Times New Roman" w:eastAsia="Times New Roman" w:hAnsi="Times New Roman" w:cs="Times New Roman"/>
                <w:b/>
                <w:bCs/>
                <w:i/>
                <w:iCs/>
                <w:sz w:val="16"/>
                <w:szCs w:val="16"/>
                <w:lang w:eastAsia="bg-BG"/>
              </w:rPr>
              <w:t>Прогноза 2026-2029</w:t>
            </w:r>
            <w:r>
              <w:rPr>
                <w:rStyle w:val="FootnoteReference"/>
                <w:rFonts w:ascii="Times New Roman" w:eastAsia="Times New Roman" w:hAnsi="Times New Roman"/>
                <w:b/>
                <w:bCs/>
                <w:i/>
                <w:iCs/>
                <w:color w:val="0000CC"/>
                <w:sz w:val="16"/>
                <w:szCs w:val="16"/>
                <w:lang w:eastAsia="bg-BG"/>
              </w:rPr>
              <w:footnoteReference w:id="1"/>
            </w:r>
          </w:p>
        </w:tc>
      </w:tr>
      <w:tr w:rsidR="00426FE9">
        <w:trPr>
          <w:trHeight w:val="255"/>
        </w:trPr>
        <w:tc>
          <w:tcPr>
            <w:tcW w:w="4755" w:type="dxa"/>
            <w:tcBorders>
              <w:left w:val="single" w:sz="8" w:space="0" w:color="000000"/>
              <w:bottom w:val="single" w:sz="8" w:space="0" w:color="000000"/>
              <w:right w:val="single" w:sz="8" w:space="0" w:color="000000"/>
            </w:tcBorders>
            <w:vAlign w:val="center"/>
          </w:tcPr>
          <w:p w:rsidR="00426FE9" w:rsidRDefault="00D0590D">
            <w:pPr>
              <w:spacing w:after="0" w:line="240" w:lineRule="auto"/>
              <w:jc w:val="both"/>
              <w:rPr>
                <w:rFonts w:ascii="Times New Roman" w:eastAsia="Times New Roman" w:hAnsi="Times New Roman" w:cs="Times New Roman"/>
                <w:sz w:val="16"/>
                <w:szCs w:val="16"/>
                <w:lang w:eastAsia="bg-BG"/>
              </w:rPr>
            </w:pPr>
            <w:r>
              <w:rPr>
                <w:rFonts w:ascii="Times New Roman" w:hAnsi="Times New Roman" w:cs="Times New Roman"/>
                <w:sz w:val="16"/>
                <w:szCs w:val="16"/>
              </w:rPr>
              <w:t xml:space="preserve">1. Изпълнение на Пътна карта за реализиране на регионалната политика с цел създаване на условия за балансирано териториално развитие с изпълнение до 2025 г. при прилагане на разпоредбите на Закона за регионалното развитие </w:t>
            </w:r>
            <w:r>
              <w:rPr>
                <w:rStyle w:val="FootnoteReference"/>
                <w:rFonts w:ascii="Times New Roman" w:hAnsi="Times New Roman"/>
                <w:b/>
                <w:color w:val="0000CC"/>
                <w:sz w:val="16"/>
                <w:szCs w:val="16"/>
              </w:rPr>
              <w:footnoteReference w:id="2"/>
            </w:r>
          </w:p>
        </w:tc>
        <w:tc>
          <w:tcPr>
            <w:tcW w:w="992"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w:t>
            </w:r>
          </w:p>
        </w:tc>
        <w:tc>
          <w:tcPr>
            <w:tcW w:w="992" w:type="dxa"/>
            <w:tcBorders>
              <w:left w:val="single" w:sz="8" w:space="0" w:color="000000"/>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10</w:t>
            </w:r>
          </w:p>
        </w:tc>
        <w:tc>
          <w:tcPr>
            <w:tcW w:w="1134"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30</w:t>
            </w:r>
          </w:p>
        </w:tc>
        <w:tc>
          <w:tcPr>
            <w:tcW w:w="993"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50</w:t>
            </w:r>
          </w:p>
        </w:tc>
        <w:tc>
          <w:tcPr>
            <w:tcW w:w="1133" w:type="dxa"/>
            <w:tcBorders>
              <w:bottom w:val="single" w:sz="8" w:space="0" w:color="000000"/>
              <w:right w:val="single" w:sz="8" w:space="0" w:color="000000"/>
            </w:tcBorders>
          </w:tcPr>
          <w:p w:rsidR="00426FE9" w:rsidRDefault="00426FE9">
            <w:pPr>
              <w:spacing w:after="0" w:line="240" w:lineRule="auto"/>
              <w:jc w:val="center"/>
              <w:rPr>
                <w:rFonts w:ascii="Times New Roman" w:hAnsi="Times New Roman" w:cs="Times New Roman"/>
                <w:sz w:val="16"/>
                <w:szCs w:val="16"/>
              </w:rPr>
            </w:pPr>
          </w:p>
        </w:tc>
      </w:tr>
      <w:tr w:rsidR="00426FE9">
        <w:trPr>
          <w:trHeight w:val="255"/>
        </w:trPr>
        <w:tc>
          <w:tcPr>
            <w:tcW w:w="4755" w:type="dxa"/>
            <w:tcBorders>
              <w:left w:val="single" w:sz="8" w:space="0" w:color="000000"/>
              <w:bottom w:val="single" w:sz="8" w:space="0" w:color="000000"/>
              <w:right w:val="single" w:sz="8" w:space="0" w:color="000000"/>
            </w:tcBorders>
            <w:vAlign w:val="center"/>
          </w:tcPr>
          <w:p w:rsidR="00426FE9" w:rsidRDefault="00D0590D">
            <w:pPr>
              <w:spacing w:after="0" w:line="240" w:lineRule="auto"/>
              <w:jc w:val="both"/>
              <w:rPr>
                <w:rFonts w:ascii="Times New Roman" w:eastAsia="Times New Roman" w:hAnsi="Times New Roman" w:cs="Times New Roman"/>
                <w:sz w:val="16"/>
                <w:szCs w:val="16"/>
                <w:lang w:eastAsia="bg-BG"/>
              </w:rPr>
            </w:pPr>
            <w:r>
              <w:rPr>
                <w:rFonts w:ascii="Times New Roman" w:hAnsi="Times New Roman" w:cs="Times New Roman"/>
                <w:sz w:val="16"/>
                <w:szCs w:val="16"/>
              </w:rPr>
              <w:t>2. Намаляване на дела на мигриралото население (вътрешна миграция)</w:t>
            </w:r>
          </w:p>
        </w:tc>
        <w:tc>
          <w:tcPr>
            <w:tcW w:w="992"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w:t>
            </w:r>
          </w:p>
        </w:tc>
        <w:tc>
          <w:tcPr>
            <w:tcW w:w="992" w:type="dxa"/>
            <w:tcBorders>
              <w:left w:val="single" w:sz="8" w:space="0" w:color="000000"/>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2,1</w:t>
            </w:r>
          </w:p>
        </w:tc>
        <w:tc>
          <w:tcPr>
            <w:tcW w:w="1134"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2,1</w:t>
            </w:r>
          </w:p>
        </w:tc>
        <w:tc>
          <w:tcPr>
            <w:tcW w:w="993"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sz w:val="16"/>
                <w:szCs w:val="16"/>
                <w:lang w:eastAsia="bg-BG"/>
              </w:rPr>
            </w:pPr>
            <w:r>
              <w:rPr>
                <w:rFonts w:ascii="Times New Roman" w:hAnsi="Times New Roman" w:cs="Times New Roman"/>
                <w:sz w:val="16"/>
                <w:szCs w:val="16"/>
              </w:rPr>
              <w:t>2,1</w:t>
            </w:r>
          </w:p>
        </w:tc>
        <w:tc>
          <w:tcPr>
            <w:tcW w:w="1133" w:type="dxa"/>
            <w:tcBorders>
              <w:bottom w:val="single" w:sz="8" w:space="0" w:color="000000"/>
              <w:right w:val="single" w:sz="8" w:space="0" w:color="000000"/>
            </w:tcBorders>
          </w:tcPr>
          <w:p w:rsidR="00426FE9" w:rsidRDefault="00426FE9">
            <w:pPr>
              <w:spacing w:after="0" w:line="240" w:lineRule="auto"/>
              <w:jc w:val="center"/>
              <w:rPr>
                <w:rFonts w:ascii="Times New Roman" w:hAnsi="Times New Roman" w:cs="Times New Roman"/>
                <w:sz w:val="16"/>
                <w:szCs w:val="16"/>
              </w:rPr>
            </w:pPr>
          </w:p>
        </w:tc>
      </w:tr>
      <w:tr w:rsidR="00426FE9">
        <w:trPr>
          <w:trHeight w:val="255"/>
        </w:trPr>
        <w:tc>
          <w:tcPr>
            <w:tcW w:w="4755" w:type="dxa"/>
            <w:tcBorders>
              <w:left w:val="single" w:sz="8" w:space="0" w:color="000000"/>
              <w:bottom w:val="single" w:sz="8" w:space="0" w:color="000000"/>
              <w:right w:val="single" w:sz="8"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lang w:val="en-US"/>
              </w:rPr>
              <w:t>3</w:t>
            </w:r>
            <w:r>
              <w:rPr>
                <w:rFonts w:ascii="Times New Roman" w:hAnsi="Times New Roman" w:cs="Times New Roman"/>
                <w:sz w:val="16"/>
                <w:szCs w:val="16"/>
              </w:rPr>
              <w:t>. Брой подкрепени културни обекти</w:t>
            </w:r>
          </w:p>
        </w:tc>
        <w:tc>
          <w:tcPr>
            <w:tcW w:w="992" w:type="dxa"/>
            <w:tcBorders>
              <w:bottom w:val="single" w:sz="8" w:space="0" w:color="000000"/>
              <w:right w:val="single" w:sz="8"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брой</w:t>
            </w:r>
          </w:p>
        </w:tc>
        <w:tc>
          <w:tcPr>
            <w:tcW w:w="992" w:type="dxa"/>
            <w:tcBorders>
              <w:left w:val="single" w:sz="8" w:space="0" w:color="000000"/>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4"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50</w:t>
            </w:r>
          </w:p>
        </w:tc>
      </w:tr>
      <w:tr w:rsidR="00426FE9">
        <w:trPr>
          <w:trHeight w:val="255"/>
        </w:trPr>
        <w:tc>
          <w:tcPr>
            <w:tcW w:w="4755" w:type="dxa"/>
            <w:tcBorders>
              <w:left w:val="single" w:sz="8" w:space="0" w:color="000000"/>
              <w:bottom w:val="single" w:sz="8" w:space="0" w:color="000000"/>
              <w:right w:val="single" w:sz="8"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4. Население, ползващо се от мерки за защита от пожари</w:t>
            </w:r>
          </w:p>
        </w:tc>
        <w:tc>
          <w:tcPr>
            <w:tcW w:w="992" w:type="dxa"/>
            <w:tcBorders>
              <w:bottom w:val="single" w:sz="8" w:space="0" w:color="000000"/>
              <w:right w:val="single" w:sz="8"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брой</w:t>
            </w:r>
          </w:p>
        </w:tc>
        <w:tc>
          <w:tcPr>
            <w:tcW w:w="992" w:type="dxa"/>
            <w:tcBorders>
              <w:left w:val="single" w:sz="8" w:space="0" w:color="000000"/>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4"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314 500</w:t>
            </w:r>
          </w:p>
        </w:tc>
      </w:tr>
      <w:tr w:rsidR="00426FE9">
        <w:trPr>
          <w:trHeight w:val="255"/>
        </w:trPr>
        <w:tc>
          <w:tcPr>
            <w:tcW w:w="4755"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5.Подкрепена специализирана велосипедна инфраструктура</w:t>
            </w:r>
          </w:p>
        </w:tc>
        <w:tc>
          <w:tcPr>
            <w:tcW w:w="992" w:type="dxa"/>
            <w:tcBorders>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км.</w:t>
            </w:r>
          </w:p>
        </w:tc>
        <w:tc>
          <w:tcPr>
            <w:tcW w:w="992" w:type="dxa"/>
            <w:tcBorders>
              <w:bottom w:val="single" w:sz="4" w:space="0" w:color="000000"/>
              <w:right w:val="single" w:sz="4" w:space="0" w:color="000000"/>
            </w:tcBorders>
          </w:tcPr>
          <w:p w:rsidR="00426FE9" w:rsidRDefault="00426FE9">
            <w:pPr>
              <w:spacing w:after="0" w:line="240" w:lineRule="auto"/>
              <w:jc w:val="center"/>
              <w:rPr>
                <w:rFonts w:ascii="Times New Roman" w:hAnsi="Times New Roman" w:cs="Times New Roman"/>
                <w:sz w:val="16"/>
                <w:szCs w:val="16"/>
              </w:rPr>
            </w:pPr>
          </w:p>
        </w:tc>
        <w:tc>
          <w:tcPr>
            <w:tcW w:w="1134" w:type="dxa"/>
            <w:tcBorders>
              <w:bottom w:val="single" w:sz="4" w:space="0" w:color="000000"/>
              <w:right w:val="single" w:sz="8" w:space="0" w:color="000000"/>
            </w:tcBorders>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4"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30</w:t>
            </w:r>
          </w:p>
        </w:tc>
      </w:tr>
      <w:tr w:rsidR="00426FE9">
        <w:trPr>
          <w:trHeight w:val="270"/>
        </w:trPr>
        <w:tc>
          <w:tcPr>
            <w:tcW w:w="4755" w:type="dxa"/>
            <w:tcBorders>
              <w:left w:val="single" w:sz="8" w:space="0" w:color="000000"/>
              <w:bottom w:val="single" w:sz="8" w:space="0" w:color="000000"/>
              <w:right w:val="single" w:sz="4"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6.Изграден гранично контролно пропускателен пункт (ГКПП) </w:t>
            </w:r>
          </w:p>
        </w:tc>
        <w:tc>
          <w:tcPr>
            <w:tcW w:w="992" w:type="dxa"/>
            <w:tcBorders>
              <w:bottom w:val="single" w:sz="8"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брой</w:t>
            </w:r>
          </w:p>
        </w:tc>
        <w:tc>
          <w:tcPr>
            <w:tcW w:w="992" w:type="dxa"/>
            <w:tcBorders>
              <w:bottom w:val="single" w:sz="8" w:space="0" w:color="000000"/>
              <w:right w:val="single" w:sz="4" w:space="0" w:color="000000"/>
            </w:tcBorders>
          </w:tcPr>
          <w:p w:rsidR="00426FE9" w:rsidRDefault="00426FE9">
            <w:pPr>
              <w:spacing w:after="0" w:line="240" w:lineRule="auto"/>
              <w:jc w:val="center"/>
              <w:rPr>
                <w:rFonts w:ascii="Times New Roman" w:hAnsi="Times New Roman" w:cs="Times New Roman"/>
                <w:sz w:val="16"/>
                <w:szCs w:val="16"/>
              </w:rPr>
            </w:pPr>
          </w:p>
        </w:tc>
        <w:tc>
          <w:tcPr>
            <w:tcW w:w="1134" w:type="dxa"/>
            <w:tcBorders>
              <w:bottom w:val="single" w:sz="8" w:space="0" w:color="000000"/>
              <w:right w:val="single" w:sz="8" w:space="0" w:color="000000"/>
            </w:tcBorders>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426FE9">
        <w:trPr>
          <w:trHeight w:val="270"/>
        </w:trPr>
        <w:tc>
          <w:tcPr>
            <w:tcW w:w="4755" w:type="dxa"/>
            <w:tcBorders>
              <w:left w:val="single" w:sz="8" w:space="0" w:color="000000"/>
              <w:bottom w:val="single" w:sz="8" w:space="0" w:color="000000"/>
              <w:right w:val="single" w:sz="4"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7.Подкрепени с безвъзмездна финансова помощ МСП</w:t>
            </w:r>
          </w:p>
        </w:tc>
        <w:tc>
          <w:tcPr>
            <w:tcW w:w="992" w:type="dxa"/>
            <w:tcBorders>
              <w:bottom w:val="single" w:sz="8"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брой</w:t>
            </w:r>
          </w:p>
        </w:tc>
        <w:tc>
          <w:tcPr>
            <w:tcW w:w="992" w:type="dxa"/>
            <w:tcBorders>
              <w:bottom w:val="single" w:sz="8" w:space="0" w:color="000000"/>
              <w:right w:val="single" w:sz="4" w:space="0" w:color="000000"/>
            </w:tcBorders>
          </w:tcPr>
          <w:p w:rsidR="00426FE9" w:rsidRDefault="00426FE9">
            <w:pPr>
              <w:spacing w:after="0" w:line="240" w:lineRule="auto"/>
              <w:jc w:val="center"/>
              <w:rPr>
                <w:rFonts w:ascii="Times New Roman" w:hAnsi="Times New Roman" w:cs="Times New Roman"/>
                <w:sz w:val="16"/>
                <w:szCs w:val="16"/>
              </w:rPr>
            </w:pPr>
          </w:p>
        </w:tc>
        <w:tc>
          <w:tcPr>
            <w:tcW w:w="1134" w:type="dxa"/>
            <w:tcBorders>
              <w:bottom w:val="single" w:sz="8" w:space="0" w:color="000000"/>
              <w:right w:val="single" w:sz="8" w:space="0" w:color="000000"/>
            </w:tcBorders>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74</w:t>
            </w:r>
          </w:p>
        </w:tc>
      </w:tr>
      <w:tr w:rsidR="00426FE9">
        <w:trPr>
          <w:trHeight w:val="270"/>
        </w:trPr>
        <w:tc>
          <w:tcPr>
            <w:tcW w:w="4755" w:type="dxa"/>
            <w:tcBorders>
              <w:left w:val="single" w:sz="8" w:space="0" w:color="000000"/>
              <w:bottom w:val="single" w:sz="8" w:space="0" w:color="000000"/>
              <w:right w:val="single" w:sz="4" w:space="0" w:color="000000"/>
            </w:tcBorders>
          </w:tcPr>
          <w:p w:rsidR="00426FE9" w:rsidRDefault="00D0590D">
            <w:pPr>
              <w:tabs>
                <w:tab w:val="left" w:pos="825"/>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8. Нарастване потенциала на АТЕ за ефективно и ефикасно планиране, управление и използване на ресурсите за устойчиво местно развитие </w:t>
            </w:r>
            <w:r>
              <w:rPr>
                <w:rFonts w:ascii="Times New Roman" w:hAnsi="Times New Roman" w:cs="Times New Roman"/>
                <w:i/>
                <w:sz w:val="16"/>
                <w:szCs w:val="16"/>
              </w:rPr>
              <w:t>(нарастване дела на общините като административно-териториалните единици (АТЕ), отчитащи резултати над средните за страната по показатели за финансова самостоятелност и инвестиционна активност)</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p>
        </w:tc>
        <w:tc>
          <w:tcPr>
            <w:tcW w:w="1134"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993"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w:t>
            </w:r>
          </w:p>
        </w:tc>
        <w:tc>
          <w:tcPr>
            <w:tcW w:w="113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r>
      <w:tr w:rsidR="00426FE9">
        <w:trPr>
          <w:trHeight w:val="270"/>
        </w:trPr>
        <w:tc>
          <w:tcPr>
            <w:tcW w:w="4755"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9. Разработване на Национална жилищна стратегия</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брой</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1134"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r>
      <w:tr w:rsidR="00426FE9">
        <w:trPr>
          <w:trHeight w:val="270"/>
        </w:trPr>
        <w:tc>
          <w:tcPr>
            <w:tcW w:w="4755"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10. Изграждане на единна информационна система, обединяваща два публични централизирани електронни регистъра</w:t>
            </w:r>
          </w:p>
        </w:tc>
        <w:tc>
          <w:tcPr>
            <w:tcW w:w="992"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брой</w:t>
            </w:r>
          </w:p>
        </w:tc>
        <w:tc>
          <w:tcPr>
            <w:tcW w:w="992"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1134" w:type="dxa"/>
            <w:tcBorders>
              <w:bottom w:val="single" w:sz="4"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993" w:type="dxa"/>
            <w:tcBorders>
              <w:bottom w:val="single" w:sz="4"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c>
          <w:tcPr>
            <w:tcW w:w="1133" w:type="dxa"/>
            <w:tcBorders>
              <w:bottom w:val="single" w:sz="8" w:space="0" w:color="000000"/>
              <w:right w:val="single" w:sz="8" w:space="0" w:color="000000"/>
            </w:tcBorders>
            <w:vAlign w:val="center"/>
          </w:tcPr>
          <w:p w:rsidR="00426FE9" w:rsidRDefault="00426FE9">
            <w:pPr>
              <w:spacing w:after="0" w:line="240" w:lineRule="auto"/>
              <w:jc w:val="center"/>
              <w:rPr>
                <w:rFonts w:ascii="Times New Roman" w:hAnsi="Times New Roman" w:cs="Times New Roman"/>
                <w:sz w:val="16"/>
                <w:szCs w:val="16"/>
              </w:rPr>
            </w:pPr>
          </w:p>
        </w:tc>
      </w:tr>
    </w:tbl>
    <w:p w:rsidR="00426FE9" w:rsidRDefault="00426FE9">
      <w:pPr>
        <w:spacing w:after="0" w:line="240" w:lineRule="auto"/>
        <w:ind w:firstLine="567"/>
        <w:jc w:val="both"/>
        <w:rPr>
          <w:rFonts w:ascii="Times New Roman" w:hAnsi="Times New Roman" w:cs="Times New Roman"/>
          <w:b/>
          <w:i/>
          <w:color w:val="0000CC"/>
        </w:rPr>
      </w:pPr>
    </w:p>
    <w:p w:rsidR="00426FE9" w:rsidRDefault="00D0590D">
      <w:pPr>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Описание на показателите за полза/ефект</w:t>
      </w:r>
    </w:p>
    <w:p w:rsidR="00426FE9" w:rsidRDefault="00D0590D">
      <w:pPr>
        <w:pStyle w:val="ListParagraph"/>
        <w:numPr>
          <w:ilvl w:val="0"/>
          <w:numId w:val="19"/>
        </w:numPr>
        <w:tabs>
          <w:tab w:val="left" w:pos="851"/>
        </w:tabs>
        <w:spacing w:after="0" w:line="240" w:lineRule="auto"/>
        <w:ind w:left="0" w:firstLine="567"/>
        <w:jc w:val="both"/>
        <w:rPr>
          <w:rFonts w:ascii="Times New Roman" w:hAnsi="Times New Roman"/>
        </w:rPr>
      </w:pPr>
      <w:r>
        <w:rPr>
          <w:rFonts w:ascii="Times New Roman" w:hAnsi="Times New Roman"/>
        </w:rPr>
        <w:t>Показател „</w:t>
      </w:r>
      <w:r>
        <w:rPr>
          <w:rFonts w:ascii="Times New Roman" w:eastAsia="Times New Roman" w:hAnsi="Times New Roman"/>
          <w:color w:val="000000"/>
        </w:rPr>
        <w:t>Изпълнение на Пътна карта за реализиране на регионалната политика с цел създаване на условия за балансирано териториално развитие с изпълнение до 2025 г. при прилагане на разпоредбите на Закона за регионалното развитие“</w:t>
      </w:r>
      <w:r>
        <w:rPr>
          <w:rFonts w:ascii="Times New Roman" w:hAnsi="Times New Roman"/>
        </w:rPr>
        <w:t xml:space="preserve"> е свързан с работата на ГД СППРР в областта на стратегическото планиране на регионалното развитие и обхваща всички дейности, които дирекцията извършва в тази сфера.</w:t>
      </w:r>
      <w:r>
        <w:rPr>
          <w:rFonts w:ascii="Times New Roman" w:hAnsi="Times New Roman"/>
          <w:lang w:val="en-US"/>
        </w:rPr>
        <w:t xml:space="preserve"> </w:t>
      </w:r>
      <w:r w:rsidR="00DC5DCA">
        <w:rPr>
          <w:rFonts w:ascii="Times New Roman" w:hAnsi="Times New Roman"/>
        </w:rPr>
        <w:t>Д</w:t>
      </w:r>
      <w:r>
        <w:rPr>
          <w:rFonts w:ascii="Times New Roman" w:hAnsi="Times New Roman"/>
        </w:rPr>
        <w:t xml:space="preserve">ейностите заложени в Пътната карта за реализиране на регионалната политика с цел създаване на условия за балансирано териториално развитие с изпълнение до 2025 г. при прилагане на разпоредбите на Закона за регионалното развитие </w:t>
      </w:r>
      <w:r w:rsidR="00DC5DCA">
        <w:rPr>
          <w:rFonts w:ascii="Times New Roman" w:hAnsi="Times New Roman"/>
        </w:rPr>
        <w:t>са финализирани през 2025 г. В края на 2025 г. е разработена Пътна карта за реализиране на регионалната политика с цел създаване на условия за балансирано териториално развитие с изпълнение до 2030 г. при прилагане на разпоредбите на Закона за регионалното развитие.</w:t>
      </w:r>
    </w:p>
    <w:p w:rsidR="00426FE9" w:rsidRDefault="00D0590D">
      <w:pPr>
        <w:pStyle w:val="ListParagraph"/>
        <w:numPr>
          <w:ilvl w:val="0"/>
          <w:numId w:val="19"/>
        </w:numPr>
        <w:tabs>
          <w:tab w:val="left" w:pos="851"/>
        </w:tabs>
        <w:spacing w:after="0" w:line="240" w:lineRule="auto"/>
        <w:ind w:left="0" w:firstLine="567"/>
        <w:jc w:val="both"/>
        <w:rPr>
          <w:rFonts w:ascii="Times New Roman" w:hAnsi="Times New Roman"/>
        </w:rPr>
      </w:pPr>
      <w:r>
        <w:rPr>
          <w:rFonts w:ascii="Times New Roman" w:hAnsi="Times New Roman"/>
        </w:rPr>
        <w:t>Показател „</w:t>
      </w:r>
      <w:r>
        <w:rPr>
          <w:rFonts w:ascii="Times New Roman" w:eastAsia="Times New Roman" w:hAnsi="Times New Roman"/>
          <w:color w:val="000000"/>
        </w:rPr>
        <w:t xml:space="preserve">Намаляване на дела на мигриралото население (вътрешна миграция)“ </w:t>
      </w:r>
      <w:r>
        <w:rPr>
          <w:rFonts w:ascii="Times New Roman" w:hAnsi="Times New Roman"/>
        </w:rPr>
        <w:t>е свързан с изпълнението на ПРР 2021-2027 г. Една от основните цели на ПРР 2021-2027 г. е именно намаляване на вътрешната миграция на населението в България. Целта е делът на мигриралото население между областите в страната и по-конкретно към София и останалите големи градове да намалява, защото чрез проектите по ПРР 2021-2027 г. се създават условия за задържане на населението в градовете/областите. Същевременно формулировката на показателя (дял на мигриралото население – вътрешна миграция от общия брой на населението, а не абсолютната стойност на мигриралото население) преодолява зависимостта между намалението на миграцията и общото намаляване на населението в България. Тъй като върху намалението на вътрешната миграция на населението влияят много фактори, оценката на</w:t>
      </w:r>
      <w:r w:rsidR="00DC5DCA">
        <w:rPr>
          <w:rFonts w:ascii="Times New Roman" w:hAnsi="Times New Roman"/>
        </w:rPr>
        <w:t xml:space="preserve"> въздействието на ПРР 2021-2027 г. </w:t>
      </w:r>
      <w:r>
        <w:rPr>
          <w:rFonts w:ascii="Times New Roman" w:hAnsi="Times New Roman"/>
        </w:rPr>
        <w:t>ще оцени приноса на програмата за изменението на този индикатор. Също така, през 2021 г. се извърши преброяване на населението в България, което даде по-изчерпателна представа за процесите на миграция в България. Текущите данни за този индикатор са публични и официални от интернет-страницата на НСИ. Към 07.09.2021 г. общия брой на населението на страната е 6 519 789 души, броя на мигриралото население вътре в страната е 395 690 души (изселени), а делът на мигриралото население (вътрешна миграция) е 6,07%.</w:t>
      </w:r>
    </w:p>
    <w:p w:rsidR="00426FE9" w:rsidRDefault="00D0590D">
      <w:pPr>
        <w:pStyle w:val="ListParagraph"/>
        <w:tabs>
          <w:tab w:val="left" w:pos="851"/>
        </w:tabs>
        <w:spacing w:after="0" w:line="240" w:lineRule="auto"/>
        <w:ind w:left="567"/>
        <w:jc w:val="both"/>
        <w:rPr>
          <w:rFonts w:ascii="Times New Roman" w:eastAsia="Times New Roman" w:hAnsi="Times New Roman"/>
          <w:b/>
          <w:bCs/>
          <w:i/>
          <w:iCs/>
          <w:lang w:eastAsia="bg-BG"/>
        </w:rPr>
      </w:pPr>
      <w:r>
        <w:rPr>
          <w:rFonts w:ascii="Times New Roman" w:hAnsi="Times New Roman"/>
        </w:rPr>
        <w:t>Индикаторите отчитат изпълнението на всички посочени стратегически и оперативни цели.</w:t>
      </w:r>
    </w:p>
    <w:p w:rsidR="00426FE9" w:rsidRDefault="00D0590D">
      <w:pPr>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Информация за наличността и качеството на данните</w:t>
      </w:r>
    </w:p>
    <w:p w:rsidR="00426FE9" w:rsidRDefault="00D0590D">
      <w:pPr>
        <w:tabs>
          <w:tab w:val="left" w:pos="851"/>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Основен източник за събиране на данни са: информационните системи на отделните програми, доклади за напредъка на проектите по отделните проекти, годишните доклади за изпълнението на програмите и др. Отговорност за събирането и обобщаването на данните на програмно ниво имат Съвместните секретариати на отделните програми, отдел „Програми ИНТЕРРЕГ-ИПП Трансгранично сътрудничество“ в дирекция “Управление на териториалното сътрудничество“.</w:t>
      </w:r>
    </w:p>
    <w:p w:rsidR="00426FE9" w:rsidRDefault="00D0590D">
      <w:pPr>
        <w:tabs>
          <w:tab w:val="left" w:pos="851"/>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Наличността, обемът и качеството на събираните и обработваните данни във връзка с провеждането на политиката са гарантирани на добро ниво, като се използва информация от надеждни източници - Националния статистически институт, Евростат, бази данни на министерства и агенции и др. официални източници на информация в страната и чужбина.</w:t>
      </w:r>
    </w:p>
    <w:p w:rsidR="00426FE9" w:rsidRDefault="00426FE9">
      <w:pPr>
        <w:tabs>
          <w:tab w:val="left" w:pos="851"/>
        </w:tabs>
        <w:spacing w:after="0" w:line="240" w:lineRule="auto"/>
        <w:ind w:firstLine="567"/>
        <w:jc w:val="both"/>
        <w:rPr>
          <w:rFonts w:ascii="Times New Roman" w:eastAsia="Calibri" w:hAnsi="Times New Roman" w:cs="Times New Roman"/>
        </w:rPr>
      </w:pPr>
    </w:p>
    <w:tbl>
      <w:tblPr>
        <w:tblStyle w:val="TableGrid"/>
        <w:tblW w:w="9946" w:type="dxa"/>
        <w:tblInd w:w="108" w:type="dxa"/>
        <w:tblLayout w:type="fixed"/>
        <w:tblLook w:val="04A0" w:firstRow="1" w:lastRow="0" w:firstColumn="1" w:lastColumn="0" w:noHBand="0" w:noVBand="1"/>
      </w:tblPr>
      <w:tblGrid>
        <w:gridCol w:w="9946"/>
      </w:tblGrid>
      <w:tr w:rsidR="00426FE9">
        <w:tc>
          <w:tcPr>
            <w:tcW w:w="9946" w:type="dxa"/>
          </w:tcPr>
          <w:p w:rsidR="00426FE9" w:rsidRDefault="00D0590D">
            <w:pPr>
              <w:spacing w:after="0" w:line="240" w:lineRule="auto"/>
              <w:ind w:firstLine="34"/>
              <w:jc w:val="both"/>
              <w:rPr>
                <w:rFonts w:ascii="Times New Roman" w:eastAsia="SimSun" w:hAnsi="Times New Roman" w:cs="Times New Roman"/>
                <w:b/>
                <w:i/>
                <w:color w:val="AA2B1E" w:themeColor="accent2"/>
              </w:rPr>
            </w:pPr>
            <w:r>
              <w:rPr>
                <w:rFonts w:ascii="Times New Roman" w:eastAsia="SimSun" w:hAnsi="Times New Roman" w:cs="Times New Roman"/>
                <w:b/>
                <w:i/>
                <w:color w:val="AA2B1E" w:themeColor="accent2"/>
              </w:rPr>
              <w:t>2100.02.00 ПОЛИТИКА ЗА ПОДОБРЯВАНЕ НА ИНВЕСТИЦИОННИЯ ПРОЦЕС, ПОДДЪРЖАНЕ, МОДЕРНИЗАЦИЯ И ИЗГРАЖДАНЕ НА ТЕХНИЧЕСКАТА ИНФРАСТРУКТУРА</w:t>
            </w:r>
          </w:p>
        </w:tc>
      </w:tr>
    </w:tbl>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Една от стратегическите визии на изпълняваната политика от </w:t>
      </w:r>
      <w:r>
        <w:rPr>
          <w:rFonts w:ascii="Times New Roman" w:eastAsia="Times New Roman" w:hAnsi="Times New Roman" w:cs="Times New Roman"/>
          <w:b/>
          <w:i/>
          <w:lang w:eastAsia="bg-BG"/>
        </w:rPr>
        <w:t xml:space="preserve">министъра на регионалното развитие и благоустройството, чрез Агенция „Пътна инфраструктура“, </w:t>
      </w:r>
      <w:r>
        <w:rPr>
          <w:rFonts w:ascii="Times New Roman" w:eastAsia="Times New Roman" w:hAnsi="Times New Roman" w:cs="Times New Roman"/>
          <w:lang w:eastAsia="bg-BG"/>
        </w:rPr>
        <w:t xml:space="preserve"> е България да има устойчива пътна мрежа, интегрирана в Европейската транспортна система с оглед ускоряване икономическото развитие на страната ни, като основен приоритет е България да стане привлекателен транспортен хъб.</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Съгласно регламент (ЕС) №1315/2013 на Европейския парламент и на съвета на от 11 декември 2013 година, относно насоките на Съюза за развитието на трансевропейската пътна мрежа и за отмяна на Решение № 661/2010/ЕС, последно обновен с Делегиран регламент (ЕС) 2019/254 на Комисията от 9 Ноември 2019 г., са описани и зададени общите срокове и критерии за развитие на основната и широкообхватна (разширената) трансевропейска транспортна мрежа.</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Основната цел на изпълняваната от АПИ политика е описана в Национална програма за развитие БЪЛГАРИЯ 2030, приета с протокол №67 на Министерски съвет от 02.12.2020 г., като през периода 2024-2028 г. ще продължи да бъде осигуряването на по-добра свързаност и достъпност между населените места в страната. Усилията за подобряване на съществуващата инфраструктура за автомобилен транспорт ще </w:t>
      </w:r>
      <w:r>
        <w:rPr>
          <w:rFonts w:ascii="Times New Roman" w:eastAsia="Times New Roman" w:hAnsi="Times New Roman" w:cs="Times New Roman"/>
          <w:lang w:eastAsia="bg-BG"/>
        </w:rPr>
        <w:lastRenderedPageBreak/>
        <w:t>доведат до подобряване на условията за бизнес и търговия, като същевременно способстват и за постигането на по-високо ниво на безопасност в транспортната система на страната. Приоритетът ще има значителна роля в изпълнението на Цел 3 „Осигуряване на здравословен живот и насърчаване благосъстоянието на всички във всяка възраст“ и Цел 11 „Превръщане на градовете и селищата в приобщаващи, безопасни, адаптивни и устойчиви места за живеене“ от Целите за устойчиво развитие на ООН. Ефективното поддържане, модернизация и развитие на транспортната инфраструктура е приоритет, включващ конкретни цели и мерки за реализирането му.</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Усилията за подобряване на качеството на пътната инфраструктура в страната, както и за осигуряването на по-ефективни транспортни услуги и безопасна универсална мобилност, ще бъдат продължени от АПИ. Приоритет ще бъде навременното изграждане на Трансевропейската пътна мрежа, включително доизграждането и поддържането на изградените отсечки. От основно значение ще бъде доизграждането на магистрални пътища по най-важните направления на страната. Досега изградените магистрали се намират основно в южната част на страната, поради което завършването на магистрала „Хемус“ ще има изключително значение за развитието на икономиката на Северна България и целия транспортен сектор. Интервенции ще бъдат насочени и към подобряване на качеството на пътищата, включително общинските пътища. Ще продължат усилията за подобряване на свързаността с Румъния, чрез изграждането на нови мостови съоръжения над р. Дунав.</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Освен към подобряване на качеството на наличната транспортна инфраструктура, АПИ ще продължи работата по внедряване на интелигентни транспортни системи в сектора, както и по въвеждане на цифрово предаване на информация за товарни превози, което ще допринесе за намаляване на административната тежест и подобряване на логистичните операции.</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От основно значение ще бъде доизграждането на магистрални пътища по най-важните направления на страната. Досега изградените магистрали се намират основно в южната част на страната, поради което завършването на магистрала „Хемус“ ще има изключително значение за развитието на икономиката на Северна България и целия транспортен сектор. В тази връзка продължава изграждането и завършването в цялост по направлението „Видин-Ботевград“, което ще доведе до развитието на икономиката в северозападната част на страната.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Завършването на АМ „Струма“, като част от Ориент/Източно-средиземноморския коридор от основната TEN-T мрежа, предлага най-краткия маршрут за връзка между р. Дунав и Егейско море и има важна роля за връзката между България, Румъния и Гърция.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Не на последно място ще се подобрят условията и предпоставките за повишаване на пътната безопасност и опазване на околната среда. Като част от пътните артерии, автомагистралните и скоростни трасета имат голяма значение за интегрирането на Националната транспортна инфраструктура в Европейската транспортна система.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Продължаване на дейностите по доизграждане на АМ „Европа“, което ще доведе до   подобряване на връзката с Република Сърбия и западните части на Балканския полуостров.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Проект от транспортната инфраструктура от взаимен интерес за Република България и Република Северна Македония е изграждането на модерно трасе по направлението Гюешево - Кюстендил - Дупница, с което ще се осигури комфортна връзка между Трансевропейски транспортен коридор „Ориент/Източно Средиземноморски“ (АМ „Струма“) и границата с Република Северна Македония при ГКПП Гюешево. Пътната отсечка ще обслужва транзитно преминаващия вътрешен и международен тежкотоварен трафик от България към Северна Македония, Албания и Адриатика и ще предостави достъп от Западна Европа към пристанищните градове Варна и Бургас. Скоростната отсечка по направлението „Гюешево – Кюстендил – Дупница“  е алтернативно трасе на път I-6 Граница Северна Македония - о.п. Кюстендил - Перник и път II-62 О.п. Кюстендил - о.п. Дупница - Самоков. В резултат на идейно проектиране, което предстои да бъде възложено, ще бъдат проучени вариантите за възможно трасе. След определянето на целесъобразно трасе от технико-икономическа и екологична гледна точка, ще бъде възложено и извършено същинското техническо проектиране. Реализацията на скоростната отсечка следва да се завърши до 2030 г., с оглед  задълженията на Република  България по европейските регламенти и директиви за транспортна свързаност.</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 направление Пловдив - Смолян е предвидено изготвяне на прединвестиционно проучване за скоростно трасе и изработване на технически проект за изграждане на трета лента на път </w:t>
      </w:r>
      <w:r>
        <w:rPr>
          <w:rFonts w:ascii="Times New Roman" w:eastAsia="Times New Roman" w:hAnsi="Times New Roman" w:cs="Times New Roman"/>
          <w:lang w:val="en-US" w:eastAsia="bg-BG"/>
        </w:rPr>
        <w:t>II-</w:t>
      </w:r>
      <w:r>
        <w:rPr>
          <w:rFonts w:ascii="Times New Roman" w:eastAsia="Times New Roman" w:hAnsi="Times New Roman" w:cs="Times New Roman"/>
          <w:lang w:eastAsia="bg-BG"/>
        </w:rPr>
        <w:t xml:space="preserve">86 Асеновград – Смолян в три участъка.  </w:t>
      </w:r>
    </w:p>
    <w:p w:rsidR="00426FE9" w:rsidRDefault="00D0590D">
      <w:pPr>
        <w:spacing w:after="0" w:line="240" w:lineRule="auto"/>
        <w:ind w:right="46" w:firstLine="567"/>
        <w:jc w:val="both"/>
        <w:rPr>
          <w:rFonts w:ascii="Times New Roman" w:eastAsia="Times New Roman" w:hAnsi="Times New Roman" w:cs="Times New Roman"/>
          <w:b/>
          <w:lang w:eastAsia="bg-BG"/>
        </w:rPr>
      </w:pPr>
      <w:r>
        <w:rPr>
          <w:rFonts w:ascii="Times New Roman" w:eastAsia="Times New Roman" w:hAnsi="Times New Roman" w:cs="Times New Roman"/>
          <w:b/>
          <w:lang w:eastAsia="bg-BG"/>
        </w:rPr>
        <w:lastRenderedPageBreak/>
        <w:t xml:space="preserve">Развитие при изграждането по вертикалните направления север-юг: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Русе-Велико Търново – граница Република Гърция и Турция по направлението на основната Транс-европейска пътна мрежа;</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АМ „Черно море“ - продължаване на дейностите по проектиране и осигуряване на необходимата проектна готовност за стартиране на строителство в участъка Варна-Бургас и паралелен анализ с нейното продължаване в посока транспортна свързаност север с Република Румъния и посока юг с Република Турция. Предвижда се изграждане на ново мостово съоръжение над Варненско – Белославското езеро (алтернатива на Аспарухов мост) и тунелно преминаване през Стара планина. През 2023 г. предстои завършване и въвеждане в експлоатация на обходния път на гр. Бургас, с дължина 4,683 км.</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Подобряване на пресичането през Стара планина по маршрута Монтана – София чрез изграждане на тунел под прохода Петрохан.</w:t>
      </w:r>
    </w:p>
    <w:p w:rsidR="00426FE9" w:rsidRDefault="00D0590D">
      <w:pPr>
        <w:spacing w:after="0" w:line="240" w:lineRule="auto"/>
        <w:ind w:right="46" w:firstLine="567"/>
        <w:jc w:val="both"/>
        <w:rPr>
          <w:rFonts w:ascii="Times New Roman" w:eastAsia="Times New Roman" w:hAnsi="Times New Roman" w:cs="Times New Roman"/>
          <w:b/>
          <w:lang w:eastAsia="bg-BG"/>
        </w:rPr>
      </w:pPr>
      <w:r>
        <w:rPr>
          <w:rFonts w:ascii="Times New Roman" w:eastAsia="Times New Roman" w:hAnsi="Times New Roman" w:cs="Times New Roman"/>
          <w:b/>
          <w:lang w:eastAsia="bg-BG"/>
        </w:rPr>
        <w:t>Доизграждането на магистралните и скоростни трасета ще допринесе до затваряне на автомагистралния пръстен на Република България, респективно допълването и разширяването в хоризонтално и вертикално отношение ще доведе до подобряване на транспортната свързаност в страната и връзката със съседните държави.</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Ще продължат усилията за подобряване на свързаността с Румъния, чрез изграждането на нови мостови съоръжения над р. Дунав чрез сключване на Спогодба за подобряване транспортната свързаност между двете държави.</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Развитие при проектирането и изграждането на обходни/околовръстни пътища в</w:t>
      </w:r>
      <w:r>
        <w:rPr>
          <w:rFonts w:ascii="Times New Roman" w:eastAsia="Times New Roman" w:hAnsi="Times New Roman" w:cs="Times New Roman"/>
          <w:b/>
          <w:lang w:eastAsia="bg-BG"/>
        </w:rPr>
        <w:t xml:space="preserve"> </w:t>
      </w:r>
      <w:r>
        <w:rPr>
          <w:rFonts w:ascii="Times New Roman" w:eastAsia="Times New Roman" w:hAnsi="Times New Roman" w:cs="Times New Roman"/>
          <w:lang w:eastAsia="bg-BG"/>
        </w:rPr>
        <w:t xml:space="preserve">градовете  София, Пазарджик, Пловдив, Плевен, Чепеларе, Провадия, Бургас, Петрич, Плевен, Павликени.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Подобряване на свързаността и достъпността до TEN-T мрежата за товари и пътници чрез мерки, финансирани от фондовете на ЕС, чрез дейности по строителство, реконструкция и основен ремонт на първокласни, второкласни и третокласни пътища (извън Трансевропейската транспортна мрежа), които обслужват вътрешно-регионални връзки и осигуряват възможности за развитие на специфичния икономически потенциал, чрез връзка и достъп до TEN-T мрежата. Също и подобряване на съществуващата пътна инфраструктура чрез осигуряване на дейности по основен ремонт и текущо поддържане на републиканската пътна мрежа. </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Освен към подобряване на качеството на наличната транспортна инфраструктура, АПИ ще продължи работата по внедряване на интелигентни транспортни системи в сектора, както и по въвеждане на цифрово предаване на информация за товарни превози, което ще допринесе за намаляване на административната тежест и подобряване на логистичните операции.</w:t>
      </w:r>
    </w:p>
    <w:p w:rsidR="00426FE9" w:rsidRDefault="00D0590D">
      <w:pPr>
        <w:spacing w:after="0" w:line="240" w:lineRule="auto"/>
        <w:ind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Агенция „Пътна инфраструктура“ изпълнява дейности по подобряване ефективността на въведения модел за таксуване за ползване на републиканската пътна мрежа – чрез въвеждане на смесена система: електронна винетка за леки автомобили и ТОЛ такса за изминато разстояние за тежкотоварните автомобили. В средносрочната прогноза основните дейности за изпълнение на целта са проектиране, изграждане и въвеждане на електронна система за събиране на таксите за ползване на републиканската пътна мрежа на база изминато разстояние за превозни средства с обща технически допустима максимална маса над 3,5 т. (ТОЛ) и на база  време за леки автомобили с обща технически допустима максимална маса до 3,5 т. (електронна винетка). От 1 януари 2019 г. започна поетапното въвеждане на ТОЛ системата с въвеждането на т.нар. „електронна винетка“ за леките автомобили, а от 01.03.2020 г. се тарифират и товарните автомобили над 3.5 т. Развитието на политиката е свързано с дейностите по събиране на пътни такси, при прилагане на принципите „Ползвателят плаща“ и „Замърсителят плаща“. Ключова дейност в процеса е осъществяването на ефективен контрол върху ползвателите на платената пътна мрежа. През 2022 г. бе актуализиран  размерът на тол таксите и е определен размер за тол такси за пътища II – ри клас</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който ще даде отражение върху приходите в периода 2025-2027 г. С проекта на постановление на Министерския съвет се цели актуализиране на размера на таксата за изминато разстояние - тол такса за пътни превозни средства по чл. 10б, ал. 3 от ЗП. По този начин ще бъде реализирана целта относно постигане на по-справедливо разпределение на разходите за изграждане на нова и поддръжка на съществуващата пътна инфраструктура в страната в съответствие с принципите „ползвателят/замърсителят плаща“.</w:t>
      </w:r>
    </w:p>
    <w:p w:rsidR="00426FE9" w:rsidRDefault="00D0590D">
      <w:pPr>
        <w:spacing w:after="0" w:line="240" w:lineRule="auto"/>
        <w:ind w:firstLine="567"/>
        <w:jc w:val="both"/>
        <w:rPr>
          <w:rFonts w:ascii="Times New Roman" w:eastAsia="Times New Roman" w:hAnsi="Times New Roman" w:cs="Times New Roman"/>
          <w:color w:val="000000"/>
          <w:lang w:eastAsia="bg-BG"/>
        </w:rPr>
      </w:pPr>
      <w:r>
        <w:rPr>
          <w:rFonts w:ascii="Times New Roman" w:eastAsia="Times New Roman" w:hAnsi="Times New Roman" w:cs="Times New Roman"/>
          <w:b/>
          <w:i/>
          <w:color w:val="000000"/>
          <w:lang w:eastAsia="bg-BG"/>
        </w:rPr>
        <w:t>Министърът на регионалното развитие и благоустройството, чрез дирекция</w:t>
      </w:r>
      <w:r>
        <w:rPr>
          <w:rFonts w:ascii="Times New Roman" w:eastAsia="Times New Roman" w:hAnsi="Times New Roman" w:cs="Times New Roman"/>
          <w:b/>
          <w:i/>
          <w:color w:val="000000"/>
          <w:lang w:val="en-US" w:eastAsia="bg-BG"/>
        </w:rPr>
        <w:t xml:space="preserve"> </w:t>
      </w:r>
      <w:r>
        <w:rPr>
          <w:rFonts w:ascii="Times New Roman" w:eastAsia="Times New Roman" w:hAnsi="Times New Roman" w:cs="Times New Roman"/>
          <w:b/>
          <w:i/>
          <w:color w:val="000000"/>
          <w:lang w:eastAsia="bg-BG"/>
        </w:rPr>
        <w:t>„Водоснабдяване и канализация и благоустройствени дейности“</w:t>
      </w:r>
      <w:r>
        <w:rPr>
          <w:rFonts w:ascii="Times New Roman" w:eastAsia="Times New Roman" w:hAnsi="Times New Roman" w:cs="Times New Roman"/>
          <w:color w:val="000000"/>
          <w:lang w:eastAsia="bg-BG"/>
        </w:rPr>
        <w:t>, е отговорен за координацията,</w:t>
      </w:r>
      <w:r>
        <w:rPr>
          <w:rFonts w:ascii="Times New Roman" w:eastAsia="Times New Roman" w:hAnsi="Times New Roman" w:cs="Times New Roman"/>
          <w:color w:val="000000"/>
          <w:lang w:val="en-US" w:eastAsia="bg-BG"/>
        </w:rPr>
        <w:t xml:space="preserve"> </w:t>
      </w:r>
      <w:r>
        <w:rPr>
          <w:rFonts w:ascii="Times New Roman" w:eastAsia="Times New Roman" w:hAnsi="Times New Roman" w:cs="Times New Roman"/>
          <w:color w:val="000000"/>
          <w:lang w:eastAsia="bg-BG"/>
        </w:rPr>
        <w:t>институционалното взаимодействие, подготовка на проекти</w:t>
      </w:r>
      <w:r>
        <w:rPr>
          <w:rFonts w:ascii="Times New Roman" w:eastAsia="Times New Roman" w:hAnsi="Times New Roman" w:cs="Times New Roman"/>
          <w:color w:val="000000"/>
          <w:lang w:val="en-US" w:eastAsia="bg-BG"/>
        </w:rPr>
        <w:t xml:space="preserve"> </w:t>
      </w:r>
      <w:r>
        <w:rPr>
          <w:rFonts w:ascii="Times New Roman" w:eastAsia="Times New Roman" w:hAnsi="Times New Roman" w:cs="Times New Roman"/>
          <w:color w:val="000000"/>
          <w:lang w:eastAsia="bg-BG"/>
        </w:rPr>
        <w:t xml:space="preserve">в областта на геозащитата, благоустройството и водоснабдяването и канализацията. Осъществява се държавната политика по отношение на развитието на пътната </w:t>
      </w:r>
      <w:r>
        <w:rPr>
          <w:rFonts w:ascii="Times New Roman" w:eastAsia="Times New Roman" w:hAnsi="Times New Roman" w:cs="Times New Roman"/>
          <w:color w:val="000000"/>
          <w:lang w:eastAsia="bg-BG"/>
        </w:rPr>
        <w:lastRenderedPageBreak/>
        <w:t>инфраструктура, вкл. за промени в общинската пътна мрежа. Също така се осъществяват дейности по оказване на подкрепа на местните инициативи за подобряване на транспортното обслужване на населени места, чрез осигуряване на безопасно и комфортно  движение по общинските пътища и на транспортна достъпност на населените места, както и развитие и модернизация на комуникационно-транспортната система на общините.</w:t>
      </w:r>
    </w:p>
    <w:p w:rsidR="00426FE9" w:rsidRDefault="00D0590D">
      <w:pPr>
        <w:spacing w:after="0" w:line="240" w:lineRule="auto"/>
        <w:ind w:firstLine="567"/>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Съгласно Закона за устройство на територията Министерството на регионалното развитие и благоустройството</w:t>
      </w:r>
      <w:r>
        <w:rPr>
          <w:rFonts w:ascii="Times New Roman" w:eastAsia="Times New Roman" w:hAnsi="Times New Roman" w:cs="Times New Roman"/>
          <w:color w:val="000000"/>
          <w:lang w:val="en-US" w:eastAsia="bg-BG"/>
        </w:rPr>
        <w:t xml:space="preserve"> e </w:t>
      </w:r>
      <w:r>
        <w:rPr>
          <w:rFonts w:ascii="Times New Roman" w:eastAsia="Times New Roman" w:hAnsi="Times New Roman" w:cs="Times New Roman"/>
          <w:color w:val="000000"/>
          <w:lang w:eastAsia="bg-BG"/>
        </w:rPr>
        <w:t>отговорно за извършване на дейности по регистриране и мониторинг на свлачищните райони в страната и на районите с ерозионни и абразионни процеси по Дунавското и Черноморското крайбрежие като превантивни мерки, координацията между отделните ведомства, както и за осъществяване на геозащитни мерки и дейности за ограничаване на свлачищата, ерозионните процеси по Дунавското крайбрежие и абразионните процеси по Черноморското крайбрежие.</w:t>
      </w:r>
    </w:p>
    <w:p w:rsidR="00426FE9" w:rsidRDefault="00D0590D">
      <w:pPr>
        <w:spacing w:after="0" w:line="240" w:lineRule="auto"/>
        <w:ind w:firstLine="567"/>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Дирекцията подпомага министъра на регионалното развитие и благоустройството при провеждане на държавната политика в отрасъл „Водоснабдяване и канализация“ на национално ниво.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Визията за развитието на политиката</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е тясно обвързана с мерките</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и с приоритетите на министерството, съгласно стратегическите документи в областта на регионалното развитие, модернизация на пътната инфраструктура и водния сектор, в областта на реализацията на дейностите по благоустройството и геозащитата. Политиката, осъществявана от МРРБ се базира на принципите  на приемственост, ефективност и експертност.</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Развитието на политиката е обвързано с дейности, касаещи подпомагане на процеса на наблюдение и контрол, свързани със стратегическото планиране на инфраструктурни проекти. </w:t>
      </w:r>
    </w:p>
    <w:p w:rsidR="00426FE9" w:rsidRDefault="00D0590D">
      <w:pPr>
        <w:spacing w:after="0" w:line="240" w:lineRule="auto"/>
        <w:ind w:firstLine="567"/>
        <w:jc w:val="both"/>
        <w:rPr>
          <w:rFonts w:ascii="Times New Roman" w:eastAsia="Times New Roman" w:hAnsi="Times New Roman" w:cs="Times New Roman"/>
          <w:bCs/>
          <w:iCs/>
          <w:lang w:eastAsia="bg-BG"/>
        </w:rPr>
      </w:pPr>
      <w:r>
        <w:rPr>
          <w:rFonts w:ascii="Times New Roman" w:eastAsia="Times New Roman" w:hAnsi="Times New Roman" w:cs="Times New Roman"/>
          <w:bCs/>
          <w:iCs/>
          <w:lang w:eastAsia="bg-BG"/>
        </w:rPr>
        <w:t>През периода се предвижда продължаване на започналите в предходни години дейности, насочени към подкрепа на общинските администрации за подобряване на техникоексплоатационното състояние на общинските пътища и улична мрежа.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Със Закона за пътищата на Министерството на регионалното развитие и благоустройството е възложено нормативното актуализиране на списъка на общинските пътища, което е база за осигуряване на необходимата правна основа за трасета от общинските пътища, за които общините могат да кандидатстват за финансиране за подобряване на техникоексплоатационното им състояние.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Предвижда се продължаване на дейността по поддържане/актуализиране на базата данни за състоянието на утвърдените общински пътища </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съгласно Решение №</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236/2007 г. на Министерския съвет за утвърждаване на списък на общинските пътища и последващи негови изменения и допълнения</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 xml:space="preserve">и съоръженията към тях, която е основа за последващи инвестиционни инициативи на общинските администрации за развитието на общинската пътна мрежа, осигуряване на качествена достъпност до населените места в общините и връзките им с общинските  центрове.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Геозащитните мерки и дейности за ограничаване на свлачищата, ерозионните процеси по Дунавското крайбрежие и абразионните процеси по Черноморското крайбрежие, както и дейностите по регистрирането и мониторинга на свлачищните райони в Република България се осъществяват от Министерството на регионалното развитие и благоустройството. Дейностите са в съответствие със съответната програма за управление на РБългария, както и в съответствие с визията, целите и приоритетите на Националната програма за развитие България 2030.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Свлачищата, ерозията</w:t>
      </w:r>
      <w:r>
        <w:rPr>
          <w:rFonts w:ascii="Times New Roman" w:eastAsia="Times New Roman" w:hAnsi="Times New Roman" w:cs="Times New Roman"/>
          <w:lang w:val="en-US" w:eastAsia="bg-BG"/>
        </w:rPr>
        <w:t xml:space="preserve"> </w:t>
      </w:r>
      <w:r>
        <w:rPr>
          <w:rFonts w:ascii="Times New Roman" w:eastAsia="Times New Roman" w:hAnsi="Times New Roman" w:cs="Times New Roman"/>
          <w:lang w:eastAsia="bg-BG"/>
        </w:rPr>
        <w:t xml:space="preserve">по Дунавското крайбрежие и абразията по Черноморското крайбрежие са част от общите геодинамични процеси, които представляват основни елементи на геоложката опасност на страната. Разрушителният ефект на тези процеси и явления се увеличава рязко през последните години поради комплексното взаимодействие на природни и техногенни фактори, включващи промените в климата, урбанизиране на териториите, незаконно строителство и др., поради което е акцентирано през предстоящия период на изпълнението на превантивни мерки и дейности.  </w:t>
      </w:r>
    </w:p>
    <w:p w:rsidR="00426FE9" w:rsidRDefault="00D0590D">
      <w:pPr>
        <w:spacing w:after="0" w:line="240" w:lineRule="auto"/>
        <w:ind w:firstLine="567"/>
        <w:jc w:val="both"/>
        <w:rPr>
          <w:rFonts w:ascii="Times New Roman" w:eastAsia="Times New Roman" w:hAnsi="Times New Roman" w:cs="Times New Roman"/>
          <w:lang w:val="en-US" w:eastAsia="bg-BG"/>
        </w:rPr>
      </w:pPr>
      <w:r>
        <w:rPr>
          <w:rFonts w:ascii="Times New Roman" w:eastAsia="Times New Roman" w:hAnsi="Times New Roman" w:cs="Times New Roman"/>
          <w:lang w:eastAsia="bg-BG"/>
        </w:rPr>
        <w:t>Със Закона за устройство на територията е нормативно възложено на Министерството на регионалното развитие и благоустройството извършване на дейности по регистриране и мониторинг на свлачищните райони в страната и на районите с ерозионни и абразионни процеси по Дунавското и Черноморското крайбрежие като превантивни мерки и координацията между отделните ведомства по въпроси, свързани с геозащитната дейност. МРРБ осъществява и геозащитни мерки и дейности за ограничаване на свлачищата, ерозионните процеси по Дунавското крайбрежие и абразионните процеси по Черноморското крайбрежие.</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lastRenderedPageBreak/>
        <w:t xml:space="preserve">От министъра на регионалното развитие и благоустройството са утвърдени критерии за приоритизация на геозащитни обекти, които ще бъдат прилагани при приоритизиране на постъпили предложения за финансиране от общини.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Предвижда се през периода продължаване на подкрепата на общинските администрации във връзка със започнати в предходни години геозащитни дейности и обекти, свързани с проявени свлачищни, ерозионни и абразионни процеси, и нови такива,  избрани по одобрените  критерии.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 отношение на отрасъл водоснабдяване и канализация (ВиК) се изпълняват дейности по реализацията на инвестиционни проекти в областта на водоснабдяването и канализацията; планиране развитието на ВиК инфраструктурата; дейности, свързани със стратегическото управлението на отрасъла. </w:t>
      </w:r>
    </w:p>
    <w:p w:rsidR="00426FE9" w:rsidRDefault="00D0590D">
      <w:pPr>
        <w:spacing w:after="0" w:line="240" w:lineRule="auto"/>
        <w:ind w:right="46" w:firstLine="567"/>
        <w:jc w:val="both"/>
        <w:rPr>
          <w:rFonts w:ascii="Times New Roman" w:eastAsia="Times New Roman" w:hAnsi="Times New Roman" w:cs="Times New Roman"/>
          <w:lang w:val="ru-RU" w:eastAsia="bg-BG"/>
        </w:rPr>
      </w:pPr>
      <w:r>
        <w:rPr>
          <w:rFonts w:ascii="Times New Roman" w:eastAsia="Times New Roman" w:hAnsi="Times New Roman" w:cs="Times New Roman"/>
          <w:b/>
          <w:i/>
          <w:lang w:eastAsia="bg-BG"/>
        </w:rPr>
        <w:t>Също така, политиката акцентира и върху осигуряване на териториалното развитие, устройството на територията, административно-териториалното устройство, децентрализацията, изграждането и развитието на техническата инфраструктура и благоустрояването на урбанизираните територии</w:t>
      </w:r>
      <w:r>
        <w:rPr>
          <w:rFonts w:ascii="Times New Roman" w:eastAsia="Times New Roman" w:hAnsi="Times New Roman" w:cs="Times New Roman"/>
          <w:lang w:eastAsia="bg-BG"/>
        </w:rPr>
        <w:t xml:space="preserve"> (населени места и селищни образувания), в съответствие с националните стратегически документи, приоритети и програми в сферата на пространственото развитие, пътната инфраструктура, ВиК инфраструктурата и геозащитата.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b/>
          <w:bCs/>
          <w:i/>
          <w:iCs/>
          <w:lang w:eastAsia="bg-BG"/>
        </w:rPr>
        <w:t xml:space="preserve">Министърът </w:t>
      </w:r>
      <w:r>
        <w:rPr>
          <w:rFonts w:ascii="Times New Roman" w:eastAsia="Times New Roman" w:hAnsi="Times New Roman" w:cs="Times New Roman"/>
          <w:b/>
          <w:i/>
          <w:lang w:eastAsia="bg-BG"/>
        </w:rPr>
        <w:t>осъществява и държавната политика по разработването на технически нормативни актове в областта на обследването, проектирането, изпълнението, поддържането и разрушаването на строежите и хармонизиране на актовете с правото на Европейския съюз за създаване на условия за безопасни, енергоефективни и достъпни строежи с устойчиво използване на природните ресурси, както и за подобряване на околната среда в градовете и качеството на живот на гражданите</w:t>
      </w:r>
      <w:r>
        <w:rPr>
          <w:rFonts w:ascii="Times New Roman" w:eastAsia="Times New Roman" w:hAnsi="Times New Roman" w:cs="Times New Roman"/>
          <w:lang w:eastAsia="bg-BG"/>
        </w:rPr>
        <w:t>. Осъществява се управлението на националната система за оценяване на строителните продукти и изпълнява функциите на звено за контакт относно продукти в строителството като подпомага: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подобряването на инвестиционния климат и привличането на чуждестранни инвеститори, осигуряване на свободно движение на строителните продукти на единния европейски пазар, развитието на реален пазар на недвижими имоти, което практически е много тясно свързано с провеждане на политиката по регулиране на отрасъл строителство,  с изграждането на устойчива жизнена среда в т.ч. на основните мрежи на транспортната, енергийната, водностопанската и съобщителната инфраструктура и обвързването им с тези на съседните страни и общоевропейската инфраструктурна система;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подкрепата за фирмите, създаващи иновативни продукти чрез създаване на условия за конкурентоспособност и развитие на българския бизнес и насърчаване на инвестициите в модерни и иновативни производства, които създават нови работни места.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Дейността на дирекция ТПН е свързана с изпълнение на приоритет П10 Институционална рамка, област на въздействие 10.2 Регулаторна политика в полза на икономическото развитие от  Национална програма за развитие БЪРГАРИЯ 2030.</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Националната програма за развитие БЪЛГАРИЯ 2030 е рамков стратегически документ от най-висок порядък в йерархията на националните програмни документи, детерминиращ визията и общите цели на политиките за развитие във всички сектори на държавното управление, включително техните териториални измерения.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i/>
          <w:lang w:eastAsia="bg-BG"/>
        </w:rPr>
        <w:t>В този ключов стратегически документ за развитието на България през следващото десетилетие се посочва, че „Качеството на регулаторната рамка е от изключителна важност за повишаването на икономическия растеж, подобряване ефективността на публичния сектор и повишаване на доверието между гражданите, бизнеса и институциите. Коректното регулиране и насърчаването на нови регулаторни подходи ще бъде ключово през следващия период.“</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Качеството на регулаторната рамка е инструмент за повишаването на икономическия растеж, подобряване ефективността на публичния сектор и повишаване на доверието между гражданите, бизнеса и институциите. Коректното регулиране и насърчаването на нови регулаторни подходи ще бъде ключово през следващия период:</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Интелигентна регулаторна политика;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Административен контрол</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Дирекция ТПН извършва дейност в следните  области на въздействие по П10 от националната програма за развитие БЪЛГАРИЯ 2030 г.:</w:t>
      </w:r>
    </w:p>
    <w:p w:rsidR="00426FE9" w:rsidRDefault="00D0590D">
      <w:pPr>
        <w:numPr>
          <w:ilvl w:val="0"/>
          <w:numId w:val="20"/>
        </w:numPr>
        <w:tabs>
          <w:tab w:val="left" w:pos="709"/>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10.2.а Интелигентна регулаторна политика;</w:t>
      </w:r>
    </w:p>
    <w:p w:rsidR="00426FE9" w:rsidRDefault="00D0590D">
      <w:pPr>
        <w:numPr>
          <w:ilvl w:val="0"/>
          <w:numId w:val="20"/>
        </w:numPr>
        <w:tabs>
          <w:tab w:val="left" w:pos="709"/>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10.2.б Административен контрол</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lastRenderedPageBreak/>
        <w:t>Дирекция ТПН разработва технически нормативни актове в изпълнение на програмния формат на бюджета. Част от предложенията за промени в нормативните актове, за които се изисква висококвалифицирана експертиза се разработват с бюджетни средства съгласно утвърдения годишен бюджет на дирекцията. Документите или промените в действащи нормативни актове, за които не се изисква висококвалифицирана експертиза или не може да се осигури финансиране, се разработват в работни групи без бюджетни средства. Всяка година се наблюдава недостиг в бюджета на дирекция ТПН за обезпечаване на важна нейна функция - ръководството на научноизследователската дейност и приложните научни изследвания, които са необходими за определяне на националните норми, правила, нива и параметри, свързани с прилагането на европейските стандарти, регламенти и директиви за обследване, проектиране, изграждане и поддържане на строежите. Дирекция ТПН участва в заседания на Европейската комисия, свързани с хармонизиране на националното законодателство с европейското, а също така и при разработването и отчитането на национални стратегически документи за изпълнение на политики на Европейския съюз свързани с енергетика и климат, енергийна ефективност, пътна безопасност и пътно строителство, стратегически документи за хора с увреждания, дигитална реформа в строителния сектор, защита от радон и др.</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Дирекция ТПН извършва административна услуга: АУ34 (2212) – Издаване на разрешение за оценяване на строителни продукти и на разрешение за издаване на технически одобрения и оценки на строителни продукти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на Съвета – Глава V и Глава VII; чл. 9, ал. 2, т. 3 от Закона за техническите изисквания към продуктите (ЗТИП); чл. 17, ал. 1, т. 2 от Наредба № РД-02-20-1 от 5 февруари 2015 г. за условията и реда за влагане на строителни продукти в строежите на Република България). Административната услуга се извършва с бюджетни средства, отделно от предвидените в поименното разпределение на разходите по задачи за съответната година на дирекция ТПН. За извършваната административна услуга се събират такси съгласно Тарифа № 14 за таксите, които се събират в системата на МРРБ и от областните управители.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Също така, </w:t>
      </w:r>
      <w:r>
        <w:rPr>
          <w:rFonts w:ascii="Times New Roman" w:eastAsia="Times New Roman" w:hAnsi="Times New Roman" w:cs="Times New Roman"/>
          <w:b/>
          <w:i/>
          <w:lang w:eastAsia="bg-BG"/>
        </w:rPr>
        <w:t>друга важна цел на п</w:t>
      </w:r>
      <w:r>
        <w:rPr>
          <w:rFonts w:ascii="Times New Roman" w:eastAsia="Times New Roman" w:hAnsi="Times New Roman" w:cs="Times New Roman"/>
          <w:b/>
          <w:bCs/>
          <w:i/>
          <w:lang w:eastAsia="bg-BG"/>
        </w:rPr>
        <w:t>олитиката</w:t>
      </w:r>
      <w:r>
        <w:rPr>
          <w:rFonts w:ascii="Times New Roman" w:eastAsia="Times New Roman" w:hAnsi="Times New Roman" w:cs="Times New Roman"/>
          <w:bCs/>
          <w:lang w:eastAsia="bg-BG"/>
        </w:rPr>
        <w:t xml:space="preserve"> за подобряване на инвестиционния процес, поддържане, модернизация и изграждане на техническата инфраструктура</w:t>
      </w:r>
      <w:r>
        <w:rPr>
          <w:rFonts w:ascii="Times New Roman" w:eastAsia="Times New Roman" w:hAnsi="Times New Roman" w:cs="Times New Roman"/>
          <w:lang w:eastAsia="bg-BG"/>
        </w:rPr>
        <w:t xml:space="preserve"> </w:t>
      </w:r>
      <w:r>
        <w:rPr>
          <w:rFonts w:ascii="Times New Roman" w:eastAsia="Times New Roman" w:hAnsi="Times New Roman" w:cs="Times New Roman"/>
          <w:b/>
          <w:i/>
          <w:lang w:eastAsia="bg-BG"/>
        </w:rPr>
        <w:t>е да се осигури изпълнение на строежи, гарантиращи безопасни и здравословни условия в икономически обоснован експлоатационен срок</w:t>
      </w:r>
      <w:r>
        <w:rPr>
          <w:rFonts w:ascii="Times New Roman" w:eastAsia="Times New Roman" w:hAnsi="Times New Roman" w:cs="Times New Roman"/>
          <w:lang w:eastAsia="bg-BG"/>
        </w:rPr>
        <w:t>. ДНСК упражнява контрол по спазването на Закона за устройство на територията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 Структурата 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Извън обхвата на контролната дейност на ДНСК са специалните строежи, свързани с отбраната и сигурността на страната, които се контролират съответно от министъра на отбраната и министъра на вътрешните работи.</w:t>
      </w:r>
    </w:p>
    <w:p w:rsidR="00426FE9" w:rsidRDefault="00D0590D">
      <w:pPr>
        <w:spacing w:after="0" w:line="240" w:lineRule="auto"/>
        <w:ind w:firstLine="567"/>
        <w:jc w:val="both"/>
        <w:rPr>
          <w:rFonts w:ascii="Times New Roman" w:eastAsia="Times New Roman" w:hAnsi="Times New Roman" w:cs="Times New Roman"/>
          <w:lang w:val="en-US" w:eastAsia="bg-BG"/>
        </w:rPr>
      </w:pPr>
      <w:r>
        <w:rPr>
          <w:rFonts w:ascii="Times New Roman" w:eastAsia="Times New Roman" w:hAnsi="Times New Roman" w:cs="Times New Roman"/>
          <w:lang w:eastAsia="bg-BG"/>
        </w:rPr>
        <w:t>ДНСК се ръководи и представлява от началник, чиято цел е ограничаване на последствията от извършеното незаконно строителство и осъществяване на превантивен контрол за недопускане на нарушения на нормативната уредба по устройство на територията.</w:t>
      </w:r>
    </w:p>
    <w:p w:rsidR="00426FE9" w:rsidRDefault="00D0590D">
      <w:pPr>
        <w:spacing w:after="0" w:line="240" w:lineRule="auto"/>
        <w:ind w:firstLine="567"/>
        <w:jc w:val="both"/>
        <w:rPr>
          <w:rFonts w:ascii="Times New Roman" w:eastAsia="Times New Roman" w:hAnsi="Times New Roman" w:cs="Times New Roman"/>
          <w:b/>
          <w:i/>
          <w:lang w:eastAsia="bg-BG"/>
        </w:rPr>
      </w:pPr>
      <w:r>
        <w:rPr>
          <w:rFonts w:ascii="Times New Roman" w:eastAsia="Times New Roman" w:hAnsi="Times New Roman" w:cs="Times New Roman"/>
          <w:b/>
          <w:i/>
          <w:lang w:eastAsia="bg-BG"/>
        </w:rPr>
        <w:t>Министърът, чрез Агенция по геодезия, картография и кадастър</w:t>
      </w:r>
      <w:r>
        <w:rPr>
          <w:rFonts w:ascii="Times New Roman" w:eastAsia="Times New Roman" w:hAnsi="Times New Roman" w:cs="Times New Roman"/>
          <w:lang w:eastAsia="bg-BG"/>
        </w:rPr>
        <w:t xml:space="preserve">, </w:t>
      </w:r>
      <w:r>
        <w:rPr>
          <w:rFonts w:ascii="Times New Roman" w:eastAsia="Times New Roman" w:hAnsi="Times New Roman" w:cs="Times New Roman"/>
          <w:b/>
          <w:i/>
          <w:lang w:eastAsia="bg-BG"/>
        </w:rPr>
        <w:t xml:space="preserve">осигурява и поддържа в национален мащаб на актуални и качествени пространствени данни, съответстващи на световните и европейски стандарти, за обезпечаване нуждите на всички потребители, подобряване на инвестиционния процес и създаване на основа за устойчиво интегрирано регионално развитие. </w:t>
      </w:r>
    </w:p>
    <w:p w:rsidR="00241808" w:rsidRPr="00241808" w:rsidRDefault="00241808" w:rsidP="00241808">
      <w:pPr>
        <w:spacing w:after="0" w:line="240" w:lineRule="auto"/>
        <w:ind w:right="-3" w:firstLine="567"/>
        <w:jc w:val="both"/>
        <w:rPr>
          <w:rFonts w:ascii="Times New Roman" w:eastAsia="Times New Roman" w:hAnsi="Times New Roman" w:cs="Times New Roman"/>
          <w:lang w:eastAsia="bg-BG"/>
        </w:rPr>
      </w:pPr>
      <w:r w:rsidRPr="00241808">
        <w:rPr>
          <w:rFonts w:ascii="Times New Roman" w:eastAsia="Times New Roman" w:hAnsi="Times New Roman" w:cs="Times New Roman"/>
          <w:lang w:eastAsia="bg-BG"/>
        </w:rPr>
        <w:t>Основни приоритети на АГКК са: покриване на територията на страната с кадастрална карта, подобряване на качеството на услугите за клиентите с геоинформация, увеличаване дела на електронните услуги, създаване на цялостен електронен геоинформационен архив</w:t>
      </w:r>
      <w:r w:rsidRPr="00241808">
        <w:rPr>
          <w:rFonts w:ascii="Times New Roman" w:eastAsia="Times New Roman" w:hAnsi="Times New Roman" w:cs="Times New Roman"/>
          <w:lang w:val="en-US" w:eastAsia="bg-BG"/>
        </w:rPr>
        <w:t xml:space="preserve"> </w:t>
      </w:r>
      <w:r w:rsidRPr="00241808">
        <w:rPr>
          <w:rFonts w:ascii="Times New Roman" w:eastAsia="Times New Roman" w:hAnsi="Times New Roman" w:cs="Times New Roman"/>
          <w:lang w:eastAsia="bg-BG"/>
        </w:rPr>
        <w:t>съдържащ всички картографски материали налични в Геокартфонд на АГКК, поддържане на адекватна нормативна уредба, текущо обновяване на картните материали и необходимите за нуждите на устройственото планиране, проектирането и строителството масиви от данни за цифрова едромащабна топографска карта (ЕТК), поддържане на Държавната нивелачна и Държавната гравиметрична мрежи, мареографните станции, геодезическите мрежи с местно предназначение и др.</w:t>
      </w:r>
    </w:p>
    <w:p w:rsidR="00241808" w:rsidRPr="00241808" w:rsidRDefault="00241808" w:rsidP="00241808">
      <w:pPr>
        <w:spacing w:after="0" w:line="240" w:lineRule="auto"/>
        <w:ind w:right="-3" w:firstLine="567"/>
        <w:jc w:val="both"/>
        <w:rPr>
          <w:rFonts w:ascii="Times New Roman" w:eastAsia="Times New Roman" w:hAnsi="Times New Roman" w:cs="Times New Roman"/>
          <w:lang w:eastAsia="bg-BG"/>
        </w:rPr>
      </w:pPr>
      <w:r w:rsidRPr="00241808">
        <w:rPr>
          <w:rFonts w:ascii="Times New Roman" w:eastAsia="Times New Roman" w:hAnsi="Times New Roman" w:cs="Times New Roman"/>
          <w:lang w:eastAsia="bg-BG"/>
        </w:rPr>
        <w:lastRenderedPageBreak/>
        <w:tab/>
        <w:t>В резултат на изпълнението на дейности по геодезия, картография и кадастър се очаква в периода 202</w:t>
      </w:r>
      <w:r w:rsidRPr="00241808">
        <w:rPr>
          <w:rFonts w:ascii="Times New Roman" w:eastAsia="Times New Roman" w:hAnsi="Times New Roman" w:cs="Times New Roman"/>
          <w:lang w:val="en-US" w:eastAsia="bg-BG"/>
        </w:rPr>
        <w:t>6</w:t>
      </w:r>
      <w:r w:rsidRPr="00241808">
        <w:rPr>
          <w:rFonts w:ascii="Times New Roman" w:eastAsia="Times New Roman" w:hAnsi="Times New Roman" w:cs="Times New Roman"/>
          <w:lang w:eastAsia="bg-BG"/>
        </w:rPr>
        <w:t>-2028 г. броят на извършваните от АГКК услуги и съответно приходите от тях да са както следва:</w:t>
      </w:r>
    </w:p>
    <w:p w:rsidR="00241808" w:rsidRPr="00241808" w:rsidRDefault="00241808" w:rsidP="004F30BC">
      <w:pPr>
        <w:numPr>
          <w:ilvl w:val="0"/>
          <w:numId w:val="94"/>
        </w:numPr>
        <w:spacing w:after="0" w:line="240" w:lineRule="auto"/>
        <w:ind w:left="0" w:right="-3" w:firstLine="567"/>
        <w:jc w:val="both"/>
        <w:rPr>
          <w:rFonts w:ascii="Times New Roman" w:eastAsia="Times New Roman" w:hAnsi="Times New Roman" w:cs="Times New Roman"/>
          <w:lang w:eastAsia="bg-BG"/>
        </w:rPr>
      </w:pPr>
      <w:r w:rsidRPr="00241808">
        <w:rPr>
          <w:rFonts w:ascii="Times New Roman" w:eastAsia="Times New Roman" w:hAnsi="Times New Roman" w:cs="Times New Roman"/>
          <w:lang w:eastAsia="bg-BG"/>
        </w:rPr>
        <w:t xml:space="preserve">Брой на извършените услуги: 2026 г. – </w:t>
      </w:r>
      <w:r w:rsidRPr="00241808">
        <w:rPr>
          <w:rFonts w:ascii="Times New Roman" w:eastAsia="Times New Roman" w:hAnsi="Times New Roman" w:cs="Times New Roman"/>
          <w:lang w:val="en-US" w:eastAsia="bg-BG"/>
        </w:rPr>
        <w:t>3</w:t>
      </w:r>
      <w:r w:rsidRPr="00241808">
        <w:rPr>
          <w:rFonts w:ascii="Times New Roman" w:eastAsia="Times New Roman" w:hAnsi="Times New Roman" w:cs="Times New Roman"/>
          <w:lang w:eastAsia="bg-BG"/>
        </w:rPr>
        <w:t>.</w:t>
      </w:r>
      <w:r w:rsidRPr="00241808">
        <w:rPr>
          <w:rFonts w:ascii="Times New Roman" w:eastAsia="Times New Roman" w:hAnsi="Times New Roman" w:cs="Times New Roman"/>
          <w:lang w:val="en-US" w:eastAsia="bg-BG"/>
        </w:rPr>
        <w:t>00</w:t>
      </w:r>
      <w:r w:rsidRPr="00241808">
        <w:rPr>
          <w:rFonts w:ascii="Times New Roman" w:eastAsia="Times New Roman" w:hAnsi="Times New Roman" w:cs="Times New Roman"/>
          <w:lang w:eastAsia="bg-BG"/>
        </w:rPr>
        <w:t xml:space="preserve"> млн. бр., 2027 г. – </w:t>
      </w:r>
      <w:r w:rsidRPr="00241808">
        <w:rPr>
          <w:rFonts w:ascii="Times New Roman" w:eastAsia="Times New Roman" w:hAnsi="Times New Roman" w:cs="Times New Roman"/>
          <w:lang w:val="en-US" w:eastAsia="bg-BG"/>
        </w:rPr>
        <w:t>3</w:t>
      </w:r>
      <w:r w:rsidRPr="00241808">
        <w:rPr>
          <w:rFonts w:ascii="Times New Roman" w:eastAsia="Times New Roman" w:hAnsi="Times New Roman" w:cs="Times New Roman"/>
          <w:lang w:eastAsia="bg-BG"/>
        </w:rPr>
        <w:t>.</w:t>
      </w:r>
      <w:r w:rsidRPr="00241808">
        <w:rPr>
          <w:rFonts w:ascii="Times New Roman" w:eastAsia="Times New Roman" w:hAnsi="Times New Roman" w:cs="Times New Roman"/>
          <w:lang w:val="en-US" w:eastAsia="bg-BG"/>
        </w:rPr>
        <w:t>00</w:t>
      </w:r>
      <w:r w:rsidRPr="00241808">
        <w:rPr>
          <w:rFonts w:ascii="Times New Roman" w:eastAsia="Times New Roman" w:hAnsi="Times New Roman" w:cs="Times New Roman"/>
          <w:lang w:eastAsia="bg-BG"/>
        </w:rPr>
        <w:t xml:space="preserve"> млн. бр. и 2028 г. – </w:t>
      </w:r>
      <w:r w:rsidRPr="00241808">
        <w:rPr>
          <w:rFonts w:ascii="Times New Roman" w:eastAsia="Times New Roman" w:hAnsi="Times New Roman" w:cs="Times New Roman"/>
          <w:lang w:val="en-US" w:eastAsia="bg-BG"/>
        </w:rPr>
        <w:t>3</w:t>
      </w:r>
      <w:r w:rsidRPr="00241808">
        <w:rPr>
          <w:rFonts w:ascii="Times New Roman" w:eastAsia="Times New Roman" w:hAnsi="Times New Roman" w:cs="Times New Roman"/>
          <w:lang w:eastAsia="bg-BG"/>
        </w:rPr>
        <w:t>.00 млн. бр.;</w:t>
      </w:r>
    </w:p>
    <w:p w:rsidR="00241808" w:rsidRPr="00241808" w:rsidRDefault="00241808" w:rsidP="004F30BC">
      <w:pPr>
        <w:numPr>
          <w:ilvl w:val="0"/>
          <w:numId w:val="94"/>
        </w:numPr>
        <w:spacing w:after="0" w:line="240" w:lineRule="auto"/>
        <w:ind w:left="0" w:right="-3" w:firstLine="567"/>
        <w:jc w:val="both"/>
        <w:rPr>
          <w:rFonts w:ascii="Times New Roman" w:eastAsia="Times New Roman" w:hAnsi="Times New Roman" w:cs="Times New Roman"/>
          <w:lang w:eastAsia="bg-BG"/>
        </w:rPr>
      </w:pPr>
      <w:r w:rsidRPr="00241808">
        <w:rPr>
          <w:rFonts w:ascii="Times New Roman" w:eastAsia="Times New Roman" w:hAnsi="Times New Roman" w:cs="Times New Roman"/>
          <w:lang w:eastAsia="bg-BG"/>
        </w:rPr>
        <w:t>Приходи от извършените услуги: 2026 г. – 12.8 млн. евро., 2027 г. – 12.8</w:t>
      </w:r>
      <w:r w:rsidRPr="00241808">
        <w:rPr>
          <w:rFonts w:ascii="Times New Roman" w:eastAsia="Times New Roman" w:hAnsi="Times New Roman" w:cs="Times New Roman"/>
          <w:lang w:val="en-US" w:eastAsia="bg-BG"/>
        </w:rPr>
        <w:t xml:space="preserve"> </w:t>
      </w:r>
      <w:r w:rsidRPr="00241808">
        <w:rPr>
          <w:rFonts w:ascii="Times New Roman" w:eastAsia="Times New Roman" w:hAnsi="Times New Roman" w:cs="Times New Roman"/>
          <w:lang w:eastAsia="bg-BG"/>
        </w:rPr>
        <w:t>млн. евро., и 2028 г. – 12.8 млн. евро.</w:t>
      </w:r>
    </w:p>
    <w:p w:rsidR="00426FE9" w:rsidRDefault="00D0590D">
      <w:pPr>
        <w:spacing w:after="0" w:line="240" w:lineRule="auto"/>
        <w:ind w:right="-3" w:firstLine="567"/>
        <w:jc w:val="both"/>
        <w:rPr>
          <w:rFonts w:ascii="Times New Roman" w:hAnsi="Times New Roman" w:cs="Times New Roman"/>
          <w:b/>
          <w:i/>
          <w:color w:val="0000CC"/>
        </w:rPr>
      </w:pPr>
      <w:r>
        <w:rPr>
          <w:rFonts w:ascii="Times New Roman" w:hAnsi="Times New Roman" w:cs="Times New Roman"/>
          <w:b/>
          <w:i/>
          <w:color w:val="0000CC"/>
        </w:rPr>
        <w:t>Стратегически и оперативни цели</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Развитие на устойчива пътна инфраструктура;</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Интеграция на пътната инфраструктура в Европейската транспортна мрежа;</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Подобряване на безопасността на пътната инфраструктура;</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 xml:space="preserve">Ефективно управление на пътния сектор. </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Привеждане на пътната инфраструктура в устойчиво състояние;</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Подобряване достъпността до периферните и слабо урбанизираните територии;</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 xml:space="preserve">Ускорено изграждане на магистралите и интеграция на националната пътна мрежа с европейската транспортна инфраструктура; </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Поддържане и развитие на републиканската пътна инфраструктура в съответствие със съвременните изисквания на автомобилния транспорт чрез изграждане на националната мрежа от магистрали и скоростни пътища, свързването й с европейските транспортни коридори;</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Оптимизиране финансирането на пътния сектор;</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Осигуряване съпоставимо с европейската практика високо ниво на транспортна достъпност на територията на Република България;</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Въвеждане на Планове за управление на околната среда, Мерки за непредвидени замърсявания и Планове за наблюдение на въздействието върху околната среда (съдържащи и описание на организацията за изпълнението), вкл. изисквания по отношение на води, въздух, климат, отпадъци, биоразнообразие и шум, като неразделна част от договорите за строителство;</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Предотвратяване появата и разрастването на свлачищни процеси, на ерозията и абразията на водата и възстановяване на нанесените щети на населените места и техническата инфраструктура;</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 xml:space="preserve">Въвеждане на модел за таксуване за ползване на републиканската пътна мрежа – чрез въвеждане на смесена система: електронна винетка за леки автомобили и тол такса за изминато разстояние за тежкотоварните автомобили. </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Осигуряване на възможност за ефективно управление на смесената система за таксуване на различните категории пътни превозни средства на база време и на база изминато</w:t>
      </w:r>
    </w:p>
    <w:p w:rsidR="00426FE9" w:rsidRDefault="00312639"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Р</w:t>
      </w:r>
      <w:r w:rsidR="00D0590D">
        <w:rPr>
          <w:rFonts w:ascii="Times New Roman" w:eastAsia="SimSun" w:hAnsi="Times New Roman"/>
        </w:rPr>
        <w:t>азстояние и спазване на изискванията за оперативна съвместимост със системите на доставчиците на услуга за електронно събиране на такса</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Осигуряване на добро експлоатационно състояние и ниво на безопасност на съществуващата пътна мрежа. Модернизация и обновяване;</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Превенция и ограничаване на свлачищните процеси на територията на страната и на ерозионните и абразионните процеси по Дунавското и Черноморското крайбрежие;</w:t>
      </w:r>
    </w:p>
    <w:p w:rsidR="00426FE9" w:rsidRDefault="00D0590D" w:rsidP="004F30BC">
      <w:pPr>
        <w:pStyle w:val="ListParagraph"/>
        <w:numPr>
          <w:ilvl w:val="0"/>
          <w:numId w:val="22"/>
        </w:numPr>
        <w:tabs>
          <w:tab w:val="left" w:pos="851"/>
        </w:tabs>
        <w:spacing w:after="0" w:line="240" w:lineRule="auto"/>
        <w:ind w:left="0" w:firstLine="567"/>
        <w:jc w:val="both"/>
        <w:rPr>
          <w:rFonts w:ascii="Times New Roman" w:eastAsia="SimSun" w:hAnsi="Times New Roman"/>
        </w:rPr>
      </w:pPr>
      <w:r>
        <w:rPr>
          <w:rFonts w:ascii="Times New Roman" w:eastAsia="SimSun" w:hAnsi="Times New Roman"/>
        </w:rPr>
        <w:t>Изпълнение на мерки и дейности за ограничаване на свлачищата, ерозионните процеси по Дунавското крайбрежие и абразионните процеси по Черноморското крайбрежие в т.ч. подкрепа на общини за реализирането им.</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rPr>
      </w:pPr>
      <w:r>
        <w:rPr>
          <w:rFonts w:ascii="Times New Roman" w:eastAsia="SimSun" w:hAnsi="Times New Roman"/>
        </w:rPr>
        <w:t>Осигуряване съпоставимо с европейската практика високо ниво на транспортна достъпност на територията на Република България;</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rPr>
      </w:pPr>
      <w:r>
        <w:rPr>
          <w:rFonts w:ascii="Times New Roman" w:eastAsia="SimSun" w:hAnsi="Times New Roman"/>
        </w:rPr>
        <w:t>Качествено транспортно обслужване по общински пътища;</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rPr>
      </w:pPr>
      <w:r>
        <w:rPr>
          <w:rFonts w:ascii="Times New Roman" w:eastAsia="SimSun" w:hAnsi="Times New Roman"/>
        </w:rPr>
        <w:t>Подобряване на качеството на жизнената среда;</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rPr>
      </w:pPr>
      <w:r>
        <w:rPr>
          <w:rFonts w:ascii="Times New Roman" w:eastAsia="SimSun" w:hAnsi="Times New Roman"/>
        </w:rPr>
        <w:t>Нормативна и приложна дейност в областта на общинската пътна инфраструктура;</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rPr>
      </w:pPr>
      <w:r>
        <w:rPr>
          <w:rFonts w:ascii="Times New Roman" w:eastAsia="SimSun" w:hAnsi="Times New Roman"/>
        </w:rPr>
        <w:t>Изпълнение на обекти за осигуряване на транспортна достъпност на населените места и развитие и модернизация на комуникационно-транспортната система на общините;</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rPr>
      </w:pPr>
      <w:r>
        <w:rPr>
          <w:rFonts w:ascii="Times New Roman" w:eastAsia="SimSun" w:hAnsi="Times New Roman"/>
        </w:rPr>
        <w:t>Постигне финансово, технически и  екологично устойчив ВиК отрасъл, който предоставя ВиК услуги с високо качество на социално поносими цени, в съответствие с националното законодателство и европейските директиви в областта на водоснабдяването, отвеждането и пречистването на водите;</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b/>
          <w:i/>
        </w:rPr>
      </w:pPr>
      <w:r>
        <w:rPr>
          <w:rFonts w:ascii="Times New Roman" w:eastAsia="SimSun" w:hAnsi="Times New Roman"/>
        </w:rPr>
        <w:t>Съответствие с европейските директиви в областта на питейните и отпадъчните води;</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b/>
          <w:i/>
        </w:rPr>
      </w:pPr>
      <w:r>
        <w:rPr>
          <w:rFonts w:ascii="Times New Roman" w:eastAsia="SimSun" w:hAnsi="Times New Roman"/>
        </w:rPr>
        <w:t>Повишаване ефективността на инвестициите чрез планиране на регионално ниво;</w:t>
      </w:r>
    </w:p>
    <w:p w:rsidR="00426FE9" w:rsidRDefault="00D0590D" w:rsidP="004F30BC">
      <w:pPr>
        <w:pStyle w:val="ListParagraph"/>
        <w:numPr>
          <w:ilvl w:val="0"/>
          <w:numId w:val="23"/>
        </w:numPr>
        <w:tabs>
          <w:tab w:val="left" w:pos="851"/>
        </w:tabs>
        <w:spacing w:line="240" w:lineRule="auto"/>
        <w:ind w:left="0" w:firstLine="567"/>
        <w:jc w:val="both"/>
        <w:rPr>
          <w:rFonts w:ascii="Times New Roman" w:eastAsia="SimSun" w:hAnsi="Times New Roman"/>
          <w:b/>
          <w:i/>
        </w:rPr>
      </w:pPr>
      <w:r>
        <w:rPr>
          <w:rFonts w:ascii="Times New Roman" w:eastAsia="SimSun" w:hAnsi="Times New Roman"/>
        </w:rPr>
        <w:t>Повишаване ефективността при предоставяне на ВиК услугите;</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Гарантиране на устойчиво развитие на територията на Република България като национално богатство, създаване на благоприятни условия за устойчиво и балансирано икономическо развитие, изграждане, ползване и опазване на хармонична и достъпна среда за живеене, труд и отдих, опазване на околната среда и културно-историческото наследство;</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Устройство на територията на национално ниво, обвързано с общото устойчиво социално-икономическо развитие, националните стратегически документи и програми;</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Създаване на устройствена основа за изграждането на обекти с национално значение/национални обекти, за обекти с обхват повече от една област и обекти на транспортната техническа инфраструктура;</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Усъвършенстване на нормативната уредба в сферата на устройството на територията и  изграждането и поддържане на техническата инфраструктура и геозащитата;</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Гарантиране на устойчиво строителство на територията на Република България чрез създаване на нормативни условия за проектиране, изпълнение и поддържане на безопасни, енергоефективни и достъпни строежи (сгради и строителни съоръжения) и въвеждане и прилагане на европейските регламенти, директиви и стандарти в областта на строителството;</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Създаване на условия за свободно движение на строителните продукти на пазара за влагането им в строежите при осигуряване изпълнението на основните изисквания към строежите;</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Разработване и управление на техническата нормативна уредба за проектиране, изпълнение и поддържане на строежите, хармонизирана с европейското техническо законодателство, в т.ч. с европейските регламенти, директиви и стандарти, свързани с удовлетворяването на основните изисквания към строежите по чл. 169, ал. 1 от Закона за устройство на територията: носимоспособност, пожарна безопасност, хигиена, здраве и околната среда, достъпност и безопасна експлоатация, защита от шум, икономия на енергия и топлосъхранение, енергийна ефективност, устойчиво използване на природните ресурси, в рамките на икономически обоснован експлоатационен срок;</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Осигуряване и управление на система за оправомощаване и ефективен контрол върху дейността на лицата, извършващи оценяване на строителните продукти; </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Защита на националните интереси и отразяването на специфични национални условия при създаването на европейските законодателни актове, свързани със строителните продукти и създаване на национални изисквания за тяхното влагане в строежите на Република България;</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Осигуряване на актуална информация за националните изисквания към строителните продукти в зависимост от предвидената им употреба;</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Целта на политиката по регулиране и контрол върху проектирането и строителството е да се осигури изпълнение на строежи, гарантиращи безопасни и здравословни условия в икономически обоснован експлоатационен срок. ДНСК 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ДНСК упражнява контрол по спазването на Закона за устройство на територията (ЗУТ) и на нормативните актове по прилагането му при проектирането и строителството;</w:t>
      </w:r>
    </w:p>
    <w:p w:rsidR="00426FE9" w:rsidRDefault="00D0590D" w:rsidP="004F30BC">
      <w:pPr>
        <w:pStyle w:val="ListParagraph"/>
        <w:numPr>
          <w:ilvl w:val="0"/>
          <w:numId w:val="2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Поддържане и развитие на геоинформационна система, хармонизирана с директивите на Европейския съюз за пространствена информация за управление на масивите от геодезически, топографски, кадастрални данни, в т.ч. данните от Геокартфонд и от регистъра на географските имена и предоставяне на висококачествени услуги на потребителите.</w:t>
      </w:r>
    </w:p>
    <w:p w:rsidR="00426FE9" w:rsidRDefault="00D0590D">
      <w:pPr>
        <w:pStyle w:val="ListParagraph"/>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Постигането на стратегическата цел ще доведе до усъвършенстване и интегриране на националната система за планиране и управление на регионалното развитие и системата за пространствено планиране, респективно ще допринесе за повишаване качеството на живот и устойчиво интегрирано регионално развитие.</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Увеличаване покритието на Република България с кадастрална карта и кадастрални регистри; </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Поддържане, актуализиране и съхраняването на кадастралната информация;</w:t>
      </w:r>
      <w:r>
        <w:rPr>
          <w:rFonts w:ascii="Times New Roman" w:eastAsia="Times New Roman" w:hAnsi="Times New Roman"/>
          <w:b/>
          <w:lang w:eastAsia="bg-BG"/>
        </w:rPr>
        <w:t xml:space="preserve"> </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Подобряване качеството на кадастралната карта и кадастралните регистри;</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Обновяване на специализираните карти и регистри (СпКР) на обектите по чл. 6, ал. 4, т. 1, 3, 4 и 5 от ЗУЧК;</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Поддържане на актуална геодезическа основа (държавната нивелачна мрежа, държавната гравиметрична мрежа, мрежата от мареографните станции  и геодезически мрежи с местно предназначение), както за извършване на основните и специализирани геодезически дейности, така и за реализиране на инвестиционни проекти,  управление и устройство на територията;</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 xml:space="preserve">Създаване и поддържане на топографска база данни и единен цифров модел на едромащабната топографска карта (ЕТК) на страната и района на българската база в Антарктика за нуждите на устройственото планиране, инженерното и инфраструктурно проектиране, археологията, анализи на земното покритие за нуждите на екологията, земеделието, горското стопанство, картографиране на рисковете, в т.ч. сеизмичния и др.; </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Поддържане на цялостен електронен геоинформационен архив, съдържащ всички материали и данни налични в Геокатфонд на АГКК;</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Развитие на информационните системи на кадастъра и геодезията в единна геоинформационна система;</w:t>
      </w:r>
    </w:p>
    <w:p w:rsidR="00426FE9" w:rsidRDefault="00D0590D" w:rsidP="004F30BC">
      <w:pPr>
        <w:pStyle w:val="ListParagraph"/>
        <w:numPr>
          <w:ilvl w:val="0"/>
          <w:numId w:val="2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Подобряване на качеството на услугите за клиентите с геоинформация и увеличаване дела на електронните услуги.</w:t>
      </w:r>
    </w:p>
    <w:p w:rsidR="00426FE9" w:rsidRDefault="00D0590D">
      <w:pPr>
        <w:pStyle w:val="ListParagraph"/>
        <w:tabs>
          <w:tab w:val="left" w:pos="851"/>
        </w:tabs>
        <w:spacing w:after="0" w:line="240" w:lineRule="auto"/>
        <w:ind w:left="0" w:firstLine="567"/>
        <w:jc w:val="both"/>
        <w:rPr>
          <w:rFonts w:ascii="Times New Roman" w:hAnsi="Times New Roman"/>
          <w:b/>
          <w:i/>
          <w:color w:val="0000CC"/>
          <w:lang w:val="en-US"/>
        </w:rPr>
      </w:pPr>
      <w:r>
        <w:rPr>
          <w:rFonts w:ascii="Times New Roman" w:hAnsi="Times New Roman"/>
          <w:b/>
          <w:i/>
          <w:color w:val="0000CC"/>
        </w:rPr>
        <w:t>Полза/ефект за обществото</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Значение на инфраструктурата за стимулиране на икономическото възстановяване. За да бъде осигурена конкурентоспособността в непрекъснато глобализиращ се пазар е важно да се обърне внимание на нуждата от ново развитие на инфраструктурата, като същевременно се опазват наличните, но остаряващи активи на пътната инфраструктура, много от които се нуждаят от подмяна, актуализиране/подобряване или ремонт.</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Намаляване на бедността чрез развитие на транспорта, осигуряващо социално включване. Подобряване на свързаността между изостаналите райони и националните, регионални или глобални пазари. Това ще бъде постигнато чрез свързването на местните пътни мрежи с главната система от магистрали, като по този начин ще бъдат свързани бедните региони с икономическите центрове.  </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Значението на привеждането на инфраструктурата в добро работно състояние за устойчивост и създаването на работни места. </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Оптимизиране на разходите предназначени за републиканската пътна мрежа, чрез провеждане на политика, стимулираща въвеждането на съвременни, високоефективни технологии и решения по тяхното управление, поддържане, ремонт и строителство.</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Постигането на високи нива на безопасност като функция от цялостния процес по планиране- изграждане- поддържане на пътната инфраструктура. Устойчивата пътна безопасност формулира принципите и изискванията за пътната инфраструктура, насочени към ограничаване на транспортния травматизъм и в тази връзка пътната инфраструктура трябва да удовлетворява четири основни принципа: функционалност, хомогенност, предвидимост и толерантност. За постигане на устойчиви резултати е от особено значение прилагането на планирана и системна „грижа“ по поддържане на пътната инфраструктура;</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Осигуряване на финансов източник за реализиране на изграждането и поддържането на общинската пътна инфраструктура върху цялата територия на страната;</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Осигуряване на актуална нормативна база в областта на пътното дело;</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Постигане на устойчива и достъпна общинска пътна и улична мрежа и транспортна достъпност до и в населените маста;</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Качествено транспортно обслужване по общинските пътища; </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Мониторинг и контролиране на територии, застрашени и засегнати от свлачищни процеси;</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Повишаване на сигурността на обитаване на населените места в свлачищни райони и в райони, подложени на абразионни процеси по Черноморското крайбрежие и на ерозионни процеси по Дунавското крайбрежие;</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Възстановяване и защита на техническата инфраструктура и територии, засегнати и застрашени от свлачища, абразия по Черноморското крайбрежие и ерозия по Дунавското крайбрежие;</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Очакваната полза/ефект за обществото от постигане на стратегическата цел за политиката на МРРБ в областта на водоснабдяването и канализацията ще се изрази чрез увеличението в брой жители, които получават подобрена ВиК услуга, изразена в следните показатели:</w:t>
      </w:r>
    </w:p>
    <w:p w:rsidR="00426FE9" w:rsidRDefault="00D0590D">
      <w:pPr>
        <w:tabs>
          <w:tab w:val="left" w:pos="709"/>
        </w:tabs>
        <w:spacing w:after="0" w:line="240" w:lineRule="auto"/>
        <w:ind w:firstLine="567"/>
        <w:jc w:val="both"/>
        <w:rPr>
          <w:rFonts w:ascii="Times New Roman" w:hAnsi="Times New Roman" w:cs="Times New Roman"/>
        </w:rPr>
      </w:pPr>
      <w:r>
        <w:rPr>
          <w:rFonts w:ascii="Times New Roman" w:hAnsi="Times New Roman" w:cs="Times New Roman"/>
        </w:rPr>
        <w:t>-  брой жители, на които се предоставя питейна вода с подобрени качествени показатели;</w:t>
      </w:r>
    </w:p>
    <w:p w:rsidR="00426FE9" w:rsidRDefault="00D0590D">
      <w:pPr>
        <w:tabs>
          <w:tab w:val="left" w:pos="709"/>
        </w:tabs>
        <w:spacing w:after="0" w:line="240" w:lineRule="auto"/>
        <w:ind w:firstLine="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брой жители, на които се осигурява непрекъснатост на водоснабдяването;</w:t>
      </w:r>
    </w:p>
    <w:p w:rsidR="00426FE9" w:rsidRDefault="00D0590D">
      <w:pPr>
        <w:tabs>
          <w:tab w:val="left" w:pos="709"/>
        </w:tabs>
        <w:spacing w:after="0" w:line="240" w:lineRule="auto"/>
        <w:ind w:firstLine="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брой жители, на които се предоставя подобрена услуга отвеждане и/или пречистване на отпадъчните води.</w:t>
      </w:r>
    </w:p>
    <w:p w:rsidR="00426FE9" w:rsidRDefault="00D0590D">
      <w:pPr>
        <w:tabs>
          <w:tab w:val="left" w:pos="851"/>
        </w:tabs>
        <w:spacing w:after="0" w:line="240" w:lineRule="auto"/>
        <w:ind w:firstLine="567"/>
        <w:jc w:val="both"/>
        <w:rPr>
          <w:rFonts w:ascii="Times New Roman" w:hAnsi="Times New Roman" w:cs="Times New Roman"/>
          <w:bCs/>
          <w:iCs/>
        </w:rPr>
      </w:pPr>
      <w:r>
        <w:rPr>
          <w:rFonts w:ascii="Times New Roman" w:hAnsi="Times New Roman" w:cs="Times New Roman"/>
        </w:rPr>
        <w:lastRenderedPageBreak/>
        <w:t>В частта, свързана с устройство на територията и административно-териториално устройство  ползите/ефектите включват с</w:t>
      </w:r>
      <w:r>
        <w:rPr>
          <w:rFonts w:ascii="Times New Roman" w:hAnsi="Times New Roman" w:cs="Times New Roman"/>
          <w:bCs/>
          <w:iCs/>
        </w:rPr>
        <w:t>ъздаване на условия за:</w:t>
      </w:r>
    </w:p>
    <w:p w:rsidR="00426FE9" w:rsidRDefault="00D0590D">
      <w:pPr>
        <w:tabs>
          <w:tab w:val="left" w:pos="851"/>
        </w:tabs>
        <w:spacing w:after="0" w:line="240" w:lineRule="auto"/>
        <w:ind w:firstLine="567"/>
        <w:jc w:val="both"/>
        <w:rPr>
          <w:rFonts w:ascii="Times New Roman" w:hAnsi="Times New Roman" w:cs="Times New Roman"/>
          <w:bCs/>
          <w:iCs/>
        </w:rPr>
      </w:pPr>
      <w:r>
        <w:rPr>
          <w:rFonts w:ascii="Times New Roman" w:hAnsi="Times New Roman" w:cs="Times New Roman"/>
          <w:bCs/>
          <w:iCs/>
        </w:rPr>
        <w:t>- устойчиво и балансирано социално-икономическо развитие;</w:t>
      </w:r>
    </w:p>
    <w:p w:rsidR="00426FE9" w:rsidRDefault="00D0590D">
      <w:pPr>
        <w:tabs>
          <w:tab w:val="left" w:pos="851"/>
        </w:tabs>
        <w:spacing w:after="0" w:line="240" w:lineRule="auto"/>
        <w:ind w:firstLine="567"/>
        <w:jc w:val="both"/>
        <w:rPr>
          <w:rFonts w:ascii="Times New Roman" w:hAnsi="Times New Roman" w:cs="Times New Roman"/>
          <w:bCs/>
          <w:iCs/>
        </w:rPr>
      </w:pPr>
      <w:r>
        <w:rPr>
          <w:rFonts w:ascii="Times New Roman" w:hAnsi="Times New Roman" w:cs="Times New Roman"/>
          <w:bCs/>
          <w:iCs/>
        </w:rPr>
        <w:t xml:space="preserve">- опазване на околната среда; </w:t>
      </w:r>
    </w:p>
    <w:p w:rsidR="00426FE9" w:rsidRDefault="00D0590D">
      <w:pPr>
        <w:tabs>
          <w:tab w:val="left" w:pos="851"/>
        </w:tabs>
        <w:spacing w:after="0" w:line="240" w:lineRule="auto"/>
        <w:ind w:firstLine="567"/>
        <w:jc w:val="both"/>
        <w:rPr>
          <w:rFonts w:ascii="Times New Roman" w:hAnsi="Times New Roman" w:cs="Times New Roman"/>
          <w:iCs/>
        </w:rPr>
      </w:pPr>
      <w:r>
        <w:rPr>
          <w:rFonts w:ascii="Times New Roman" w:hAnsi="Times New Roman" w:cs="Times New Roman"/>
          <w:bCs/>
          <w:iCs/>
        </w:rPr>
        <w:t xml:space="preserve">- </w:t>
      </w:r>
      <w:r>
        <w:rPr>
          <w:rFonts w:ascii="Times New Roman" w:hAnsi="Times New Roman" w:cs="Times New Roman"/>
          <w:iCs/>
        </w:rPr>
        <w:t>опазване на обектите на културно-историческото наследство;</w:t>
      </w:r>
    </w:p>
    <w:p w:rsidR="00426FE9" w:rsidRDefault="00D0590D">
      <w:pPr>
        <w:tabs>
          <w:tab w:val="left" w:pos="851"/>
        </w:tabs>
        <w:spacing w:after="0" w:line="240" w:lineRule="auto"/>
        <w:ind w:firstLine="567"/>
        <w:jc w:val="both"/>
        <w:rPr>
          <w:rFonts w:ascii="Times New Roman" w:hAnsi="Times New Roman" w:cs="Times New Roman"/>
          <w:iCs/>
        </w:rPr>
      </w:pPr>
      <w:r>
        <w:rPr>
          <w:rFonts w:ascii="Times New Roman" w:hAnsi="Times New Roman" w:cs="Times New Roman"/>
          <w:bCs/>
          <w:iCs/>
        </w:rPr>
        <w:t xml:space="preserve">- </w:t>
      </w:r>
      <w:r>
        <w:rPr>
          <w:rFonts w:ascii="Times New Roman" w:hAnsi="Times New Roman" w:cs="Times New Roman"/>
          <w:iCs/>
        </w:rPr>
        <w:t>изграждане, ползване и опазване на хармонична и достъпна среда за живеене, за труд и за отдих за цялото население, включително за хората с увреждания;</w:t>
      </w:r>
    </w:p>
    <w:p w:rsidR="00426FE9" w:rsidRDefault="00D0590D">
      <w:pPr>
        <w:tabs>
          <w:tab w:val="left" w:pos="851"/>
        </w:tabs>
        <w:spacing w:after="0" w:line="240" w:lineRule="auto"/>
        <w:ind w:firstLine="567"/>
        <w:jc w:val="both"/>
        <w:rPr>
          <w:rFonts w:ascii="Times New Roman" w:hAnsi="Times New Roman" w:cs="Times New Roman"/>
          <w:iCs/>
        </w:rPr>
      </w:pPr>
      <w:r>
        <w:rPr>
          <w:rFonts w:ascii="Times New Roman" w:hAnsi="Times New Roman" w:cs="Times New Roman"/>
          <w:iCs/>
        </w:rPr>
        <w:t>- изграждане и развитие на техническата инфраструктура и за благоустрояване на урбанизираните територии (населени места и селищни образувания);</w:t>
      </w:r>
    </w:p>
    <w:p w:rsidR="00426FE9" w:rsidRDefault="00D0590D">
      <w:pPr>
        <w:tabs>
          <w:tab w:val="left" w:pos="851"/>
        </w:tabs>
        <w:spacing w:after="0" w:line="240" w:lineRule="auto"/>
        <w:ind w:firstLine="567"/>
        <w:jc w:val="both"/>
        <w:rPr>
          <w:rFonts w:ascii="Times New Roman" w:hAnsi="Times New Roman" w:cs="Times New Roman"/>
          <w:iCs/>
        </w:rPr>
      </w:pPr>
      <w:r>
        <w:rPr>
          <w:rFonts w:ascii="Times New Roman" w:hAnsi="Times New Roman" w:cs="Times New Roman"/>
          <w:iCs/>
        </w:rPr>
        <w:t>- реализация на инвестиционните намерения и подобряване на инвестиционния климат;</w:t>
      </w:r>
    </w:p>
    <w:p w:rsidR="00426FE9" w:rsidRDefault="00D0590D" w:rsidP="004F30BC">
      <w:pPr>
        <w:numPr>
          <w:ilvl w:val="0"/>
          <w:numId w:val="25"/>
        </w:numPr>
        <w:tabs>
          <w:tab w:val="left" w:pos="567"/>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Успешното изпълнение на целите ще създаде условия за европейското развитие на страната, в т.ч. на отрасъл „Строителство”, и за интегрирането на принципите за балансирано устойчиво развитие на националната територия. Те са важни предпоставки за повишаване на инвестиционния интерес към България, а оттам и за постигане на стабилен икономически растеж и конкурентоспособност на българските предприятия. Подобряването на строителния инвестиционен климат и привличането на чуждестранни инвеститори са тясно свързани с регулирането и усъвършенстването на нормативната уредба за изграждане на строежите, вкл. за изграждане на обекти на транспортната, енергийната, водоснабдителната и съобщителната инфраструктура;</w:t>
      </w:r>
    </w:p>
    <w:p w:rsidR="00426FE9" w:rsidRDefault="00D0590D" w:rsidP="004F30BC">
      <w:pPr>
        <w:numPr>
          <w:ilvl w:val="0"/>
          <w:numId w:val="25"/>
        </w:numPr>
        <w:tabs>
          <w:tab w:val="left" w:pos="567"/>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Изпълнението на посочените по-горе цели и предвидените мерки за тяхното изпълнение създават предпоставка и са условие за създаване на благоприятна и здравословна среда с оглед гарантиране на живота и здравето на хората и опазване на околната среда и водите;</w:t>
      </w:r>
    </w:p>
    <w:p w:rsidR="00426FE9" w:rsidRDefault="00D0590D" w:rsidP="004F30BC">
      <w:pPr>
        <w:numPr>
          <w:ilvl w:val="0"/>
          <w:numId w:val="25"/>
        </w:numPr>
        <w:tabs>
          <w:tab w:val="left" w:pos="567"/>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Броят на поддържаните валидни сертификати, издадени на производители на строителни продукти, от лица за оценяване на строителни продукти е ключов показател за състоянието на пазара на строителни продукти и за качеството на предлаганите строителни продукти на потребителите. Чрез сертификацията се създават условия за влагане в строежите в България на строителни продукти, които осигуряват основните изисквания към строежите по чл. 169 от ЗУТ. Нарастването на броя на издадените сертификати е гаранция за увеличаване на качеството на строежите през целия им жизнен цикъл чрез поддържане на постоянството на експлоатационните показатели на строителните продукти, които са вложени в тях;</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ДНСК упражнява контрол по спазването на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 Строежите от първа, втора и трета категория се въвеждат в експлоатация, съгласно разпоредбата на чл.177, ал.2 ЗУТ, въз основа на разрешение за ползване, издадено от органите на ДНСК. Ползата от дадената политика се изразява в недопускане въвеждането в експлоатация на строежи от първа, втора и трета категория, изпълнени в нарушение на изискванията на чл.169, ал.1, ал.2 и ал.3 от ЗУТ, със строителни продукти несъответстващи на съществените изисквания към строежите, без да е упражняван строителен надзор, в нарушение предвижданията на ПУП и др. Спирането и премахването на незаконни строежи и забрана ползването на строежи, които не са въведени в експлоатация по нормативно установения ред за строежи от първа, втора и трета категория се извършва от ДНСК.;</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Гарантиране на бързо и качествено административно - техническо обслужване на гражданите и ведомствата с кадастрални и геодезически данни за цялата територия на страната – населени места, земеделски земи, гори и други територии; </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Осигуряване на кадастрални данни за нуждите на имотния регистър, създаван от Министерство на правосъдието и на данъчния регистър на Министерството на финансите;</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Създаване на нужните предпоставки за гарантиране собствеността на физическите и юридически лица;</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Усъвършенстване управлението и разпореждането с недвижими имоти, съобразно конституционно и законно установените принципи;</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Съкращаване на времето и разходите за реализиране на сделки;</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Подобряване на пазарите на земеделска земя; </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Улесняване на достъпа до кредити;</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lastRenderedPageBreak/>
        <w:t>Осигуряване на единна геодезическа и топографска основа и актуален регистър на географските имена;</w:t>
      </w:r>
    </w:p>
    <w:p w:rsidR="00426FE9" w:rsidRDefault="00D0590D" w:rsidP="004F30BC">
      <w:pPr>
        <w:numPr>
          <w:ilvl w:val="0"/>
          <w:numId w:val="25"/>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Стимулиране на чуждите инвеститори.</w:t>
      </w:r>
    </w:p>
    <w:p w:rsidR="00426FE9" w:rsidRDefault="00D0590D">
      <w:pPr>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Взаимоотношения с други институции, допринасящи за изпълнение на политиката</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Министерски съвет, министерства;</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Областни и общински администрации;</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 xml:space="preserve">Структури в МРРБ, </w:t>
      </w:r>
      <w:r>
        <w:rPr>
          <w:rFonts w:ascii="Times New Roman" w:hAnsi="Times New Roman"/>
        </w:rPr>
        <w:t>„Геозащита” ЕООД – Варна, Плевен и Перник;</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Комисията за енергийно и водно регулиране;</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В и К дружества, Асоциации по ВиК и др.;</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Български институт по стандартизация;</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Висши училища, научноизследователски институти;</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eastAsia="bg-BG"/>
        </w:rPr>
        <w:t>Браншови камари, неправителствени организациии;</w:t>
      </w:r>
    </w:p>
    <w:p w:rsidR="00426FE9" w:rsidRDefault="00D0590D" w:rsidP="004F30BC">
      <w:pPr>
        <w:pStyle w:val="ListParagraph"/>
        <w:numPr>
          <w:ilvl w:val="0"/>
          <w:numId w:val="26"/>
        </w:numPr>
        <w:tabs>
          <w:tab w:val="left" w:pos="851"/>
        </w:tabs>
        <w:spacing w:after="0" w:line="240" w:lineRule="auto"/>
        <w:ind w:left="0" w:firstLine="567"/>
        <w:jc w:val="both"/>
        <w:rPr>
          <w:rFonts w:ascii="Times New Roman" w:eastAsia="Times New Roman" w:hAnsi="Times New Roman"/>
          <w:lang w:val="en-US" w:eastAsia="bg-BG"/>
        </w:rPr>
      </w:pPr>
      <w:r>
        <w:rPr>
          <w:rFonts w:ascii="Times New Roman" w:eastAsia="Times New Roman" w:hAnsi="Times New Roman"/>
          <w:lang w:val="en-US" w:eastAsia="bg-BG"/>
        </w:rPr>
        <w:t>Създаването на кадастралната карта и имотния регистър се извършва при взаимодействие между АГКК и Агенцията по вписванията.За територии, за които ще се изработват кадастралната карта и кадастралните регистри, осигуряването на изходната информация се извършва в сътрудничество с министерствата, областните и общинските администрации и други институции. Обновяването на специализираните карти и регистри (СпКР) на обектите по чл. 6, ал. 4, т. 1, 3, 4 и 5 от ЗУЧК ще се извършва в сътрудничество Министерството на околната среда и водите, Министерството на регионалното развитие и благоустройството, Министерството на туризма, областната администрация и общинската администрация. Дейностите по създаване и поддържане на актуална и единна геодезическа основа, както и по създаване на топографски бази данни се извършват в сътрудничество с Военно-географската служба при МО, ГД „Гранична полиция“ на МВР, Националния институт по геофизика, геодезия и география  при БАН, геодезическите факултети на висши училища.</w:t>
      </w:r>
    </w:p>
    <w:p w:rsidR="00426FE9" w:rsidRDefault="00D0590D">
      <w:pPr>
        <w:tabs>
          <w:tab w:val="left" w:pos="708"/>
          <w:tab w:val="left" w:pos="1416"/>
          <w:tab w:val="left" w:pos="2124"/>
          <w:tab w:val="left" w:pos="2832"/>
          <w:tab w:val="left" w:pos="3540"/>
          <w:tab w:val="left" w:pos="4248"/>
          <w:tab w:val="left" w:pos="4956"/>
          <w:tab w:val="left" w:pos="5664"/>
          <w:tab w:val="left" w:pos="6075"/>
        </w:tabs>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Показатели за полза/ефект и целеви стойности</w:t>
      </w:r>
    </w:p>
    <w:tbl>
      <w:tblPr>
        <w:tblW w:w="10015" w:type="dxa"/>
        <w:tblInd w:w="-5" w:type="dxa"/>
        <w:tblLayout w:type="fixed"/>
        <w:tblLook w:val="04A0" w:firstRow="1" w:lastRow="0" w:firstColumn="1" w:lastColumn="0" w:noHBand="0" w:noVBand="1"/>
      </w:tblPr>
      <w:tblGrid>
        <w:gridCol w:w="6048"/>
        <w:gridCol w:w="851"/>
        <w:gridCol w:w="945"/>
        <w:gridCol w:w="1081"/>
        <w:gridCol w:w="1090"/>
      </w:tblGrid>
      <w:tr w:rsidR="00426FE9">
        <w:trPr>
          <w:trHeight w:val="70"/>
        </w:trPr>
        <w:tc>
          <w:tcPr>
            <w:tcW w:w="10015" w:type="dxa"/>
            <w:gridSpan w:val="5"/>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ПОКАЗАТЕЛИ ЗА ИЗПЪЛНЕНИЕ И ЦЕЛЕВИ СТОЙНОСТИ</w:t>
            </w:r>
          </w:p>
        </w:tc>
      </w:tr>
      <w:tr w:rsidR="00426FE9">
        <w:trPr>
          <w:trHeight w:val="169"/>
        </w:trPr>
        <w:tc>
          <w:tcPr>
            <w:tcW w:w="6048"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rPr>
              <w:t>Ползи/ефекти:</w:t>
            </w:r>
          </w:p>
        </w:tc>
        <w:tc>
          <w:tcPr>
            <w:tcW w:w="851" w:type="dxa"/>
            <w:tcBorders>
              <w:top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 </w:t>
            </w:r>
          </w:p>
        </w:tc>
        <w:tc>
          <w:tcPr>
            <w:tcW w:w="3116" w:type="dxa"/>
            <w:gridSpan w:val="3"/>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Целева стойност</w:t>
            </w:r>
          </w:p>
        </w:tc>
      </w:tr>
      <w:tr w:rsidR="00426FE9">
        <w:trPr>
          <w:trHeight w:val="202"/>
        </w:trPr>
        <w:tc>
          <w:tcPr>
            <w:tcW w:w="6048"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Показатели за изпълнение</w:t>
            </w:r>
          </w:p>
        </w:tc>
        <w:tc>
          <w:tcPr>
            <w:tcW w:w="851"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Мерна единица</w:t>
            </w:r>
          </w:p>
        </w:tc>
        <w:tc>
          <w:tcPr>
            <w:tcW w:w="945" w:type="dxa"/>
            <w:tcBorders>
              <w:bottom w:val="single" w:sz="4" w:space="0" w:color="000000"/>
              <w:right w:val="single" w:sz="4" w:space="0" w:color="000000"/>
            </w:tcBorders>
            <w:shd w:val="clear" w:color="000000" w:fill="FFCC99"/>
            <w:vAlign w:val="center"/>
          </w:tcPr>
          <w:p w:rsidR="00426FE9" w:rsidRDefault="000D184C">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Бюджет</w:t>
            </w:r>
            <w:r w:rsidR="00D0590D">
              <w:rPr>
                <w:rFonts w:ascii="Times New Roman" w:eastAsia="Times New Roman" w:hAnsi="Times New Roman" w:cs="Times New Roman"/>
                <w:b/>
                <w:bCs/>
                <w:i/>
                <w:iCs/>
                <w:color w:val="000000"/>
                <w:sz w:val="18"/>
                <w:szCs w:val="18"/>
              </w:rPr>
              <w:t xml:space="preserve">  2026 г.</w:t>
            </w:r>
          </w:p>
        </w:tc>
        <w:tc>
          <w:tcPr>
            <w:tcW w:w="1081"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Прогноза 2027 г.</w:t>
            </w:r>
          </w:p>
        </w:tc>
        <w:tc>
          <w:tcPr>
            <w:tcW w:w="1090"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Прогноза 2028 г.</w:t>
            </w:r>
          </w:p>
        </w:tc>
      </w:tr>
      <w:tr w:rsidR="00426FE9">
        <w:trPr>
          <w:trHeight w:val="208"/>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color w:val="000000" w:themeColor="text1"/>
                <w:sz w:val="16"/>
                <w:szCs w:val="16"/>
              </w:rPr>
              <w:t>1. Решения на Министерския съвет за изменения и допълнения на списък на общинските пътища</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themeColor="text1"/>
                <w:sz w:val="16"/>
                <w:szCs w:val="16"/>
              </w:rPr>
              <w:t>Бр.</w:t>
            </w:r>
          </w:p>
        </w:tc>
        <w:tc>
          <w:tcPr>
            <w:tcW w:w="945"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themeColor="text1"/>
                <w:sz w:val="16"/>
                <w:szCs w:val="16"/>
              </w:rPr>
              <w:t>1</w:t>
            </w:r>
          </w:p>
        </w:tc>
        <w:tc>
          <w:tcPr>
            <w:tcW w:w="1081"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themeColor="text1"/>
                <w:sz w:val="16"/>
                <w:szCs w:val="16"/>
              </w:rPr>
              <w:t>1</w:t>
            </w:r>
          </w:p>
        </w:tc>
        <w:tc>
          <w:tcPr>
            <w:tcW w:w="1090"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themeColor="text1"/>
                <w:sz w:val="16"/>
                <w:szCs w:val="16"/>
              </w:rPr>
              <w:t>1</w:t>
            </w:r>
          </w:p>
        </w:tc>
      </w:tr>
      <w:tr w:rsidR="00426FE9">
        <w:trPr>
          <w:trHeight w:val="208"/>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lang w:val="en-US"/>
              </w:rPr>
              <w:t>2</w:t>
            </w:r>
            <w:r>
              <w:rPr>
                <w:rFonts w:ascii="Times New Roman" w:hAnsi="Times New Roman" w:cs="Times New Roman"/>
                <w:color w:val="000000" w:themeColor="text1"/>
                <w:sz w:val="16"/>
                <w:szCs w:val="16"/>
              </w:rPr>
              <w:t>. Завършен благоустройствен пътен обект/подобрена жизнена среда</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Бр.</w:t>
            </w:r>
          </w:p>
        </w:tc>
        <w:tc>
          <w:tcPr>
            <w:tcW w:w="945"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p>
        </w:tc>
        <w:tc>
          <w:tcPr>
            <w:tcW w:w="1081"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p>
        </w:tc>
        <w:tc>
          <w:tcPr>
            <w:tcW w:w="1090" w:type="dxa"/>
            <w:tcBorders>
              <w:bottom w:val="single" w:sz="4" w:space="0" w:color="000000"/>
              <w:right w:val="single" w:sz="8" w:space="0" w:color="000000"/>
            </w:tcBorders>
            <w:vAlign w:val="center"/>
          </w:tcPr>
          <w:p w:rsidR="00426FE9" w:rsidRDefault="00D0590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p>
        </w:tc>
      </w:tr>
      <w:tr w:rsidR="00426FE9">
        <w:trPr>
          <w:trHeight w:val="174"/>
        </w:trPr>
        <w:tc>
          <w:tcPr>
            <w:tcW w:w="6048" w:type="dxa"/>
            <w:tcBorders>
              <w:left w:val="single" w:sz="8" w:space="0" w:color="000000"/>
              <w:bottom w:val="single" w:sz="8" w:space="0" w:color="000000"/>
              <w:right w:val="single" w:sz="4" w:space="0" w:color="000000"/>
            </w:tcBorders>
          </w:tcPr>
          <w:p w:rsidR="00426FE9" w:rsidRDefault="00D0590D">
            <w:pPr>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 Повишена сигурност на обитаване в общини след изпълнение на геозащитни мерки и дейности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Бр.</w:t>
            </w:r>
          </w:p>
        </w:tc>
        <w:tc>
          <w:tcPr>
            <w:tcW w:w="945" w:type="dxa"/>
            <w:tcBorders>
              <w:bottom w:val="single" w:sz="4" w:space="0" w:color="000000"/>
              <w:right w:val="single" w:sz="8" w:space="0" w:color="000000"/>
            </w:tcBorders>
            <w:vAlign w:val="center"/>
          </w:tcPr>
          <w:p w:rsidR="00426FE9" w:rsidRDefault="0037064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p>
        </w:tc>
        <w:tc>
          <w:tcPr>
            <w:tcW w:w="1081" w:type="dxa"/>
            <w:tcBorders>
              <w:bottom w:val="single" w:sz="4" w:space="0" w:color="000000"/>
              <w:right w:val="single" w:sz="4" w:space="0" w:color="000000"/>
            </w:tcBorders>
            <w:vAlign w:val="center"/>
          </w:tcPr>
          <w:p w:rsidR="00426FE9" w:rsidRDefault="0037064D">
            <w:pPr>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p>
        </w:tc>
        <w:tc>
          <w:tcPr>
            <w:tcW w:w="1090" w:type="dxa"/>
            <w:tcBorders>
              <w:bottom w:val="single" w:sz="4" w:space="0" w:color="000000"/>
              <w:right w:val="single" w:sz="8" w:space="0" w:color="000000"/>
            </w:tcBorders>
            <w:vAlign w:val="center"/>
          </w:tcPr>
          <w:p w:rsidR="00426FE9" w:rsidRDefault="0037064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426FE9">
        <w:trPr>
          <w:trHeight w:val="130"/>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color w:val="000000" w:themeColor="text1"/>
                <w:sz w:val="16"/>
                <w:szCs w:val="16"/>
              </w:rPr>
              <w:t>4. Контролирана свлачищна територия</w:t>
            </w:r>
          </w:p>
        </w:tc>
        <w:tc>
          <w:tcPr>
            <w:tcW w:w="851"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themeColor="text1"/>
                <w:sz w:val="16"/>
                <w:szCs w:val="16"/>
              </w:rPr>
              <w:t>ха</w:t>
            </w:r>
          </w:p>
        </w:tc>
        <w:tc>
          <w:tcPr>
            <w:tcW w:w="945" w:type="dxa"/>
            <w:tcBorders>
              <w:top w:val="single" w:sz="4" w:space="0" w:color="000000"/>
              <w:bottom w:val="single" w:sz="4"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themeColor="text1"/>
                <w:sz w:val="16"/>
                <w:szCs w:val="16"/>
                <w:lang w:val="en-US"/>
              </w:rPr>
              <w:t>1000</w:t>
            </w:r>
          </w:p>
        </w:tc>
        <w:tc>
          <w:tcPr>
            <w:tcW w:w="1081"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themeColor="text1"/>
                <w:sz w:val="16"/>
                <w:szCs w:val="16"/>
                <w:lang w:val="en-US"/>
              </w:rPr>
              <w:t>1000</w:t>
            </w:r>
          </w:p>
        </w:tc>
        <w:tc>
          <w:tcPr>
            <w:tcW w:w="1090" w:type="dxa"/>
            <w:tcBorders>
              <w:top w:val="single" w:sz="4" w:space="0" w:color="000000"/>
              <w:bottom w:val="single" w:sz="4"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themeColor="text1"/>
                <w:sz w:val="16"/>
                <w:szCs w:val="16"/>
                <w:lang w:val="en-US"/>
              </w:rPr>
              <w:t>1000</w:t>
            </w:r>
          </w:p>
        </w:tc>
      </w:tr>
      <w:tr w:rsidR="00426FE9">
        <w:trPr>
          <w:trHeight w:val="274"/>
        </w:trPr>
        <w:tc>
          <w:tcPr>
            <w:tcW w:w="6048" w:type="dxa"/>
            <w:tcBorders>
              <w:top w:val="single" w:sz="4" w:space="0" w:color="000000"/>
              <w:left w:val="single" w:sz="8" w:space="0" w:color="000000"/>
              <w:bottom w:val="single" w:sz="4" w:space="0" w:color="000000"/>
              <w:right w:val="single" w:sz="4" w:space="0" w:color="000000"/>
            </w:tcBorders>
          </w:tcPr>
          <w:p w:rsidR="00426FE9" w:rsidRDefault="00D0590D" w:rsidP="003D3676">
            <w:pPr>
              <w:tabs>
                <w:tab w:val="left" w:pos="255"/>
              </w:tabs>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color w:val="000000" w:themeColor="text1"/>
                <w:sz w:val="16"/>
                <w:szCs w:val="16"/>
              </w:rPr>
              <w:t>5. Подобряване качеството на предоставяната услуга „Водоснабдяване и канализация“</w:t>
            </w:r>
          </w:p>
        </w:tc>
        <w:tc>
          <w:tcPr>
            <w:tcW w:w="851"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 населени места</w:t>
            </w:r>
          </w:p>
        </w:tc>
        <w:tc>
          <w:tcPr>
            <w:tcW w:w="945" w:type="dxa"/>
            <w:tcBorders>
              <w:top w:val="single" w:sz="4" w:space="0" w:color="000000"/>
              <w:bottom w:val="single" w:sz="4" w:space="0" w:color="000000"/>
              <w:right w:val="single" w:sz="8" w:space="0" w:color="000000"/>
            </w:tcBorders>
            <w:vAlign w:val="center"/>
          </w:tcPr>
          <w:p w:rsidR="00426FE9" w:rsidRDefault="0037064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8</w:t>
            </w:r>
          </w:p>
        </w:tc>
        <w:tc>
          <w:tcPr>
            <w:tcW w:w="1081"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w:t>
            </w:r>
          </w:p>
        </w:tc>
        <w:tc>
          <w:tcPr>
            <w:tcW w:w="1090" w:type="dxa"/>
            <w:tcBorders>
              <w:top w:val="single" w:sz="4" w:space="0" w:color="000000"/>
              <w:left w:val="single" w:sz="4" w:space="0" w:color="000000"/>
              <w:bottom w:val="single" w:sz="4" w:space="0" w:color="000000"/>
              <w:right w:val="single" w:sz="4" w:space="0" w:color="000000"/>
            </w:tcBorders>
            <w:vAlign w:val="center"/>
          </w:tcPr>
          <w:p w:rsidR="00426FE9" w:rsidRDefault="0037064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10</w:t>
            </w:r>
          </w:p>
        </w:tc>
      </w:tr>
      <w:tr w:rsidR="00426FE9">
        <w:trPr>
          <w:trHeight w:val="300"/>
        </w:trPr>
        <w:tc>
          <w:tcPr>
            <w:tcW w:w="6048" w:type="dxa"/>
            <w:tcBorders>
              <w:left w:val="single" w:sz="8" w:space="0" w:color="000000"/>
              <w:bottom w:val="single" w:sz="8"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Обезпечаване на територията на страната с общи устройствени планове.</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i/>
                <w:color w:val="000000"/>
                <w:sz w:val="16"/>
                <w:szCs w:val="16"/>
              </w:rPr>
              <w:t>(нарастване на броя на общините с действащи общи устройствени планове, процентът е от оставащата бройка)</w:t>
            </w:r>
          </w:p>
        </w:tc>
        <w:tc>
          <w:tcPr>
            <w:tcW w:w="851" w:type="dxa"/>
            <w:tcBorders>
              <w:bottom w:val="single" w:sz="8"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w:t>
            </w:r>
          </w:p>
        </w:tc>
        <w:tc>
          <w:tcPr>
            <w:tcW w:w="945" w:type="dxa"/>
            <w:tcBorders>
              <w:bottom w:val="single" w:sz="8"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lang w:val="en-US"/>
              </w:rPr>
              <w:t>25</w:t>
            </w:r>
          </w:p>
        </w:tc>
        <w:tc>
          <w:tcPr>
            <w:tcW w:w="1081"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5</w:t>
            </w:r>
          </w:p>
        </w:tc>
        <w:tc>
          <w:tcPr>
            <w:tcW w:w="1090" w:type="dxa"/>
            <w:tcBorders>
              <w:bottom w:val="single" w:sz="8" w:space="0" w:color="000000"/>
              <w:right w:val="single" w:sz="8"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5</w:t>
            </w:r>
          </w:p>
        </w:tc>
      </w:tr>
      <w:tr w:rsidR="00426FE9">
        <w:trPr>
          <w:trHeight w:val="300"/>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hAnsi="Times New Roman" w:cs="Times New Roman"/>
                <w:sz w:val="16"/>
                <w:szCs w:val="16"/>
              </w:rPr>
              <w:t>7. Поддържане на валидни сертификати, издадени на производители на строителни продукти, от лица за оценяване на строителни продукти</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2000</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1500</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1500</w:t>
            </w:r>
          </w:p>
        </w:tc>
      </w:tr>
      <w:tr w:rsidR="00426FE9">
        <w:trPr>
          <w:trHeight w:val="743"/>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hAnsi="Times New Roman" w:cs="Times New Roman"/>
                <w:sz w:val="16"/>
                <w:szCs w:val="16"/>
              </w:rPr>
              <w:t>8. Участия в заседания на европейско и национално ниво за хармонизиране на националното законодателство с европейското и/или в разработването или отчитането на национални стратегически документи за изпълнение на политики на Европейския съюз</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5</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5</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5</w:t>
            </w:r>
          </w:p>
        </w:tc>
      </w:tr>
      <w:tr w:rsidR="00426FE9">
        <w:trPr>
          <w:trHeight w:val="316"/>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bCs/>
                <w:sz w:val="16"/>
                <w:szCs w:val="16"/>
              </w:rPr>
            </w:pPr>
            <w:r>
              <w:rPr>
                <w:rFonts w:ascii="Times New Roman" w:hAnsi="Times New Roman" w:cs="Times New Roman"/>
                <w:sz w:val="16"/>
                <w:szCs w:val="16"/>
              </w:rPr>
              <w:t>9. Поддържане на регулаторна база от технически нормативни актове за обследване, проектиране, изграждане и поддържане на строежите</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sz w:val="16"/>
                <w:szCs w:val="16"/>
              </w:rPr>
              <w:t>брой</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sz w:val="16"/>
                <w:szCs w:val="16"/>
              </w:rPr>
              <w:t>75</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sz w:val="16"/>
                <w:szCs w:val="16"/>
              </w:rPr>
              <w:t>75</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sz w:val="16"/>
                <w:szCs w:val="16"/>
              </w:rPr>
              <w:t>75</w:t>
            </w:r>
          </w:p>
        </w:tc>
      </w:tr>
      <w:tr w:rsidR="00426FE9">
        <w:trPr>
          <w:trHeight w:val="300"/>
        </w:trPr>
        <w:tc>
          <w:tcPr>
            <w:tcW w:w="6048" w:type="dxa"/>
            <w:tcBorders>
              <w:left w:val="single" w:sz="8" w:space="0" w:color="000000"/>
              <w:bottom w:val="single" w:sz="4" w:space="0" w:color="000000"/>
              <w:right w:val="single" w:sz="4" w:space="0" w:color="000000"/>
            </w:tcBorders>
          </w:tcPr>
          <w:p w:rsidR="00426FE9" w:rsidRDefault="00D0590D">
            <w:pPr>
              <w:tabs>
                <w:tab w:val="left" w:pos="321"/>
              </w:tabs>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10.</w:t>
            </w:r>
            <w:r>
              <w:rPr>
                <w:rFonts w:ascii="Times New Roman" w:hAnsi="Times New Roman" w:cs="Times New Roman"/>
                <w:sz w:val="16"/>
                <w:szCs w:val="16"/>
              </w:rPr>
              <w:tab/>
              <w:t>„Подобряване условията на жизнената среда в сградите чрез контрол, осъществяван от ДНСК, гарантиращ безопасно и здравословно обитаване при въвеждане в експлоатация на строежи от I, II и III категория,“*</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100</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100</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100</w:t>
            </w:r>
          </w:p>
        </w:tc>
      </w:tr>
      <w:tr w:rsidR="00426FE9">
        <w:trPr>
          <w:trHeight w:val="300"/>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11.„Гарантиране спазването на нормативните изисквания за сигурност, устойчивост, безопасност и достъпност на строежите чрез повишен контрол върху инвестиционния процес в строителството и действията на общинската администрация“**</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Min.(1)</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Min.(1)</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Min.(1)</w:t>
            </w:r>
          </w:p>
        </w:tc>
      </w:tr>
      <w:tr w:rsidR="00426FE9">
        <w:trPr>
          <w:trHeight w:val="131"/>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12.Предоставени услуги от геодезически, топографски и кадастрални данни</w:t>
            </w:r>
            <w:r>
              <w:rPr>
                <w:rFonts w:ascii="Times New Roman" w:hAnsi="Times New Roman" w:cs="Times New Roman"/>
                <w:b/>
                <w:sz w:val="16"/>
                <w:szCs w:val="16"/>
              </w:rPr>
              <w:t xml:space="preserve"> </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млн. бр.</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r>
              <w:rPr>
                <w:rFonts w:ascii="Times New Roman" w:hAnsi="Times New Roman" w:cs="Times New Roman"/>
                <w:sz w:val="16"/>
                <w:szCs w:val="16"/>
              </w:rPr>
              <w:t>,00</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r>
              <w:rPr>
                <w:rFonts w:ascii="Times New Roman" w:hAnsi="Times New Roman" w:cs="Times New Roman"/>
                <w:sz w:val="16"/>
                <w:szCs w:val="16"/>
              </w:rPr>
              <w:t>,00</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r>
              <w:rPr>
                <w:rFonts w:ascii="Times New Roman" w:hAnsi="Times New Roman" w:cs="Times New Roman"/>
                <w:sz w:val="16"/>
                <w:szCs w:val="16"/>
              </w:rPr>
              <w:t>,00</w:t>
            </w:r>
          </w:p>
        </w:tc>
      </w:tr>
      <w:tr w:rsidR="00426FE9">
        <w:trPr>
          <w:trHeight w:val="70"/>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rPr>
            </w:pPr>
            <w:r>
              <w:rPr>
                <w:rFonts w:ascii="Times New Roman" w:hAnsi="Times New Roman" w:cs="Times New Roman"/>
                <w:sz w:val="16"/>
                <w:szCs w:val="16"/>
              </w:rPr>
              <w:t>13.Рехабилитирани и новоизградени участъци</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 xml:space="preserve"> Км </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168,369</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136,1356</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67,414</w:t>
            </w:r>
          </w:p>
        </w:tc>
      </w:tr>
      <w:tr w:rsidR="00426FE9">
        <w:trPr>
          <w:trHeight w:val="70"/>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563C1"/>
                <w:sz w:val="16"/>
                <w:szCs w:val="16"/>
                <w:u w:val="single"/>
                <w:lang w:val="en-US"/>
              </w:rPr>
            </w:pPr>
            <w:r>
              <w:rPr>
                <w:rFonts w:ascii="Times New Roman" w:hAnsi="Times New Roman" w:cs="Times New Roman"/>
                <w:sz w:val="16"/>
                <w:szCs w:val="16"/>
              </w:rPr>
              <w:t>14. Текущ ремонт и поддържане на РПМ</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 xml:space="preserve"> Км </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19 968.434</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19 968.434</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19 968.434</w:t>
            </w:r>
          </w:p>
        </w:tc>
      </w:tr>
      <w:tr w:rsidR="00426FE9">
        <w:trPr>
          <w:trHeight w:val="84"/>
        </w:trPr>
        <w:tc>
          <w:tcPr>
            <w:tcW w:w="6048" w:type="dxa"/>
            <w:tcBorders>
              <w:left w:val="single" w:sz="8"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563C1"/>
                <w:sz w:val="16"/>
                <w:szCs w:val="16"/>
                <w:u w:val="single"/>
                <w:lang w:val="en-US"/>
              </w:rPr>
            </w:pPr>
            <w:r>
              <w:rPr>
                <w:rFonts w:ascii="Times New Roman" w:hAnsi="Times New Roman" w:cs="Times New Roman"/>
                <w:sz w:val="16"/>
                <w:szCs w:val="16"/>
              </w:rPr>
              <w:t>15. Брой продадени електронни винетки</w:t>
            </w:r>
          </w:p>
        </w:tc>
        <w:tc>
          <w:tcPr>
            <w:tcW w:w="851"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 xml:space="preserve"> брой</w:t>
            </w:r>
          </w:p>
        </w:tc>
        <w:tc>
          <w:tcPr>
            <w:tcW w:w="945"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6 300 000</w:t>
            </w:r>
          </w:p>
        </w:tc>
        <w:tc>
          <w:tcPr>
            <w:tcW w:w="1081"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6 300 000</w:t>
            </w:r>
          </w:p>
        </w:tc>
        <w:tc>
          <w:tcPr>
            <w:tcW w:w="1090" w:type="dxa"/>
            <w:tcBorders>
              <w:bottom w:val="single" w:sz="4" w:space="0" w:color="000000"/>
              <w:right w:val="single" w:sz="8"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6 300 000</w:t>
            </w:r>
          </w:p>
        </w:tc>
      </w:tr>
    </w:tbl>
    <w:p w:rsidR="00426FE9" w:rsidRDefault="00426FE9">
      <w:pPr>
        <w:tabs>
          <w:tab w:val="left" w:pos="2124"/>
          <w:tab w:val="left" w:pos="2832"/>
          <w:tab w:val="left" w:pos="3540"/>
          <w:tab w:val="left" w:pos="4248"/>
          <w:tab w:val="left" w:pos="4956"/>
          <w:tab w:val="left" w:pos="5664"/>
          <w:tab w:val="left" w:pos="6075"/>
        </w:tabs>
        <w:spacing w:after="0" w:line="240" w:lineRule="auto"/>
        <w:ind w:firstLine="567"/>
        <w:jc w:val="both"/>
        <w:rPr>
          <w:rFonts w:ascii="Times New Roman" w:hAnsi="Times New Roman"/>
          <w:b/>
          <w:i/>
          <w:color w:val="0000CC"/>
        </w:rPr>
      </w:pPr>
    </w:p>
    <w:p w:rsidR="00426FE9" w:rsidRDefault="00D0590D">
      <w:pPr>
        <w:tabs>
          <w:tab w:val="left" w:pos="2124"/>
          <w:tab w:val="left" w:pos="2832"/>
          <w:tab w:val="left" w:pos="3540"/>
          <w:tab w:val="left" w:pos="4248"/>
          <w:tab w:val="left" w:pos="4956"/>
          <w:tab w:val="left" w:pos="5664"/>
          <w:tab w:val="left" w:pos="6075"/>
        </w:tabs>
        <w:spacing w:after="0" w:line="240" w:lineRule="auto"/>
        <w:ind w:firstLine="567"/>
        <w:jc w:val="both"/>
        <w:rPr>
          <w:rFonts w:ascii="Times New Roman" w:hAnsi="Times New Roman"/>
          <w:b/>
          <w:i/>
          <w:color w:val="0000CC"/>
        </w:rPr>
      </w:pPr>
      <w:r>
        <w:rPr>
          <w:rFonts w:ascii="Times New Roman" w:hAnsi="Times New Roman"/>
          <w:b/>
          <w:i/>
          <w:color w:val="0000CC"/>
        </w:rPr>
        <w:t>Описание на показателите за полза/ефект</w:t>
      </w:r>
    </w:p>
    <w:p w:rsidR="00426FE9" w:rsidRDefault="00D0590D" w:rsidP="004F30BC">
      <w:pPr>
        <w:pStyle w:val="ListParagraph"/>
        <w:numPr>
          <w:ilvl w:val="0"/>
          <w:numId w:val="27"/>
        </w:numPr>
        <w:tabs>
          <w:tab w:val="left" w:pos="567"/>
          <w:tab w:val="left" w:pos="851"/>
        </w:tabs>
        <w:spacing w:after="0" w:line="240" w:lineRule="auto"/>
        <w:ind w:left="0" w:right="-1" w:firstLine="567"/>
        <w:jc w:val="both"/>
        <w:rPr>
          <w:rFonts w:ascii="Times New Roman" w:hAnsi="Times New Roman"/>
        </w:rPr>
      </w:pPr>
      <w:r>
        <w:rPr>
          <w:rFonts w:ascii="Times New Roman" w:hAnsi="Times New Roman"/>
        </w:rPr>
        <w:lastRenderedPageBreak/>
        <w:t>Показател „Завършен благоустройствен пътен обект/подобрена жизнена среда“ – показателят отразява броя на въведените в експлоатация обекти или участъци от тях.</w:t>
      </w:r>
    </w:p>
    <w:p w:rsidR="00426FE9" w:rsidRDefault="00D0590D" w:rsidP="004F30BC">
      <w:pPr>
        <w:pStyle w:val="ListParagraph"/>
        <w:numPr>
          <w:ilvl w:val="0"/>
          <w:numId w:val="27"/>
        </w:numPr>
        <w:tabs>
          <w:tab w:val="left" w:pos="567"/>
          <w:tab w:val="left" w:pos="851"/>
        </w:tabs>
        <w:spacing w:after="0" w:line="240" w:lineRule="auto"/>
        <w:ind w:left="0" w:right="-1" w:firstLine="567"/>
        <w:jc w:val="both"/>
        <w:rPr>
          <w:rFonts w:ascii="Times New Roman" w:hAnsi="Times New Roman"/>
        </w:rPr>
      </w:pPr>
      <w:r>
        <w:rPr>
          <w:rFonts w:ascii="Times New Roman" w:hAnsi="Times New Roman"/>
        </w:rPr>
        <w:t>Показател „Контролирана свлачищна територия“ – показателят отразява площта в хектари (ха), предвидена за режимни изследвания на свлачищните райони на територията на страната, включващи измервания на контролно-измервателни системи.</w:t>
      </w:r>
    </w:p>
    <w:p w:rsidR="00426FE9" w:rsidRDefault="00D0590D" w:rsidP="004F30BC">
      <w:pPr>
        <w:pStyle w:val="ListParagraph"/>
        <w:numPr>
          <w:ilvl w:val="0"/>
          <w:numId w:val="27"/>
        </w:numPr>
        <w:tabs>
          <w:tab w:val="left" w:pos="567"/>
          <w:tab w:val="left" w:pos="851"/>
        </w:tabs>
        <w:spacing w:after="0" w:line="240" w:lineRule="auto"/>
        <w:ind w:left="0" w:right="-1" w:firstLine="567"/>
        <w:jc w:val="both"/>
        <w:rPr>
          <w:rFonts w:ascii="Times New Roman" w:hAnsi="Times New Roman"/>
        </w:rPr>
      </w:pPr>
      <w:r>
        <w:rPr>
          <w:rFonts w:ascii="Times New Roman" w:hAnsi="Times New Roman"/>
        </w:rPr>
        <w:t>Показател „Повишена сигурност на обитаване в общини след изпълнение на геозащитни мерки и дейности“ – показателят отразява подпомогнатите общини със завършени и въведени в експлоатация с разрешение за ползване геозащитни обекти/етапи (реализирани укрепителни, брегоукрепителни, отводнителни и др. съоръжения).</w:t>
      </w:r>
    </w:p>
    <w:p w:rsidR="00426FE9" w:rsidRDefault="00D0590D" w:rsidP="004F30BC">
      <w:pPr>
        <w:pStyle w:val="ListParagraph"/>
        <w:numPr>
          <w:ilvl w:val="0"/>
          <w:numId w:val="27"/>
        </w:numPr>
        <w:tabs>
          <w:tab w:val="left" w:pos="567"/>
          <w:tab w:val="left" w:pos="851"/>
        </w:tabs>
        <w:spacing w:after="0" w:line="240" w:lineRule="auto"/>
        <w:ind w:left="0" w:right="-1" w:firstLine="567"/>
        <w:jc w:val="both"/>
        <w:rPr>
          <w:rFonts w:ascii="Times New Roman" w:hAnsi="Times New Roman"/>
        </w:rPr>
      </w:pPr>
      <w:r>
        <w:rPr>
          <w:rFonts w:ascii="Times New Roman" w:hAnsi="Times New Roman"/>
        </w:rPr>
        <w:t>Показател „Подобряване условията на жизнената среда в сградите чрез контрол, осъществяван от ДНСК, гарантиращ безопасно и здравословно обитаване при въвеждане в експлоатация на строежи от I, II и III категория,“ - целева стойност 100% представлява съотношение между издадените Разрешения за ползване и постъпилите заявления за издаване на Разрешения за ползване, за които е назначена ДПК;</w:t>
      </w:r>
    </w:p>
    <w:p w:rsidR="00426FE9" w:rsidRDefault="00D0590D" w:rsidP="004F30BC">
      <w:pPr>
        <w:pStyle w:val="ListParagraph"/>
        <w:numPr>
          <w:ilvl w:val="0"/>
          <w:numId w:val="27"/>
        </w:numPr>
        <w:tabs>
          <w:tab w:val="left" w:pos="567"/>
          <w:tab w:val="left" w:pos="851"/>
        </w:tabs>
        <w:spacing w:after="0" w:line="240" w:lineRule="auto"/>
        <w:ind w:left="0" w:right="-1" w:firstLine="567"/>
        <w:jc w:val="both"/>
        <w:rPr>
          <w:rFonts w:ascii="Times New Roman" w:hAnsi="Times New Roman"/>
        </w:rPr>
      </w:pPr>
      <w:r>
        <w:rPr>
          <w:rFonts w:ascii="Times New Roman" w:hAnsi="Times New Roman"/>
        </w:rPr>
        <w:t>Показател „Гарантиране спазването на нормативните изисквания за сигурност, устойчивост, безопасност и достъпност на строежите чрез повишен контрол върху инвестиционния процес в строителството и действията на общинската администрация“ - изпълнението на целта ще се изчислява като съотношение между броя на издадените административни актове в резултат на осъществен контрол  и броя на извършени проверки на строежи и издадени строителни книжа. Резултатът трябва да клони към min . (1).</w:t>
      </w:r>
    </w:p>
    <w:p w:rsidR="00426FE9" w:rsidRDefault="00D0590D" w:rsidP="004F30BC">
      <w:pPr>
        <w:pStyle w:val="ListParagraph"/>
        <w:numPr>
          <w:ilvl w:val="0"/>
          <w:numId w:val="27"/>
        </w:numPr>
        <w:tabs>
          <w:tab w:val="left" w:pos="567"/>
          <w:tab w:val="left" w:pos="851"/>
        </w:tabs>
        <w:spacing w:after="0" w:line="240" w:lineRule="auto"/>
        <w:ind w:left="0" w:right="-1" w:firstLine="567"/>
        <w:jc w:val="both"/>
        <w:rPr>
          <w:rFonts w:ascii="Times New Roman" w:hAnsi="Times New Roman"/>
        </w:rPr>
      </w:pPr>
      <w:r>
        <w:rPr>
          <w:rFonts w:ascii="Times New Roman" w:hAnsi="Times New Roman"/>
        </w:rPr>
        <w:t>Показател „Обезпечаване на територията на страната с общи устройствени планове“ - Показателите за изпълнение на частта от програмата, свързани с устройственото планиране са:</w:t>
      </w:r>
    </w:p>
    <w:p w:rsidR="00426FE9" w:rsidRDefault="00D0590D">
      <w:pPr>
        <w:pStyle w:val="ListParagraph"/>
        <w:numPr>
          <w:ilvl w:val="1"/>
          <w:numId w:val="16"/>
        </w:numPr>
        <w:tabs>
          <w:tab w:val="left" w:pos="567"/>
          <w:tab w:val="left" w:pos="709"/>
        </w:tabs>
        <w:spacing w:line="240" w:lineRule="auto"/>
        <w:ind w:left="0" w:right="-1" w:firstLine="567"/>
        <w:jc w:val="both"/>
        <w:rPr>
          <w:rFonts w:ascii="Times New Roman" w:hAnsi="Times New Roman"/>
        </w:rPr>
      </w:pPr>
      <w:r>
        <w:rPr>
          <w:rFonts w:ascii="Times New Roman" w:hAnsi="Times New Roman"/>
        </w:rPr>
        <w:t>количествени – брой дейности/услуги;</w:t>
      </w:r>
    </w:p>
    <w:p w:rsidR="00426FE9" w:rsidRDefault="00D0590D">
      <w:pPr>
        <w:pStyle w:val="ListParagraph"/>
        <w:numPr>
          <w:ilvl w:val="1"/>
          <w:numId w:val="16"/>
        </w:numPr>
        <w:tabs>
          <w:tab w:val="left" w:pos="567"/>
          <w:tab w:val="left" w:pos="709"/>
        </w:tabs>
        <w:spacing w:line="240" w:lineRule="auto"/>
        <w:ind w:left="0" w:right="-1" w:firstLine="567"/>
        <w:jc w:val="both"/>
        <w:rPr>
          <w:rFonts w:ascii="Times New Roman" w:hAnsi="Times New Roman"/>
        </w:rPr>
      </w:pPr>
      <w:r>
        <w:rPr>
          <w:rFonts w:ascii="Times New Roman" w:hAnsi="Times New Roman"/>
        </w:rPr>
        <w:t>качествени – спазени нормативни изисквания;</w:t>
      </w:r>
    </w:p>
    <w:p w:rsidR="00426FE9" w:rsidRDefault="00D0590D">
      <w:pPr>
        <w:pStyle w:val="ListParagraph"/>
        <w:numPr>
          <w:ilvl w:val="1"/>
          <w:numId w:val="16"/>
        </w:numPr>
        <w:tabs>
          <w:tab w:val="left" w:pos="567"/>
          <w:tab w:val="left" w:pos="709"/>
        </w:tabs>
        <w:spacing w:line="240" w:lineRule="auto"/>
        <w:ind w:left="0" w:right="-1" w:firstLine="567"/>
        <w:jc w:val="both"/>
        <w:rPr>
          <w:rFonts w:ascii="Times New Roman" w:hAnsi="Times New Roman"/>
        </w:rPr>
      </w:pPr>
      <w:r>
        <w:rPr>
          <w:rFonts w:ascii="Times New Roman" w:hAnsi="Times New Roman"/>
        </w:rPr>
        <w:t>времеви – изпълнение в нормативно определения срок или в срока на бюджетната година.</w:t>
      </w:r>
    </w:p>
    <w:p w:rsidR="00426FE9" w:rsidRDefault="00D0590D">
      <w:pPr>
        <w:pStyle w:val="ListParagraph"/>
        <w:tabs>
          <w:tab w:val="left" w:pos="709"/>
        </w:tabs>
        <w:spacing w:after="0" w:line="240" w:lineRule="auto"/>
        <w:ind w:left="0" w:right="-1" w:firstLine="567"/>
        <w:jc w:val="both"/>
        <w:rPr>
          <w:rFonts w:ascii="Times New Roman" w:hAnsi="Times New Roman"/>
          <w:bCs/>
        </w:rPr>
      </w:pPr>
      <w:r>
        <w:rPr>
          <w:rFonts w:ascii="Times New Roman" w:hAnsi="Times New Roman"/>
          <w:bCs/>
        </w:rPr>
        <w:t xml:space="preserve">Целеви стойности за ползи/ефект не могат да се измерят пряко, тъй като цялостният ефект от дейността е свързан с по-дългосрочни перспективни прогнози на действие на различните устройствени   планове </w:t>
      </w:r>
      <w:r>
        <w:rPr>
          <w:rFonts w:ascii="Times New Roman" w:hAnsi="Times New Roman"/>
          <w:bCs/>
          <w:lang w:val="ru-RU"/>
        </w:rPr>
        <w:t>(</w:t>
      </w:r>
      <w:r>
        <w:rPr>
          <w:rFonts w:ascii="Times New Roman" w:hAnsi="Times New Roman"/>
          <w:bCs/>
        </w:rPr>
        <w:t>15-20 г.</w:t>
      </w:r>
      <w:r>
        <w:rPr>
          <w:rFonts w:ascii="Times New Roman" w:hAnsi="Times New Roman"/>
          <w:bCs/>
          <w:lang w:val="ru-RU"/>
        </w:rPr>
        <w:t>)</w:t>
      </w:r>
      <w:r>
        <w:rPr>
          <w:rFonts w:ascii="Times New Roman" w:hAnsi="Times New Roman"/>
          <w:bCs/>
        </w:rPr>
        <w:t>.</w:t>
      </w:r>
    </w:p>
    <w:p w:rsidR="00426FE9" w:rsidRDefault="00D0590D" w:rsidP="004F30BC">
      <w:pPr>
        <w:pStyle w:val="ListParagraph"/>
        <w:numPr>
          <w:ilvl w:val="0"/>
          <w:numId w:val="28"/>
        </w:numPr>
        <w:tabs>
          <w:tab w:val="left" w:pos="851"/>
        </w:tabs>
        <w:spacing w:after="0" w:line="240" w:lineRule="auto"/>
        <w:ind w:left="0" w:right="-1" w:firstLine="567"/>
        <w:jc w:val="both"/>
        <w:rPr>
          <w:rFonts w:ascii="Times New Roman" w:hAnsi="Times New Roman"/>
          <w:bCs/>
        </w:rPr>
      </w:pPr>
      <w:r>
        <w:rPr>
          <w:rFonts w:ascii="Times New Roman" w:hAnsi="Times New Roman"/>
          <w:bCs/>
        </w:rPr>
        <w:t>Показателят „Предоставени услуги от геодезически, топографски и кадастрални данни“ отразява извършените за нуждите на ведомства, общини, физически и юридическите лица справки и услуги при условия и по ред, определени в ЗКИР и Тарифа № 14 за таксите, които се събират в системата на Министерството на регионалното развитие и благоустройството и от областните управители. Данните по показателя за изпълнение са изготвени като прогноза, основана на база предишни периоди;</w:t>
      </w:r>
    </w:p>
    <w:p w:rsidR="00426FE9" w:rsidRDefault="00D0590D" w:rsidP="004F30BC">
      <w:pPr>
        <w:pStyle w:val="ListParagraph"/>
        <w:numPr>
          <w:ilvl w:val="0"/>
          <w:numId w:val="28"/>
        </w:numPr>
        <w:tabs>
          <w:tab w:val="left" w:pos="851"/>
        </w:tabs>
        <w:spacing w:after="0" w:line="240" w:lineRule="auto"/>
        <w:ind w:left="0" w:right="-1" w:firstLine="567"/>
        <w:jc w:val="both"/>
        <w:rPr>
          <w:rFonts w:ascii="Times New Roman" w:hAnsi="Times New Roman"/>
          <w:bCs/>
        </w:rPr>
      </w:pPr>
      <w:r>
        <w:rPr>
          <w:rFonts w:ascii="Times New Roman" w:hAnsi="Times New Roman"/>
          <w:bCs/>
        </w:rPr>
        <w:t>Показател „Поддържане на валидни сертификати, издадени на производители на строителни продукти“ измерва постигането на стратегическа цел „Осигуряване и управление на система за оправомощаване и ефективен контрол върху дейността на лицата, извършващи оценяване на строителните продукти“</w:t>
      </w:r>
    </w:p>
    <w:p w:rsidR="00426FE9" w:rsidRDefault="00D0590D" w:rsidP="004F30BC">
      <w:pPr>
        <w:pStyle w:val="ListParagraph"/>
        <w:numPr>
          <w:ilvl w:val="0"/>
          <w:numId w:val="28"/>
        </w:numPr>
        <w:tabs>
          <w:tab w:val="left" w:pos="851"/>
        </w:tabs>
        <w:spacing w:after="0" w:line="240" w:lineRule="auto"/>
        <w:ind w:left="0" w:right="-1" w:firstLine="567"/>
        <w:jc w:val="both"/>
        <w:rPr>
          <w:rFonts w:ascii="Times New Roman" w:hAnsi="Times New Roman"/>
          <w:bCs/>
        </w:rPr>
      </w:pPr>
      <w:r>
        <w:rPr>
          <w:rFonts w:ascii="Times New Roman" w:hAnsi="Times New Roman"/>
          <w:bCs/>
        </w:rPr>
        <w:t>Показател „Участия в заседания на европейско и национално ниво за хармонизиране на националното законодателство с европейското и/или в разработването или отчитането на национални стратегически документи за изпълнение на политики на Европейския съюз“ измерва  стратегическа цел „Защита на националните интереси и отразяването на специфични национални условия при създаването на европейските законодателни актове, свързани със строителните продукти и създаване на национални изисквания за тяхното влагане в строежите на Република България“ и допринася за изпълнение на стратегическа цел „Създаване и управление на техническата нормативна уредба за проектиране, изпълнение и поддържане на строежите, хармонизирана с европейското техническо законодателство, в т.ч. с европейските регламенти, директиви и стандарти, свързани с удовлетворяването на основните изисквания към строежите по чл. 169 от Закона за устройство на територията: носимоспособност, пожарна безопасност, хигиена, здраве и околната среда, достъпност и безопасна експлоатация, защита от шум, икономия на енергия и топлосъхранение, устойчиво използване на природните ресурси, в рамките на икономически обоснован експлоатационен срок“, както и за изпълнението на стратегическа цел „Гарантиране на устойчиво строителство на територията на Република България чрез създаване на нормативни условия за проектиране, изпълнение и поддържане на безопасни, енергоефективни и достъпни строежи (сгради и строителни съоръжения) и въвеждане и прилагане на европейските регламенти, директиви и стандарти в областта на строителството“.</w:t>
      </w:r>
    </w:p>
    <w:p w:rsidR="00426FE9" w:rsidRDefault="00D0590D" w:rsidP="004F30BC">
      <w:pPr>
        <w:pStyle w:val="ListParagraph"/>
        <w:numPr>
          <w:ilvl w:val="0"/>
          <w:numId w:val="28"/>
        </w:numPr>
        <w:tabs>
          <w:tab w:val="left" w:pos="851"/>
        </w:tabs>
        <w:spacing w:after="0" w:line="240" w:lineRule="auto"/>
        <w:ind w:left="0" w:right="-1" w:firstLine="567"/>
        <w:jc w:val="both"/>
        <w:rPr>
          <w:rFonts w:ascii="Times New Roman" w:hAnsi="Times New Roman"/>
          <w:bCs/>
        </w:rPr>
      </w:pPr>
      <w:r>
        <w:rPr>
          <w:rFonts w:ascii="Times New Roman" w:hAnsi="Times New Roman"/>
          <w:bCs/>
        </w:rPr>
        <w:lastRenderedPageBreak/>
        <w:t>Показател „Поддържане на регулаторна база от технически нормативни актове за обследване, проектиране, изграждане и поддържане на строежите“ измерва постигането на стратегическа цел „Създаване и управление на техническата нормативна уредба за проектиране, изпълнение и поддържане на строежите, хармонизирана с европейското техническо законодателство, в т.ч. с европейските регламенти, директиви и стандарти, свързани с удовлетворяването на основните изисквания към строежите по чл. 169 от Закона за устройство на територията: носимоспособност, пожарна безопасност, хигиена, здраве и околната среда, достъпност и безопасна експлоатация, защита от шум, икономия на енергия и топлосъхранение, устойчиво използване на природните ресурси, в рамките на икономически обоснован експлоатационен срок“, и допринася за изпълнението на стратегическа цел „Гарантиране на устойчиво строителство на територията на Република България чрез създаване на нормативни условия за проектиране, изпълнение и поддържане на безопасни, енергоефективни и достъпни строежи (сгради и строителни съоръжения) и въвеждане и прилагане на европейските регламенти, директиви и стандарти в областта на строителството“.</w:t>
      </w:r>
    </w:p>
    <w:p w:rsidR="00426FE9" w:rsidRDefault="00D0590D">
      <w:pPr>
        <w:spacing w:after="0" w:line="240" w:lineRule="auto"/>
        <w:ind w:right="-1" w:firstLine="567"/>
        <w:jc w:val="both"/>
        <w:rPr>
          <w:rFonts w:ascii="Times New Roman" w:hAnsi="Times New Roman" w:cs="Times New Roman"/>
          <w:b/>
          <w:i/>
          <w:color w:val="0000CC"/>
        </w:rPr>
      </w:pPr>
      <w:r>
        <w:rPr>
          <w:rFonts w:ascii="Times New Roman" w:hAnsi="Times New Roman" w:cs="Times New Roman"/>
          <w:b/>
          <w:i/>
          <w:color w:val="0000CC"/>
        </w:rPr>
        <w:t>Информация за наличността и качеството на данните</w:t>
      </w:r>
    </w:p>
    <w:p w:rsidR="00426FE9" w:rsidRDefault="00D0590D">
      <w:pPr>
        <w:tabs>
          <w:tab w:val="left" w:pos="851"/>
        </w:tabs>
        <w:spacing w:after="0" w:line="240" w:lineRule="auto"/>
        <w:ind w:right="-1" w:firstLine="567"/>
        <w:jc w:val="both"/>
        <w:rPr>
          <w:rFonts w:ascii="Times New Roman" w:hAnsi="Times New Roman" w:cs="Times New Roman"/>
        </w:rPr>
      </w:pPr>
      <w:r>
        <w:rPr>
          <w:rFonts w:ascii="Times New Roman" w:hAnsi="Times New Roman" w:cs="Times New Roman"/>
        </w:rPr>
        <w:t>Информация за напредъка по изпълнението на показателите се събира на основата на данни от Националния статистически институт, Евростат и др. официални източници на информация, както и от Поименно разпределение на разходите по задачи/обекти на структурите в МРРБ, архив и регистри на издадените строителни книжа, деловодна система на МРРБ.</w:t>
      </w:r>
    </w:p>
    <w:p w:rsidR="00426FE9" w:rsidRDefault="00D0590D">
      <w:pPr>
        <w:tabs>
          <w:tab w:val="left" w:pos="851"/>
        </w:tabs>
        <w:spacing w:after="0" w:line="240" w:lineRule="auto"/>
        <w:ind w:right="-1"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Предоставената информация за областта на политиката и данните са в съответствие с наличната информация в дирекция „Водоснабдяване и канализация и благоустройствени дейности“ – изработени инвестиционни проекти, техническите задания, количествено-стойностни сметки, оферти към сключени договори и отчетна документация по сключени договори, в това число доклади от извършен мониторинг. Използват се и данни от общините и областните администрации.</w:t>
      </w:r>
    </w:p>
    <w:p w:rsidR="00426FE9" w:rsidRDefault="00D0590D">
      <w:pPr>
        <w:spacing w:after="0" w:line="240" w:lineRule="auto"/>
        <w:ind w:right="-1" w:firstLine="567"/>
        <w:jc w:val="both"/>
        <w:rPr>
          <w:rFonts w:ascii="Times New Roman" w:hAnsi="Times New Roman" w:cs="Times New Roman"/>
          <w:b/>
          <w:i/>
          <w:color w:val="0000CC"/>
          <w:lang w:val="en-US"/>
        </w:rPr>
      </w:pPr>
      <w:r>
        <w:rPr>
          <w:rFonts w:ascii="Times New Roman" w:hAnsi="Times New Roman" w:cs="Times New Roman"/>
          <w:b/>
          <w:i/>
          <w:color w:val="0000CC"/>
        </w:rPr>
        <w:t>ІV. ОСНОВНИ ПАРАМЕТРИ НА БЮДЖЕТА ЗА 2026 Г. И АКТУАЛИЗИРАНАТА БЮДЖЕТНА ПРОГНОЗА ЗА 2027-2028 Г.</w:t>
      </w:r>
    </w:p>
    <w:p w:rsidR="00426FE9" w:rsidRDefault="00D0590D">
      <w:pPr>
        <w:widowControl w:val="0"/>
        <w:tabs>
          <w:tab w:val="left" w:pos="-3402"/>
        </w:tabs>
        <w:spacing w:after="0" w:line="240" w:lineRule="auto"/>
        <w:ind w:left="567"/>
        <w:jc w:val="both"/>
        <w:rPr>
          <w:rFonts w:ascii="Times New Roman" w:eastAsia="Times New Roman" w:hAnsi="Times New Roman" w:cs="Times New Roman"/>
          <w:b/>
          <w:i/>
          <w:color w:val="0000CC"/>
          <w:lang w:val="ru-RU"/>
        </w:rPr>
      </w:pPr>
      <w:r>
        <w:rPr>
          <w:rFonts w:ascii="Times New Roman" w:eastAsia="Times New Roman" w:hAnsi="Times New Roman" w:cs="Times New Roman"/>
          <w:b/>
          <w:i/>
          <w:color w:val="0000CC"/>
          <w:lang w:val="ru-RU"/>
        </w:rPr>
        <w:t xml:space="preserve">Описание на приходите </w:t>
      </w:r>
    </w:p>
    <w:tbl>
      <w:tblPr>
        <w:tblW w:w="10127" w:type="dxa"/>
        <w:tblLook w:val="04A0" w:firstRow="1" w:lastRow="0" w:firstColumn="1" w:lastColumn="0" w:noHBand="0" w:noVBand="1"/>
      </w:tblPr>
      <w:tblGrid>
        <w:gridCol w:w="5240"/>
        <w:gridCol w:w="1559"/>
        <w:gridCol w:w="1701"/>
        <w:gridCol w:w="1627"/>
      </w:tblGrid>
      <w:tr w:rsidR="005C6C43" w:rsidRPr="005C6C43" w:rsidTr="005C6C43">
        <w:trPr>
          <w:trHeight w:val="170"/>
        </w:trPr>
        <w:tc>
          <w:tcPr>
            <w:tcW w:w="5240" w:type="dxa"/>
            <w:tcBorders>
              <w:top w:val="single" w:sz="4" w:space="0" w:color="auto"/>
              <w:left w:val="single" w:sz="4" w:space="0" w:color="auto"/>
              <w:bottom w:val="nil"/>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 xml:space="preserve">ПРИХОДИ </w:t>
            </w:r>
            <w:r w:rsidRPr="005C6C43">
              <w:rPr>
                <w:rFonts w:ascii="Times New Roman" w:eastAsia="Times New Roman" w:hAnsi="Times New Roman" w:cs="Times New Roman"/>
                <w:b/>
                <w:bCs/>
                <w:color w:val="000000"/>
                <w:sz w:val="18"/>
                <w:szCs w:val="18"/>
                <w:lang w:val="en-US"/>
              </w:rPr>
              <w:br/>
              <w:t>(в хил. евро)</w:t>
            </w:r>
          </w:p>
        </w:tc>
        <w:tc>
          <w:tcPr>
            <w:tcW w:w="1559" w:type="dxa"/>
            <w:tcBorders>
              <w:top w:val="single" w:sz="4" w:space="0" w:color="auto"/>
              <w:left w:val="nil"/>
              <w:bottom w:val="single" w:sz="4" w:space="0" w:color="auto"/>
              <w:right w:val="single" w:sz="4" w:space="0" w:color="auto"/>
            </w:tcBorders>
            <w:shd w:val="clear" w:color="000000" w:fill="FFCC99"/>
            <w:vAlign w:val="center"/>
            <w:hideMark/>
          </w:tcPr>
          <w:p w:rsidR="005C6C43" w:rsidRPr="005C6C43" w:rsidRDefault="000D184C" w:rsidP="005C6C43">
            <w:pPr>
              <w:suppressAutoHyphens w:val="0"/>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Бюджет</w:t>
            </w:r>
            <w:r w:rsidR="005C6C43" w:rsidRPr="005C6C43">
              <w:rPr>
                <w:rFonts w:ascii="Times New Roman" w:eastAsia="Times New Roman" w:hAnsi="Times New Roman" w:cs="Times New Roman"/>
                <w:b/>
                <w:bCs/>
                <w:i/>
                <w:iCs/>
                <w:color w:val="000000"/>
                <w:sz w:val="18"/>
                <w:szCs w:val="18"/>
                <w:lang w:val="en-US"/>
              </w:rPr>
              <w:t xml:space="preserve"> 2026 г.</w:t>
            </w:r>
          </w:p>
        </w:tc>
        <w:tc>
          <w:tcPr>
            <w:tcW w:w="1701" w:type="dxa"/>
            <w:tcBorders>
              <w:top w:val="single" w:sz="4" w:space="0" w:color="auto"/>
              <w:left w:val="nil"/>
              <w:bottom w:val="nil"/>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Прогноза 2027 г.</w:t>
            </w:r>
          </w:p>
        </w:tc>
        <w:tc>
          <w:tcPr>
            <w:tcW w:w="1627" w:type="dxa"/>
            <w:tcBorders>
              <w:top w:val="single" w:sz="4" w:space="0" w:color="auto"/>
              <w:left w:val="nil"/>
              <w:bottom w:val="nil"/>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Прогноза 2028 г.</w:t>
            </w:r>
          </w:p>
        </w:tc>
      </w:tr>
      <w:tr w:rsidR="005C6C43" w:rsidRPr="005C6C43" w:rsidTr="005C6C43">
        <w:trPr>
          <w:trHeight w:val="170"/>
        </w:trPr>
        <w:tc>
          <w:tcPr>
            <w:tcW w:w="5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 </w:t>
            </w:r>
          </w:p>
        </w:tc>
        <w:tc>
          <w:tcPr>
            <w:tcW w:w="1559" w:type="dxa"/>
            <w:tcBorders>
              <w:top w:val="nil"/>
              <w:left w:val="nil"/>
              <w:bottom w:val="single" w:sz="4" w:space="0" w:color="auto"/>
              <w:right w:val="single" w:sz="4" w:space="0" w:color="auto"/>
            </w:tcBorders>
            <w:shd w:val="clear" w:color="000000" w:fill="FFFFFF"/>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5C6C43">
              <w:rPr>
                <w:rFonts w:ascii="Times New Roman" w:eastAsia="Times New Roman" w:hAnsi="Times New Roman" w:cs="Times New Roman"/>
                <w:b/>
                <w:bCs/>
                <w:i/>
                <w:iCs/>
                <w:color w:val="000000"/>
                <w:sz w:val="16"/>
                <w:szCs w:val="16"/>
                <w:lang w:val="en-US"/>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5C6C43">
              <w:rPr>
                <w:rFonts w:ascii="Times New Roman" w:eastAsia="Times New Roman" w:hAnsi="Times New Roman" w:cs="Times New Roman"/>
                <w:b/>
                <w:bCs/>
                <w:i/>
                <w:iCs/>
                <w:color w:val="000000"/>
                <w:sz w:val="16"/>
                <w:szCs w:val="16"/>
                <w:lang w:val="en-US"/>
              </w:rPr>
              <w:t> </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rsidR="005C6C43" w:rsidRPr="005C6C43" w:rsidRDefault="005C6C43" w:rsidP="005C6C43">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5C6C43">
              <w:rPr>
                <w:rFonts w:ascii="Times New Roman" w:eastAsia="Times New Roman" w:hAnsi="Times New Roman" w:cs="Times New Roman"/>
                <w:b/>
                <w:bCs/>
                <w:i/>
                <w:iCs/>
                <w:color w:val="000000"/>
                <w:sz w:val="16"/>
                <w:szCs w:val="16"/>
                <w:lang w:val="en-US"/>
              </w:rPr>
              <w:t> </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both"/>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Общо приходи:</w:t>
            </w:r>
          </w:p>
        </w:tc>
        <w:tc>
          <w:tcPr>
            <w:tcW w:w="1559" w:type="dxa"/>
            <w:tcBorders>
              <w:top w:val="nil"/>
              <w:left w:val="nil"/>
              <w:bottom w:val="single" w:sz="4" w:space="0" w:color="auto"/>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722 062,3</w:t>
            </w:r>
          </w:p>
        </w:tc>
        <w:tc>
          <w:tcPr>
            <w:tcW w:w="1701" w:type="dxa"/>
            <w:tcBorders>
              <w:top w:val="nil"/>
              <w:left w:val="nil"/>
              <w:bottom w:val="single" w:sz="4" w:space="0" w:color="auto"/>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832 600,1</w:t>
            </w:r>
          </w:p>
        </w:tc>
        <w:tc>
          <w:tcPr>
            <w:tcW w:w="1627" w:type="dxa"/>
            <w:tcBorders>
              <w:top w:val="nil"/>
              <w:left w:val="nil"/>
              <w:bottom w:val="single" w:sz="4" w:space="0" w:color="auto"/>
              <w:right w:val="single" w:sz="4" w:space="0" w:color="auto"/>
            </w:tcBorders>
            <w:shd w:val="clear" w:color="000000" w:fill="FFCC99"/>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832 600,1</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both"/>
              <w:rPr>
                <w:rFonts w:ascii="Times New Roman" w:eastAsia="Times New Roman" w:hAnsi="Times New Roman" w:cs="Times New Roman"/>
                <w:b/>
                <w:bCs/>
                <w:color w:val="000000"/>
                <w:sz w:val="18"/>
                <w:szCs w:val="18"/>
                <w:lang w:val="en-US"/>
              </w:rPr>
            </w:pPr>
            <w:r w:rsidRPr="005C6C43">
              <w:rPr>
                <w:rFonts w:ascii="Times New Roman" w:eastAsia="Times New Roman" w:hAnsi="Times New Roman" w:cs="Times New Roman"/>
                <w:b/>
                <w:bCs/>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 </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 </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 </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Данъчни приходи</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0,0</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0,0</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0,0</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Неданъчни приходи</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722 062,3</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832 600,1</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b/>
                <w:bCs/>
                <w:i/>
                <w:iCs/>
                <w:color w:val="000000"/>
                <w:sz w:val="18"/>
                <w:szCs w:val="18"/>
                <w:lang w:val="en-US"/>
              </w:rPr>
            </w:pPr>
            <w:r w:rsidRPr="005C6C43">
              <w:rPr>
                <w:rFonts w:ascii="Times New Roman" w:eastAsia="Times New Roman" w:hAnsi="Times New Roman" w:cs="Times New Roman"/>
                <w:b/>
                <w:bCs/>
                <w:i/>
                <w:iCs/>
                <w:color w:val="000000"/>
                <w:sz w:val="18"/>
                <w:szCs w:val="18"/>
                <w:lang w:val="en-US"/>
              </w:rPr>
              <w:t>832 600,1</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ind w:firstLineChars="200" w:firstLine="360"/>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Приходи и доходи от собственост</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833,4</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833,4</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833,4</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ind w:firstLineChars="200" w:firstLine="360"/>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Приходи от държавни такси</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719 138,2</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829 676,0</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829 676,0</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ind w:firstLineChars="200" w:firstLine="360"/>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Глоби, санкции и наказателни лихви</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802,7</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802,7</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802,7</w:t>
            </w:r>
          </w:p>
        </w:tc>
      </w:tr>
      <w:tr w:rsidR="005C6C43" w:rsidRPr="005C6C43" w:rsidTr="005C6C43">
        <w:trPr>
          <w:trHeight w:val="170"/>
        </w:trPr>
        <w:tc>
          <w:tcPr>
            <w:tcW w:w="5240" w:type="dxa"/>
            <w:tcBorders>
              <w:top w:val="nil"/>
              <w:left w:val="single" w:sz="4" w:space="0" w:color="auto"/>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 xml:space="preserve">       Други</w:t>
            </w:r>
          </w:p>
        </w:tc>
        <w:tc>
          <w:tcPr>
            <w:tcW w:w="1559"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1 288,0</w:t>
            </w:r>
          </w:p>
        </w:tc>
        <w:tc>
          <w:tcPr>
            <w:tcW w:w="1701"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1 288,0</w:t>
            </w:r>
          </w:p>
        </w:tc>
        <w:tc>
          <w:tcPr>
            <w:tcW w:w="1627" w:type="dxa"/>
            <w:tcBorders>
              <w:top w:val="nil"/>
              <w:left w:val="nil"/>
              <w:bottom w:val="single" w:sz="4" w:space="0" w:color="auto"/>
              <w:right w:val="single" w:sz="4" w:space="0" w:color="auto"/>
            </w:tcBorders>
            <w:shd w:val="clear" w:color="auto" w:fill="auto"/>
            <w:vAlign w:val="center"/>
            <w:hideMark/>
          </w:tcPr>
          <w:p w:rsidR="005C6C43" w:rsidRPr="005C6C43" w:rsidRDefault="005C6C43" w:rsidP="005C6C43">
            <w:pPr>
              <w:suppressAutoHyphens w:val="0"/>
              <w:spacing w:after="0" w:line="240" w:lineRule="auto"/>
              <w:jc w:val="right"/>
              <w:rPr>
                <w:rFonts w:ascii="Times New Roman" w:eastAsia="Times New Roman" w:hAnsi="Times New Roman" w:cs="Times New Roman"/>
                <w:color w:val="000000"/>
                <w:sz w:val="18"/>
                <w:szCs w:val="18"/>
                <w:lang w:val="en-US"/>
              </w:rPr>
            </w:pPr>
            <w:r w:rsidRPr="005C6C43">
              <w:rPr>
                <w:rFonts w:ascii="Times New Roman" w:eastAsia="Times New Roman" w:hAnsi="Times New Roman" w:cs="Times New Roman"/>
                <w:color w:val="000000"/>
                <w:sz w:val="18"/>
                <w:szCs w:val="18"/>
                <w:lang w:val="en-US"/>
              </w:rPr>
              <w:t>1 288,0</w:t>
            </w:r>
          </w:p>
        </w:tc>
      </w:tr>
    </w:tbl>
    <w:p w:rsidR="00165C4A" w:rsidRDefault="00165C4A">
      <w:pPr>
        <w:widowControl w:val="0"/>
        <w:tabs>
          <w:tab w:val="left" w:pos="-3402"/>
        </w:tabs>
        <w:spacing w:after="0" w:line="240" w:lineRule="auto"/>
        <w:ind w:left="567"/>
        <w:jc w:val="both"/>
        <w:rPr>
          <w:rFonts w:ascii="Times New Roman" w:eastAsia="Times New Roman" w:hAnsi="Times New Roman" w:cs="Times New Roman"/>
          <w:b/>
          <w:i/>
          <w:color w:val="0000CC"/>
          <w:lang w:val="ru-RU"/>
        </w:rPr>
      </w:pPr>
    </w:p>
    <w:p w:rsidR="00426FE9" w:rsidRDefault="00D0590D" w:rsidP="00C25A94">
      <w:pPr>
        <w:spacing w:after="0" w:line="240" w:lineRule="auto"/>
        <w:ind w:firstLine="567"/>
        <w:jc w:val="both"/>
        <w:rPr>
          <w:rFonts w:ascii="Times New Roman" w:eastAsia="MS Mincho" w:hAnsi="Times New Roman" w:cs="Times New Roman"/>
          <w:lang w:eastAsia="bg-BG"/>
        </w:rPr>
      </w:pPr>
      <w:r>
        <w:rPr>
          <w:rFonts w:ascii="Times New Roman" w:eastAsia="MS Mincho" w:hAnsi="Times New Roman" w:cs="Times New Roman"/>
          <w:lang w:eastAsia="bg-BG"/>
        </w:rPr>
        <w:t>Предвижда</w:t>
      </w:r>
      <w:r>
        <w:t xml:space="preserve"> </w:t>
      </w:r>
      <w:r>
        <w:rPr>
          <w:rFonts w:ascii="Times New Roman" w:eastAsia="MS Mincho" w:hAnsi="Times New Roman" w:cs="Times New Roman"/>
          <w:lang w:eastAsia="bg-BG"/>
        </w:rPr>
        <w:t>се приходите, събирани от</w:t>
      </w:r>
      <w:r w:rsidR="004E50D5">
        <w:rPr>
          <w:rFonts w:ascii="Times New Roman" w:eastAsia="MS Mincho" w:hAnsi="Times New Roman" w:cs="Times New Roman"/>
          <w:lang w:eastAsia="bg-BG"/>
        </w:rPr>
        <w:t>в</w:t>
      </w:r>
      <w:r>
        <w:rPr>
          <w:rFonts w:ascii="Times New Roman" w:eastAsia="MS Mincho" w:hAnsi="Times New Roman" w:cs="Times New Roman"/>
          <w:lang w:eastAsia="bg-BG"/>
        </w:rPr>
        <w:t xml:space="preserve"> системата на МРРБ, за периода 2026-202</w:t>
      </w:r>
      <w:r>
        <w:rPr>
          <w:rFonts w:ascii="Times New Roman" w:eastAsia="MS Mincho" w:hAnsi="Times New Roman" w:cs="Times New Roman"/>
          <w:lang w:val="en-US" w:eastAsia="bg-BG"/>
        </w:rPr>
        <w:t>8</w:t>
      </w:r>
      <w:r>
        <w:rPr>
          <w:rFonts w:ascii="Times New Roman" w:eastAsia="MS Mincho" w:hAnsi="Times New Roman" w:cs="Times New Roman"/>
          <w:lang w:eastAsia="bg-BG"/>
        </w:rPr>
        <w:t xml:space="preserve"> г. да нарастнат спрямо 2025 г.</w:t>
      </w:r>
      <w:r w:rsidR="004E50D5">
        <w:rPr>
          <w:rFonts w:ascii="Times New Roman" w:eastAsia="MS Mincho" w:hAnsi="Times New Roman" w:cs="Times New Roman"/>
          <w:lang w:eastAsia="bg-BG"/>
        </w:rPr>
        <w:t xml:space="preserve"> със 1</w:t>
      </w:r>
      <w:r w:rsidR="00103220">
        <w:rPr>
          <w:rFonts w:ascii="Times New Roman" w:eastAsia="MS Mincho" w:hAnsi="Times New Roman" w:cs="Times New Roman"/>
          <w:lang w:eastAsia="bg-BG"/>
        </w:rPr>
        <w:t>23</w:t>
      </w:r>
      <w:r w:rsidR="004E50D5">
        <w:rPr>
          <w:rFonts w:ascii="Times New Roman" w:eastAsia="MS Mincho" w:hAnsi="Times New Roman" w:cs="Times New Roman"/>
          <w:lang w:eastAsia="bg-BG"/>
        </w:rPr>
        <w:t> 474,0 хил.евро</w:t>
      </w:r>
      <w:r>
        <w:rPr>
          <w:rFonts w:ascii="Times New Roman" w:eastAsia="MS Mincho" w:hAnsi="Times New Roman" w:cs="Times New Roman"/>
          <w:lang w:eastAsia="bg-BG"/>
        </w:rPr>
        <w:t xml:space="preserve">, което се дължи </w:t>
      </w:r>
      <w:r w:rsidR="0072571D">
        <w:rPr>
          <w:rFonts w:ascii="Times New Roman" w:eastAsia="MS Mincho" w:hAnsi="Times New Roman" w:cs="Times New Roman"/>
          <w:lang w:eastAsia="bg-BG"/>
        </w:rPr>
        <w:t xml:space="preserve">основно </w:t>
      </w:r>
      <w:r>
        <w:rPr>
          <w:rFonts w:ascii="Times New Roman" w:eastAsia="MS Mincho" w:hAnsi="Times New Roman" w:cs="Times New Roman"/>
          <w:lang w:eastAsia="bg-BG"/>
        </w:rPr>
        <w:t xml:space="preserve">на нарастване на приходите от </w:t>
      </w:r>
      <w:r w:rsidR="003600A5">
        <w:rPr>
          <w:rFonts w:ascii="Times New Roman" w:eastAsia="MS Mincho" w:hAnsi="Times New Roman" w:cs="Times New Roman"/>
          <w:lang w:val="en-US" w:eastAsia="bg-BG"/>
        </w:rPr>
        <w:t>пътни такси</w:t>
      </w:r>
      <w:r>
        <w:rPr>
          <w:rFonts w:ascii="Times New Roman" w:eastAsia="MS Mincho" w:hAnsi="Times New Roman" w:cs="Times New Roman"/>
          <w:lang w:eastAsia="bg-BG"/>
        </w:rPr>
        <w:t xml:space="preserve">.  </w:t>
      </w:r>
    </w:p>
    <w:p w:rsidR="00426FE9" w:rsidRDefault="00D0590D">
      <w:pPr>
        <w:spacing w:after="0" w:line="240" w:lineRule="auto"/>
        <w:ind w:firstLine="567"/>
        <w:jc w:val="both"/>
        <w:rPr>
          <w:rFonts w:ascii="Times New Roman" w:eastAsia="MS Mincho" w:hAnsi="Times New Roman" w:cs="Times New Roman"/>
          <w:b/>
          <w:bCs/>
          <w:i/>
          <w:iCs/>
          <w:lang w:eastAsia="bg-BG"/>
        </w:rPr>
      </w:pPr>
      <w:r>
        <w:rPr>
          <w:rFonts w:ascii="Times New Roman" w:eastAsia="MS Mincho" w:hAnsi="Times New Roman" w:cs="Times New Roman"/>
          <w:b/>
          <w:i/>
          <w:lang w:eastAsia="bg-BG"/>
        </w:rPr>
        <w:t>Централна администрация</w:t>
      </w:r>
      <w:r>
        <w:rPr>
          <w:rFonts w:ascii="Times New Roman" w:eastAsia="MS Mincho" w:hAnsi="Times New Roman" w:cs="Times New Roman"/>
          <w:lang w:eastAsia="bg-BG"/>
        </w:rPr>
        <w:t xml:space="preserve"> е администратор на неданъчни приходи като: приходи и доходи от собственост (наеми), държавни такси по Тарифа № 14, таксите по ЗУТ, наложени глоби или имуществени санкции на нарушители на ЗУТ. За периода 202</w:t>
      </w:r>
      <w:r w:rsidR="004C77CC">
        <w:rPr>
          <w:rFonts w:ascii="Times New Roman" w:eastAsia="MS Mincho" w:hAnsi="Times New Roman" w:cs="Times New Roman"/>
          <w:lang w:eastAsia="bg-BG"/>
        </w:rPr>
        <w:t>6</w:t>
      </w:r>
      <w:r>
        <w:rPr>
          <w:rFonts w:ascii="Times New Roman" w:eastAsia="MS Mincho" w:hAnsi="Times New Roman" w:cs="Times New Roman"/>
          <w:lang w:eastAsia="bg-BG"/>
        </w:rPr>
        <w:t>-202</w:t>
      </w:r>
      <w:r>
        <w:rPr>
          <w:rFonts w:ascii="Times New Roman" w:eastAsia="MS Mincho" w:hAnsi="Times New Roman" w:cs="Times New Roman"/>
          <w:lang w:val="en-US" w:eastAsia="bg-BG"/>
        </w:rPr>
        <w:t>8</w:t>
      </w:r>
      <w:r>
        <w:rPr>
          <w:rFonts w:ascii="Times New Roman" w:eastAsia="MS Mincho" w:hAnsi="Times New Roman" w:cs="Times New Roman"/>
          <w:lang w:eastAsia="bg-BG"/>
        </w:rPr>
        <w:t xml:space="preserve"> г. </w:t>
      </w:r>
      <w:r w:rsidR="00193051">
        <w:rPr>
          <w:rFonts w:ascii="Times New Roman" w:eastAsia="MS Mincho" w:hAnsi="Times New Roman" w:cs="Times New Roman"/>
          <w:lang w:eastAsia="bg-BG"/>
        </w:rPr>
        <w:t>са разчетени приходи в размер на 714 000 € или спрямо нивото от 2025 г.</w:t>
      </w:r>
      <w:r w:rsidR="004C77CC">
        <w:rPr>
          <w:rFonts w:ascii="Times New Roman" w:eastAsia="MS Mincho" w:hAnsi="Times New Roman" w:cs="Times New Roman"/>
          <w:lang w:eastAsia="bg-BG"/>
        </w:rPr>
        <w:t xml:space="preserve"> </w:t>
      </w:r>
      <w:r w:rsidR="00193051">
        <w:rPr>
          <w:rFonts w:ascii="Times New Roman" w:eastAsia="MS Mincho" w:hAnsi="Times New Roman" w:cs="Times New Roman"/>
          <w:lang w:eastAsia="bg-BG"/>
        </w:rPr>
        <w:t>прихоите са намалени с 333 500 €, основно в частта на другите неданъчни приходи.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b/>
          <w:bCs/>
          <w:i/>
          <w:iCs/>
          <w:lang w:eastAsia="bg-BG"/>
        </w:rPr>
        <w:t>Агенция „Пътна инфраструктура“</w:t>
      </w:r>
      <w:r>
        <w:rPr>
          <w:rFonts w:ascii="Times New Roman" w:eastAsia="Times New Roman" w:hAnsi="Times New Roman" w:cs="Times New Roman"/>
          <w:lang w:eastAsia="bg-BG"/>
        </w:rPr>
        <w:t xml:space="preserve"> е администратор на приходи, съгласно чл. 44 от Закона за пътищата, събирани на основание чл. 10 и чл. 18 от Закона за пътищата и Тарифа за таксите, които се събират от АПИ. Приходите на Агенцията по своя характер са неданъчни и се формират от: такса за ползване на пътната инфраструктура на база изминато разстояние за превозни средства с обща технически допустима максимална маса над 3,5 т. (тол) – тол такса; такса за ползване на пътната инфраструктура на база време за леки автомобили с обща технически допустима максимална маса до 3,5 т. (електронна винетка) – винетна такса; такси за специално ползване на пътищата; лихви; лабораторни услуги; приходи и доходи от собственост /наеми/; глоби и административни наказания и др. </w:t>
      </w:r>
    </w:p>
    <w:p w:rsidR="00D411A0" w:rsidRPr="00D411A0" w:rsidRDefault="00D411A0" w:rsidP="00D411A0">
      <w:pPr>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t>Прогнозата на приходите от дължавни такси за периода 202</w:t>
      </w:r>
      <w:r>
        <w:rPr>
          <w:rFonts w:ascii="Times New Roman" w:eastAsia="Times New Roman" w:hAnsi="Times New Roman" w:cs="Times New Roman"/>
          <w:lang w:eastAsia="bg-BG"/>
        </w:rPr>
        <w:t>6</w:t>
      </w:r>
      <w:r w:rsidRPr="00D411A0">
        <w:rPr>
          <w:rFonts w:ascii="Times New Roman" w:eastAsia="Times New Roman" w:hAnsi="Times New Roman" w:cs="Times New Roman"/>
          <w:lang w:eastAsia="bg-BG"/>
        </w:rPr>
        <w:t>-202</w:t>
      </w:r>
      <w:r>
        <w:rPr>
          <w:rFonts w:ascii="Times New Roman" w:eastAsia="Times New Roman" w:hAnsi="Times New Roman" w:cs="Times New Roman"/>
          <w:lang w:eastAsia="bg-BG"/>
        </w:rPr>
        <w:t>8</w:t>
      </w:r>
      <w:r w:rsidRPr="00D411A0">
        <w:rPr>
          <w:rFonts w:ascii="Times New Roman" w:eastAsia="Times New Roman" w:hAnsi="Times New Roman" w:cs="Times New Roman"/>
          <w:lang w:eastAsia="bg-BG"/>
        </w:rPr>
        <w:t xml:space="preserve"> г. е направена при следните допускания:</w:t>
      </w:r>
    </w:p>
    <w:p w:rsidR="00D411A0" w:rsidRPr="00D411A0" w:rsidRDefault="00D411A0" w:rsidP="00801D4A">
      <w:pPr>
        <w:tabs>
          <w:tab w:val="left" w:pos="851"/>
        </w:tabs>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t>1.</w:t>
      </w:r>
      <w:r w:rsidRPr="00D411A0">
        <w:rPr>
          <w:rFonts w:ascii="Times New Roman" w:eastAsia="Times New Roman" w:hAnsi="Times New Roman" w:cs="Times New Roman"/>
          <w:lang w:eastAsia="bg-BG"/>
        </w:rPr>
        <w:tab/>
        <w:t>Приходи от винетни такси:</w:t>
      </w:r>
    </w:p>
    <w:p w:rsidR="00D411A0" w:rsidRDefault="00D411A0" w:rsidP="00D411A0">
      <w:pPr>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lastRenderedPageBreak/>
        <w:t>202</w:t>
      </w:r>
      <w:r>
        <w:rPr>
          <w:rFonts w:ascii="Times New Roman" w:eastAsia="Times New Roman" w:hAnsi="Times New Roman" w:cs="Times New Roman"/>
          <w:lang w:eastAsia="bg-BG"/>
        </w:rPr>
        <w:t xml:space="preserve">6 г. - </w:t>
      </w:r>
      <w:r w:rsidRPr="00D411A0">
        <w:rPr>
          <w:rFonts w:ascii="Times New Roman" w:eastAsia="Times New Roman" w:hAnsi="Times New Roman" w:cs="Times New Roman"/>
          <w:lang w:eastAsia="bg-BG"/>
        </w:rPr>
        <w:t>203</w:t>
      </w:r>
      <w:r w:rsidR="004300D0">
        <w:rPr>
          <w:rFonts w:ascii="Times New Roman" w:eastAsia="Times New Roman" w:hAnsi="Times New Roman" w:cs="Times New Roman"/>
          <w:lang w:eastAsia="bg-BG"/>
        </w:rPr>
        <w:t> </w:t>
      </w:r>
      <w:r w:rsidR="00193051">
        <w:rPr>
          <w:rFonts w:ascii="Times New Roman" w:eastAsia="Times New Roman" w:hAnsi="Times New Roman" w:cs="Times New Roman"/>
          <w:lang w:eastAsia="bg-BG"/>
        </w:rPr>
        <w:t>2</w:t>
      </w:r>
      <w:r w:rsidR="00D70601">
        <w:rPr>
          <w:rFonts w:ascii="Times New Roman" w:eastAsia="Times New Roman" w:hAnsi="Times New Roman" w:cs="Times New Roman"/>
          <w:lang w:eastAsia="bg-BG"/>
        </w:rPr>
        <w:t>2</w:t>
      </w:r>
      <w:r w:rsidR="00193051">
        <w:rPr>
          <w:rFonts w:ascii="Times New Roman" w:eastAsia="Times New Roman" w:hAnsi="Times New Roman" w:cs="Times New Roman"/>
          <w:lang w:eastAsia="bg-BG"/>
        </w:rPr>
        <w:t>3</w:t>
      </w:r>
      <w:r w:rsidR="004300D0">
        <w:rPr>
          <w:rFonts w:ascii="Times New Roman" w:eastAsia="Times New Roman" w:hAnsi="Times New Roman" w:cs="Times New Roman"/>
          <w:lang w:eastAsia="bg-BG"/>
        </w:rPr>
        <w:t>,</w:t>
      </w:r>
      <w:r w:rsidR="00193051">
        <w:rPr>
          <w:rFonts w:ascii="Times New Roman" w:eastAsia="Times New Roman" w:hAnsi="Times New Roman" w:cs="Times New Roman"/>
          <w:lang w:eastAsia="bg-BG"/>
        </w:rPr>
        <w:t>2</w:t>
      </w:r>
      <w:r w:rsidR="004300D0">
        <w:rPr>
          <w:rFonts w:ascii="Times New Roman" w:eastAsia="Times New Roman" w:hAnsi="Times New Roman" w:cs="Times New Roman"/>
          <w:lang w:eastAsia="bg-BG"/>
        </w:rPr>
        <w:t xml:space="preserve"> хил.</w:t>
      </w:r>
      <w:r>
        <w:rPr>
          <w:rFonts w:ascii="Times New Roman" w:eastAsia="Times New Roman" w:hAnsi="Times New Roman" w:cs="Times New Roman"/>
          <w:lang w:eastAsia="bg-BG"/>
        </w:rPr>
        <w:t>евро</w:t>
      </w:r>
      <w:r w:rsidR="004300D0">
        <w:rPr>
          <w:rFonts w:ascii="Times New Roman" w:eastAsia="Times New Roman" w:hAnsi="Times New Roman" w:cs="Times New Roman"/>
          <w:lang w:eastAsia="bg-BG"/>
        </w:rPr>
        <w:t>;</w:t>
      </w:r>
      <w:r w:rsidRPr="00D411A0">
        <w:rPr>
          <w:rFonts w:ascii="Times New Roman" w:eastAsia="Times New Roman" w:hAnsi="Times New Roman" w:cs="Times New Roman"/>
          <w:lang w:eastAsia="bg-BG"/>
        </w:rPr>
        <w:t xml:space="preserve"> </w:t>
      </w:r>
    </w:p>
    <w:p w:rsidR="00D411A0" w:rsidRPr="00D411A0" w:rsidRDefault="00D411A0" w:rsidP="00D411A0">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2027-2028г. - </w:t>
      </w:r>
      <w:r w:rsidR="004300D0">
        <w:rPr>
          <w:rFonts w:ascii="Times New Roman" w:eastAsia="Times New Roman" w:hAnsi="Times New Roman" w:cs="Times New Roman"/>
          <w:lang w:eastAsia="bg-BG"/>
        </w:rPr>
        <w:t>23</w:t>
      </w:r>
      <w:r w:rsidR="00193051">
        <w:rPr>
          <w:rFonts w:ascii="Times New Roman" w:eastAsia="Times New Roman" w:hAnsi="Times New Roman" w:cs="Times New Roman"/>
          <w:lang w:eastAsia="bg-BG"/>
        </w:rPr>
        <w:t>4</w:t>
      </w:r>
      <w:r w:rsidR="004300D0">
        <w:rPr>
          <w:rFonts w:ascii="Times New Roman" w:eastAsia="Times New Roman" w:hAnsi="Times New Roman" w:cs="Times New Roman"/>
          <w:lang w:eastAsia="bg-BG"/>
        </w:rPr>
        <w:t> </w:t>
      </w:r>
      <w:r w:rsidR="00193051">
        <w:rPr>
          <w:rFonts w:ascii="Times New Roman" w:eastAsia="Times New Roman" w:hAnsi="Times New Roman" w:cs="Times New Roman"/>
          <w:lang w:eastAsia="bg-BG"/>
        </w:rPr>
        <w:t>835</w:t>
      </w:r>
      <w:r w:rsidR="004300D0">
        <w:rPr>
          <w:rFonts w:ascii="Times New Roman" w:eastAsia="Times New Roman" w:hAnsi="Times New Roman" w:cs="Times New Roman"/>
          <w:lang w:eastAsia="bg-BG"/>
        </w:rPr>
        <w:t>,</w:t>
      </w:r>
      <w:r w:rsidR="00193051">
        <w:rPr>
          <w:rFonts w:ascii="Times New Roman" w:eastAsia="Times New Roman" w:hAnsi="Times New Roman" w:cs="Times New Roman"/>
          <w:lang w:eastAsia="bg-BG"/>
        </w:rPr>
        <w:t>6</w:t>
      </w:r>
      <w:r w:rsidR="004300D0">
        <w:rPr>
          <w:rFonts w:ascii="Times New Roman" w:eastAsia="Times New Roman" w:hAnsi="Times New Roman" w:cs="Times New Roman"/>
          <w:lang w:eastAsia="bg-BG"/>
        </w:rPr>
        <w:t xml:space="preserve"> хил. евро годишно.</w:t>
      </w:r>
    </w:p>
    <w:p w:rsidR="00D411A0" w:rsidRPr="00D411A0" w:rsidRDefault="00D411A0" w:rsidP="00801D4A">
      <w:pPr>
        <w:tabs>
          <w:tab w:val="left" w:pos="851"/>
        </w:tabs>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t>2.</w:t>
      </w:r>
      <w:r w:rsidRPr="00D411A0">
        <w:rPr>
          <w:rFonts w:ascii="Times New Roman" w:eastAsia="Times New Roman" w:hAnsi="Times New Roman" w:cs="Times New Roman"/>
          <w:lang w:eastAsia="bg-BG"/>
        </w:rPr>
        <w:tab/>
        <w:t>Приходи от тол такси:</w:t>
      </w:r>
    </w:p>
    <w:p w:rsidR="00D411A0" w:rsidRPr="00D411A0" w:rsidRDefault="00D411A0" w:rsidP="00D411A0">
      <w:pPr>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t>Разпределението на приходите от тол такси за периода по години, е както следва:</w:t>
      </w:r>
    </w:p>
    <w:p w:rsidR="00D411A0" w:rsidRPr="00D411A0" w:rsidRDefault="00D411A0" w:rsidP="00D411A0">
      <w:pPr>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t>202</w:t>
      </w:r>
      <w:r w:rsidR="004300D0">
        <w:rPr>
          <w:rFonts w:ascii="Times New Roman" w:eastAsia="Times New Roman" w:hAnsi="Times New Roman" w:cs="Times New Roman"/>
          <w:lang w:eastAsia="bg-BG"/>
        </w:rPr>
        <w:t>6</w:t>
      </w:r>
      <w:r w:rsidRPr="00D411A0">
        <w:rPr>
          <w:rFonts w:ascii="Times New Roman" w:eastAsia="Times New Roman" w:hAnsi="Times New Roman" w:cs="Times New Roman"/>
          <w:lang w:eastAsia="bg-BG"/>
        </w:rPr>
        <w:t xml:space="preserve"> г. </w:t>
      </w:r>
      <w:r w:rsidR="00193051">
        <w:rPr>
          <w:rFonts w:ascii="Times New Roman" w:eastAsia="Times New Roman" w:hAnsi="Times New Roman" w:cs="Times New Roman"/>
          <w:lang w:eastAsia="bg-BG"/>
        </w:rPr>
        <w:t>–</w:t>
      </w:r>
      <w:r w:rsidRPr="00D411A0">
        <w:rPr>
          <w:rFonts w:ascii="Times New Roman" w:eastAsia="Times New Roman" w:hAnsi="Times New Roman" w:cs="Times New Roman"/>
          <w:lang w:eastAsia="bg-BG"/>
        </w:rPr>
        <w:t xml:space="preserve"> </w:t>
      </w:r>
      <w:r w:rsidR="004300D0" w:rsidRPr="004300D0">
        <w:rPr>
          <w:rFonts w:ascii="Times New Roman" w:eastAsia="Times New Roman" w:hAnsi="Times New Roman" w:cs="Times New Roman"/>
          <w:lang w:eastAsia="bg-BG"/>
        </w:rPr>
        <w:t>43</w:t>
      </w:r>
      <w:r w:rsidR="00193051">
        <w:rPr>
          <w:rFonts w:ascii="Times New Roman" w:eastAsia="Times New Roman" w:hAnsi="Times New Roman" w:cs="Times New Roman"/>
          <w:lang w:eastAsia="bg-BG"/>
        </w:rPr>
        <w:t>8 952,3</w:t>
      </w:r>
      <w:r w:rsidR="004300D0">
        <w:rPr>
          <w:rFonts w:ascii="Times New Roman" w:eastAsia="Times New Roman" w:hAnsi="Times New Roman" w:cs="Times New Roman"/>
          <w:lang w:eastAsia="bg-BG"/>
        </w:rPr>
        <w:t xml:space="preserve"> хил.евро;</w:t>
      </w:r>
    </w:p>
    <w:p w:rsidR="00D411A0" w:rsidRPr="00D411A0" w:rsidRDefault="00D411A0" w:rsidP="00D411A0">
      <w:pPr>
        <w:spacing w:after="0" w:line="240" w:lineRule="auto"/>
        <w:ind w:firstLine="567"/>
        <w:jc w:val="both"/>
        <w:rPr>
          <w:rFonts w:ascii="Times New Roman" w:eastAsia="Times New Roman" w:hAnsi="Times New Roman" w:cs="Times New Roman"/>
          <w:lang w:eastAsia="bg-BG"/>
        </w:rPr>
      </w:pPr>
      <w:r w:rsidRPr="00D411A0">
        <w:rPr>
          <w:rFonts w:ascii="Times New Roman" w:eastAsia="Times New Roman" w:hAnsi="Times New Roman" w:cs="Times New Roman"/>
          <w:lang w:eastAsia="bg-BG"/>
        </w:rPr>
        <w:t>202</w:t>
      </w:r>
      <w:r w:rsidR="004300D0">
        <w:rPr>
          <w:rFonts w:ascii="Times New Roman" w:eastAsia="Times New Roman" w:hAnsi="Times New Roman" w:cs="Times New Roman"/>
          <w:lang w:eastAsia="bg-BG"/>
        </w:rPr>
        <w:t>7</w:t>
      </w:r>
      <w:r w:rsidRPr="00D411A0">
        <w:rPr>
          <w:rFonts w:ascii="Times New Roman" w:eastAsia="Times New Roman" w:hAnsi="Times New Roman" w:cs="Times New Roman"/>
          <w:lang w:eastAsia="bg-BG"/>
        </w:rPr>
        <w:t xml:space="preserve"> – </w:t>
      </w:r>
      <w:r w:rsidR="004300D0">
        <w:rPr>
          <w:rFonts w:ascii="Times New Roman" w:eastAsia="Times New Roman" w:hAnsi="Times New Roman" w:cs="Times New Roman"/>
          <w:lang w:eastAsia="bg-BG"/>
        </w:rPr>
        <w:t>2028 г. -</w:t>
      </w:r>
      <w:r w:rsidR="004300D0" w:rsidRPr="004300D0">
        <w:rPr>
          <w:rFonts w:ascii="Times New Roman" w:eastAsia="Times New Roman" w:hAnsi="Times New Roman" w:cs="Times New Roman"/>
          <w:lang w:eastAsia="bg-BG"/>
        </w:rPr>
        <w:tab/>
        <w:t>48</w:t>
      </w:r>
      <w:r w:rsidR="00193051">
        <w:rPr>
          <w:rFonts w:ascii="Times New Roman" w:eastAsia="Times New Roman" w:hAnsi="Times New Roman" w:cs="Times New Roman"/>
          <w:lang w:eastAsia="bg-BG"/>
        </w:rPr>
        <w:t>4 490,1</w:t>
      </w:r>
      <w:r w:rsidR="004300D0">
        <w:rPr>
          <w:rFonts w:ascii="Times New Roman" w:eastAsia="Times New Roman" w:hAnsi="Times New Roman" w:cs="Times New Roman"/>
          <w:lang w:eastAsia="bg-BG"/>
        </w:rPr>
        <w:t xml:space="preserve"> хил.евро</w:t>
      </w:r>
      <w:r w:rsidR="004300D0" w:rsidRPr="00D411A0">
        <w:rPr>
          <w:rFonts w:ascii="Times New Roman" w:eastAsia="Times New Roman" w:hAnsi="Times New Roman" w:cs="Times New Roman"/>
          <w:lang w:eastAsia="bg-BG"/>
        </w:rPr>
        <w:t xml:space="preserve"> </w:t>
      </w:r>
      <w:r w:rsidRPr="00D411A0">
        <w:rPr>
          <w:rFonts w:ascii="Times New Roman" w:eastAsia="Times New Roman" w:hAnsi="Times New Roman" w:cs="Times New Roman"/>
          <w:lang w:eastAsia="bg-BG"/>
        </w:rPr>
        <w:t>годишно</w:t>
      </w:r>
      <w:r w:rsidR="004300D0">
        <w:rPr>
          <w:rFonts w:ascii="Times New Roman" w:eastAsia="Times New Roman" w:hAnsi="Times New Roman" w:cs="Times New Roman"/>
          <w:lang w:eastAsia="bg-BG"/>
        </w:rPr>
        <w:t>.</w:t>
      </w:r>
    </w:p>
    <w:p w:rsidR="00426FE9" w:rsidRDefault="00D0590D" w:rsidP="00D411A0">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За 2026 г. е отразен ефекта на годишна база от приетата през 2025 г. промяна в Тарифата за таксите, които се събират от АПИ за преминаване и ползване на републиканската пътна мрежа, с която се предвижда поетапно увеличение на размера на тол таксите с 20% (от 01 април и от 01 септември 2025 г.), както и възстановяване на цената на електронната винетка</w:t>
      </w:r>
      <w:r w:rsidR="003600A5">
        <w:rPr>
          <w:rFonts w:ascii="Times New Roman" w:eastAsia="Times New Roman" w:hAnsi="Times New Roman" w:cs="Times New Roman"/>
          <w:lang w:eastAsia="bg-BG"/>
        </w:rPr>
        <w:t xml:space="preserve"> </w:t>
      </w:r>
      <w:r w:rsidR="00E0438A">
        <w:rPr>
          <w:rFonts w:ascii="Times New Roman" w:eastAsia="Times New Roman" w:hAnsi="Times New Roman" w:cs="Times New Roman"/>
          <w:lang w:eastAsia="bg-BG"/>
        </w:rPr>
        <w:t>на нивта от</w:t>
      </w:r>
      <w:r w:rsidR="003600A5">
        <w:rPr>
          <w:rFonts w:ascii="Times New Roman" w:eastAsia="Times New Roman" w:hAnsi="Times New Roman" w:cs="Times New Roman"/>
          <w:lang w:eastAsia="bg-BG"/>
        </w:rPr>
        <w:t xml:space="preserve"> </w:t>
      </w:r>
      <w:r w:rsidR="00E0438A">
        <w:rPr>
          <w:rFonts w:ascii="Times New Roman" w:eastAsia="Times New Roman" w:hAnsi="Times New Roman" w:cs="Times New Roman"/>
          <w:lang w:eastAsia="bg-BG"/>
        </w:rPr>
        <w:t>20</w:t>
      </w:r>
      <w:r w:rsidR="00193051">
        <w:rPr>
          <w:rFonts w:ascii="Times New Roman" w:eastAsia="Times New Roman" w:hAnsi="Times New Roman" w:cs="Times New Roman"/>
          <w:lang w:eastAsia="bg-BG"/>
        </w:rPr>
        <w:t>19</w:t>
      </w:r>
      <w:r w:rsidR="00E0438A">
        <w:rPr>
          <w:rFonts w:ascii="Times New Roman" w:eastAsia="Times New Roman" w:hAnsi="Times New Roman" w:cs="Times New Roman"/>
          <w:lang w:eastAsia="bg-BG"/>
        </w:rPr>
        <w:t xml:space="preserve"> г.</w:t>
      </w:r>
      <w:r w:rsidR="003600A5">
        <w:rPr>
          <w:rFonts w:ascii="Times New Roman" w:eastAsia="Times New Roman" w:hAnsi="Times New Roman" w:cs="Times New Roman"/>
          <w:lang w:eastAsia="bg-BG"/>
        </w:rPr>
        <w:t>,</w:t>
      </w:r>
      <w:r>
        <w:rPr>
          <w:rFonts w:ascii="Times New Roman" w:eastAsia="Times New Roman" w:hAnsi="Times New Roman" w:cs="Times New Roman"/>
          <w:lang w:eastAsia="bg-BG"/>
        </w:rPr>
        <w:t xml:space="preserve"> считано от 01 май 2025 г.</w:t>
      </w:r>
      <w:r w:rsidR="00351C53" w:rsidRPr="00351C53">
        <w:t xml:space="preserve"> </w:t>
      </w:r>
      <w:r w:rsidR="00351C53">
        <w:t xml:space="preserve">или общо увеличение с </w:t>
      </w:r>
      <w:r w:rsidR="00193051">
        <w:rPr>
          <w:rFonts w:ascii="Times New Roman" w:eastAsia="Times New Roman" w:hAnsi="Times New Roman" w:cs="Times New Roman"/>
          <w:lang w:eastAsia="bg-BG"/>
        </w:rPr>
        <w:t>30 785,9</w:t>
      </w:r>
      <w:r w:rsidR="00351C53">
        <w:rPr>
          <w:rFonts w:ascii="Times New Roman" w:eastAsia="Times New Roman" w:hAnsi="Times New Roman" w:cs="Times New Roman"/>
          <w:lang w:eastAsia="bg-BG"/>
        </w:rPr>
        <w:t xml:space="preserve"> хил евро.</w:t>
      </w:r>
    </w:p>
    <w:p w:rsidR="004300D0" w:rsidRDefault="004300D0" w:rsidP="004300D0">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От 01.08.2026 г. е предвидено цените на всички видаве ел. винетки да нарастнат с 30 на сто, за което от страна на МРРБ е подготвен проект на Постановление на Министерския съвет за </w:t>
      </w:r>
      <w:r w:rsidRPr="003600A5">
        <w:rPr>
          <w:rFonts w:ascii="Times New Roman" w:eastAsia="Times New Roman" w:hAnsi="Times New Roman" w:cs="Times New Roman"/>
          <w:lang w:eastAsia="bg-BG"/>
        </w:rPr>
        <w:t xml:space="preserve">изменение на Тарифата на таксите, които се събират за преминаване и ползване на републиканската пътна мрежа </w:t>
      </w:r>
      <w:r>
        <w:rPr>
          <w:rFonts w:ascii="Times New Roman" w:eastAsia="Times New Roman" w:hAnsi="Times New Roman" w:cs="Times New Roman"/>
          <w:lang w:eastAsia="bg-BG"/>
        </w:rPr>
        <w:t xml:space="preserve">и предстои да бъде внесен за разгреждане. Ефектът от тази мярка за 2026 г. ще доведе от увеличение на приходите с </w:t>
      </w:r>
      <w:r w:rsidRPr="003600A5">
        <w:rPr>
          <w:rFonts w:ascii="Times New Roman" w:eastAsia="Times New Roman" w:hAnsi="Times New Roman" w:cs="Times New Roman"/>
          <w:lang w:eastAsia="bg-BG"/>
        </w:rPr>
        <w:t>22</w:t>
      </w:r>
      <w:r w:rsidR="00193051">
        <w:rPr>
          <w:rFonts w:ascii="Times New Roman" w:eastAsia="Times New Roman" w:hAnsi="Times New Roman" w:cs="Times New Roman"/>
          <w:lang w:eastAsia="bg-BG"/>
        </w:rPr>
        <w:t> 580,4</w:t>
      </w:r>
      <w:r>
        <w:rPr>
          <w:rFonts w:ascii="Times New Roman" w:eastAsia="Times New Roman" w:hAnsi="Times New Roman" w:cs="Times New Roman"/>
          <w:lang w:eastAsia="bg-BG"/>
        </w:rPr>
        <w:t xml:space="preserve"> хил. евро, а за 2027 и следващите години с още </w:t>
      </w:r>
      <w:r w:rsidRPr="003600A5">
        <w:rPr>
          <w:rFonts w:ascii="Times New Roman" w:eastAsia="Times New Roman" w:hAnsi="Times New Roman" w:cs="Times New Roman"/>
          <w:lang w:eastAsia="bg-BG"/>
        </w:rPr>
        <w:t>31</w:t>
      </w:r>
      <w:r w:rsidR="00193051">
        <w:rPr>
          <w:rFonts w:ascii="Times New Roman" w:eastAsia="Times New Roman" w:hAnsi="Times New Roman" w:cs="Times New Roman"/>
          <w:lang w:eastAsia="bg-BG"/>
        </w:rPr>
        <w:t> </w:t>
      </w:r>
      <w:r w:rsidRPr="003600A5">
        <w:rPr>
          <w:rFonts w:ascii="Times New Roman" w:eastAsia="Times New Roman" w:hAnsi="Times New Roman" w:cs="Times New Roman"/>
          <w:lang w:eastAsia="bg-BG"/>
        </w:rPr>
        <w:t>6</w:t>
      </w:r>
      <w:r w:rsidR="00193051">
        <w:rPr>
          <w:rFonts w:ascii="Times New Roman" w:eastAsia="Times New Roman" w:hAnsi="Times New Roman" w:cs="Times New Roman"/>
          <w:lang w:eastAsia="bg-BG"/>
        </w:rPr>
        <w:t>12,4</w:t>
      </w:r>
      <w:r>
        <w:rPr>
          <w:rFonts w:ascii="Times New Roman" w:eastAsia="Times New Roman" w:hAnsi="Times New Roman" w:cs="Times New Roman"/>
          <w:lang w:eastAsia="bg-BG"/>
        </w:rPr>
        <w:t xml:space="preserve"> хил</w:t>
      </w:r>
      <w:r w:rsidRPr="003600A5">
        <w:rPr>
          <w:rFonts w:ascii="Times New Roman" w:eastAsia="Times New Roman" w:hAnsi="Times New Roman" w:cs="Times New Roman"/>
          <w:lang w:eastAsia="bg-BG"/>
        </w:rPr>
        <w:t xml:space="preserve">. евро </w:t>
      </w:r>
      <w:r>
        <w:rPr>
          <w:rFonts w:ascii="Times New Roman" w:eastAsia="Times New Roman" w:hAnsi="Times New Roman" w:cs="Times New Roman"/>
          <w:lang w:eastAsia="bg-BG"/>
        </w:rPr>
        <w:t xml:space="preserve">спрямо 2026 г. </w:t>
      </w:r>
    </w:p>
    <w:p w:rsidR="00426FE9" w:rsidRDefault="005C5A09">
      <w:pPr>
        <w:spacing w:after="0" w:line="240" w:lineRule="auto"/>
        <w:ind w:firstLine="567"/>
        <w:jc w:val="both"/>
        <w:rPr>
          <w:rFonts w:ascii="Times New Roman" w:eastAsia="Times New Roman" w:hAnsi="Times New Roman" w:cs="Times New Roman"/>
          <w:lang w:eastAsia="bg-BG"/>
        </w:rPr>
      </w:pPr>
      <w:r w:rsidRPr="005C5A09">
        <w:rPr>
          <w:rFonts w:ascii="Times New Roman" w:eastAsia="Times New Roman" w:hAnsi="Times New Roman" w:cs="Times New Roman"/>
          <w:lang w:eastAsia="bg-BG"/>
        </w:rPr>
        <w:t xml:space="preserve">С ПМС № </w:t>
      </w:r>
      <w:r>
        <w:rPr>
          <w:rFonts w:ascii="Times New Roman" w:eastAsia="Times New Roman" w:hAnsi="Times New Roman" w:cs="Times New Roman"/>
          <w:lang w:eastAsia="bg-BG"/>
        </w:rPr>
        <w:t>64 /2026 г. е</w:t>
      </w:r>
      <w:r w:rsidRPr="005C5A09">
        <w:rPr>
          <w:rFonts w:ascii="Times New Roman" w:eastAsia="Times New Roman" w:hAnsi="Times New Roman" w:cs="Times New Roman"/>
          <w:lang w:eastAsia="bg-BG"/>
        </w:rPr>
        <w:t xml:space="preserve"> изменен</w:t>
      </w:r>
      <w:r>
        <w:rPr>
          <w:rFonts w:ascii="Times New Roman" w:eastAsia="Times New Roman" w:hAnsi="Times New Roman" w:cs="Times New Roman"/>
          <w:lang w:eastAsia="bg-BG"/>
        </w:rPr>
        <w:t>а</w:t>
      </w:r>
      <w:r w:rsidRPr="005C5A09">
        <w:rPr>
          <w:rFonts w:ascii="Times New Roman" w:eastAsia="Times New Roman" w:hAnsi="Times New Roman" w:cs="Times New Roman"/>
          <w:lang w:eastAsia="bg-BG"/>
        </w:rPr>
        <w:t xml:space="preserve"> на Тарифата на таксите, които се събират за преминаване и ползване на републиканската пътна мрежа, в съответствие с разпоредбите  на Директива (ЕС) 2022/362 на Европейския парламент и на Съвета от 24 февруари 2022 г. за изменение на директиви 1999/62/ЕО, 1999/37/ЕО и (ЕС) 2019/520 относно таксуването на превозни средства за използване на определени инфраструктури и измененията и допълненията в Закона за пътищата (ЗП) от 2025 г. Една от планираните ключови промени в Електронната система за събиране на пътни такси в Република България във връзка с новия ЗП е въвеждане на диференциация на тол таксите на базата на CO₂ (въглероден диоксид) емисиите от тежкотоварните пътни превозни средства. Диференцираното таксуване на база CO₂ емисиите за тежкотоварните ППС се </w:t>
      </w:r>
      <w:r>
        <w:rPr>
          <w:rFonts w:ascii="Times New Roman" w:eastAsia="Times New Roman" w:hAnsi="Times New Roman" w:cs="Times New Roman"/>
          <w:lang w:eastAsia="bg-BG"/>
        </w:rPr>
        <w:t xml:space="preserve">въвежда от </w:t>
      </w:r>
      <w:r w:rsidRPr="005C5A09">
        <w:rPr>
          <w:rFonts w:ascii="Times New Roman" w:eastAsia="Times New Roman" w:hAnsi="Times New Roman" w:cs="Times New Roman"/>
          <w:lang w:eastAsia="bg-BG"/>
        </w:rPr>
        <w:t xml:space="preserve">01 </w:t>
      </w:r>
      <w:r>
        <w:rPr>
          <w:rFonts w:ascii="Times New Roman" w:eastAsia="Times New Roman" w:hAnsi="Times New Roman" w:cs="Times New Roman"/>
          <w:lang w:eastAsia="bg-BG"/>
        </w:rPr>
        <w:t>юни</w:t>
      </w:r>
      <w:r w:rsidRPr="005C5A09">
        <w:rPr>
          <w:rFonts w:ascii="Times New Roman" w:eastAsia="Times New Roman" w:hAnsi="Times New Roman" w:cs="Times New Roman"/>
          <w:lang w:eastAsia="bg-BG"/>
        </w:rPr>
        <w:t xml:space="preserve"> 2026 г. което ще доведе до прогнозно увеличение в приходите с 6</w:t>
      </w:r>
      <w:r>
        <w:rPr>
          <w:rFonts w:ascii="Times New Roman" w:eastAsia="Times New Roman" w:hAnsi="Times New Roman" w:cs="Times New Roman"/>
          <w:lang w:eastAsia="bg-BG"/>
        </w:rPr>
        <w:t>3 752,9</w:t>
      </w:r>
      <w:r w:rsidRPr="005C5A09">
        <w:rPr>
          <w:rFonts w:ascii="Times New Roman" w:eastAsia="Times New Roman" w:hAnsi="Times New Roman" w:cs="Times New Roman"/>
          <w:lang w:eastAsia="bg-BG"/>
        </w:rPr>
        <w:t xml:space="preserve"> </w:t>
      </w:r>
      <w:r w:rsidR="00E0438A">
        <w:rPr>
          <w:rFonts w:ascii="Times New Roman" w:eastAsia="Times New Roman" w:hAnsi="Times New Roman" w:cs="Times New Roman"/>
          <w:lang w:eastAsia="bg-BG"/>
        </w:rPr>
        <w:t>хил</w:t>
      </w:r>
      <w:r w:rsidRPr="005C5A09">
        <w:rPr>
          <w:rFonts w:ascii="Times New Roman" w:eastAsia="Times New Roman" w:hAnsi="Times New Roman" w:cs="Times New Roman"/>
          <w:lang w:eastAsia="bg-BG"/>
        </w:rPr>
        <w:t>. евро за 2026 г.</w:t>
      </w:r>
      <w:r>
        <w:rPr>
          <w:rFonts w:ascii="Times New Roman" w:eastAsia="Times New Roman" w:hAnsi="Times New Roman" w:cs="Times New Roman"/>
          <w:lang w:eastAsia="bg-BG"/>
        </w:rPr>
        <w:t xml:space="preserve"> и с още с</w:t>
      </w:r>
      <w:r w:rsidRPr="005C5A09">
        <w:rPr>
          <w:rFonts w:ascii="Times New Roman" w:eastAsia="Times New Roman" w:hAnsi="Times New Roman" w:cs="Times New Roman"/>
          <w:lang w:eastAsia="bg-BG"/>
        </w:rPr>
        <w:t xml:space="preserve"> 45 537,8</w:t>
      </w:r>
      <w:r>
        <w:rPr>
          <w:rFonts w:ascii="Times New Roman" w:eastAsia="Times New Roman" w:hAnsi="Times New Roman" w:cs="Times New Roman"/>
          <w:lang w:eastAsia="bg-BG"/>
        </w:rPr>
        <w:t xml:space="preserve"> </w:t>
      </w:r>
      <w:r w:rsidR="00E0438A">
        <w:rPr>
          <w:rFonts w:ascii="Times New Roman" w:eastAsia="Times New Roman" w:hAnsi="Times New Roman" w:cs="Times New Roman"/>
          <w:lang w:eastAsia="bg-BG"/>
        </w:rPr>
        <w:t>хил</w:t>
      </w:r>
      <w:r w:rsidRPr="005C5A09">
        <w:rPr>
          <w:rFonts w:ascii="Times New Roman" w:eastAsia="Times New Roman" w:hAnsi="Times New Roman" w:cs="Times New Roman"/>
          <w:lang w:eastAsia="bg-BG"/>
        </w:rPr>
        <w:t xml:space="preserve">. евро </w:t>
      </w:r>
      <w:r w:rsidR="00D411A0">
        <w:rPr>
          <w:rFonts w:ascii="Times New Roman" w:eastAsia="Times New Roman" w:hAnsi="Times New Roman" w:cs="Times New Roman"/>
          <w:lang w:eastAsia="bg-BG"/>
        </w:rPr>
        <w:t xml:space="preserve"> за </w:t>
      </w:r>
      <w:r w:rsidRPr="005C5A09">
        <w:rPr>
          <w:rFonts w:ascii="Times New Roman" w:eastAsia="Times New Roman" w:hAnsi="Times New Roman" w:cs="Times New Roman"/>
          <w:lang w:eastAsia="bg-BG"/>
        </w:rPr>
        <w:t>2027</w:t>
      </w:r>
      <w:r w:rsidR="00D411A0">
        <w:rPr>
          <w:rFonts w:ascii="Times New Roman" w:eastAsia="Times New Roman" w:hAnsi="Times New Roman" w:cs="Times New Roman"/>
          <w:lang w:eastAsia="bg-BG"/>
        </w:rPr>
        <w:t xml:space="preserve"> </w:t>
      </w:r>
      <w:r>
        <w:rPr>
          <w:rFonts w:ascii="Times New Roman" w:eastAsia="Times New Roman" w:hAnsi="Times New Roman" w:cs="Times New Roman"/>
          <w:lang w:eastAsia="bg-BG"/>
        </w:rPr>
        <w:t>и следващите години</w:t>
      </w:r>
      <w:r w:rsidRPr="005C5A09">
        <w:rPr>
          <w:rFonts w:ascii="Times New Roman" w:eastAsia="Times New Roman" w:hAnsi="Times New Roman" w:cs="Times New Roman"/>
          <w:lang w:eastAsia="bg-BG"/>
        </w:rPr>
        <w:t xml:space="preserve">. </w:t>
      </w:r>
    </w:p>
    <w:p w:rsidR="006C0100" w:rsidRDefault="00B34ACE">
      <w:pPr>
        <w:spacing w:after="0" w:line="240" w:lineRule="auto"/>
        <w:ind w:firstLine="567"/>
        <w:jc w:val="both"/>
        <w:rPr>
          <w:rFonts w:ascii="Times New Roman" w:eastAsia="Times New Roman" w:hAnsi="Times New Roman" w:cs="Times New Roman"/>
          <w:lang w:eastAsia="bg-BG"/>
        </w:rPr>
      </w:pPr>
      <w:r w:rsidRPr="00B34ACE">
        <w:rPr>
          <w:rFonts w:ascii="Times New Roman" w:eastAsia="Times New Roman" w:hAnsi="Times New Roman" w:cs="Times New Roman"/>
          <w:lang w:eastAsia="bg-BG"/>
        </w:rPr>
        <w:t>За 202</w:t>
      </w:r>
      <w:r>
        <w:rPr>
          <w:rFonts w:ascii="Times New Roman" w:eastAsia="Times New Roman" w:hAnsi="Times New Roman" w:cs="Times New Roman"/>
          <w:lang w:eastAsia="bg-BG"/>
        </w:rPr>
        <w:t>6</w:t>
      </w:r>
      <w:r w:rsidRPr="00B34ACE">
        <w:rPr>
          <w:rFonts w:ascii="Times New Roman" w:eastAsia="Times New Roman" w:hAnsi="Times New Roman" w:cs="Times New Roman"/>
          <w:lang w:eastAsia="bg-BG"/>
        </w:rPr>
        <w:t xml:space="preserve"> г. е заложено увеличение на приходите от пътни такси вследствие на разширяване обхвата на РПМ с прогнозен размер от 3 180,6 хил. евро</w:t>
      </w:r>
      <w:r>
        <w:rPr>
          <w:rFonts w:ascii="Times New Roman" w:eastAsia="Times New Roman" w:hAnsi="Times New Roman" w:cs="Times New Roman"/>
          <w:lang w:eastAsia="bg-BG"/>
        </w:rPr>
        <w:t>, а за</w:t>
      </w:r>
      <w:r w:rsidR="006C0100">
        <w:rPr>
          <w:rFonts w:ascii="Times New Roman" w:eastAsia="Times New Roman" w:hAnsi="Times New Roman" w:cs="Times New Roman"/>
          <w:lang w:eastAsia="bg-BG"/>
        </w:rPr>
        <w:t xml:space="preserve"> 2027 и 2028 г. </w:t>
      </w:r>
      <w:r>
        <w:rPr>
          <w:rFonts w:ascii="Times New Roman" w:eastAsia="Times New Roman" w:hAnsi="Times New Roman" w:cs="Times New Roman"/>
          <w:lang w:eastAsia="bg-BG"/>
        </w:rPr>
        <w:t>-</w:t>
      </w:r>
      <w:r w:rsidR="006C0100">
        <w:rPr>
          <w:rFonts w:ascii="Times New Roman" w:eastAsia="Times New Roman" w:hAnsi="Times New Roman" w:cs="Times New Roman"/>
          <w:lang w:eastAsia="bg-BG"/>
        </w:rPr>
        <w:t xml:space="preserve"> от </w:t>
      </w:r>
      <w:r w:rsidR="006C0100" w:rsidRPr="006C0100">
        <w:rPr>
          <w:rFonts w:ascii="Times New Roman" w:eastAsia="Times New Roman" w:hAnsi="Times New Roman" w:cs="Times New Roman"/>
          <w:lang w:eastAsia="bg-BG"/>
        </w:rPr>
        <w:t>33</w:t>
      </w:r>
      <w:r w:rsidR="006C0100">
        <w:rPr>
          <w:rFonts w:ascii="Times New Roman" w:eastAsia="Times New Roman" w:hAnsi="Times New Roman" w:cs="Times New Roman"/>
          <w:lang w:eastAsia="bg-BG"/>
        </w:rPr>
        <w:t> </w:t>
      </w:r>
      <w:r w:rsidR="006C0100" w:rsidRPr="006C0100">
        <w:rPr>
          <w:rFonts w:ascii="Times New Roman" w:eastAsia="Times New Roman" w:hAnsi="Times New Roman" w:cs="Times New Roman"/>
          <w:lang w:eastAsia="bg-BG"/>
        </w:rPr>
        <w:t>341</w:t>
      </w:r>
      <w:r w:rsidR="006C0100">
        <w:rPr>
          <w:rFonts w:ascii="Times New Roman" w:eastAsia="Times New Roman" w:hAnsi="Times New Roman" w:cs="Times New Roman"/>
          <w:lang w:eastAsia="bg-BG"/>
        </w:rPr>
        <w:t>,3 хил.евро</w:t>
      </w:r>
      <w:r>
        <w:rPr>
          <w:rFonts w:ascii="Times New Roman" w:eastAsia="Times New Roman" w:hAnsi="Times New Roman" w:cs="Times New Roman"/>
          <w:lang w:eastAsia="bg-BG"/>
        </w:rPr>
        <w:t xml:space="preserve"> годишно</w:t>
      </w:r>
      <w:r w:rsidR="006C0100">
        <w:rPr>
          <w:rFonts w:ascii="Times New Roman" w:eastAsia="Times New Roman" w:hAnsi="Times New Roman" w:cs="Times New Roman"/>
          <w:lang w:eastAsia="bg-BG"/>
        </w:rPr>
        <w:t xml:space="preserve">.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Освен от тол такси, ел.винетки и такси от емисии, АПИ администрира приходи и от други държавни такси, съгласно Тарифа за таксите, които се събират за преминаване и ползване на републиканската пътна мрежа, които са за: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за превишаване на допустимите норми за размери, маси и натоварване на ос при ползване на РПМ от извънгабаритни и/или тежки ППС. Таксата се заплаща в ЦА на АПИ, в ОПУ и на ГКПП;</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за специално ползване на пътя чрез експлоатация на търговски крайпътен обект и пътни връзки към него в обхвата на пътя и обслужващите зони;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за експлоатация на рекламно съоръжение в обхвата на пътя и обслужващите зони;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за измерване на осови натоварвания и общо тегло на товарни автомобили в случаите, в които е установено превишаване на допустимите норми. Таксата се събира на ГКПП от Агенция „Митници“;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за преминаване на пътни превозни средства по моста на р. Дунав в посока Русе – Гюргево. Таксата се събира на ГКПП от Агенция „Митници“.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Разчетените по бюджета на МРРБ за 2026 г. и актуализираната бюджетна прогноза за периода 2027-2028 г.приходи от други пътни такси, които се събират от АПИ, </w:t>
      </w:r>
      <w:r w:rsidR="00B34ACE">
        <w:rPr>
          <w:rFonts w:ascii="Times New Roman" w:eastAsia="Times New Roman" w:hAnsi="Times New Roman" w:cs="Times New Roman"/>
          <w:lang w:eastAsia="bg-BG"/>
        </w:rPr>
        <w:t>запазват нивото си от 2025 г. от 58 246,4</w:t>
      </w:r>
      <w:r w:rsidR="00193051">
        <w:rPr>
          <w:rFonts w:ascii="Times New Roman" w:eastAsia="Times New Roman" w:hAnsi="Times New Roman" w:cs="Times New Roman"/>
          <w:lang w:eastAsia="bg-BG"/>
        </w:rPr>
        <w:t>,</w:t>
      </w:r>
      <w:r w:rsidR="00AA296A">
        <w:rPr>
          <w:rFonts w:ascii="Times New Roman" w:eastAsia="Times New Roman" w:hAnsi="Times New Roman" w:cs="Times New Roman"/>
          <w:lang w:eastAsia="bg-BG"/>
        </w:rPr>
        <w:t>0</w:t>
      </w:r>
      <w:r w:rsidR="00193051">
        <w:rPr>
          <w:rFonts w:ascii="Times New Roman" w:eastAsia="Times New Roman" w:hAnsi="Times New Roman" w:cs="Times New Roman"/>
          <w:lang w:eastAsia="bg-BG"/>
        </w:rPr>
        <w:t xml:space="preserve"> хил. евро </w:t>
      </w:r>
      <w:r>
        <w:rPr>
          <w:rFonts w:ascii="Times New Roman" w:eastAsia="Times New Roman" w:hAnsi="Times New Roman" w:cs="Times New Roman"/>
          <w:lang w:eastAsia="bg-BG"/>
        </w:rPr>
        <w:t>годишно</w:t>
      </w:r>
      <w:r w:rsidR="00E30C59">
        <w:rPr>
          <w:rFonts w:ascii="Times New Roman" w:eastAsia="Times New Roman" w:hAnsi="Times New Roman" w:cs="Times New Roman"/>
          <w:lang w:eastAsia="bg-BG"/>
        </w:rPr>
        <w:t>.</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Контролът на извънгабаритните ППС и колесни трактори, тракторни ремаркета и друга колесна самоходна техника за земеделското стопанство, регистрирана за работа съгласно Закона за регистрация и контрол на земеделската и горската техника, по пътищата се осъществява от АПИ със съдействието на съответната служба за контрол при МВР, а в граничните контролно-пропускателни пунктове (ГКПП) от Агенция „Митници“. Във вътрешността на страната съответните служби за контрол при МВР и АПИ спират и проверяват спрелите и навлезли в обхвата на пътя и ограничителната линия извънгабаритни и/или тежки пътни превозни средства. Проверката и заверяването на разрешителното или документа за платена такса на влизащите и напускащи страната извънгабаритни ППС на ГКПП се извършва от длъжностните лица на Агенция „Митници“. Проверките се извършват със средства за измерване, отговарящи на изискванията на Закона за измерванията.</w:t>
      </w:r>
    </w:p>
    <w:p w:rsidR="00CE423D" w:rsidRDefault="00CE423D">
      <w:pPr>
        <w:spacing w:after="0" w:line="240" w:lineRule="auto"/>
        <w:ind w:firstLine="567"/>
        <w:jc w:val="both"/>
        <w:rPr>
          <w:rFonts w:ascii="Times New Roman" w:eastAsia="MS Mincho" w:hAnsi="Times New Roman" w:cs="Times New Roman"/>
          <w:lang w:eastAsia="bg-BG"/>
        </w:rPr>
      </w:pPr>
      <w:r w:rsidRPr="00CE423D">
        <w:rPr>
          <w:rFonts w:ascii="Times New Roman" w:eastAsia="MS Mincho" w:hAnsi="Times New Roman" w:cs="Times New Roman"/>
          <w:lang w:eastAsia="bg-BG"/>
        </w:rPr>
        <w:lastRenderedPageBreak/>
        <w:t>Общо размерът на пътните такси, събирани от АПИ се очаква да достигн</w:t>
      </w:r>
      <w:r w:rsidR="000C574D">
        <w:rPr>
          <w:rFonts w:ascii="Times New Roman" w:eastAsia="MS Mincho" w:hAnsi="Times New Roman" w:cs="Times New Roman"/>
          <w:lang w:eastAsia="bg-BG"/>
        </w:rPr>
        <w:t>е</w:t>
      </w:r>
      <w:r w:rsidRPr="00CE423D">
        <w:rPr>
          <w:rFonts w:ascii="Times New Roman" w:eastAsia="MS Mincho" w:hAnsi="Times New Roman" w:cs="Times New Roman"/>
          <w:lang w:eastAsia="bg-BG"/>
        </w:rPr>
        <w:t xml:space="preserve"> </w:t>
      </w:r>
      <w:r>
        <w:rPr>
          <w:rFonts w:ascii="Times New Roman" w:eastAsia="MS Mincho" w:hAnsi="Times New Roman" w:cs="Times New Roman"/>
          <w:lang w:eastAsia="bg-BG"/>
        </w:rPr>
        <w:t xml:space="preserve">до </w:t>
      </w:r>
      <w:r w:rsidRPr="00CE423D">
        <w:rPr>
          <w:rFonts w:ascii="Times New Roman" w:eastAsia="MS Mincho" w:hAnsi="Times New Roman" w:cs="Times New Roman"/>
          <w:lang w:eastAsia="bg-BG"/>
        </w:rPr>
        <w:t xml:space="preserve">703 602,5 хил. евро през 2026 г. и </w:t>
      </w:r>
      <w:r>
        <w:rPr>
          <w:rFonts w:ascii="Times New Roman" w:eastAsia="MS Mincho" w:hAnsi="Times New Roman" w:cs="Times New Roman"/>
          <w:lang w:eastAsia="bg-BG"/>
        </w:rPr>
        <w:t xml:space="preserve">до </w:t>
      </w:r>
      <w:r w:rsidRPr="00CE423D">
        <w:rPr>
          <w:rFonts w:ascii="Times New Roman" w:eastAsia="MS Mincho" w:hAnsi="Times New Roman" w:cs="Times New Roman"/>
          <w:lang w:eastAsia="bg-BG"/>
        </w:rPr>
        <w:t xml:space="preserve">814 140,3 хил.евро през 2027 и 2028 г. </w:t>
      </w:r>
    </w:p>
    <w:p w:rsidR="004C77CC" w:rsidRDefault="00D0590D">
      <w:pPr>
        <w:spacing w:after="0" w:line="240" w:lineRule="auto"/>
        <w:ind w:firstLine="567"/>
        <w:jc w:val="both"/>
        <w:rPr>
          <w:rFonts w:ascii="Times New Roman" w:eastAsia="MS Mincho" w:hAnsi="Times New Roman" w:cs="Times New Roman"/>
          <w:lang w:val="ru-RU" w:eastAsia="bg-BG"/>
        </w:rPr>
      </w:pPr>
      <w:r>
        <w:rPr>
          <w:rFonts w:ascii="Times New Roman" w:eastAsia="MS Mincho" w:hAnsi="Times New Roman" w:cs="Times New Roman"/>
          <w:lang w:eastAsia="bg-BG"/>
        </w:rPr>
        <w:t xml:space="preserve">Приходите на </w:t>
      </w:r>
      <w:r>
        <w:rPr>
          <w:rFonts w:ascii="Times New Roman" w:eastAsia="MS Mincho" w:hAnsi="Times New Roman" w:cs="Times New Roman"/>
          <w:b/>
          <w:i/>
          <w:lang w:eastAsia="bg-BG"/>
        </w:rPr>
        <w:t>Дирекция за национален строителен контрол</w:t>
      </w:r>
      <w:r>
        <w:rPr>
          <w:rFonts w:ascii="Times New Roman" w:eastAsia="MS Mincho" w:hAnsi="Times New Roman" w:cs="Times New Roman"/>
          <w:lang w:eastAsia="bg-BG"/>
        </w:rPr>
        <w:t xml:space="preserve"> се сформират от държавни такси заемат най-голям дял от приходната част на бюджета на ДНСК</w:t>
      </w:r>
      <w:r>
        <w:rPr>
          <w:rFonts w:ascii="Times New Roman" w:eastAsia="MS Mincho" w:hAnsi="Times New Roman" w:cs="Times New Roman"/>
          <w:lang w:val="en-US" w:eastAsia="bg-BG"/>
        </w:rPr>
        <w:t xml:space="preserve">. </w:t>
      </w:r>
      <w:r>
        <w:rPr>
          <w:rFonts w:ascii="Times New Roman" w:eastAsia="MS Mincho" w:hAnsi="Times New Roman" w:cs="Times New Roman"/>
          <w:lang w:eastAsia="bg-BG"/>
        </w:rPr>
        <w:t>Формират се от събраните такси по Тарифа 14 в т.ч. за издаване на разрешения за ползване, за издаване на удостоверение за  вписване в регистъра на консултантите за оценяване на съответствието на инвестиционните проекти и/или упражняване на строителен надзор, вписване на промени в съдържанието и продължаване на срока на издаденото удостоверение, за издаване на копия от документи.</w:t>
      </w:r>
      <w:r>
        <w:rPr>
          <w:rFonts w:ascii="Times New Roman" w:eastAsia="MS Mincho" w:hAnsi="Times New Roman" w:cs="Times New Roman"/>
          <w:lang w:val="ru-RU" w:eastAsia="bg-BG"/>
        </w:rPr>
        <w:t xml:space="preserve"> </w:t>
      </w:r>
      <w:r w:rsidR="004C77CC" w:rsidRPr="004C77CC">
        <w:rPr>
          <w:rFonts w:ascii="Times New Roman" w:eastAsia="MS Mincho" w:hAnsi="Times New Roman" w:cs="Times New Roman"/>
          <w:lang w:val="ru-RU" w:eastAsia="bg-BG"/>
        </w:rPr>
        <w:t>За периода 202</w:t>
      </w:r>
      <w:r w:rsidR="004C77CC">
        <w:rPr>
          <w:rFonts w:ascii="Times New Roman" w:eastAsia="MS Mincho" w:hAnsi="Times New Roman" w:cs="Times New Roman"/>
          <w:lang w:val="ru-RU" w:eastAsia="bg-BG"/>
        </w:rPr>
        <w:t>6</w:t>
      </w:r>
      <w:r w:rsidR="004C77CC" w:rsidRPr="004C77CC">
        <w:rPr>
          <w:rFonts w:ascii="Times New Roman" w:eastAsia="MS Mincho" w:hAnsi="Times New Roman" w:cs="Times New Roman"/>
          <w:lang w:val="ru-RU" w:eastAsia="bg-BG"/>
        </w:rPr>
        <w:t xml:space="preserve">-2028 г. са разчетени приходи в размер на </w:t>
      </w:r>
      <w:r w:rsidR="004C77CC">
        <w:rPr>
          <w:rFonts w:ascii="Times New Roman" w:eastAsia="MS Mincho" w:hAnsi="Times New Roman" w:cs="Times New Roman"/>
          <w:lang w:val="ru-RU" w:eastAsia="bg-BG"/>
        </w:rPr>
        <w:t xml:space="preserve">2 850 000 </w:t>
      </w:r>
      <w:r w:rsidR="004C77CC" w:rsidRPr="004C77CC">
        <w:rPr>
          <w:rFonts w:ascii="Times New Roman" w:eastAsia="MS Mincho" w:hAnsi="Times New Roman" w:cs="Times New Roman"/>
          <w:lang w:val="ru-RU" w:eastAsia="bg-BG"/>
        </w:rPr>
        <w:t xml:space="preserve">€ или спрямо нивото от 2025 г.прихоите </w:t>
      </w:r>
      <w:r w:rsidR="004C77CC">
        <w:rPr>
          <w:rFonts w:ascii="Times New Roman" w:eastAsia="MS Mincho" w:hAnsi="Times New Roman" w:cs="Times New Roman"/>
          <w:lang w:val="ru-RU" w:eastAsia="bg-BG"/>
        </w:rPr>
        <w:t xml:space="preserve">бележат ръст с </w:t>
      </w:r>
      <w:r w:rsidR="004C77CC" w:rsidRPr="004C77CC">
        <w:rPr>
          <w:rFonts w:ascii="Times New Roman" w:eastAsia="MS Mincho" w:hAnsi="Times New Roman" w:cs="Times New Roman"/>
          <w:lang w:val="ru-RU" w:eastAsia="bg-BG"/>
        </w:rPr>
        <w:t xml:space="preserve"> с  549</w:t>
      </w:r>
      <w:r w:rsidR="004C77CC">
        <w:rPr>
          <w:rFonts w:ascii="Times New Roman" w:eastAsia="MS Mincho" w:hAnsi="Times New Roman" w:cs="Times New Roman"/>
          <w:lang w:val="ru-RU" w:eastAsia="bg-BG"/>
        </w:rPr>
        <w:t> </w:t>
      </w:r>
      <w:r w:rsidR="004C77CC" w:rsidRPr="004C77CC">
        <w:rPr>
          <w:rFonts w:ascii="Times New Roman" w:eastAsia="MS Mincho" w:hAnsi="Times New Roman" w:cs="Times New Roman"/>
          <w:lang w:val="ru-RU" w:eastAsia="bg-BG"/>
        </w:rPr>
        <w:t>200</w:t>
      </w:r>
      <w:r w:rsidR="004C77CC">
        <w:rPr>
          <w:rFonts w:ascii="Times New Roman" w:eastAsia="MS Mincho" w:hAnsi="Times New Roman" w:cs="Times New Roman"/>
          <w:lang w:val="ru-RU" w:eastAsia="bg-BG"/>
        </w:rPr>
        <w:t xml:space="preserve"> </w:t>
      </w:r>
      <w:r w:rsidR="004C77CC" w:rsidRPr="004C77CC">
        <w:rPr>
          <w:rFonts w:ascii="Times New Roman" w:eastAsia="MS Mincho" w:hAnsi="Times New Roman" w:cs="Times New Roman"/>
          <w:lang w:val="ru-RU" w:eastAsia="bg-BG"/>
        </w:rPr>
        <w:t>€</w:t>
      </w:r>
      <w:r w:rsidR="004C77CC">
        <w:rPr>
          <w:rFonts w:ascii="Times New Roman" w:eastAsia="MS Mincho" w:hAnsi="Times New Roman" w:cs="Times New Roman"/>
          <w:lang w:val="ru-RU" w:eastAsia="bg-BG"/>
        </w:rPr>
        <w:t>.</w:t>
      </w:r>
    </w:p>
    <w:p w:rsidR="00426FE9" w:rsidRDefault="004C77CC">
      <w:pPr>
        <w:spacing w:after="0" w:line="240" w:lineRule="auto"/>
        <w:ind w:firstLine="567"/>
        <w:jc w:val="both"/>
        <w:rPr>
          <w:rFonts w:ascii="Times New Roman" w:eastAsia="Times New Roman" w:hAnsi="Times New Roman" w:cs="Times New Roman"/>
          <w:lang w:eastAsia="bg-BG"/>
        </w:rPr>
      </w:pPr>
      <w:r>
        <w:rPr>
          <w:rFonts w:ascii="Times New Roman" w:eastAsia="MS Mincho" w:hAnsi="Times New Roman" w:cs="Times New Roman"/>
          <w:lang w:val="ru-RU" w:eastAsia="bg-BG"/>
        </w:rPr>
        <w:t xml:space="preserve"> </w:t>
      </w:r>
      <w:r w:rsidR="00D0590D">
        <w:rPr>
          <w:rFonts w:ascii="Times New Roman" w:eastAsia="MS Mincho" w:hAnsi="Times New Roman" w:cs="Times New Roman"/>
          <w:lang w:eastAsia="bg-BG"/>
        </w:rPr>
        <w:t xml:space="preserve">Приходите на </w:t>
      </w:r>
      <w:r w:rsidR="00D0590D">
        <w:rPr>
          <w:rFonts w:ascii="Times New Roman" w:eastAsia="MS Mincho" w:hAnsi="Times New Roman" w:cs="Times New Roman"/>
          <w:b/>
          <w:i/>
          <w:lang w:eastAsia="bg-BG"/>
        </w:rPr>
        <w:t>Агенция по геодезия, картография и кадастър</w:t>
      </w:r>
      <w:r w:rsidR="00D0590D">
        <w:rPr>
          <w:rFonts w:ascii="Times New Roman" w:eastAsia="MS Mincho" w:hAnsi="Times New Roman" w:cs="Times New Roman"/>
          <w:lang w:eastAsia="bg-BG"/>
        </w:rPr>
        <w:t xml:space="preserve"> </w:t>
      </w:r>
      <w:r w:rsidR="00D0590D">
        <w:rPr>
          <w:rFonts w:ascii="Times New Roman" w:eastAsia="Times New Roman" w:hAnsi="Times New Roman" w:cs="Times New Roman"/>
          <w:lang w:eastAsia="bg-BG"/>
        </w:rPr>
        <w:t xml:space="preserve">се формират от държавни такси на основание Тарифа № 14 за таксите, които се събират в системата на Министерството на регионалното развитие и благоустройството и от областните управители. За периода 2026-2028 г. </w:t>
      </w:r>
      <w:r w:rsidRPr="004C77CC">
        <w:rPr>
          <w:rFonts w:ascii="Times New Roman" w:eastAsia="Times New Roman" w:hAnsi="Times New Roman" w:cs="Times New Roman"/>
          <w:lang w:eastAsia="bg-BG"/>
        </w:rPr>
        <w:t xml:space="preserve">запазват нивото си от 2025 г. от </w:t>
      </w:r>
      <w:r w:rsidR="00D0590D">
        <w:rPr>
          <w:rFonts w:ascii="Times New Roman" w:eastAsia="Times New Roman" w:hAnsi="Times New Roman" w:cs="Times New Roman"/>
          <w:lang w:eastAsia="bg-BG"/>
        </w:rPr>
        <w:t>12 782 300 евро.</w:t>
      </w:r>
    </w:p>
    <w:p w:rsidR="00426FE9" w:rsidRDefault="00D0590D">
      <w:pPr>
        <w:spacing w:line="240" w:lineRule="auto"/>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Описание на разходите </w:t>
      </w:r>
    </w:p>
    <w:tbl>
      <w:tblPr>
        <w:tblW w:w="11280" w:type="dxa"/>
        <w:tblInd w:w="-289" w:type="dxa"/>
        <w:tblLayout w:type="fixed"/>
        <w:tblLook w:val="04A0" w:firstRow="1" w:lastRow="0" w:firstColumn="1" w:lastColumn="0" w:noHBand="0" w:noVBand="1"/>
      </w:tblPr>
      <w:tblGrid>
        <w:gridCol w:w="421"/>
        <w:gridCol w:w="2624"/>
        <w:gridCol w:w="1067"/>
        <w:gridCol w:w="1084"/>
        <w:gridCol w:w="657"/>
        <w:gridCol w:w="14"/>
        <w:gridCol w:w="854"/>
        <w:gridCol w:w="835"/>
        <w:gridCol w:w="756"/>
        <w:gridCol w:w="23"/>
        <w:gridCol w:w="937"/>
        <w:gridCol w:w="979"/>
        <w:gridCol w:w="744"/>
        <w:gridCol w:w="36"/>
        <w:gridCol w:w="249"/>
      </w:tblGrid>
      <w:tr w:rsidR="00426FE9" w:rsidTr="009C6A3B">
        <w:trPr>
          <w:gridAfter w:val="1"/>
          <w:wAfter w:w="249" w:type="dxa"/>
          <w:trHeight w:val="510"/>
        </w:trPr>
        <w:tc>
          <w:tcPr>
            <w:tcW w:w="421"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Код*</w:t>
            </w:r>
          </w:p>
        </w:tc>
        <w:tc>
          <w:tcPr>
            <w:tcW w:w="2624" w:type="dxa"/>
            <w:tcBorders>
              <w:top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ОБЛАСТИ НА ПОЛИТИКИ И БЮДЖЕТНИ ПРОГРАМИ</w:t>
            </w:r>
          </w:p>
        </w:tc>
        <w:tc>
          <w:tcPr>
            <w:tcW w:w="2822"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Консолидирани разходи</w:t>
            </w:r>
          </w:p>
        </w:tc>
        <w:tc>
          <w:tcPr>
            <w:tcW w:w="2468"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Ведомствени разходи</w:t>
            </w:r>
          </w:p>
        </w:tc>
        <w:tc>
          <w:tcPr>
            <w:tcW w:w="2696"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Администрирани разходи</w:t>
            </w:r>
          </w:p>
        </w:tc>
      </w:tr>
      <w:tr w:rsidR="00426FE9" w:rsidTr="009C6A3B">
        <w:trPr>
          <w:gridAfter w:val="1"/>
          <w:wAfter w:w="249" w:type="dxa"/>
          <w:trHeight w:val="70"/>
        </w:trPr>
        <w:tc>
          <w:tcPr>
            <w:tcW w:w="421" w:type="dxa"/>
            <w:vMerge/>
            <w:tcBorders>
              <w:top w:val="single" w:sz="4" w:space="0" w:color="000000"/>
              <w:left w:val="single" w:sz="4" w:space="0" w:color="000000"/>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c>
          <w:tcPr>
            <w:tcW w:w="2624"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(Отчет за 202</w:t>
            </w:r>
            <w:r>
              <w:rPr>
                <w:rFonts w:ascii="Times New Roman" w:eastAsia="Times New Roman" w:hAnsi="Times New Roman" w:cs="Times New Roman"/>
                <w:b/>
                <w:bCs/>
                <w:color w:val="000000"/>
                <w:sz w:val="14"/>
                <w:szCs w:val="14"/>
              </w:rPr>
              <w:t>3</w:t>
            </w:r>
            <w:r>
              <w:rPr>
                <w:rFonts w:ascii="Times New Roman" w:eastAsia="Times New Roman" w:hAnsi="Times New Roman" w:cs="Times New Roman"/>
                <w:b/>
                <w:bCs/>
                <w:color w:val="000000"/>
                <w:sz w:val="14"/>
                <w:szCs w:val="14"/>
                <w:lang w:val="en-US"/>
              </w:rPr>
              <w:t xml:space="preserve"> г.)</w:t>
            </w:r>
          </w:p>
        </w:tc>
        <w:tc>
          <w:tcPr>
            <w:tcW w:w="2822" w:type="dxa"/>
            <w:gridSpan w:val="4"/>
            <w:vMerge/>
            <w:tcBorders>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c>
          <w:tcPr>
            <w:tcW w:w="2468" w:type="dxa"/>
            <w:gridSpan w:val="4"/>
            <w:vMerge/>
            <w:tcBorders>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c>
          <w:tcPr>
            <w:tcW w:w="2696" w:type="dxa"/>
            <w:gridSpan w:val="4"/>
            <w:vMerge/>
            <w:tcBorders>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r>
      <w:tr w:rsidR="00426FE9" w:rsidTr="009C6A3B">
        <w:trPr>
          <w:trHeight w:val="70"/>
        </w:trPr>
        <w:tc>
          <w:tcPr>
            <w:tcW w:w="421"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624" w:type="dxa"/>
            <w:tcBorders>
              <w:bottom w:val="single" w:sz="4" w:space="0" w:color="000000"/>
              <w:right w:val="single" w:sz="4" w:space="0" w:color="000000"/>
            </w:tcBorders>
            <w:shd w:val="clear" w:color="000000" w:fill="FFCC99"/>
            <w:vAlign w:val="center"/>
          </w:tcPr>
          <w:p w:rsidR="00426FE9" w:rsidRPr="00CA5A02" w:rsidRDefault="00D0590D">
            <w:pPr>
              <w:spacing w:after="0" w:line="240" w:lineRule="auto"/>
              <w:ind w:left="-57" w:right="-57"/>
              <w:jc w:val="center"/>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lang w:val="en-US"/>
              </w:rPr>
              <w:t>(в хил. евро)</w:t>
            </w:r>
          </w:p>
        </w:tc>
        <w:tc>
          <w:tcPr>
            <w:tcW w:w="1067"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разходи</w:t>
            </w:r>
          </w:p>
        </w:tc>
        <w:tc>
          <w:tcPr>
            <w:tcW w:w="1084" w:type="dxa"/>
            <w:tcBorders>
              <w:bottom w:val="single" w:sz="4" w:space="0" w:color="000000"/>
              <w:right w:val="single" w:sz="4" w:space="0" w:color="000000"/>
            </w:tcBorders>
            <w:shd w:val="clear" w:color="000000" w:fill="FDE9D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657"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868"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ведомствени</w:t>
            </w:r>
          </w:p>
        </w:tc>
        <w:tc>
          <w:tcPr>
            <w:tcW w:w="835" w:type="dxa"/>
            <w:tcBorders>
              <w:bottom w:val="single" w:sz="4" w:space="0" w:color="000000"/>
              <w:right w:val="single" w:sz="4" w:space="0" w:color="000000"/>
            </w:tcBorders>
            <w:shd w:val="clear" w:color="000000" w:fill="FDE9D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756"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960"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администрирани</w:t>
            </w:r>
          </w:p>
        </w:tc>
        <w:tc>
          <w:tcPr>
            <w:tcW w:w="979" w:type="dxa"/>
            <w:tcBorders>
              <w:bottom w:val="single" w:sz="4" w:space="0" w:color="000000"/>
              <w:right w:val="single" w:sz="4" w:space="0" w:color="000000"/>
            </w:tcBorders>
            <w:shd w:val="clear" w:color="000000" w:fill="FDE9D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744"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285" w:type="dxa"/>
            <w:gridSpan w:val="2"/>
          </w:tcPr>
          <w:p w:rsidR="00426FE9" w:rsidRDefault="00426FE9"/>
        </w:tc>
      </w:tr>
      <w:tr w:rsidR="00426FE9" w:rsidTr="009C6A3B">
        <w:trPr>
          <w:trHeight w:val="255"/>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624"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both"/>
              <w:rPr>
                <w:rFonts w:ascii="Times New Roman" w:eastAsia="Times New Roman" w:hAnsi="Times New Roman" w:cs="Times New Roman"/>
                <w:b/>
                <w:bCs/>
                <w:color w:val="000000"/>
                <w:sz w:val="16"/>
                <w:szCs w:val="16"/>
                <w:lang w:val="en-US"/>
              </w:rPr>
            </w:pPr>
            <w:r>
              <w:rPr>
                <w:rFonts w:ascii="Times New Roman" w:hAnsi="Times New Roman" w:cs="Times New Roman"/>
                <w:b/>
                <w:bCs/>
                <w:color w:val="000000"/>
                <w:sz w:val="16"/>
                <w:szCs w:val="16"/>
              </w:rPr>
              <w:t>Общо разходи</w:t>
            </w:r>
          </w:p>
        </w:tc>
        <w:tc>
          <w:tcPr>
            <w:tcW w:w="1067"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1 740 836,1</w:t>
            </w:r>
          </w:p>
        </w:tc>
        <w:tc>
          <w:tcPr>
            <w:tcW w:w="1084" w:type="dxa"/>
            <w:tcBorders>
              <w:top w:val="single" w:sz="4" w:space="0" w:color="000000"/>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1 740 836,1</w:t>
            </w:r>
          </w:p>
        </w:tc>
        <w:tc>
          <w:tcPr>
            <w:tcW w:w="657" w:type="dxa"/>
            <w:tcBorders>
              <w:top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868" w:type="dxa"/>
            <w:gridSpan w:val="2"/>
            <w:tcBorders>
              <w:top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137 878,2</w:t>
            </w:r>
          </w:p>
        </w:tc>
        <w:tc>
          <w:tcPr>
            <w:tcW w:w="835" w:type="dxa"/>
            <w:tcBorders>
              <w:top w:val="single" w:sz="4" w:space="0" w:color="000000"/>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137 878,2</w:t>
            </w:r>
          </w:p>
        </w:tc>
        <w:tc>
          <w:tcPr>
            <w:tcW w:w="756" w:type="dxa"/>
            <w:tcBorders>
              <w:top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960" w:type="dxa"/>
            <w:gridSpan w:val="2"/>
            <w:tcBorders>
              <w:top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1 602 957,9</w:t>
            </w:r>
          </w:p>
        </w:tc>
        <w:tc>
          <w:tcPr>
            <w:tcW w:w="979" w:type="dxa"/>
            <w:tcBorders>
              <w:top w:val="single" w:sz="4" w:space="0" w:color="000000"/>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1 602 957,9</w:t>
            </w:r>
          </w:p>
        </w:tc>
        <w:tc>
          <w:tcPr>
            <w:tcW w:w="744" w:type="dxa"/>
            <w:tcBorders>
              <w:top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2100.01.00</w:t>
            </w:r>
          </w:p>
        </w:tc>
        <w:tc>
          <w:tcPr>
            <w:tcW w:w="2624" w:type="dxa"/>
            <w:tcBorders>
              <w:left w:val="single" w:sz="4" w:space="0" w:color="000000"/>
              <w:bottom w:val="single" w:sz="4" w:space="0" w:color="000000"/>
              <w:right w:val="single" w:sz="4" w:space="0" w:color="000000"/>
            </w:tcBorders>
            <w:shd w:val="clear" w:color="000000" w:fill="FABF8F"/>
            <w:vAlign w:val="center"/>
          </w:tcPr>
          <w:p w:rsidR="00426FE9" w:rsidRDefault="00D0590D">
            <w:pPr>
              <w:spacing w:after="0" w:line="240" w:lineRule="auto"/>
              <w:ind w:left="-57" w:right="-57"/>
              <w:rPr>
                <w:rFonts w:ascii="Times New Roman" w:eastAsia="Times New Roman" w:hAnsi="Times New Roman" w:cs="Times New Roman"/>
                <w:b/>
                <w:bCs/>
                <w:color w:val="000000"/>
                <w:sz w:val="16"/>
                <w:szCs w:val="16"/>
                <w:lang w:val="en-US"/>
              </w:rPr>
            </w:pPr>
            <w:r>
              <w:rPr>
                <w:rFonts w:ascii="Times New Roman" w:hAnsi="Times New Roman" w:cs="Times New Roman"/>
                <w:b/>
                <w:bCs/>
                <w:color w:val="000000"/>
                <w:sz w:val="16"/>
                <w:szCs w:val="16"/>
              </w:rPr>
              <w:t>Политика за интегрирано развитие на регионите за постигане на растеж и подобряване качеството на жизнената среда</w:t>
            </w:r>
          </w:p>
        </w:tc>
        <w:tc>
          <w:tcPr>
            <w:tcW w:w="1067"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2 040,0</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2 040,0</w:t>
            </w:r>
          </w:p>
        </w:tc>
        <w:tc>
          <w:tcPr>
            <w:tcW w:w="657"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868"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2 040,0</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2 040,0</w:t>
            </w:r>
          </w:p>
        </w:tc>
        <w:tc>
          <w:tcPr>
            <w:tcW w:w="756"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960"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0,0</w:t>
            </w:r>
          </w:p>
        </w:tc>
        <w:tc>
          <w:tcPr>
            <w:tcW w:w="744"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2100.01.01</w:t>
            </w:r>
          </w:p>
        </w:tc>
        <w:tc>
          <w:tcPr>
            <w:tcW w:w="2624"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1067" w:type="dxa"/>
            <w:tcBorders>
              <w:left w:val="single" w:sz="4" w:space="0" w:color="000000"/>
              <w:bottom w:val="single" w:sz="4" w:space="0" w:color="000000"/>
              <w:right w:val="single" w:sz="4" w:space="0" w:color="000000"/>
            </w:tcBorders>
            <w:shd w:val="clear" w:color="000000" w:fill="FFFFFF"/>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869,5</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869,5</w:t>
            </w:r>
          </w:p>
        </w:tc>
        <w:tc>
          <w:tcPr>
            <w:tcW w:w="657"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868"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869,5</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869,5</w:t>
            </w:r>
          </w:p>
        </w:tc>
        <w:tc>
          <w:tcPr>
            <w:tcW w:w="756"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60"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0,0</w:t>
            </w:r>
          </w:p>
        </w:tc>
        <w:tc>
          <w:tcPr>
            <w:tcW w:w="744"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2100.01.02</w:t>
            </w:r>
          </w:p>
        </w:tc>
        <w:tc>
          <w:tcPr>
            <w:tcW w:w="2624"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 xml:space="preserve">Бюджетна програма „Подобряване на жилищните условия на маргинализирани групи от населението” </w:t>
            </w:r>
          </w:p>
        </w:tc>
        <w:tc>
          <w:tcPr>
            <w:tcW w:w="1067"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369,8</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369,8</w:t>
            </w:r>
          </w:p>
        </w:tc>
        <w:tc>
          <w:tcPr>
            <w:tcW w:w="657"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868"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369,8</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369,8</w:t>
            </w:r>
          </w:p>
        </w:tc>
        <w:tc>
          <w:tcPr>
            <w:tcW w:w="756"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60"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0,0</w:t>
            </w:r>
          </w:p>
        </w:tc>
        <w:tc>
          <w:tcPr>
            <w:tcW w:w="744"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285" w:type="dxa"/>
            <w:gridSpan w:val="2"/>
          </w:tcPr>
          <w:p w:rsidR="00426FE9" w:rsidRDefault="00426FE9"/>
        </w:tc>
      </w:tr>
      <w:tr w:rsidR="00426FE9" w:rsidTr="009C6A3B">
        <w:trPr>
          <w:trHeight w:val="303"/>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2100.01.03</w:t>
            </w:r>
          </w:p>
        </w:tc>
        <w:tc>
          <w:tcPr>
            <w:tcW w:w="2624"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 xml:space="preserve">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 </w:t>
            </w:r>
          </w:p>
        </w:tc>
        <w:tc>
          <w:tcPr>
            <w:tcW w:w="1067"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800,7</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800,7</w:t>
            </w:r>
          </w:p>
        </w:tc>
        <w:tc>
          <w:tcPr>
            <w:tcW w:w="657"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868"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800,7</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800,7</w:t>
            </w:r>
          </w:p>
        </w:tc>
        <w:tc>
          <w:tcPr>
            <w:tcW w:w="756"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60"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0,0</w:t>
            </w:r>
          </w:p>
        </w:tc>
        <w:tc>
          <w:tcPr>
            <w:tcW w:w="744"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2100.02.00</w:t>
            </w:r>
          </w:p>
        </w:tc>
        <w:tc>
          <w:tcPr>
            <w:tcW w:w="2624" w:type="dxa"/>
            <w:tcBorders>
              <w:left w:val="single" w:sz="4" w:space="0" w:color="000000"/>
              <w:bottom w:val="single" w:sz="4" w:space="0" w:color="000000"/>
              <w:right w:val="single" w:sz="4" w:space="0" w:color="000000"/>
            </w:tcBorders>
            <w:shd w:val="clear" w:color="000000" w:fill="FABF8F"/>
            <w:vAlign w:val="center"/>
          </w:tcPr>
          <w:p w:rsidR="00426FE9" w:rsidRDefault="00D0590D">
            <w:pPr>
              <w:spacing w:after="0" w:line="240" w:lineRule="auto"/>
              <w:ind w:left="-57" w:right="-57"/>
              <w:rPr>
                <w:rFonts w:ascii="Times New Roman" w:eastAsia="Times New Roman" w:hAnsi="Times New Roman" w:cs="Times New Roman"/>
                <w:b/>
                <w:bCs/>
                <w:color w:val="000000"/>
                <w:sz w:val="16"/>
                <w:szCs w:val="16"/>
                <w:lang w:val="en-US"/>
              </w:rPr>
            </w:pPr>
            <w:r>
              <w:rPr>
                <w:rFonts w:ascii="Times New Roman" w:hAnsi="Times New Roman" w:cs="Times New Roman"/>
                <w:b/>
                <w:bCs/>
                <w:color w:val="000000"/>
                <w:sz w:val="16"/>
                <w:szCs w:val="16"/>
              </w:rPr>
              <w:t>Политика за подобряване на инвестиционния процес, поддържане, модернизация и изграждане на техническата инфраструктура</w:t>
            </w:r>
          </w:p>
        </w:tc>
        <w:tc>
          <w:tcPr>
            <w:tcW w:w="1067"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1 728 330,9</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1 728 330,9</w:t>
            </w:r>
          </w:p>
        </w:tc>
        <w:tc>
          <w:tcPr>
            <w:tcW w:w="657"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868"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125 373,0</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125 373,0</w:t>
            </w:r>
          </w:p>
        </w:tc>
        <w:tc>
          <w:tcPr>
            <w:tcW w:w="756"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960"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1 602 957,9</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1 602 957,9</w:t>
            </w:r>
          </w:p>
        </w:tc>
        <w:tc>
          <w:tcPr>
            <w:tcW w:w="744"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285" w:type="dxa"/>
            <w:gridSpan w:val="2"/>
          </w:tcPr>
          <w:p w:rsidR="00426FE9" w:rsidRDefault="00426FE9"/>
        </w:tc>
      </w:tr>
      <w:tr w:rsidR="00426FE9" w:rsidTr="009C6A3B">
        <w:trPr>
          <w:trHeight w:val="323"/>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2100.02.01</w:t>
            </w:r>
          </w:p>
        </w:tc>
        <w:tc>
          <w:tcPr>
            <w:tcW w:w="2624"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 xml:space="preserve">Бюджетна програма „Рехабилитация и изграждане на пътна инфраструктура” </w:t>
            </w:r>
          </w:p>
        </w:tc>
        <w:tc>
          <w:tcPr>
            <w:tcW w:w="1067"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1 081 268,8</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1 081 268,8</w:t>
            </w:r>
          </w:p>
        </w:tc>
        <w:tc>
          <w:tcPr>
            <w:tcW w:w="657"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868"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101 561,8</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101 561,8</w:t>
            </w:r>
          </w:p>
        </w:tc>
        <w:tc>
          <w:tcPr>
            <w:tcW w:w="756"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60"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979 707,0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979 707,0</w:t>
            </w:r>
          </w:p>
        </w:tc>
        <w:tc>
          <w:tcPr>
            <w:tcW w:w="744"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2100.02.02</w:t>
            </w:r>
          </w:p>
        </w:tc>
        <w:tc>
          <w:tcPr>
            <w:tcW w:w="2624"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 xml:space="preserve">Бюджетна програма „Устройство на територията, благоустройство, геозащита, водоснабдяване и канализация” </w:t>
            </w:r>
          </w:p>
        </w:tc>
        <w:tc>
          <w:tcPr>
            <w:tcW w:w="1067"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639 851,2</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639 851,2</w:t>
            </w:r>
          </w:p>
        </w:tc>
        <w:tc>
          <w:tcPr>
            <w:tcW w:w="657"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868"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16 600,3</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16 600,3</w:t>
            </w:r>
          </w:p>
        </w:tc>
        <w:tc>
          <w:tcPr>
            <w:tcW w:w="756"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60"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623 250,9</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623 250,9</w:t>
            </w:r>
          </w:p>
        </w:tc>
        <w:tc>
          <w:tcPr>
            <w:tcW w:w="744"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2100.02.03</w:t>
            </w:r>
          </w:p>
        </w:tc>
        <w:tc>
          <w:tcPr>
            <w:tcW w:w="2624"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 xml:space="preserve">Бюджетна програма „Нормативно регулиране и контрол на строителните продукти и инвестиционния процес в строителството” </w:t>
            </w:r>
          </w:p>
        </w:tc>
        <w:tc>
          <w:tcPr>
            <w:tcW w:w="1067" w:type="dxa"/>
            <w:tcBorders>
              <w:left w:val="single" w:sz="4" w:space="0" w:color="000000"/>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7 210,9</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7 210,9</w:t>
            </w:r>
          </w:p>
        </w:tc>
        <w:tc>
          <w:tcPr>
            <w:tcW w:w="657"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868"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7 210,9</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7 210,9</w:t>
            </w:r>
          </w:p>
        </w:tc>
        <w:tc>
          <w:tcPr>
            <w:tcW w:w="756"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60" w:type="dxa"/>
            <w:gridSpan w:val="2"/>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i/>
                <w:iCs/>
                <w:color w:val="000000"/>
                <w:sz w:val="14"/>
                <w:szCs w:val="14"/>
                <w:lang w:val="en-US"/>
              </w:rPr>
            </w:pPr>
            <w:r>
              <w:rPr>
                <w:rFonts w:ascii="Times New Roman" w:hAnsi="Times New Roman" w:cs="Times New Roman"/>
                <w:i/>
                <w:iCs/>
                <w:color w:val="000000"/>
                <w:sz w:val="14"/>
                <w:szCs w:val="14"/>
              </w:rPr>
              <w:t>0,0</w:t>
            </w:r>
          </w:p>
        </w:tc>
        <w:tc>
          <w:tcPr>
            <w:tcW w:w="744" w:type="dxa"/>
            <w:tcBorders>
              <w:bottom w:val="single" w:sz="4" w:space="0" w:color="000000"/>
              <w:right w:val="single" w:sz="4" w:space="0" w:color="000000"/>
            </w:tcBorders>
            <w:vAlign w:val="center"/>
          </w:tcPr>
          <w:p w:rsidR="00426FE9" w:rsidRDefault="00D0590D">
            <w:pPr>
              <w:spacing w:after="0" w:line="240" w:lineRule="auto"/>
              <w:ind w:left="-57" w:right="-57"/>
              <w:jc w:val="right"/>
              <w:rPr>
                <w:rFonts w:ascii="Times New Roman" w:eastAsia="Times New Roman" w:hAnsi="Times New Roman" w:cs="Times New Roman"/>
                <w:color w:val="000000"/>
                <w:sz w:val="14"/>
                <w:szCs w:val="14"/>
                <w:lang w:val="en-US"/>
              </w:rPr>
            </w:pPr>
            <w:r>
              <w:rPr>
                <w:rFonts w:ascii="Times New Roman" w:hAnsi="Times New Roman" w:cs="Times New Roman"/>
                <w:color w:val="000000"/>
                <w:sz w:val="14"/>
                <w:szCs w:val="14"/>
              </w:rPr>
              <w:t>0,0</w:t>
            </w:r>
          </w:p>
        </w:tc>
        <w:tc>
          <w:tcPr>
            <w:tcW w:w="285" w:type="dxa"/>
            <w:gridSpan w:val="2"/>
          </w:tcPr>
          <w:p w:rsidR="00426FE9" w:rsidRDefault="00426FE9"/>
        </w:tc>
      </w:tr>
      <w:tr w:rsidR="00426FE9" w:rsidTr="009C6A3B">
        <w:trPr>
          <w:trHeight w:val="70"/>
        </w:trPr>
        <w:tc>
          <w:tcPr>
            <w:tcW w:w="421" w:type="dxa"/>
            <w:tcBorders>
              <w:left w:val="single" w:sz="4" w:space="0" w:color="000000"/>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2100.03.00</w:t>
            </w:r>
          </w:p>
        </w:tc>
        <w:tc>
          <w:tcPr>
            <w:tcW w:w="2624" w:type="dxa"/>
            <w:tcBorders>
              <w:left w:val="single" w:sz="4" w:space="0" w:color="000000"/>
              <w:bottom w:val="single" w:sz="4" w:space="0" w:color="000000"/>
              <w:right w:val="single" w:sz="4" w:space="0" w:color="000000"/>
            </w:tcBorders>
            <w:shd w:val="clear" w:color="000000" w:fill="FABF8F"/>
            <w:vAlign w:val="center"/>
          </w:tcPr>
          <w:p w:rsidR="00426FE9" w:rsidRDefault="00D0590D">
            <w:pPr>
              <w:spacing w:after="0" w:line="240" w:lineRule="auto"/>
              <w:ind w:left="-57" w:right="-57"/>
              <w:rPr>
                <w:rFonts w:ascii="Times New Roman" w:eastAsia="Times New Roman" w:hAnsi="Times New Roman" w:cs="Times New Roman"/>
                <w:b/>
                <w:bCs/>
                <w:color w:val="000000"/>
                <w:sz w:val="16"/>
                <w:szCs w:val="16"/>
                <w:lang w:val="en-US"/>
              </w:rPr>
            </w:pPr>
            <w:r>
              <w:rPr>
                <w:rFonts w:ascii="Times New Roman" w:hAnsi="Times New Roman" w:cs="Times New Roman"/>
                <w:b/>
                <w:bCs/>
                <w:color w:val="000000"/>
                <w:sz w:val="16"/>
                <w:szCs w:val="16"/>
              </w:rPr>
              <w:t xml:space="preserve">Бюджетна програма „Ефективна администрация и координация” </w:t>
            </w:r>
          </w:p>
        </w:tc>
        <w:tc>
          <w:tcPr>
            <w:tcW w:w="1067" w:type="dxa"/>
            <w:tcBorders>
              <w:left w:val="single" w:sz="4" w:space="0" w:color="000000"/>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10 465,2</w:t>
            </w:r>
          </w:p>
        </w:tc>
        <w:tc>
          <w:tcPr>
            <w:tcW w:w="1084"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10 465,2</w:t>
            </w:r>
          </w:p>
        </w:tc>
        <w:tc>
          <w:tcPr>
            <w:tcW w:w="657" w:type="dxa"/>
            <w:tcBorders>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868" w:type="dxa"/>
            <w:gridSpan w:val="2"/>
            <w:tcBorders>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10 465,2</w:t>
            </w:r>
          </w:p>
        </w:tc>
        <w:tc>
          <w:tcPr>
            <w:tcW w:w="835"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10 465,2</w:t>
            </w:r>
          </w:p>
        </w:tc>
        <w:tc>
          <w:tcPr>
            <w:tcW w:w="756" w:type="dxa"/>
            <w:tcBorders>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960" w:type="dxa"/>
            <w:gridSpan w:val="2"/>
            <w:tcBorders>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979" w:type="dxa"/>
            <w:tcBorders>
              <w:bottom w:val="single" w:sz="4" w:space="0" w:color="000000"/>
              <w:right w:val="single" w:sz="4" w:space="0" w:color="000000"/>
            </w:tcBorders>
            <w:shd w:val="clear" w:color="000000" w:fill="FCD5B4"/>
            <w:vAlign w:val="center"/>
          </w:tcPr>
          <w:p w:rsidR="00426FE9" w:rsidRDefault="00D0590D">
            <w:pPr>
              <w:spacing w:after="0" w:line="240" w:lineRule="auto"/>
              <w:ind w:left="-57" w:right="-57"/>
              <w:jc w:val="right"/>
              <w:rPr>
                <w:rFonts w:ascii="Times New Roman" w:eastAsia="Times New Roman" w:hAnsi="Times New Roman" w:cs="Times New Roman"/>
                <w:bCs/>
                <w:i/>
                <w:iCs/>
                <w:color w:val="000000"/>
                <w:sz w:val="14"/>
                <w:szCs w:val="14"/>
                <w:lang w:val="en-US"/>
              </w:rPr>
            </w:pPr>
            <w:r>
              <w:rPr>
                <w:rFonts w:ascii="Times New Roman" w:hAnsi="Times New Roman" w:cs="Times New Roman"/>
                <w:bCs/>
                <w:i/>
                <w:iCs/>
                <w:color w:val="000000"/>
                <w:sz w:val="14"/>
                <w:szCs w:val="14"/>
              </w:rPr>
              <w:t>0,0</w:t>
            </w:r>
          </w:p>
        </w:tc>
        <w:tc>
          <w:tcPr>
            <w:tcW w:w="744" w:type="dxa"/>
            <w:tcBorders>
              <w:bottom w:val="single" w:sz="4" w:space="0" w:color="000000"/>
              <w:right w:val="single" w:sz="4" w:space="0" w:color="000000"/>
            </w:tcBorders>
            <w:shd w:val="clear" w:color="000000" w:fill="FABF8F"/>
            <w:vAlign w:val="center"/>
          </w:tcPr>
          <w:p w:rsidR="00426FE9" w:rsidRDefault="00D0590D">
            <w:pPr>
              <w:spacing w:after="0" w:line="240" w:lineRule="auto"/>
              <w:ind w:left="-57" w:right="-57"/>
              <w:jc w:val="right"/>
              <w:rPr>
                <w:rFonts w:ascii="Times New Roman" w:eastAsia="Times New Roman" w:hAnsi="Times New Roman" w:cs="Times New Roman"/>
                <w:bCs/>
                <w:color w:val="000000"/>
                <w:sz w:val="14"/>
                <w:szCs w:val="14"/>
                <w:lang w:val="en-US"/>
              </w:rPr>
            </w:pPr>
            <w:r>
              <w:rPr>
                <w:rFonts w:ascii="Times New Roman" w:hAnsi="Times New Roman" w:cs="Times New Roman"/>
                <w:bCs/>
                <w:color w:val="000000"/>
                <w:sz w:val="14"/>
                <w:szCs w:val="14"/>
              </w:rPr>
              <w:t>0,0</w:t>
            </w:r>
          </w:p>
        </w:tc>
        <w:tc>
          <w:tcPr>
            <w:tcW w:w="285" w:type="dxa"/>
            <w:gridSpan w:val="2"/>
          </w:tcPr>
          <w:p w:rsidR="00426FE9" w:rsidRDefault="00426FE9"/>
        </w:tc>
      </w:tr>
    </w:tbl>
    <w:p w:rsidR="00426FE9" w:rsidRDefault="00426FE9">
      <w:pPr>
        <w:spacing w:line="240" w:lineRule="auto"/>
        <w:rPr>
          <w:rFonts w:ascii="Times New Roman" w:eastAsia="Times New Roman" w:hAnsi="Times New Roman" w:cs="Times New Roman"/>
          <w:b/>
          <w:i/>
          <w:color w:val="0000FF"/>
        </w:rPr>
      </w:pPr>
    </w:p>
    <w:tbl>
      <w:tblPr>
        <w:tblW w:w="11057" w:type="dxa"/>
        <w:tblInd w:w="-289" w:type="dxa"/>
        <w:tblLayout w:type="fixed"/>
        <w:tblLook w:val="04A0" w:firstRow="1" w:lastRow="0" w:firstColumn="1" w:lastColumn="0" w:noHBand="0" w:noVBand="1"/>
      </w:tblPr>
      <w:tblGrid>
        <w:gridCol w:w="419"/>
        <w:gridCol w:w="436"/>
        <w:gridCol w:w="831"/>
        <w:gridCol w:w="1150"/>
        <w:gridCol w:w="992"/>
        <w:gridCol w:w="610"/>
        <w:gridCol w:w="382"/>
        <w:gridCol w:w="684"/>
        <w:gridCol w:w="272"/>
        <w:gridCol w:w="833"/>
        <w:gridCol w:w="236"/>
        <w:gridCol w:w="675"/>
        <w:gridCol w:w="702"/>
        <w:gridCol w:w="993"/>
        <w:gridCol w:w="850"/>
        <w:gridCol w:w="992"/>
      </w:tblGrid>
      <w:tr w:rsidR="00426FE9" w:rsidTr="00FB6CBE">
        <w:trPr>
          <w:trHeight w:val="510"/>
        </w:trPr>
        <w:tc>
          <w:tcPr>
            <w:tcW w:w="419"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Код*</w:t>
            </w:r>
          </w:p>
        </w:tc>
        <w:tc>
          <w:tcPr>
            <w:tcW w:w="2417" w:type="dxa"/>
            <w:gridSpan w:val="3"/>
            <w:tcBorders>
              <w:top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ОБЛАСТИ НА ПОЛИТИКИ И БЮДЖЕТНИ ПРОГРАМИ</w:t>
            </w:r>
          </w:p>
        </w:tc>
        <w:tc>
          <w:tcPr>
            <w:tcW w:w="2940" w:type="dxa"/>
            <w:gridSpan w:val="5"/>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Консолидирани разходи</w:t>
            </w:r>
          </w:p>
        </w:tc>
        <w:tc>
          <w:tcPr>
            <w:tcW w:w="2446"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Ведомствени разходи</w:t>
            </w:r>
          </w:p>
        </w:tc>
        <w:tc>
          <w:tcPr>
            <w:tcW w:w="2835" w:type="dxa"/>
            <w:gridSpan w:val="3"/>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Администрирани разходи</w:t>
            </w:r>
          </w:p>
        </w:tc>
      </w:tr>
      <w:tr w:rsidR="00426FE9" w:rsidTr="00FB6CBE">
        <w:trPr>
          <w:trHeight w:val="70"/>
        </w:trPr>
        <w:tc>
          <w:tcPr>
            <w:tcW w:w="419" w:type="dxa"/>
            <w:vMerge/>
            <w:tcBorders>
              <w:top w:val="single" w:sz="4" w:space="0" w:color="000000"/>
              <w:left w:val="single" w:sz="4" w:space="0" w:color="000000"/>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c>
          <w:tcPr>
            <w:tcW w:w="2417" w:type="dxa"/>
            <w:gridSpan w:val="3"/>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(Отчет за 2024 г.)</w:t>
            </w:r>
          </w:p>
        </w:tc>
        <w:tc>
          <w:tcPr>
            <w:tcW w:w="2940" w:type="dxa"/>
            <w:gridSpan w:val="5"/>
            <w:vMerge/>
            <w:tcBorders>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c>
          <w:tcPr>
            <w:tcW w:w="2446" w:type="dxa"/>
            <w:gridSpan w:val="4"/>
            <w:vMerge/>
            <w:tcBorders>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c>
          <w:tcPr>
            <w:tcW w:w="2835" w:type="dxa"/>
            <w:gridSpan w:val="3"/>
            <w:vMerge/>
            <w:tcBorders>
              <w:bottom w:val="single" w:sz="4" w:space="0" w:color="000000"/>
              <w:right w:val="single" w:sz="4" w:space="0" w:color="000000"/>
            </w:tcBorders>
            <w:vAlign w:val="center"/>
          </w:tcPr>
          <w:p w:rsidR="00426FE9" w:rsidRDefault="00426FE9">
            <w:pPr>
              <w:spacing w:after="0" w:line="240" w:lineRule="auto"/>
              <w:ind w:left="-57" w:right="-57"/>
              <w:rPr>
                <w:rFonts w:ascii="Times New Roman" w:eastAsia="Times New Roman" w:hAnsi="Times New Roman" w:cs="Times New Roman"/>
                <w:b/>
                <w:bCs/>
                <w:color w:val="000000"/>
                <w:sz w:val="14"/>
                <w:szCs w:val="14"/>
                <w:lang w:val="en-US"/>
              </w:rPr>
            </w:pPr>
          </w:p>
        </w:tc>
      </w:tr>
      <w:tr w:rsidR="00426FE9" w:rsidTr="00FB6CBE">
        <w:trPr>
          <w:trHeight w:val="312"/>
        </w:trPr>
        <w:tc>
          <w:tcPr>
            <w:tcW w:w="419"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 хил. евро)</w:t>
            </w:r>
          </w:p>
        </w:tc>
        <w:tc>
          <w:tcPr>
            <w:tcW w:w="992"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разходи</w:t>
            </w:r>
          </w:p>
        </w:tc>
        <w:tc>
          <w:tcPr>
            <w:tcW w:w="992" w:type="dxa"/>
            <w:gridSpan w:val="2"/>
            <w:tcBorders>
              <w:bottom w:val="single" w:sz="4" w:space="0" w:color="000000"/>
              <w:right w:val="single" w:sz="4" w:space="0" w:color="000000"/>
            </w:tcBorders>
            <w:shd w:val="clear" w:color="000000" w:fill="FDE9D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956"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833"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ведомствени</w:t>
            </w:r>
          </w:p>
        </w:tc>
        <w:tc>
          <w:tcPr>
            <w:tcW w:w="911" w:type="dxa"/>
            <w:gridSpan w:val="2"/>
            <w:tcBorders>
              <w:bottom w:val="single" w:sz="4" w:space="0" w:color="000000"/>
              <w:right w:val="single" w:sz="4" w:space="0" w:color="000000"/>
            </w:tcBorders>
            <w:shd w:val="clear" w:color="000000" w:fill="FDE9D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702"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2"/>
                <w:szCs w:val="14"/>
                <w:lang w:val="en-US"/>
              </w:rPr>
            </w:pPr>
            <w:r>
              <w:rPr>
                <w:rFonts w:ascii="Times New Roman" w:eastAsia="Times New Roman" w:hAnsi="Times New Roman" w:cs="Times New Roman"/>
                <w:i/>
                <w:iCs/>
                <w:color w:val="000000"/>
                <w:sz w:val="12"/>
                <w:szCs w:val="14"/>
                <w:lang w:val="en-US"/>
              </w:rPr>
              <w:t>По други бюджети и сметки за СЕС</w:t>
            </w:r>
          </w:p>
        </w:tc>
        <w:tc>
          <w:tcPr>
            <w:tcW w:w="993"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администрирани</w:t>
            </w:r>
          </w:p>
        </w:tc>
        <w:tc>
          <w:tcPr>
            <w:tcW w:w="850" w:type="dxa"/>
            <w:tcBorders>
              <w:bottom w:val="single" w:sz="4" w:space="0" w:color="000000"/>
              <w:right w:val="single" w:sz="4" w:space="0" w:color="000000"/>
            </w:tcBorders>
            <w:shd w:val="clear" w:color="000000" w:fill="FDE9D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992"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r>
      <w:tr w:rsidR="000A3E45" w:rsidTr="00FB6CBE">
        <w:trPr>
          <w:trHeight w:val="70"/>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top w:val="single" w:sz="4" w:space="0" w:color="000000"/>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Общо разходи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A3E45" w:rsidRPr="000A3E45" w:rsidRDefault="000A3E45" w:rsidP="000A3E45">
            <w:pPr>
              <w:suppressAutoHyphens w:val="0"/>
              <w:spacing w:after="0" w:line="240" w:lineRule="auto"/>
              <w:jc w:val="right"/>
              <w:rPr>
                <w:rFonts w:ascii="Times New Roman" w:eastAsia="Times New Roman" w:hAnsi="Times New Roman" w:cs="Times New Roman"/>
                <w:b/>
                <w:bCs/>
                <w:color w:val="000000"/>
                <w:sz w:val="14"/>
                <w:szCs w:val="14"/>
                <w:lang w:val="en-US"/>
              </w:rPr>
            </w:pPr>
            <w:r w:rsidRPr="000A3E45">
              <w:rPr>
                <w:rFonts w:ascii="Times New Roman" w:hAnsi="Times New Roman" w:cs="Times New Roman"/>
                <w:b/>
                <w:bCs/>
                <w:color w:val="000000"/>
                <w:sz w:val="14"/>
                <w:szCs w:val="14"/>
              </w:rPr>
              <w:t>572 289,6</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572 289,6</w:t>
            </w:r>
          </w:p>
        </w:tc>
        <w:tc>
          <w:tcPr>
            <w:tcW w:w="956" w:type="dxa"/>
            <w:gridSpan w:val="2"/>
            <w:tcBorders>
              <w:top w:val="single" w:sz="4" w:space="0" w:color="auto"/>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0,0</w:t>
            </w:r>
          </w:p>
        </w:tc>
        <w:tc>
          <w:tcPr>
            <w:tcW w:w="833" w:type="dxa"/>
            <w:tcBorders>
              <w:top w:val="single" w:sz="4" w:space="0" w:color="auto"/>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149 432,2</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149 432,2</w:t>
            </w:r>
          </w:p>
        </w:tc>
        <w:tc>
          <w:tcPr>
            <w:tcW w:w="702" w:type="dxa"/>
            <w:tcBorders>
              <w:top w:val="single" w:sz="4" w:space="0" w:color="auto"/>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0,0</w:t>
            </w:r>
          </w:p>
        </w:tc>
        <w:tc>
          <w:tcPr>
            <w:tcW w:w="993" w:type="dxa"/>
            <w:tcBorders>
              <w:top w:val="single" w:sz="4" w:space="0" w:color="auto"/>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422 857,4</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422 857,4</w:t>
            </w:r>
          </w:p>
        </w:tc>
        <w:tc>
          <w:tcPr>
            <w:tcW w:w="992" w:type="dxa"/>
            <w:tcBorders>
              <w:top w:val="single" w:sz="4" w:space="0" w:color="auto"/>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b/>
                <w:bCs/>
                <w:sz w:val="14"/>
                <w:szCs w:val="14"/>
              </w:rPr>
            </w:pPr>
            <w:r w:rsidRPr="000A3E45">
              <w:rPr>
                <w:rFonts w:ascii="Times New Roman" w:hAnsi="Times New Roman" w:cs="Times New Roman"/>
                <w:b/>
                <w:bCs/>
                <w:sz w:val="14"/>
                <w:szCs w:val="14"/>
              </w:rPr>
              <w:t>0,0</w:t>
            </w:r>
          </w:p>
        </w:tc>
      </w:tr>
      <w:tr w:rsidR="000A3E45" w:rsidTr="00FB6CBE">
        <w:trPr>
          <w:trHeight w:val="1005"/>
        </w:trPr>
        <w:tc>
          <w:tcPr>
            <w:tcW w:w="419" w:type="dxa"/>
            <w:tcBorders>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2100.01.00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интегрирано развитие на регионите за постигане на растеж и подобряване качеството на жизнената среда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1 993,8</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1 993,8</w:t>
            </w:r>
          </w:p>
        </w:tc>
        <w:tc>
          <w:tcPr>
            <w:tcW w:w="956" w:type="dxa"/>
            <w:gridSpan w:val="2"/>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1 993,8</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1 993,8</w:t>
            </w:r>
          </w:p>
        </w:tc>
        <w:tc>
          <w:tcPr>
            <w:tcW w:w="702"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r>
      <w:tr w:rsidR="000A3E45" w:rsidTr="00FB6CBE">
        <w:trPr>
          <w:trHeight w:val="273"/>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2100.01.01</w:t>
            </w:r>
          </w:p>
        </w:tc>
        <w:tc>
          <w:tcPr>
            <w:tcW w:w="2417" w:type="dxa"/>
            <w:gridSpan w:val="3"/>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992" w:type="dxa"/>
            <w:tcBorders>
              <w:top w:val="nil"/>
              <w:left w:val="single" w:sz="4" w:space="0" w:color="auto"/>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529,1</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529,1</w:t>
            </w:r>
          </w:p>
        </w:tc>
        <w:tc>
          <w:tcPr>
            <w:tcW w:w="956" w:type="dxa"/>
            <w:gridSpan w:val="2"/>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529,1</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529,1</w:t>
            </w:r>
          </w:p>
        </w:tc>
        <w:tc>
          <w:tcPr>
            <w:tcW w:w="70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r>
      <w:tr w:rsidR="000A3E45" w:rsidTr="00FB6CBE">
        <w:trPr>
          <w:trHeight w:val="238"/>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2100.01.02</w:t>
            </w:r>
          </w:p>
        </w:tc>
        <w:tc>
          <w:tcPr>
            <w:tcW w:w="2417" w:type="dxa"/>
            <w:gridSpan w:val="3"/>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„Подобряване на жилищните условия на маргинализирани групи от населението”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464,8</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464,8</w:t>
            </w:r>
          </w:p>
        </w:tc>
        <w:tc>
          <w:tcPr>
            <w:tcW w:w="956" w:type="dxa"/>
            <w:gridSpan w:val="2"/>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464,8</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464,8</w:t>
            </w:r>
          </w:p>
        </w:tc>
        <w:tc>
          <w:tcPr>
            <w:tcW w:w="70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r>
      <w:tr w:rsidR="000A3E45" w:rsidTr="00FB6CBE">
        <w:trPr>
          <w:trHeight w:val="185"/>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2100.01.03</w:t>
            </w:r>
          </w:p>
        </w:tc>
        <w:tc>
          <w:tcPr>
            <w:tcW w:w="2417" w:type="dxa"/>
            <w:gridSpan w:val="3"/>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999,8</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999,8</w:t>
            </w:r>
          </w:p>
        </w:tc>
        <w:tc>
          <w:tcPr>
            <w:tcW w:w="956" w:type="dxa"/>
            <w:gridSpan w:val="2"/>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999,8</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999,8</w:t>
            </w:r>
          </w:p>
        </w:tc>
        <w:tc>
          <w:tcPr>
            <w:tcW w:w="70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r>
      <w:tr w:rsidR="000A3E45" w:rsidTr="00FB6CBE">
        <w:trPr>
          <w:trHeight w:val="690"/>
        </w:trPr>
        <w:tc>
          <w:tcPr>
            <w:tcW w:w="419" w:type="dxa"/>
            <w:tcBorders>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2100.02.00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подобряване на инвестиционния процес, поддържане, модернизация и изграждане на техническата инфраструктура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557 109,1</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557 109,1</w:t>
            </w:r>
          </w:p>
        </w:tc>
        <w:tc>
          <w:tcPr>
            <w:tcW w:w="956" w:type="dxa"/>
            <w:gridSpan w:val="2"/>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134 251,7</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134 251,7</w:t>
            </w:r>
          </w:p>
        </w:tc>
        <w:tc>
          <w:tcPr>
            <w:tcW w:w="702"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422 857,4</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422 857,4</w:t>
            </w:r>
          </w:p>
        </w:tc>
        <w:tc>
          <w:tcPr>
            <w:tcW w:w="992" w:type="dxa"/>
            <w:tcBorders>
              <w:top w:val="nil"/>
              <w:left w:val="nil"/>
              <w:bottom w:val="single" w:sz="4" w:space="0" w:color="auto"/>
              <w:right w:val="single" w:sz="4" w:space="0" w:color="auto"/>
            </w:tcBorders>
            <w:shd w:val="clear" w:color="000000" w:fill="FFCC99"/>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r>
      <w:tr w:rsidR="000A3E45" w:rsidTr="00FB6CBE">
        <w:trPr>
          <w:trHeight w:val="237"/>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2100.02.01</w:t>
            </w:r>
          </w:p>
        </w:tc>
        <w:tc>
          <w:tcPr>
            <w:tcW w:w="2417" w:type="dxa"/>
            <w:gridSpan w:val="3"/>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„Рехабилитация и изграждане на пътна инфраструктура” </w:t>
            </w:r>
          </w:p>
        </w:tc>
        <w:tc>
          <w:tcPr>
            <w:tcW w:w="992" w:type="dxa"/>
            <w:tcBorders>
              <w:top w:val="nil"/>
              <w:left w:val="single" w:sz="4" w:space="0" w:color="auto"/>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1 134 736,1</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1 134 736,1</w:t>
            </w:r>
          </w:p>
        </w:tc>
        <w:tc>
          <w:tcPr>
            <w:tcW w:w="956" w:type="dxa"/>
            <w:gridSpan w:val="2"/>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104 969,5</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104 969,5</w:t>
            </w:r>
          </w:p>
        </w:tc>
        <w:tc>
          <w:tcPr>
            <w:tcW w:w="70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1 029 766,6</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1 029 766,6</w:t>
            </w:r>
          </w:p>
        </w:tc>
        <w:tc>
          <w:tcPr>
            <w:tcW w:w="99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r>
      <w:tr w:rsidR="000A3E45" w:rsidTr="00FB6CBE">
        <w:trPr>
          <w:trHeight w:val="228"/>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2100.02.02</w:t>
            </w:r>
          </w:p>
        </w:tc>
        <w:tc>
          <w:tcPr>
            <w:tcW w:w="2417" w:type="dxa"/>
            <w:gridSpan w:val="3"/>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„Устройство на територията, благоустройство, геозащита, водоснабдяване и канализация” </w:t>
            </w:r>
          </w:p>
        </w:tc>
        <w:tc>
          <w:tcPr>
            <w:tcW w:w="992" w:type="dxa"/>
            <w:tcBorders>
              <w:top w:val="nil"/>
              <w:left w:val="single" w:sz="4" w:space="0" w:color="auto"/>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-586 067,6</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-586 067,6</w:t>
            </w:r>
          </w:p>
        </w:tc>
        <w:tc>
          <w:tcPr>
            <w:tcW w:w="956" w:type="dxa"/>
            <w:gridSpan w:val="2"/>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20 841,6</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20 841,6</w:t>
            </w:r>
          </w:p>
        </w:tc>
        <w:tc>
          <w:tcPr>
            <w:tcW w:w="70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-606 909,2</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-606 909,2</w:t>
            </w:r>
          </w:p>
        </w:tc>
        <w:tc>
          <w:tcPr>
            <w:tcW w:w="99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r>
      <w:tr w:rsidR="000A3E45" w:rsidTr="00FB6CBE">
        <w:trPr>
          <w:trHeight w:val="314"/>
        </w:trPr>
        <w:tc>
          <w:tcPr>
            <w:tcW w:w="419" w:type="dxa"/>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2100.02.03</w:t>
            </w:r>
          </w:p>
        </w:tc>
        <w:tc>
          <w:tcPr>
            <w:tcW w:w="2417" w:type="dxa"/>
            <w:gridSpan w:val="3"/>
            <w:tcBorders>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„Нормативно регулиране и контрол на строителните продукти и инвестиционния процес в строителството”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8 440,6</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8 440,6</w:t>
            </w:r>
          </w:p>
        </w:tc>
        <w:tc>
          <w:tcPr>
            <w:tcW w:w="956" w:type="dxa"/>
            <w:gridSpan w:val="2"/>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8 440,6</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8 440,6</w:t>
            </w:r>
          </w:p>
        </w:tc>
        <w:tc>
          <w:tcPr>
            <w:tcW w:w="70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i/>
                <w:iCs/>
                <w:color w:val="000000"/>
                <w:sz w:val="14"/>
                <w:szCs w:val="14"/>
              </w:rPr>
            </w:pPr>
            <w:r w:rsidRPr="000A3E45">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0A3E45" w:rsidRPr="000A3E45" w:rsidRDefault="000A3E45" w:rsidP="000A3E45">
            <w:pPr>
              <w:jc w:val="right"/>
              <w:rPr>
                <w:rFonts w:ascii="Times New Roman" w:hAnsi="Times New Roman" w:cs="Times New Roman"/>
                <w:color w:val="000000"/>
                <w:sz w:val="14"/>
                <w:szCs w:val="14"/>
              </w:rPr>
            </w:pPr>
            <w:r w:rsidRPr="000A3E45">
              <w:rPr>
                <w:rFonts w:ascii="Times New Roman" w:hAnsi="Times New Roman" w:cs="Times New Roman"/>
                <w:color w:val="000000"/>
                <w:sz w:val="14"/>
                <w:szCs w:val="14"/>
              </w:rPr>
              <w:t>0,0</w:t>
            </w:r>
          </w:p>
        </w:tc>
      </w:tr>
      <w:tr w:rsidR="000A3E45" w:rsidTr="00FB6CBE">
        <w:trPr>
          <w:trHeight w:val="70"/>
        </w:trPr>
        <w:tc>
          <w:tcPr>
            <w:tcW w:w="419" w:type="dxa"/>
            <w:tcBorders>
              <w:left w:val="single" w:sz="4" w:space="0" w:color="000000"/>
              <w:bottom w:val="single" w:sz="4" w:space="0" w:color="000000"/>
              <w:right w:val="single" w:sz="4" w:space="0" w:color="000000"/>
            </w:tcBorders>
            <w:shd w:val="clear" w:color="000000" w:fill="FABF8F"/>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2100.03.00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 xml:space="preserve">Бюджетна програма „Ефективна администрация и координация” </w:t>
            </w:r>
          </w:p>
        </w:tc>
        <w:tc>
          <w:tcPr>
            <w:tcW w:w="992" w:type="dxa"/>
            <w:tcBorders>
              <w:top w:val="nil"/>
              <w:left w:val="single" w:sz="4" w:space="0" w:color="auto"/>
              <w:bottom w:val="single" w:sz="4" w:space="0" w:color="auto"/>
              <w:right w:val="single" w:sz="4" w:space="0" w:color="auto"/>
            </w:tcBorders>
            <w:shd w:val="clear" w:color="000000" w:fill="FABF8F"/>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13 186,7</w:t>
            </w:r>
          </w:p>
        </w:tc>
        <w:tc>
          <w:tcPr>
            <w:tcW w:w="992"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13 186,7</w:t>
            </w:r>
          </w:p>
        </w:tc>
        <w:tc>
          <w:tcPr>
            <w:tcW w:w="956" w:type="dxa"/>
            <w:gridSpan w:val="2"/>
            <w:tcBorders>
              <w:top w:val="nil"/>
              <w:left w:val="nil"/>
              <w:bottom w:val="single" w:sz="4" w:space="0" w:color="auto"/>
              <w:right w:val="single" w:sz="4" w:space="0" w:color="auto"/>
            </w:tcBorders>
            <w:shd w:val="clear" w:color="000000" w:fill="FABF8F"/>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ABF8F"/>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13 186,7</w:t>
            </w:r>
          </w:p>
        </w:tc>
        <w:tc>
          <w:tcPr>
            <w:tcW w:w="911" w:type="dxa"/>
            <w:gridSpan w:val="2"/>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13 186,7</w:t>
            </w:r>
          </w:p>
        </w:tc>
        <w:tc>
          <w:tcPr>
            <w:tcW w:w="702" w:type="dxa"/>
            <w:tcBorders>
              <w:top w:val="nil"/>
              <w:left w:val="nil"/>
              <w:bottom w:val="single" w:sz="4" w:space="0" w:color="auto"/>
              <w:right w:val="single" w:sz="4" w:space="0" w:color="auto"/>
            </w:tcBorders>
            <w:shd w:val="clear" w:color="000000" w:fill="FABF8F"/>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ABF8F"/>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0A3E45" w:rsidRPr="000A3E45" w:rsidRDefault="000A3E45" w:rsidP="000A3E45">
            <w:pPr>
              <w:jc w:val="right"/>
              <w:rPr>
                <w:rFonts w:ascii="Times New Roman" w:hAnsi="Times New Roman" w:cs="Times New Roman"/>
                <w:b/>
                <w:bCs/>
                <w:i/>
                <w:iCs/>
                <w:color w:val="000000"/>
                <w:sz w:val="14"/>
                <w:szCs w:val="14"/>
              </w:rPr>
            </w:pPr>
            <w:r w:rsidRPr="000A3E45">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ABF8F"/>
            <w:vAlign w:val="center"/>
          </w:tcPr>
          <w:p w:rsidR="000A3E45" w:rsidRPr="000A3E45" w:rsidRDefault="000A3E45" w:rsidP="000A3E45">
            <w:pPr>
              <w:jc w:val="right"/>
              <w:rPr>
                <w:rFonts w:ascii="Times New Roman" w:hAnsi="Times New Roman" w:cs="Times New Roman"/>
                <w:b/>
                <w:bCs/>
                <w:color w:val="000000"/>
                <w:sz w:val="14"/>
                <w:szCs w:val="14"/>
              </w:rPr>
            </w:pPr>
            <w:r w:rsidRPr="000A3E45">
              <w:rPr>
                <w:rFonts w:ascii="Times New Roman" w:hAnsi="Times New Roman" w:cs="Times New Roman"/>
                <w:b/>
                <w:bCs/>
                <w:color w:val="000000"/>
                <w:sz w:val="14"/>
                <w:szCs w:val="14"/>
              </w:rPr>
              <w:t>0,0</w:t>
            </w:r>
          </w:p>
        </w:tc>
      </w:tr>
      <w:tr w:rsidR="000A3E45" w:rsidTr="00FB6CBE">
        <w:trPr>
          <w:trHeight w:val="255"/>
        </w:trPr>
        <w:tc>
          <w:tcPr>
            <w:tcW w:w="419" w:type="dxa"/>
            <w:vAlign w:val="center"/>
          </w:tcPr>
          <w:p w:rsidR="000A3E45" w:rsidRPr="0015059E" w:rsidRDefault="000A3E45" w:rsidP="000A3E45">
            <w:pPr>
              <w:spacing w:after="0" w:line="240" w:lineRule="auto"/>
              <w:ind w:left="-57" w:right="-57"/>
              <w:jc w:val="right"/>
              <w:rPr>
                <w:rFonts w:ascii="Times New Roman" w:eastAsia="Times New Roman" w:hAnsi="Times New Roman" w:cs="Times New Roman"/>
                <w:b/>
                <w:bCs/>
                <w:color w:val="000000"/>
                <w:sz w:val="2"/>
                <w:szCs w:val="14"/>
                <w:lang w:val="en-US"/>
              </w:rPr>
            </w:pPr>
          </w:p>
        </w:tc>
        <w:tc>
          <w:tcPr>
            <w:tcW w:w="436" w:type="dxa"/>
          </w:tcPr>
          <w:p w:rsidR="000A3E45" w:rsidRPr="0015059E" w:rsidRDefault="000A3E45" w:rsidP="000A3E45">
            <w:pPr>
              <w:rPr>
                <w:sz w:val="12"/>
              </w:rPr>
            </w:pPr>
          </w:p>
        </w:tc>
        <w:tc>
          <w:tcPr>
            <w:tcW w:w="831" w:type="dxa"/>
          </w:tcPr>
          <w:p w:rsidR="000A3E45" w:rsidRDefault="000A3E45" w:rsidP="000A3E45"/>
        </w:tc>
        <w:tc>
          <w:tcPr>
            <w:tcW w:w="1150" w:type="dxa"/>
          </w:tcPr>
          <w:p w:rsidR="000A3E45" w:rsidRDefault="000A3E45" w:rsidP="000A3E45"/>
        </w:tc>
        <w:tc>
          <w:tcPr>
            <w:tcW w:w="992" w:type="dxa"/>
          </w:tcPr>
          <w:p w:rsidR="000A3E45" w:rsidRDefault="000A3E45" w:rsidP="000A3E45"/>
        </w:tc>
        <w:tc>
          <w:tcPr>
            <w:tcW w:w="610" w:type="dxa"/>
          </w:tcPr>
          <w:p w:rsidR="000A3E45" w:rsidRDefault="000A3E45" w:rsidP="000A3E45"/>
        </w:tc>
        <w:tc>
          <w:tcPr>
            <w:tcW w:w="382" w:type="dxa"/>
          </w:tcPr>
          <w:p w:rsidR="000A3E45" w:rsidRDefault="000A3E45" w:rsidP="000A3E45"/>
        </w:tc>
        <w:tc>
          <w:tcPr>
            <w:tcW w:w="684" w:type="dxa"/>
          </w:tcPr>
          <w:p w:rsidR="000A3E45" w:rsidRDefault="000A3E45" w:rsidP="000A3E45"/>
        </w:tc>
        <w:tc>
          <w:tcPr>
            <w:tcW w:w="272" w:type="dxa"/>
          </w:tcPr>
          <w:p w:rsidR="000A3E45" w:rsidRDefault="000A3E45" w:rsidP="000A3E45"/>
        </w:tc>
        <w:tc>
          <w:tcPr>
            <w:tcW w:w="833" w:type="dxa"/>
          </w:tcPr>
          <w:p w:rsidR="000A3E45" w:rsidRDefault="000A3E45" w:rsidP="000A3E45"/>
        </w:tc>
        <w:tc>
          <w:tcPr>
            <w:tcW w:w="236" w:type="dxa"/>
          </w:tcPr>
          <w:p w:rsidR="000A3E45" w:rsidRDefault="000A3E45" w:rsidP="000A3E45"/>
        </w:tc>
        <w:tc>
          <w:tcPr>
            <w:tcW w:w="675" w:type="dxa"/>
          </w:tcPr>
          <w:p w:rsidR="000A3E45" w:rsidRDefault="000A3E45" w:rsidP="000A3E45"/>
        </w:tc>
        <w:tc>
          <w:tcPr>
            <w:tcW w:w="702" w:type="dxa"/>
          </w:tcPr>
          <w:p w:rsidR="000A3E45" w:rsidRDefault="000A3E45" w:rsidP="000A3E45"/>
        </w:tc>
        <w:tc>
          <w:tcPr>
            <w:tcW w:w="993" w:type="dxa"/>
          </w:tcPr>
          <w:p w:rsidR="000A3E45" w:rsidRDefault="000A3E45" w:rsidP="000A3E45"/>
        </w:tc>
        <w:tc>
          <w:tcPr>
            <w:tcW w:w="850" w:type="dxa"/>
          </w:tcPr>
          <w:p w:rsidR="000A3E45" w:rsidRDefault="000A3E45" w:rsidP="000A3E45"/>
        </w:tc>
        <w:tc>
          <w:tcPr>
            <w:tcW w:w="992" w:type="dxa"/>
          </w:tcPr>
          <w:p w:rsidR="000A3E45" w:rsidRDefault="000A3E45" w:rsidP="000A3E45"/>
        </w:tc>
      </w:tr>
      <w:tr w:rsidR="000A3E45" w:rsidTr="00FB6CBE">
        <w:trPr>
          <w:trHeight w:val="510"/>
        </w:trPr>
        <w:tc>
          <w:tcPr>
            <w:tcW w:w="419"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Код*</w:t>
            </w:r>
          </w:p>
        </w:tc>
        <w:tc>
          <w:tcPr>
            <w:tcW w:w="2417" w:type="dxa"/>
            <w:gridSpan w:val="3"/>
            <w:tcBorders>
              <w:top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ОБЛАСТИ НА ПОЛИТИКИ И БЮДЖЕТНИ ПРОГРАМИ</w:t>
            </w:r>
          </w:p>
        </w:tc>
        <w:tc>
          <w:tcPr>
            <w:tcW w:w="2940" w:type="dxa"/>
            <w:gridSpan w:val="5"/>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Консолидирани разходи</w:t>
            </w:r>
          </w:p>
        </w:tc>
        <w:tc>
          <w:tcPr>
            <w:tcW w:w="2446"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Ведомствени разходи</w:t>
            </w:r>
          </w:p>
        </w:tc>
        <w:tc>
          <w:tcPr>
            <w:tcW w:w="2835" w:type="dxa"/>
            <w:gridSpan w:val="3"/>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Администрирани разходи</w:t>
            </w:r>
          </w:p>
        </w:tc>
      </w:tr>
      <w:tr w:rsidR="000A3E45" w:rsidTr="00FB6CBE">
        <w:trPr>
          <w:trHeight w:val="70"/>
        </w:trPr>
        <w:tc>
          <w:tcPr>
            <w:tcW w:w="419" w:type="dxa"/>
            <w:vMerge/>
            <w:tcBorders>
              <w:top w:val="single" w:sz="4" w:space="0" w:color="000000"/>
              <w:left w:val="single" w:sz="4" w:space="0" w:color="000000"/>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p>
        </w:tc>
        <w:tc>
          <w:tcPr>
            <w:tcW w:w="2417" w:type="dxa"/>
            <w:gridSpan w:val="3"/>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(Закон за 202</w:t>
            </w:r>
            <w:r>
              <w:rPr>
                <w:rFonts w:ascii="Times New Roman" w:eastAsia="Times New Roman" w:hAnsi="Times New Roman" w:cs="Times New Roman"/>
                <w:b/>
                <w:bCs/>
                <w:color w:val="000000"/>
                <w:sz w:val="14"/>
                <w:szCs w:val="14"/>
              </w:rPr>
              <w:t>5</w:t>
            </w:r>
            <w:r>
              <w:rPr>
                <w:rFonts w:ascii="Times New Roman" w:eastAsia="Times New Roman" w:hAnsi="Times New Roman" w:cs="Times New Roman"/>
                <w:b/>
                <w:bCs/>
                <w:color w:val="000000"/>
                <w:sz w:val="14"/>
                <w:szCs w:val="14"/>
                <w:lang w:val="en-US"/>
              </w:rPr>
              <w:t xml:space="preserve"> г.)</w:t>
            </w:r>
          </w:p>
        </w:tc>
        <w:tc>
          <w:tcPr>
            <w:tcW w:w="2940" w:type="dxa"/>
            <w:gridSpan w:val="5"/>
            <w:vMerge/>
            <w:tcBorders>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p>
        </w:tc>
        <w:tc>
          <w:tcPr>
            <w:tcW w:w="2446" w:type="dxa"/>
            <w:gridSpan w:val="4"/>
            <w:vMerge/>
            <w:tcBorders>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p>
        </w:tc>
        <w:tc>
          <w:tcPr>
            <w:tcW w:w="2835" w:type="dxa"/>
            <w:gridSpan w:val="3"/>
            <w:vMerge/>
            <w:tcBorders>
              <w:bottom w:val="single" w:sz="4" w:space="0" w:color="000000"/>
              <w:right w:val="single" w:sz="4" w:space="0" w:color="000000"/>
            </w:tcBorders>
            <w:vAlign w:val="center"/>
          </w:tcPr>
          <w:p w:rsidR="000A3E45" w:rsidRDefault="000A3E45" w:rsidP="000A3E45">
            <w:pPr>
              <w:spacing w:after="0" w:line="240" w:lineRule="auto"/>
              <w:ind w:left="-57" w:right="-57"/>
              <w:rPr>
                <w:rFonts w:ascii="Times New Roman" w:eastAsia="Times New Roman" w:hAnsi="Times New Roman" w:cs="Times New Roman"/>
                <w:b/>
                <w:bCs/>
                <w:color w:val="000000"/>
                <w:sz w:val="14"/>
                <w:szCs w:val="14"/>
                <w:lang w:val="en-US"/>
              </w:rPr>
            </w:pPr>
          </w:p>
        </w:tc>
      </w:tr>
      <w:tr w:rsidR="000A3E45" w:rsidTr="00FB6CBE">
        <w:trPr>
          <w:trHeight w:val="70"/>
        </w:trPr>
        <w:tc>
          <w:tcPr>
            <w:tcW w:w="419" w:type="dxa"/>
            <w:tcBorders>
              <w:left w:val="single" w:sz="4" w:space="0" w:color="000000"/>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 хил.</w:t>
            </w:r>
            <w:r>
              <w:rPr>
                <w:rFonts w:ascii="Times New Roman" w:eastAsia="Times New Roman" w:hAnsi="Times New Roman" w:cs="Times New Roman"/>
                <w:b/>
                <w:bCs/>
                <w:color w:val="000000"/>
                <w:sz w:val="14"/>
                <w:szCs w:val="14"/>
              </w:rPr>
              <w:t>евро</w:t>
            </w:r>
            <w:r>
              <w:rPr>
                <w:rFonts w:ascii="Times New Roman" w:eastAsia="Times New Roman" w:hAnsi="Times New Roman" w:cs="Times New Roman"/>
                <w:b/>
                <w:bCs/>
                <w:color w:val="000000"/>
                <w:sz w:val="14"/>
                <w:szCs w:val="14"/>
                <w:lang w:val="en-US"/>
              </w:rPr>
              <w:t>)</w:t>
            </w:r>
          </w:p>
        </w:tc>
        <w:tc>
          <w:tcPr>
            <w:tcW w:w="992" w:type="dxa"/>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разходи</w:t>
            </w:r>
          </w:p>
        </w:tc>
        <w:tc>
          <w:tcPr>
            <w:tcW w:w="992" w:type="dxa"/>
            <w:gridSpan w:val="2"/>
            <w:tcBorders>
              <w:bottom w:val="single" w:sz="4" w:space="0" w:color="000000"/>
              <w:right w:val="single" w:sz="4" w:space="0" w:color="000000"/>
            </w:tcBorders>
            <w:shd w:val="clear" w:color="000000" w:fill="FDE9D9"/>
            <w:vAlign w:val="center"/>
          </w:tcPr>
          <w:p w:rsidR="000A3E45" w:rsidRDefault="000A3E45" w:rsidP="000A3E45">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956" w:type="dxa"/>
            <w:gridSpan w:val="2"/>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833" w:type="dxa"/>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ведомствени</w:t>
            </w:r>
          </w:p>
        </w:tc>
        <w:tc>
          <w:tcPr>
            <w:tcW w:w="911" w:type="dxa"/>
            <w:gridSpan w:val="2"/>
            <w:tcBorders>
              <w:bottom w:val="single" w:sz="4" w:space="0" w:color="000000"/>
              <w:right w:val="single" w:sz="4" w:space="0" w:color="000000"/>
            </w:tcBorders>
            <w:shd w:val="clear" w:color="000000" w:fill="FDE9D9"/>
            <w:vAlign w:val="center"/>
          </w:tcPr>
          <w:p w:rsidR="000A3E45" w:rsidRDefault="000A3E45" w:rsidP="000A3E45">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702" w:type="dxa"/>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2"/>
                <w:szCs w:val="14"/>
                <w:lang w:val="en-US"/>
              </w:rPr>
              <w:t>По други бюджети и сметки за СЕС</w:t>
            </w:r>
          </w:p>
        </w:tc>
        <w:tc>
          <w:tcPr>
            <w:tcW w:w="993" w:type="dxa"/>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администрирани</w:t>
            </w:r>
          </w:p>
        </w:tc>
        <w:tc>
          <w:tcPr>
            <w:tcW w:w="850" w:type="dxa"/>
            <w:tcBorders>
              <w:bottom w:val="single" w:sz="4" w:space="0" w:color="000000"/>
              <w:right w:val="single" w:sz="4" w:space="0" w:color="000000"/>
            </w:tcBorders>
            <w:shd w:val="clear" w:color="000000" w:fill="FDE9D9"/>
            <w:vAlign w:val="center"/>
          </w:tcPr>
          <w:p w:rsidR="000A3E45" w:rsidRDefault="000A3E45" w:rsidP="000A3E45">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992" w:type="dxa"/>
            <w:tcBorders>
              <w:bottom w:val="single" w:sz="4" w:space="0" w:color="000000"/>
              <w:right w:val="single" w:sz="4" w:space="0" w:color="000000"/>
            </w:tcBorders>
            <w:shd w:val="clear" w:color="000000" w:fill="FFCC99"/>
            <w:vAlign w:val="center"/>
          </w:tcPr>
          <w:p w:rsidR="000A3E45" w:rsidRDefault="000A3E45" w:rsidP="000A3E45">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r>
      <w:tr w:rsidR="00CA5A02" w:rsidTr="00FB6CBE">
        <w:trPr>
          <w:trHeight w:val="255"/>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top w:val="single" w:sz="4" w:space="0" w:color="000000"/>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Общо разходи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A5A02" w:rsidRPr="00CA5A02" w:rsidRDefault="00CA5A02" w:rsidP="00CA5A02">
            <w:pPr>
              <w:suppressAutoHyphens w:val="0"/>
              <w:spacing w:after="0" w:line="240" w:lineRule="auto"/>
              <w:jc w:val="right"/>
              <w:rPr>
                <w:rFonts w:ascii="Times New Roman" w:eastAsia="Times New Roman" w:hAnsi="Times New Roman" w:cs="Times New Roman"/>
                <w:b/>
                <w:bCs/>
                <w:color w:val="000000"/>
                <w:sz w:val="14"/>
                <w:szCs w:val="14"/>
                <w:lang w:val="en-US"/>
              </w:rPr>
            </w:pPr>
            <w:r w:rsidRPr="00CA5A02">
              <w:rPr>
                <w:rFonts w:ascii="Times New Roman" w:hAnsi="Times New Roman" w:cs="Times New Roman"/>
                <w:b/>
                <w:bCs/>
                <w:color w:val="000000"/>
                <w:sz w:val="14"/>
                <w:szCs w:val="14"/>
              </w:rPr>
              <w:t>1 100 277,4</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1 058 603,6</w:t>
            </w:r>
          </w:p>
        </w:tc>
        <w:tc>
          <w:tcPr>
            <w:tcW w:w="956" w:type="dxa"/>
            <w:gridSpan w:val="2"/>
            <w:tcBorders>
              <w:top w:val="single" w:sz="4" w:space="0" w:color="auto"/>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41 673,8</w:t>
            </w:r>
          </w:p>
        </w:tc>
        <w:tc>
          <w:tcPr>
            <w:tcW w:w="833" w:type="dxa"/>
            <w:tcBorders>
              <w:top w:val="single" w:sz="4" w:space="0" w:color="auto"/>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182 558,1</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182 558,1</w:t>
            </w:r>
          </w:p>
        </w:tc>
        <w:tc>
          <w:tcPr>
            <w:tcW w:w="702" w:type="dxa"/>
            <w:tcBorders>
              <w:top w:val="single" w:sz="4" w:space="0" w:color="auto"/>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c>
          <w:tcPr>
            <w:tcW w:w="993" w:type="dxa"/>
            <w:tcBorders>
              <w:top w:val="single" w:sz="4" w:space="0" w:color="auto"/>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917 719,3</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876 045,5</w:t>
            </w:r>
          </w:p>
        </w:tc>
        <w:tc>
          <w:tcPr>
            <w:tcW w:w="992" w:type="dxa"/>
            <w:tcBorders>
              <w:top w:val="single" w:sz="4" w:space="0" w:color="auto"/>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41 673,8</w:t>
            </w:r>
          </w:p>
        </w:tc>
      </w:tr>
      <w:tr w:rsidR="00CA5A02" w:rsidTr="00FB6CBE">
        <w:trPr>
          <w:trHeight w:val="70"/>
        </w:trPr>
        <w:tc>
          <w:tcPr>
            <w:tcW w:w="419" w:type="dxa"/>
            <w:tcBorders>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2100.01.00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интегрирано развитие на регионите за постигане на растеж и подобряване качеството на жизнената среда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25 310,7</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11 986,7</w:t>
            </w:r>
          </w:p>
        </w:tc>
        <w:tc>
          <w:tcPr>
            <w:tcW w:w="956" w:type="dxa"/>
            <w:gridSpan w:val="2"/>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13 324,0</w:t>
            </w:r>
          </w:p>
        </w:tc>
        <w:tc>
          <w:tcPr>
            <w:tcW w:w="833"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4 642,1</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4 642,1</w:t>
            </w:r>
          </w:p>
        </w:tc>
        <w:tc>
          <w:tcPr>
            <w:tcW w:w="702"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20 668,6</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7 344,6</w:t>
            </w:r>
          </w:p>
        </w:tc>
        <w:tc>
          <w:tcPr>
            <w:tcW w:w="992"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13 324,0</w:t>
            </w:r>
          </w:p>
        </w:tc>
      </w:tr>
      <w:tr w:rsidR="00CA5A02" w:rsidTr="00FB6CBE">
        <w:trPr>
          <w:trHeight w:val="211"/>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lastRenderedPageBreak/>
              <w:t>2100.01.01</w:t>
            </w:r>
          </w:p>
        </w:tc>
        <w:tc>
          <w:tcPr>
            <w:tcW w:w="2417" w:type="dxa"/>
            <w:gridSpan w:val="3"/>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992" w:type="dxa"/>
            <w:tcBorders>
              <w:top w:val="nil"/>
              <w:left w:val="single" w:sz="4" w:space="0" w:color="auto"/>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15 365,7</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2 041,7</w:t>
            </w:r>
          </w:p>
        </w:tc>
        <w:tc>
          <w:tcPr>
            <w:tcW w:w="956" w:type="dxa"/>
            <w:gridSpan w:val="2"/>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13 324,0</w:t>
            </w:r>
          </w:p>
        </w:tc>
        <w:tc>
          <w:tcPr>
            <w:tcW w:w="83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2 041,7</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2 041,7</w:t>
            </w:r>
          </w:p>
        </w:tc>
        <w:tc>
          <w:tcPr>
            <w:tcW w:w="70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13 324,0</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13 324,0</w:t>
            </w:r>
          </w:p>
        </w:tc>
      </w:tr>
      <w:tr w:rsidR="00CA5A02" w:rsidTr="00FB6CBE">
        <w:trPr>
          <w:trHeight w:val="70"/>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2100.01.02</w:t>
            </w:r>
          </w:p>
        </w:tc>
        <w:tc>
          <w:tcPr>
            <w:tcW w:w="2417" w:type="dxa"/>
            <w:gridSpan w:val="3"/>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„Подобряване на жилищните условия на маргинализирани групи от населението”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8 090,6</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8 090,6</w:t>
            </w:r>
          </w:p>
        </w:tc>
        <w:tc>
          <w:tcPr>
            <w:tcW w:w="956" w:type="dxa"/>
            <w:gridSpan w:val="2"/>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746,0</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746,0</w:t>
            </w:r>
          </w:p>
        </w:tc>
        <w:tc>
          <w:tcPr>
            <w:tcW w:w="70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7 344,6</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7 344,6</w:t>
            </w:r>
          </w:p>
        </w:tc>
        <w:tc>
          <w:tcPr>
            <w:tcW w:w="99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r>
      <w:tr w:rsidR="00CA5A02" w:rsidTr="00FB6CBE">
        <w:trPr>
          <w:trHeight w:val="130"/>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2100.01.03</w:t>
            </w:r>
          </w:p>
        </w:tc>
        <w:tc>
          <w:tcPr>
            <w:tcW w:w="2417" w:type="dxa"/>
            <w:gridSpan w:val="3"/>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1 854,4</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1 854,4</w:t>
            </w:r>
          </w:p>
        </w:tc>
        <w:tc>
          <w:tcPr>
            <w:tcW w:w="956" w:type="dxa"/>
            <w:gridSpan w:val="2"/>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1 854,4</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1 854,4</w:t>
            </w:r>
          </w:p>
        </w:tc>
        <w:tc>
          <w:tcPr>
            <w:tcW w:w="70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r>
      <w:tr w:rsidR="00CA5A02" w:rsidTr="00FB6CBE">
        <w:trPr>
          <w:trHeight w:val="70"/>
        </w:trPr>
        <w:tc>
          <w:tcPr>
            <w:tcW w:w="419" w:type="dxa"/>
            <w:tcBorders>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2100.02.00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подобряване на инвестиционния процес, поддържане, модернизация и изграждане на техническата инфраструктура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1 059 325,4</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1 030 975,6</w:t>
            </w:r>
          </w:p>
        </w:tc>
        <w:tc>
          <w:tcPr>
            <w:tcW w:w="956" w:type="dxa"/>
            <w:gridSpan w:val="2"/>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28 349,8</w:t>
            </w:r>
          </w:p>
        </w:tc>
        <w:tc>
          <w:tcPr>
            <w:tcW w:w="833"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162 274,7</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162 274,7</w:t>
            </w:r>
          </w:p>
        </w:tc>
        <w:tc>
          <w:tcPr>
            <w:tcW w:w="702"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897 050,7</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868 700,9</w:t>
            </w:r>
          </w:p>
        </w:tc>
        <w:tc>
          <w:tcPr>
            <w:tcW w:w="992" w:type="dxa"/>
            <w:tcBorders>
              <w:top w:val="nil"/>
              <w:left w:val="nil"/>
              <w:bottom w:val="single" w:sz="4" w:space="0" w:color="auto"/>
              <w:right w:val="single" w:sz="4" w:space="0" w:color="auto"/>
            </w:tcBorders>
            <w:shd w:val="clear" w:color="000000" w:fill="FFCC99"/>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28 349,8</w:t>
            </w:r>
          </w:p>
        </w:tc>
      </w:tr>
      <w:tr w:rsidR="00CA5A02" w:rsidTr="00FB6CBE">
        <w:trPr>
          <w:trHeight w:val="70"/>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2100.02.01</w:t>
            </w:r>
          </w:p>
        </w:tc>
        <w:tc>
          <w:tcPr>
            <w:tcW w:w="2417" w:type="dxa"/>
            <w:gridSpan w:val="3"/>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„Рехабилитация и изграждане на пътна инфраструктура” </w:t>
            </w:r>
          </w:p>
        </w:tc>
        <w:tc>
          <w:tcPr>
            <w:tcW w:w="992" w:type="dxa"/>
            <w:tcBorders>
              <w:top w:val="nil"/>
              <w:left w:val="single" w:sz="4" w:space="0" w:color="auto"/>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1 010 658,4</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988 252,8</w:t>
            </w:r>
          </w:p>
        </w:tc>
        <w:tc>
          <w:tcPr>
            <w:tcW w:w="956" w:type="dxa"/>
            <w:gridSpan w:val="2"/>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22 405,6</w:t>
            </w:r>
          </w:p>
        </w:tc>
        <w:tc>
          <w:tcPr>
            <w:tcW w:w="83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133 222,5</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133 222,5</w:t>
            </w:r>
          </w:p>
        </w:tc>
        <w:tc>
          <w:tcPr>
            <w:tcW w:w="70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877 435,9</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855 030,3</w:t>
            </w:r>
          </w:p>
        </w:tc>
        <w:tc>
          <w:tcPr>
            <w:tcW w:w="99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22 405,6</w:t>
            </w:r>
          </w:p>
        </w:tc>
      </w:tr>
      <w:tr w:rsidR="00CA5A02" w:rsidTr="00FB6CBE">
        <w:trPr>
          <w:trHeight w:val="70"/>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2100.02.02</w:t>
            </w:r>
          </w:p>
        </w:tc>
        <w:tc>
          <w:tcPr>
            <w:tcW w:w="2417" w:type="dxa"/>
            <w:gridSpan w:val="3"/>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„Устройство на територията, благоустройство, геозащита, водоснабдяване и канализация” </w:t>
            </w:r>
          </w:p>
        </w:tc>
        <w:tc>
          <w:tcPr>
            <w:tcW w:w="992" w:type="dxa"/>
            <w:tcBorders>
              <w:top w:val="nil"/>
              <w:left w:val="single" w:sz="4" w:space="0" w:color="auto"/>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39 407,3</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33 463,1</w:t>
            </w:r>
          </w:p>
        </w:tc>
        <w:tc>
          <w:tcPr>
            <w:tcW w:w="956" w:type="dxa"/>
            <w:gridSpan w:val="2"/>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5 944,2</w:t>
            </w:r>
          </w:p>
        </w:tc>
        <w:tc>
          <w:tcPr>
            <w:tcW w:w="83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19 792,5</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19 792,5</w:t>
            </w:r>
          </w:p>
        </w:tc>
        <w:tc>
          <w:tcPr>
            <w:tcW w:w="70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19 614,8</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13 670,6</w:t>
            </w:r>
          </w:p>
        </w:tc>
        <w:tc>
          <w:tcPr>
            <w:tcW w:w="99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5 944,2</w:t>
            </w:r>
          </w:p>
        </w:tc>
      </w:tr>
      <w:tr w:rsidR="00CA5A02" w:rsidTr="00FB6CBE">
        <w:trPr>
          <w:trHeight w:val="70"/>
        </w:trPr>
        <w:tc>
          <w:tcPr>
            <w:tcW w:w="419" w:type="dxa"/>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2100.02.03</w:t>
            </w:r>
          </w:p>
        </w:tc>
        <w:tc>
          <w:tcPr>
            <w:tcW w:w="2417" w:type="dxa"/>
            <w:gridSpan w:val="3"/>
            <w:tcBorders>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„Нормативно регулиране и контрол на строителните продукти и инвестиционния процес в строителството”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9 259,7</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9 259,7</w:t>
            </w:r>
          </w:p>
        </w:tc>
        <w:tc>
          <w:tcPr>
            <w:tcW w:w="956" w:type="dxa"/>
            <w:gridSpan w:val="2"/>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9 259,7</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9 259,7</w:t>
            </w:r>
          </w:p>
        </w:tc>
        <w:tc>
          <w:tcPr>
            <w:tcW w:w="70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i/>
                <w:iCs/>
                <w:color w:val="000000"/>
                <w:sz w:val="14"/>
                <w:szCs w:val="14"/>
              </w:rPr>
            </w:pPr>
            <w:r w:rsidRPr="00CA5A02">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CA5A02" w:rsidRPr="00CA5A02" w:rsidRDefault="00CA5A02" w:rsidP="00CA5A02">
            <w:pPr>
              <w:jc w:val="right"/>
              <w:rPr>
                <w:rFonts w:ascii="Times New Roman" w:hAnsi="Times New Roman" w:cs="Times New Roman"/>
                <w:color w:val="000000"/>
                <w:sz w:val="14"/>
                <w:szCs w:val="14"/>
              </w:rPr>
            </w:pPr>
            <w:r w:rsidRPr="00CA5A02">
              <w:rPr>
                <w:rFonts w:ascii="Times New Roman" w:hAnsi="Times New Roman" w:cs="Times New Roman"/>
                <w:color w:val="000000"/>
                <w:sz w:val="14"/>
                <w:szCs w:val="14"/>
              </w:rPr>
              <w:t>0,0</w:t>
            </w:r>
          </w:p>
        </w:tc>
      </w:tr>
      <w:tr w:rsidR="00CA5A02" w:rsidTr="00FB6CBE">
        <w:trPr>
          <w:trHeight w:val="70"/>
        </w:trPr>
        <w:tc>
          <w:tcPr>
            <w:tcW w:w="419" w:type="dxa"/>
            <w:tcBorders>
              <w:left w:val="single" w:sz="4" w:space="0" w:color="000000"/>
              <w:bottom w:val="single" w:sz="4" w:space="0" w:color="000000"/>
              <w:right w:val="single" w:sz="4" w:space="0" w:color="000000"/>
            </w:tcBorders>
            <w:shd w:val="clear" w:color="000000" w:fill="FABF8F"/>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2100.03.00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 xml:space="preserve">Бюджетна програма „Ефективна администрация и координация” </w:t>
            </w:r>
          </w:p>
        </w:tc>
        <w:tc>
          <w:tcPr>
            <w:tcW w:w="992" w:type="dxa"/>
            <w:tcBorders>
              <w:top w:val="nil"/>
              <w:left w:val="single" w:sz="4" w:space="0" w:color="auto"/>
              <w:bottom w:val="single" w:sz="4" w:space="0" w:color="auto"/>
              <w:right w:val="single" w:sz="4" w:space="0" w:color="auto"/>
            </w:tcBorders>
            <w:shd w:val="clear" w:color="000000" w:fill="FABF8F"/>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15 641,3</w:t>
            </w:r>
          </w:p>
        </w:tc>
        <w:tc>
          <w:tcPr>
            <w:tcW w:w="992"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15 641,3</w:t>
            </w:r>
          </w:p>
        </w:tc>
        <w:tc>
          <w:tcPr>
            <w:tcW w:w="956" w:type="dxa"/>
            <w:gridSpan w:val="2"/>
            <w:tcBorders>
              <w:top w:val="nil"/>
              <w:left w:val="nil"/>
              <w:bottom w:val="single" w:sz="4" w:space="0" w:color="auto"/>
              <w:right w:val="single" w:sz="4" w:space="0" w:color="auto"/>
            </w:tcBorders>
            <w:shd w:val="clear" w:color="000000" w:fill="FABF8F"/>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ABF8F"/>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15 641,3</w:t>
            </w:r>
          </w:p>
        </w:tc>
        <w:tc>
          <w:tcPr>
            <w:tcW w:w="911" w:type="dxa"/>
            <w:gridSpan w:val="2"/>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15 641,3</w:t>
            </w:r>
          </w:p>
        </w:tc>
        <w:tc>
          <w:tcPr>
            <w:tcW w:w="702" w:type="dxa"/>
            <w:tcBorders>
              <w:top w:val="nil"/>
              <w:left w:val="nil"/>
              <w:bottom w:val="single" w:sz="4" w:space="0" w:color="auto"/>
              <w:right w:val="single" w:sz="4" w:space="0" w:color="auto"/>
            </w:tcBorders>
            <w:shd w:val="clear" w:color="000000" w:fill="FABF8F"/>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ABF8F"/>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CA5A02" w:rsidRPr="00CA5A02" w:rsidRDefault="00CA5A02" w:rsidP="00CA5A02">
            <w:pPr>
              <w:jc w:val="right"/>
              <w:rPr>
                <w:rFonts w:ascii="Times New Roman" w:hAnsi="Times New Roman" w:cs="Times New Roman"/>
                <w:b/>
                <w:bCs/>
                <w:i/>
                <w:iCs/>
                <w:color w:val="000000"/>
                <w:sz w:val="14"/>
                <w:szCs w:val="14"/>
              </w:rPr>
            </w:pPr>
            <w:r w:rsidRPr="00CA5A02">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ABF8F"/>
            <w:vAlign w:val="center"/>
          </w:tcPr>
          <w:p w:rsidR="00CA5A02" w:rsidRPr="00CA5A02" w:rsidRDefault="00CA5A02" w:rsidP="00CA5A02">
            <w:pPr>
              <w:jc w:val="right"/>
              <w:rPr>
                <w:rFonts w:ascii="Times New Roman" w:hAnsi="Times New Roman" w:cs="Times New Roman"/>
                <w:b/>
                <w:bCs/>
                <w:color w:val="000000"/>
                <w:sz w:val="14"/>
                <w:szCs w:val="14"/>
              </w:rPr>
            </w:pPr>
            <w:r w:rsidRPr="00CA5A02">
              <w:rPr>
                <w:rFonts w:ascii="Times New Roman" w:hAnsi="Times New Roman" w:cs="Times New Roman"/>
                <w:b/>
                <w:bCs/>
                <w:color w:val="000000"/>
                <w:sz w:val="14"/>
                <w:szCs w:val="14"/>
              </w:rPr>
              <w:t>0,0</w:t>
            </w:r>
          </w:p>
        </w:tc>
      </w:tr>
      <w:tr w:rsidR="00CA5A02" w:rsidTr="00FB6CBE">
        <w:trPr>
          <w:trHeight w:val="255"/>
        </w:trPr>
        <w:tc>
          <w:tcPr>
            <w:tcW w:w="855" w:type="dxa"/>
            <w:gridSpan w:val="2"/>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831" w:type="dxa"/>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1150" w:type="dxa"/>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992" w:type="dxa"/>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610" w:type="dxa"/>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1066" w:type="dxa"/>
            <w:gridSpan w:val="2"/>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1341" w:type="dxa"/>
            <w:gridSpan w:val="3"/>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675" w:type="dxa"/>
            <w:vAlign w:val="center"/>
          </w:tcPr>
          <w:p w:rsidR="00CA5A02" w:rsidRDefault="00CA5A02" w:rsidP="00CA5A02">
            <w:pPr>
              <w:spacing w:after="0" w:line="240" w:lineRule="auto"/>
              <w:ind w:left="-57" w:right="-57"/>
              <w:rPr>
                <w:rFonts w:ascii="Times New Roman" w:eastAsia="Times New Roman" w:hAnsi="Times New Roman" w:cs="Times New Roman"/>
                <w:sz w:val="14"/>
                <w:szCs w:val="14"/>
                <w:lang w:val="en-US"/>
              </w:rPr>
            </w:pPr>
          </w:p>
        </w:tc>
        <w:tc>
          <w:tcPr>
            <w:tcW w:w="702" w:type="dxa"/>
          </w:tcPr>
          <w:p w:rsidR="00CA5A02" w:rsidRDefault="00CA5A02" w:rsidP="00CA5A02"/>
        </w:tc>
        <w:tc>
          <w:tcPr>
            <w:tcW w:w="993" w:type="dxa"/>
          </w:tcPr>
          <w:p w:rsidR="00CA5A02" w:rsidRDefault="00CA5A02" w:rsidP="00CA5A02"/>
        </w:tc>
        <w:tc>
          <w:tcPr>
            <w:tcW w:w="850" w:type="dxa"/>
          </w:tcPr>
          <w:p w:rsidR="00CA5A02" w:rsidRDefault="00CA5A02" w:rsidP="00CA5A02"/>
        </w:tc>
        <w:tc>
          <w:tcPr>
            <w:tcW w:w="992" w:type="dxa"/>
          </w:tcPr>
          <w:p w:rsidR="00CA5A02" w:rsidRDefault="00CA5A02" w:rsidP="00CA5A02"/>
        </w:tc>
      </w:tr>
      <w:tr w:rsidR="00CA5A02" w:rsidTr="00FB6CBE">
        <w:trPr>
          <w:trHeight w:val="365"/>
        </w:trPr>
        <w:tc>
          <w:tcPr>
            <w:tcW w:w="419"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Код*</w:t>
            </w:r>
          </w:p>
        </w:tc>
        <w:tc>
          <w:tcPr>
            <w:tcW w:w="2417" w:type="dxa"/>
            <w:gridSpan w:val="3"/>
            <w:tcBorders>
              <w:top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ОБЛАСТИ НА ПОЛИТИКИ И БЮДЖЕТНИ ПРОГРАМИ</w:t>
            </w:r>
          </w:p>
        </w:tc>
        <w:tc>
          <w:tcPr>
            <w:tcW w:w="2940" w:type="dxa"/>
            <w:gridSpan w:val="5"/>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Консолидирани разходи</w:t>
            </w:r>
          </w:p>
        </w:tc>
        <w:tc>
          <w:tcPr>
            <w:tcW w:w="2446"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Ведомствени разходи</w:t>
            </w:r>
          </w:p>
        </w:tc>
        <w:tc>
          <w:tcPr>
            <w:tcW w:w="2835" w:type="dxa"/>
            <w:gridSpan w:val="3"/>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Администрирани разходи</w:t>
            </w:r>
          </w:p>
        </w:tc>
      </w:tr>
      <w:tr w:rsidR="00CA5A02" w:rsidTr="00FB6CBE">
        <w:trPr>
          <w:trHeight w:val="70"/>
        </w:trPr>
        <w:tc>
          <w:tcPr>
            <w:tcW w:w="419" w:type="dxa"/>
            <w:vMerge/>
            <w:tcBorders>
              <w:top w:val="single" w:sz="4" w:space="0" w:color="000000"/>
              <w:left w:val="single" w:sz="4" w:space="0" w:color="000000"/>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p>
        </w:tc>
        <w:tc>
          <w:tcPr>
            <w:tcW w:w="2417" w:type="dxa"/>
            <w:gridSpan w:val="3"/>
            <w:tcBorders>
              <w:bottom w:val="single" w:sz="4" w:space="0" w:color="000000"/>
              <w:right w:val="single" w:sz="4" w:space="0" w:color="000000"/>
            </w:tcBorders>
            <w:shd w:val="clear" w:color="000000" w:fill="FFCC99"/>
            <w:vAlign w:val="center"/>
          </w:tcPr>
          <w:p w:rsidR="00CA5A02" w:rsidRDefault="00CA5A02" w:rsidP="00F13B30">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w:t>
            </w:r>
            <w:r w:rsidR="00F13B30">
              <w:rPr>
                <w:rFonts w:ascii="Times New Roman" w:eastAsia="Times New Roman" w:hAnsi="Times New Roman" w:cs="Times New Roman"/>
                <w:b/>
                <w:bCs/>
                <w:color w:val="000000"/>
                <w:sz w:val="14"/>
                <w:szCs w:val="14"/>
              </w:rPr>
              <w:t>Бюджет</w:t>
            </w:r>
            <w:r>
              <w:rPr>
                <w:rFonts w:ascii="Times New Roman" w:eastAsia="Times New Roman" w:hAnsi="Times New Roman" w:cs="Times New Roman"/>
                <w:b/>
                <w:bCs/>
                <w:color w:val="000000"/>
                <w:sz w:val="14"/>
                <w:szCs w:val="14"/>
                <w:lang w:val="en-US"/>
              </w:rPr>
              <w:t xml:space="preserve"> за 2026 г.)</w:t>
            </w:r>
          </w:p>
        </w:tc>
        <w:tc>
          <w:tcPr>
            <w:tcW w:w="2940" w:type="dxa"/>
            <w:gridSpan w:val="5"/>
            <w:vMerge/>
            <w:tcBorders>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p>
        </w:tc>
        <w:tc>
          <w:tcPr>
            <w:tcW w:w="2446" w:type="dxa"/>
            <w:gridSpan w:val="4"/>
            <w:vMerge/>
            <w:tcBorders>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p>
        </w:tc>
        <w:tc>
          <w:tcPr>
            <w:tcW w:w="2835" w:type="dxa"/>
            <w:gridSpan w:val="3"/>
            <w:vMerge/>
            <w:tcBorders>
              <w:bottom w:val="single" w:sz="4" w:space="0" w:color="000000"/>
              <w:right w:val="single" w:sz="4" w:space="0" w:color="000000"/>
            </w:tcBorders>
            <w:vAlign w:val="center"/>
          </w:tcPr>
          <w:p w:rsidR="00CA5A02" w:rsidRDefault="00CA5A02" w:rsidP="00CA5A02">
            <w:pPr>
              <w:spacing w:after="0" w:line="240" w:lineRule="auto"/>
              <w:ind w:left="-57" w:right="-57"/>
              <w:rPr>
                <w:rFonts w:ascii="Times New Roman" w:eastAsia="Times New Roman" w:hAnsi="Times New Roman" w:cs="Times New Roman"/>
                <w:b/>
                <w:bCs/>
                <w:color w:val="000000"/>
                <w:sz w:val="14"/>
                <w:szCs w:val="14"/>
                <w:lang w:val="en-US"/>
              </w:rPr>
            </w:pPr>
          </w:p>
        </w:tc>
      </w:tr>
      <w:tr w:rsidR="00CA5A02" w:rsidTr="00FB6CBE">
        <w:trPr>
          <w:trHeight w:val="401"/>
        </w:trPr>
        <w:tc>
          <w:tcPr>
            <w:tcW w:w="419" w:type="dxa"/>
            <w:tcBorders>
              <w:left w:val="single" w:sz="4" w:space="0" w:color="000000"/>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xml:space="preserve">(в хил. </w:t>
            </w:r>
            <w:r>
              <w:rPr>
                <w:rFonts w:ascii="Times New Roman" w:eastAsia="Times New Roman" w:hAnsi="Times New Roman" w:cs="Times New Roman"/>
                <w:b/>
                <w:bCs/>
                <w:color w:val="000000"/>
                <w:sz w:val="14"/>
                <w:szCs w:val="14"/>
              </w:rPr>
              <w:t>евро</w:t>
            </w:r>
            <w:r>
              <w:rPr>
                <w:rFonts w:ascii="Times New Roman" w:eastAsia="Times New Roman" w:hAnsi="Times New Roman" w:cs="Times New Roman"/>
                <w:b/>
                <w:bCs/>
                <w:color w:val="000000"/>
                <w:sz w:val="14"/>
                <w:szCs w:val="14"/>
                <w:lang w:val="en-US"/>
              </w:rPr>
              <w:t>)</w:t>
            </w:r>
          </w:p>
        </w:tc>
        <w:tc>
          <w:tcPr>
            <w:tcW w:w="992" w:type="dxa"/>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разходи</w:t>
            </w:r>
          </w:p>
        </w:tc>
        <w:tc>
          <w:tcPr>
            <w:tcW w:w="992" w:type="dxa"/>
            <w:gridSpan w:val="2"/>
            <w:tcBorders>
              <w:bottom w:val="single" w:sz="4" w:space="0" w:color="000000"/>
              <w:right w:val="single" w:sz="4" w:space="0" w:color="000000"/>
            </w:tcBorders>
            <w:shd w:val="clear" w:color="000000" w:fill="FDE9D9"/>
            <w:vAlign w:val="center"/>
          </w:tcPr>
          <w:p w:rsidR="00CA5A02" w:rsidRDefault="00CA5A02" w:rsidP="00CA5A02">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956" w:type="dxa"/>
            <w:gridSpan w:val="2"/>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833" w:type="dxa"/>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ведомствени</w:t>
            </w:r>
          </w:p>
        </w:tc>
        <w:tc>
          <w:tcPr>
            <w:tcW w:w="911" w:type="dxa"/>
            <w:gridSpan w:val="2"/>
            <w:tcBorders>
              <w:bottom w:val="single" w:sz="4" w:space="0" w:color="000000"/>
              <w:right w:val="single" w:sz="4" w:space="0" w:color="000000"/>
            </w:tcBorders>
            <w:shd w:val="clear" w:color="000000" w:fill="FDE9D9"/>
            <w:vAlign w:val="center"/>
          </w:tcPr>
          <w:p w:rsidR="00CA5A02" w:rsidRDefault="00CA5A02" w:rsidP="00CA5A02">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702" w:type="dxa"/>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c>
          <w:tcPr>
            <w:tcW w:w="993" w:type="dxa"/>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Общо администрирани</w:t>
            </w:r>
          </w:p>
        </w:tc>
        <w:tc>
          <w:tcPr>
            <w:tcW w:w="850" w:type="dxa"/>
            <w:tcBorders>
              <w:bottom w:val="single" w:sz="4" w:space="0" w:color="000000"/>
              <w:right w:val="single" w:sz="4" w:space="0" w:color="000000"/>
            </w:tcBorders>
            <w:shd w:val="clear" w:color="000000" w:fill="FDE9D9"/>
            <w:vAlign w:val="center"/>
          </w:tcPr>
          <w:p w:rsidR="00CA5A02" w:rsidRDefault="00CA5A02" w:rsidP="00CA5A02">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бюджета на ПРБ</w:t>
            </w:r>
          </w:p>
        </w:tc>
        <w:tc>
          <w:tcPr>
            <w:tcW w:w="992" w:type="dxa"/>
            <w:tcBorders>
              <w:bottom w:val="single" w:sz="4" w:space="0" w:color="000000"/>
              <w:right w:val="single" w:sz="4" w:space="0" w:color="000000"/>
            </w:tcBorders>
            <w:shd w:val="clear" w:color="000000" w:fill="FFCC99"/>
            <w:vAlign w:val="center"/>
          </w:tcPr>
          <w:p w:rsidR="00CA5A02" w:rsidRDefault="00CA5A02" w:rsidP="00CA5A02">
            <w:pPr>
              <w:spacing w:after="0" w:line="240" w:lineRule="auto"/>
              <w:ind w:left="-57" w:right="-57"/>
              <w:jc w:val="center"/>
              <w:rPr>
                <w:rFonts w:ascii="Times New Roman" w:eastAsia="Times New Roman" w:hAnsi="Times New Roman" w:cs="Times New Roman"/>
                <w:i/>
                <w:iCs/>
                <w:color w:val="000000"/>
                <w:sz w:val="14"/>
                <w:szCs w:val="14"/>
                <w:lang w:val="en-US"/>
              </w:rPr>
            </w:pPr>
            <w:r>
              <w:rPr>
                <w:rFonts w:ascii="Times New Roman" w:eastAsia="Times New Roman" w:hAnsi="Times New Roman" w:cs="Times New Roman"/>
                <w:i/>
                <w:iCs/>
                <w:color w:val="000000"/>
                <w:sz w:val="14"/>
                <w:szCs w:val="14"/>
                <w:lang w:val="en-US"/>
              </w:rPr>
              <w:t>По други бюджети и сметки за СЕС</w:t>
            </w:r>
          </w:p>
        </w:tc>
      </w:tr>
      <w:tr w:rsidR="0027232A" w:rsidTr="00FB6CBE">
        <w:trPr>
          <w:trHeight w:val="18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Общо разходи</w:t>
            </w:r>
          </w:p>
        </w:tc>
        <w:tc>
          <w:tcPr>
            <w:tcW w:w="992" w:type="dxa"/>
            <w:tcBorders>
              <w:top w:val="single" w:sz="4" w:space="0" w:color="auto"/>
              <w:left w:val="single" w:sz="4" w:space="0" w:color="auto"/>
              <w:bottom w:val="single" w:sz="4" w:space="0" w:color="auto"/>
              <w:right w:val="single" w:sz="4" w:space="0" w:color="auto"/>
            </w:tcBorders>
            <w:shd w:val="clear" w:color="000000" w:fill="FDE9D9"/>
            <w:vAlign w:val="center"/>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4"/>
                <w:szCs w:val="14"/>
                <w:lang w:val="en-US"/>
              </w:rPr>
            </w:pPr>
            <w:r w:rsidRPr="0027232A">
              <w:rPr>
                <w:rFonts w:ascii="Times New Roman" w:hAnsi="Times New Roman" w:cs="Times New Roman"/>
                <w:b/>
                <w:bCs/>
                <w:color w:val="000000"/>
                <w:sz w:val="14"/>
                <w:szCs w:val="14"/>
              </w:rPr>
              <w:t>2 461 421,8</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1 058 603,6</w:t>
            </w:r>
          </w:p>
        </w:tc>
        <w:tc>
          <w:tcPr>
            <w:tcW w:w="956" w:type="dxa"/>
            <w:gridSpan w:val="2"/>
            <w:tcBorders>
              <w:top w:val="single" w:sz="4" w:space="0" w:color="auto"/>
              <w:left w:val="nil"/>
              <w:bottom w:val="single" w:sz="4" w:space="0" w:color="auto"/>
              <w:right w:val="single" w:sz="4" w:space="0" w:color="auto"/>
            </w:tcBorders>
            <w:shd w:val="clear" w:color="000000" w:fill="FDE9D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1 402 818,2</w:t>
            </w:r>
          </w:p>
        </w:tc>
        <w:tc>
          <w:tcPr>
            <w:tcW w:w="833" w:type="dxa"/>
            <w:tcBorders>
              <w:top w:val="single" w:sz="4" w:space="0" w:color="auto"/>
              <w:left w:val="nil"/>
              <w:bottom w:val="single" w:sz="4" w:space="0" w:color="auto"/>
              <w:right w:val="single" w:sz="4" w:space="0" w:color="auto"/>
            </w:tcBorders>
            <w:shd w:val="clear" w:color="000000" w:fill="FDE9D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248 825,8</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248 825,8</w:t>
            </w:r>
          </w:p>
        </w:tc>
        <w:tc>
          <w:tcPr>
            <w:tcW w:w="702" w:type="dxa"/>
            <w:tcBorders>
              <w:top w:val="single" w:sz="4" w:space="0" w:color="auto"/>
              <w:left w:val="nil"/>
              <w:bottom w:val="single" w:sz="4" w:space="0" w:color="auto"/>
              <w:right w:val="single" w:sz="4" w:space="0" w:color="auto"/>
            </w:tcBorders>
            <w:shd w:val="clear" w:color="000000" w:fill="FDE9D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single" w:sz="4" w:space="0" w:color="auto"/>
              <w:left w:val="nil"/>
              <w:bottom w:val="single" w:sz="4" w:space="0" w:color="auto"/>
              <w:right w:val="single" w:sz="4" w:space="0" w:color="auto"/>
            </w:tcBorders>
            <w:shd w:val="clear" w:color="000000" w:fill="FDE9D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2 212 596,0</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809 777,8</w:t>
            </w:r>
          </w:p>
        </w:tc>
        <w:tc>
          <w:tcPr>
            <w:tcW w:w="992" w:type="dxa"/>
            <w:tcBorders>
              <w:top w:val="single" w:sz="4" w:space="0" w:color="auto"/>
              <w:left w:val="nil"/>
              <w:bottom w:val="single" w:sz="4" w:space="0" w:color="auto"/>
              <w:right w:val="single" w:sz="4" w:space="0" w:color="auto"/>
            </w:tcBorders>
            <w:shd w:val="clear" w:color="000000" w:fill="FDE9D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1 402 818,2</w:t>
            </w:r>
          </w:p>
        </w:tc>
      </w:tr>
      <w:tr w:rsidR="0027232A" w:rsidTr="00FB6CBE">
        <w:trPr>
          <w:trHeight w:val="241"/>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2100.01.00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интегрирано развитие на регионите за постигане на растеж и подобряване качеството на жизнената среда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1 396 519,7</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21 080,1</w:t>
            </w:r>
          </w:p>
        </w:tc>
        <w:tc>
          <w:tcPr>
            <w:tcW w:w="956" w:type="dxa"/>
            <w:gridSpan w:val="2"/>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1 375 439,6</w:t>
            </w:r>
          </w:p>
        </w:tc>
        <w:tc>
          <w:tcPr>
            <w:tcW w:w="83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3 641,2</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3 641,2</w:t>
            </w:r>
          </w:p>
        </w:tc>
        <w:tc>
          <w:tcPr>
            <w:tcW w:w="70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1 392 878,5</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17 438,9</w:t>
            </w:r>
          </w:p>
        </w:tc>
        <w:tc>
          <w:tcPr>
            <w:tcW w:w="99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1 375 439,6</w:t>
            </w:r>
          </w:p>
        </w:tc>
      </w:tr>
      <w:tr w:rsidR="0027232A" w:rsidTr="00FB6CBE">
        <w:trPr>
          <w:trHeight w:val="195"/>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2100.01.01</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1 041 640,1</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1 967,7</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1 039 672,4</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1 967,7</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1 967,7</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1 039 672,4</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1 039 672,4</w:t>
            </w:r>
          </w:p>
        </w:tc>
      </w:tr>
      <w:tr w:rsidR="0027232A" w:rsidTr="00FB6CBE">
        <w:trPr>
          <w:trHeight w:val="7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2100.01.02</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„Подобряване на жилищните условия на маргинализирани групи от населението”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353 751,5</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17 984,3</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335 767,2</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545,4</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545,4</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353 206,1</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17 438,9</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335 767,2</w:t>
            </w:r>
          </w:p>
        </w:tc>
      </w:tr>
      <w:tr w:rsidR="0027232A" w:rsidTr="00FB6CBE">
        <w:trPr>
          <w:trHeight w:val="7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2100.01.03</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w:t>
            </w:r>
            <w:r>
              <w:rPr>
                <w:rFonts w:ascii="Times New Roman" w:hAnsi="Times New Roman" w:cs="Times New Roman"/>
                <w:color w:val="000000"/>
                <w:sz w:val="16"/>
                <w:szCs w:val="16"/>
              </w:rPr>
              <w:lastRenderedPageBreak/>
              <w:t xml:space="preserve">партньорство и концесионирането”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lastRenderedPageBreak/>
              <w:t>1 128,1</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1 128,1</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1 128,1</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1 128,1</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71"/>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2100.02.00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подобряване на инвестиционния процес, поддържане, модернизация и изграждане на техническата инфраструктура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1 045 039,4</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1 017 660,8</w:t>
            </w:r>
          </w:p>
        </w:tc>
        <w:tc>
          <w:tcPr>
            <w:tcW w:w="956" w:type="dxa"/>
            <w:gridSpan w:val="2"/>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27 378,6</w:t>
            </w:r>
          </w:p>
        </w:tc>
        <w:tc>
          <w:tcPr>
            <w:tcW w:w="83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225 321,9</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225 321,9</w:t>
            </w:r>
          </w:p>
        </w:tc>
        <w:tc>
          <w:tcPr>
            <w:tcW w:w="70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819 717,5</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792 338,9</w:t>
            </w:r>
          </w:p>
        </w:tc>
        <w:tc>
          <w:tcPr>
            <w:tcW w:w="99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27 378,6</w:t>
            </w:r>
          </w:p>
        </w:tc>
      </w:tr>
      <w:tr w:rsidR="0027232A" w:rsidTr="00FB6CBE">
        <w:trPr>
          <w:trHeight w:val="138"/>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2100.02.01</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„Рехабилитация и изграждане на пътна инфраструктура”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982 008,4</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962 573,5</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19 434,9</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193 988,0</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193 988,0</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788 020,4</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768 585,5</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19 434,9</w:t>
            </w:r>
          </w:p>
        </w:tc>
      </w:tr>
      <w:tr w:rsidR="0027232A" w:rsidTr="00FB6CBE">
        <w:trPr>
          <w:trHeight w:val="86"/>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2100.02.02</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„Устройство на територията, благоустройство, геозащита, водоснабдяване и канализация”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50 789,4</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44 821,7</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5 967,7</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21 068,3</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21 068,3</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29 721,1</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23 753,4</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5 967,7</w:t>
            </w:r>
          </w:p>
        </w:tc>
      </w:tr>
      <w:tr w:rsidR="0027232A" w:rsidTr="00FB6CBE">
        <w:trPr>
          <w:trHeight w:val="19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2100.02.03</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„Нормативно регулиране и контрол на строителните продукти и инвестиционния процес в строителството”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12 241,6</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10 265,6</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1 976,0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10 265,6</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10 265,6</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1 976,0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1 976,0</w:t>
            </w:r>
          </w:p>
        </w:tc>
      </w:tr>
      <w:tr w:rsidR="0027232A" w:rsidTr="00FB6CBE">
        <w:trPr>
          <w:trHeight w:val="70"/>
        </w:trPr>
        <w:tc>
          <w:tcPr>
            <w:tcW w:w="419" w:type="dxa"/>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2100.03.00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 xml:space="preserve">Бюджетна програма „Ефективна администрация и координация” </w:t>
            </w:r>
          </w:p>
        </w:tc>
        <w:tc>
          <w:tcPr>
            <w:tcW w:w="992" w:type="dxa"/>
            <w:tcBorders>
              <w:top w:val="nil"/>
              <w:left w:val="single" w:sz="4" w:space="0" w:color="auto"/>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19 862,7</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19 862,7</w:t>
            </w:r>
          </w:p>
        </w:tc>
        <w:tc>
          <w:tcPr>
            <w:tcW w:w="956" w:type="dxa"/>
            <w:gridSpan w:val="2"/>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19 862,7</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19 862,7</w:t>
            </w:r>
          </w:p>
        </w:tc>
        <w:tc>
          <w:tcPr>
            <w:tcW w:w="702"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r>
      <w:tr w:rsidR="0027232A" w:rsidTr="00FB6CBE">
        <w:trPr>
          <w:trHeight w:val="255"/>
        </w:trPr>
        <w:tc>
          <w:tcPr>
            <w:tcW w:w="419" w:type="dxa"/>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c>
          <w:tcPr>
            <w:tcW w:w="2417" w:type="dxa"/>
            <w:gridSpan w:val="3"/>
            <w:vAlign w:val="bottom"/>
          </w:tcPr>
          <w:p w:rsidR="0027232A" w:rsidRDefault="0027232A" w:rsidP="0027232A">
            <w:pPr>
              <w:spacing w:after="0" w:line="240" w:lineRule="auto"/>
              <w:ind w:left="-57" w:right="-57"/>
              <w:jc w:val="both"/>
              <w:rPr>
                <w:rFonts w:ascii="Times New Roman" w:eastAsia="Times New Roman" w:hAnsi="Times New Roman" w:cs="Times New Roman"/>
                <w:sz w:val="14"/>
                <w:szCs w:val="14"/>
                <w:lang w:val="en-US"/>
              </w:rPr>
            </w:pPr>
          </w:p>
        </w:tc>
        <w:tc>
          <w:tcPr>
            <w:tcW w:w="992" w:type="dxa"/>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992" w:type="dxa"/>
            <w:gridSpan w:val="2"/>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956" w:type="dxa"/>
            <w:gridSpan w:val="2"/>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833" w:type="dxa"/>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911" w:type="dxa"/>
            <w:gridSpan w:val="2"/>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702" w:type="dxa"/>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993" w:type="dxa"/>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850" w:type="dxa"/>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c>
          <w:tcPr>
            <w:tcW w:w="992" w:type="dxa"/>
            <w:vAlign w:val="center"/>
          </w:tcPr>
          <w:p w:rsidR="0027232A" w:rsidRDefault="0027232A" w:rsidP="0027232A">
            <w:pPr>
              <w:spacing w:after="0" w:line="240" w:lineRule="auto"/>
              <w:ind w:left="-57" w:right="-57"/>
              <w:jc w:val="right"/>
              <w:rPr>
                <w:rFonts w:ascii="Times New Roman" w:eastAsia="Times New Roman" w:hAnsi="Times New Roman" w:cs="Times New Roman"/>
                <w:sz w:val="14"/>
                <w:szCs w:val="14"/>
                <w:lang w:val="en-US"/>
              </w:rPr>
            </w:pPr>
          </w:p>
        </w:tc>
      </w:tr>
      <w:tr w:rsidR="0027232A" w:rsidTr="00FB6CBE">
        <w:trPr>
          <w:trHeight w:val="510"/>
        </w:trPr>
        <w:tc>
          <w:tcPr>
            <w:tcW w:w="419"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Код*</w:t>
            </w:r>
          </w:p>
        </w:tc>
        <w:tc>
          <w:tcPr>
            <w:tcW w:w="2417" w:type="dxa"/>
            <w:gridSpan w:val="3"/>
            <w:tcBorders>
              <w:top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ОБЛАСТИ НА ПОЛИТИКИ И БЮДЖЕТНИ ПРОГРАМИ</w:t>
            </w:r>
          </w:p>
        </w:tc>
        <w:tc>
          <w:tcPr>
            <w:tcW w:w="2940" w:type="dxa"/>
            <w:gridSpan w:val="5"/>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hAnsi="Times New Roman"/>
                <w:sz w:val="14"/>
                <w:szCs w:val="14"/>
              </w:rPr>
            </w:pPr>
            <w:r>
              <w:rPr>
                <w:rFonts w:ascii="Times New Roman" w:eastAsia="Times New Roman" w:hAnsi="Times New Roman" w:cs="Times New Roman"/>
                <w:b/>
                <w:bCs/>
                <w:color w:val="000000"/>
                <w:sz w:val="14"/>
                <w:szCs w:val="14"/>
                <w:lang w:val="en-US"/>
              </w:rPr>
              <w:t>Консолидирани разходи</w:t>
            </w:r>
          </w:p>
        </w:tc>
        <w:tc>
          <w:tcPr>
            <w:tcW w:w="2446"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hAnsi="Times New Roman"/>
                <w:sz w:val="14"/>
                <w:szCs w:val="14"/>
              </w:rPr>
            </w:pPr>
            <w:r>
              <w:rPr>
                <w:rFonts w:ascii="Times New Roman" w:eastAsia="Times New Roman" w:hAnsi="Times New Roman" w:cs="Times New Roman"/>
                <w:b/>
                <w:bCs/>
                <w:color w:val="000000"/>
                <w:sz w:val="14"/>
                <w:szCs w:val="14"/>
                <w:lang w:val="en-US"/>
              </w:rPr>
              <w:t>Ведомствени разходи</w:t>
            </w:r>
          </w:p>
        </w:tc>
        <w:tc>
          <w:tcPr>
            <w:tcW w:w="2835" w:type="dxa"/>
            <w:gridSpan w:val="3"/>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hAnsi="Times New Roman"/>
                <w:sz w:val="14"/>
                <w:szCs w:val="14"/>
              </w:rPr>
            </w:pPr>
            <w:r>
              <w:rPr>
                <w:rFonts w:ascii="Times New Roman" w:eastAsia="Times New Roman" w:hAnsi="Times New Roman" w:cs="Times New Roman"/>
                <w:b/>
                <w:bCs/>
                <w:color w:val="000000"/>
                <w:sz w:val="14"/>
                <w:szCs w:val="14"/>
                <w:lang w:val="en-US"/>
              </w:rPr>
              <w:t>Администрирани разходи</w:t>
            </w:r>
          </w:p>
        </w:tc>
      </w:tr>
      <w:tr w:rsidR="0027232A" w:rsidTr="00FB6CBE">
        <w:trPr>
          <w:trHeight w:val="70"/>
        </w:trPr>
        <w:tc>
          <w:tcPr>
            <w:tcW w:w="419" w:type="dxa"/>
            <w:vMerge/>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p>
        </w:tc>
        <w:tc>
          <w:tcPr>
            <w:tcW w:w="2417" w:type="dxa"/>
            <w:gridSpan w:val="3"/>
            <w:tcBorders>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(Прогноза за 202</w:t>
            </w:r>
            <w:r>
              <w:rPr>
                <w:rFonts w:ascii="Times New Roman" w:eastAsia="Times New Roman" w:hAnsi="Times New Roman" w:cs="Times New Roman"/>
                <w:b/>
                <w:bCs/>
                <w:color w:val="000000"/>
                <w:sz w:val="14"/>
                <w:szCs w:val="14"/>
              </w:rPr>
              <w:t xml:space="preserve">7 </w:t>
            </w:r>
            <w:r>
              <w:rPr>
                <w:rFonts w:ascii="Times New Roman" w:eastAsia="Times New Roman" w:hAnsi="Times New Roman" w:cs="Times New Roman"/>
                <w:b/>
                <w:bCs/>
                <w:color w:val="000000"/>
                <w:sz w:val="14"/>
                <w:szCs w:val="14"/>
                <w:lang w:val="en-US"/>
              </w:rPr>
              <w:t>г.)</w:t>
            </w:r>
          </w:p>
        </w:tc>
        <w:tc>
          <w:tcPr>
            <w:tcW w:w="2940" w:type="dxa"/>
            <w:gridSpan w:val="5"/>
            <w:vMerge/>
            <w:tcBorders>
              <w:bottom w:val="single" w:sz="4" w:space="0" w:color="000000"/>
              <w:right w:val="single" w:sz="4" w:space="0" w:color="000000"/>
            </w:tcBorders>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c>
          <w:tcPr>
            <w:tcW w:w="2446" w:type="dxa"/>
            <w:gridSpan w:val="4"/>
            <w:vMerge/>
            <w:tcBorders>
              <w:bottom w:val="single" w:sz="4" w:space="0" w:color="000000"/>
              <w:right w:val="single" w:sz="4" w:space="0" w:color="000000"/>
            </w:tcBorders>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c>
          <w:tcPr>
            <w:tcW w:w="2835" w:type="dxa"/>
            <w:gridSpan w:val="3"/>
            <w:vMerge/>
            <w:tcBorders>
              <w:bottom w:val="single" w:sz="4" w:space="0" w:color="000000"/>
              <w:right w:val="single" w:sz="4" w:space="0" w:color="000000"/>
            </w:tcBorders>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r>
      <w:tr w:rsidR="0027232A" w:rsidTr="00FB6CBE">
        <w:trPr>
          <w:trHeight w:val="259"/>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 хил. евро)</w:t>
            </w:r>
          </w:p>
        </w:tc>
        <w:tc>
          <w:tcPr>
            <w:tcW w:w="992" w:type="dxa"/>
            <w:tcBorders>
              <w:top w:val="single" w:sz="4" w:space="0" w:color="auto"/>
              <w:left w:val="single" w:sz="4" w:space="0" w:color="auto"/>
              <w:bottom w:val="single" w:sz="4" w:space="0" w:color="auto"/>
              <w:right w:val="single" w:sz="4" w:space="0" w:color="auto"/>
            </w:tcBorders>
            <w:shd w:val="clear" w:color="000000" w:fill="FFCC99"/>
            <w:vAlign w:val="center"/>
          </w:tcPr>
          <w:p w:rsidR="0027232A" w:rsidRPr="005B2095" w:rsidRDefault="0027232A" w:rsidP="0027232A">
            <w:pPr>
              <w:suppressAutoHyphens w:val="0"/>
              <w:spacing w:after="0" w:line="240" w:lineRule="auto"/>
              <w:jc w:val="center"/>
              <w:rPr>
                <w:rFonts w:ascii="Times New Roman" w:eastAsia="Times New Roman" w:hAnsi="Times New Roman" w:cs="Times New Roman"/>
                <w:color w:val="000000"/>
                <w:sz w:val="14"/>
                <w:szCs w:val="14"/>
                <w:lang w:val="en-US"/>
              </w:rPr>
            </w:pPr>
            <w:r w:rsidRPr="005B2095">
              <w:rPr>
                <w:rFonts w:ascii="Times New Roman" w:hAnsi="Times New Roman" w:cs="Times New Roman"/>
                <w:color w:val="000000"/>
                <w:sz w:val="14"/>
                <w:szCs w:val="14"/>
              </w:rPr>
              <w:t>Общо разходи</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бюджета на ПРБ</w:t>
            </w:r>
          </w:p>
        </w:tc>
        <w:tc>
          <w:tcPr>
            <w:tcW w:w="956" w:type="dxa"/>
            <w:gridSpan w:val="2"/>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други бюджети и сметки за СЕС</w:t>
            </w:r>
          </w:p>
        </w:tc>
        <w:tc>
          <w:tcPr>
            <w:tcW w:w="833"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color w:val="000000"/>
                <w:sz w:val="14"/>
                <w:szCs w:val="14"/>
              </w:rPr>
            </w:pPr>
            <w:r w:rsidRPr="005B2095">
              <w:rPr>
                <w:rFonts w:ascii="Times New Roman" w:hAnsi="Times New Roman" w:cs="Times New Roman"/>
                <w:color w:val="000000"/>
                <w:sz w:val="14"/>
                <w:szCs w:val="14"/>
              </w:rPr>
              <w:t>Общо ведомствени</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бюджета на ПРБ</w:t>
            </w:r>
          </w:p>
        </w:tc>
        <w:tc>
          <w:tcPr>
            <w:tcW w:w="702"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други бюджети и сметки за СЕС</w:t>
            </w:r>
          </w:p>
        </w:tc>
        <w:tc>
          <w:tcPr>
            <w:tcW w:w="993"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color w:val="000000"/>
                <w:sz w:val="14"/>
                <w:szCs w:val="14"/>
              </w:rPr>
            </w:pPr>
            <w:r w:rsidRPr="005B2095">
              <w:rPr>
                <w:rFonts w:ascii="Times New Roman" w:hAnsi="Times New Roman" w:cs="Times New Roman"/>
                <w:color w:val="000000"/>
                <w:sz w:val="14"/>
                <w:szCs w:val="14"/>
              </w:rPr>
              <w:t>Общо администрирани</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бюджета на ПРБ</w:t>
            </w:r>
          </w:p>
        </w:tc>
        <w:tc>
          <w:tcPr>
            <w:tcW w:w="992"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други бюджети и сметки за СЕС</w:t>
            </w:r>
          </w:p>
        </w:tc>
      </w:tr>
      <w:tr w:rsidR="0027232A" w:rsidTr="003F7421">
        <w:trPr>
          <w:trHeight w:val="255"/>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Общо разходи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4"/>
                <w:szCs w:val="14"/>
                <w:lang w:val="en-US"/>
              </w:rPr>
            </w:pPr>
            <w:r w:rsidRPr="0027232A">
              <w:rPr>
                <w:rFonts w:ascii="Times New Roman" w:hAnsi="Times New Roman" w:cs="Times New Roman"/>
                <w:b/>
                <w:bCs/>
                <w:color w:val="000000"/>
                <w:sz w:val="14"/>
                <w:szCs w:val="14"/>
              </w:rPr>
              <w:t>2 151 829,5</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1 099 232,3</w:t>
            </w:r>
          </w:p>
        </w:tc>
        <w:tc>
          <w:tcPr>
            <w:tcW w:w="956" w:type="dxa"/>
            <w:gridSpan w:val="2"/>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1 052 597,2</w:t>
            </w:r>
          </w:p>
        </w:tc>
        <w:tc>
          <w:tcPr>
            <w:tcW w:w="833"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258 769,1</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258 769,1</w:t>
            </w:r>
          </w:p>
        </w:tc>
        <w:tc>
          <w:tcPr>
            <w:tcW w:w="702"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1 893 060,4</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840 463,2</w:t>
            </w:r>
          </w:p>
        </w:tc>
        <w:tc>
          <w:tcPr>
            <w:tcW w:w="992"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1 052 597,2</w:t>
            </w:r>
          </w:p>
        </w:tc>
      </w:tr>
      <w:tr w:rsidR="0027232A" w:rsidTr="00FB6CBE">
        <w:trPr>
          <w:trHeight w:val="71"/>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2100.01.00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интегрирано развитие на регионите за постигане на растеж и подобряване качеството на жизнената среда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1 035 198,1</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7 047,4</w:t>
            </w:r>
          </w:p>
        </w:tc>
        <w:tc>
          <w:tcPr>
            <w:tcW w:w="956" w:type="dxa"/>
            <w:gridSpan w:val="2"/>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1 028 150,7</w:t>
            </w:r>
          </w:p>
        </w:tc>
        <w:tc>
          <w:tcPr>
            <w:tcW w:w="83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3 834,0</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3 834,0</w:t>
            </w:r>
          </w:p>
        </w:tc>
        <w:tc>
          <w:tcPr>
            <w:tcW w:w="70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1 031 364,1</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3 213,4</w:t>
            </w:r>
          </w:p>
        </w:tc>
        <w:tc>
          <w:tcPr>
            <w:tcW w:w="99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1 028 150,7</w:t>
            </w:r>
          </w:p>
        </w:tc>
      </w:tr>
      <w:tr w:rsidR="0027232A" w:rsidTr="00FB6CBE">
        <w:trPr>
          <w:trHeight w:val="567"/>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2100.01.01</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1 030 179,1</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2 028,4</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1 028 150,7</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2 028,4</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2 028,4</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1 028 150,7</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1 028 150,7</w:t>
            </w:r>
          </w:p>
        </w:tc>
      </w:tr>
      <w:tr w:rsidR="0027232A" w:rsidTr="00FB6CBE">
        <w:trPr>
          <w:trHeight w:val="197"/>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2100.01.02</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„Подобряване на жилищните условия на маргинализирани групи от населението”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3 724,0</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3 724,0</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510,6</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510,6</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3 213,4</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3 213,4</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7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2100.01.03</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1 295,0</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1 295,0</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1 295,0</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1 295,0</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70"/>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2100.02.00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подобряване на инвестиционния процес, поддържане, модернизация и изграждане на техническата инфраструктура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1 100 518,8</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1 076 072,3</w:t>
            </w:r>
          </w:p>
        </w:tc>
        <w:tc>
          <w:tcPr>
            <w:tcW w:w="956" w:type="dxa"/>
            <w:gridSpan w:val="2"/>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24 446,5</w:t>
            </w:r>
          </w:p>
        </w:tc>
        <w:tc>
          <w:tcPr>
            <w:tcW w:w="83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238 822,5</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238 822,5</w:t>
            </w:r>
          </w:p>
        </w:tc>
        <w:tc>
          <w:tcPr>
            <w:tcW w:w="70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861 696,3</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837 249,8</w:t>
            </w:r>
          </w:p>
        </w:tc>
        <w:tc>
          <w:tcPr>
            <w:tcW w:w="99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24 446,5</w:t>
            </w:r>
          </w:p>
        </w:tc>
      </w:tr>
      <w:tr w:rsidR="0027232A" w:rsidTr="00FB6CBE">
        <w:trPr>
          <w:trHeight w:val="225"/>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2100.02.01</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„Рехабилитация и изграждане на пътна инфраструктура”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1 037 852,2</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1 019 003,7</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18 848,5</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207 309,2</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207 309,2</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830 543,0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811 694,5</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18 848,5</w:t>
            </w:r>
          </w:p>
        </w:tc>
      </w:tr>
      <w:tr w:rsidR="0027232A" w:rsidTr="00FB6CBE">
        <w:trPr>
          <w:trHeight w:val="7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2100.02.02</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„Устройство на територията, благоустройство, геозащита, водоснабдяване и канализация”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52 768,1</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47 170,1</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5 598,0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21 614,8</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21 614,8</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31 153,3</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25 555,3</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5 598,0</w:t>
            </w:r>
          </w:p>
        </w:tc>
      </w:tr>
      <w:tr w:rsidR="0027232A" w:rsidTr="00FB6CBE">
        <w:trPr>
          <w:trHeight w:val="76"/>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lastRenderedPageBreak/>
              <w:t>2100.02.03</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„Нормативно регулиране и контрол на строителните продукти и инвестиционния процес в строителството”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9 898,5</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9 898,5</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9 898,5</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9 898,5</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70"/>
        </w:trPr>
        <w:tc>
          <w:tcPr>
            <w:tcW w:w="419" w:type="dxa"/>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2100.03.00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 xml:space="preserve">Бюджетна програма „Ефективна администрация и координация” </w:t>
            </w:r>
          </w:p>
        </w:tc>
        <w:tc>
          <w:tcPr>
            <w:tcW w:w="992" w:type="dxa"/>
            <w:tcBorders>
              <w:top w:val="nil"/>
              <w:left w:val="single" w:sz="4" w:space="0" w:color="auto"/>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16 112,6</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16 112,6</w:t>
            </w:r>
          </w:p>
        </w:tc>
        <w:tc>
          <w:tcPr>
            <w:tcW w:w="956" w:type="dxa"/>
            <w:gridSpan w:val="2"/>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16 112,6</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16 112,6</w:t>
            </w:r>
          </w:p>
        </w:tc>
        <w:tc>
          <w:tcPr>
            <w:tcW w:w="702"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r>
      <w:tr w:rsidR="0027232A" w:rsidTr="00FB6CBE">
        <w:trPr>
          <w:trHeight w:val="255"/>
        </w:trPr>
        <w:tc>
          <w:tcPr>
            <w:tcW w:w="419" w:type="dxa"/>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c>
          <w:tcPr>
            <w:tcW w:w="2417" w:type="dxa"/>
            <w:gridSpan w:val="3"/>
            <w:vAlign w:val="bottom"/>
          </w:tcPr>
          <w:p w:rsidR="0027232A" w:rsidRDefault="0027232A" w:rsidP="0027232A">
            <w:pPr>
              <w:spacing w:after="0" w:line="240" w:lineRule="auto"/>
              <w:ind w:left="-57" w:right="-57"/>
              <w:jc w:val="both"/>
              <w:rPr>
                <w:rFonts w:ascii="Times New Roman" w:eastAsia="Times New Roman" w:hAnsi="Times New Roman" w:cs="Times New Roman"/>
                <w:sz w:val="14"/>
                <w:szCs w:val="14"/>
                <w:lang w:val="en-US"/>
              </w:rPr>
            </w:pPr>
          </w:p>
        </w:tc>
        <w:tc>
          <w:tcPr>
            <w:tcW w:w="992" w:type="dxa"/>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992" w:type="dxa"/>
            <w:gridSpan w:val="2"/>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956" w:type="dxa"/>
            <w:gridSpan w:val="2"/>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833" w:type="dxa"/>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911" w:type="dxa"/>
            <w:gridSpan w:val="2"/>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702" w:type="dxa"/>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993" w:type="dxa"/>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850" w:type="dxa"/>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c>
          <w:tcPr>
            <w:tcW w:w="992" w:type="dxa"/>
            <w:vAlign w:val="center"/>
          </w:tcPr>
          <w:p w:rsidR="0027232A" w:rsidRDefault="0027232A" w:rsidP="0027232A">
            <w:pPr>
              <w:spacing w:after="0" w:line="240" w:lineRule="auto"/>
              <w:ind w:left="-57" w:right="-57"/>
              <w:jc w:val="right"/>
              <w:rPr>
                <w:rFonts w:ascii="Times New Roman" w:eastAsia="Times New Roman" w:hAnsi="Times New Roman" w:cs="Times New Roman"/>
                <w:b/>
                <w:sz w:val="14"/>
                <w:szCs w:val="14"/>
                <w:lang w:val="en-US"/>
              </w:rPr>
            </w:pPr>
          </w:p>
        </w:tc>
      </w:tr>
      <w:tr w:rsidR="0027232A" w:rsidTr="00FB6CBE">
        <w:trPr>
          <w:trHeight w:val="579"/>
        </w:trPr>
        <w:tc>
          <w:tcPr>
            <w:tcW w:w="419"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Код*</w:t>
            </w:r>
          </w:p>
        </w:tc>
        <w:tc>
          <w:tcPr>
            <w:tcW w:w="2417" w:type="dxa"/>
            <w:gridSpan w:val="3"/>
            <w:tcBorders>
              <w:top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ОБЛАСТИ НА ПОЛИТИКИ И БЮДЖЕТНИ ПРОГРАМИ</w:t>
            </w:r>
          </w:p>
        </w:tc>
        <w:tc>
          <w:tcPr>
            <w:tcW w:w="2940" w:type="dxa"/>
            <w:gridSpan w:val="5"/>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hAnsi="Times New Roman" w:cs="Times New Roman"/>
                <w:sz w:val="14"/>
                <w:szCs w:val="14"/>
              </w:rPr>
            </w:pPr>
            <w:r>
              <w:rPr>
                <w:rFonts w:ascii="Times New Roman" w:hAnsi="Times New Roman" w:cs="Times New Roman"/>
                <w:b/>
                <w:bCs/>
                <w:color w:val="000000"/>
                <w:sz w:val="14"/>
                <w:szCs w:val="14"/>
              </w:rPr>
              <w:t>Консолидирани разходи</w:t>
            </w:r>
          </w:p>
        </w:tc>
        <w:tc>
          <w:tcPr>
            <w:tcW w:w="2446"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hAnsi="Times New Roman" w:cs="Times New Roman"/>
                <w:sz w:val="14"/>
                <w:szCs w:val="14"/>
              </w:rPr>
            </w:pPr>
            <w:r>
              <w:rPr>
                <w:rFonts w:ascii="Times New Roman" w:hAnsi="Times New Roman" w:cs="Times New Roman"/>
                <w:b/>
                <w:bCs/>
                <w:color w:val="000000"/>
                <w:sz w:val="14"/>
                <w:szCs w:val="14"/>
              </w:rPr>
              <w:t>Ведомствени разходи</w:t>
            </w:r>
          </w:p>
        </w:tc>
        <w:tc>
          <w:tcPr>
            <w:tcW w:w="2835" w:type="dxa"/>
            <w:gridSpan w:val="3"/>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hAnsi="Times New Roman" w:cs="Times New Roman"/>
                <w:sz w:val="14"/>
                <w:szCs w:val="14"/>
              </w:rPr>
            </w:pPr>
            <w:r>
              <w:rPr>
                <w:rFonts w:ascii="Times New Roman" w:hAnsi="Times New Roman" w:cs="Times New Roman"/>
                <w:b/>
                <w:bCs/>
                <w:color w:val="000000"/>
                <w:sz w:val="14"/>
                <w:szCs w:val="14"/>
              </w:rPr>
              <w:t>Администрирани разходи</w:t>
            </w:r>
          </w:p>
        </w:tc>
      </w:tr>
      <w:tr w:rsidR="0027232A" w:rsidTr="00205007">
        <w:trPr>
          <w:trHeight w:val="268"/>
        </w:trPr>
        <w:tc>
          <w:tcPr>
            <w:tcW w:w="419" w:type="dxa"/>
            <w:vMerge/>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p>
        </w:tc>
        <w:tc>
          <w:tcPr>
            <w:tcW w:w="2417" w:type="dxa"/>
            <w:gridSpan w:val="3"/>
            <w:tcBorders>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(Прогноза за 2028 г.)</w:t>
            </w:r>
          </w:p>
        </w:tc>
        <w:tc>
          <w:tcPr>
            <w:tcW w:w="2940" w:type="dxa"/>
            <w:gridSpan w:val="5"/>
            <w:vMerge/>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c>
          <w:tcPr>
            <w:tcW w:w="2446" w:type="dxa"/>
            <w:gridSpan w:val="4"/>
            <w:vMerge/>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c>
          <w:tcPr>
            <w:tcW w:w="2835" w:type="dxa"/>
            <w:gridSpan w:val="3"/>
            <w:vMerge/>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right"/>
              <w:rPr>
                <w:rFonts w:ascii="Times New Roman" w:eastAsia="Times New Roman" w:hAnsi="Times New Roman" w:cs="Times New Roman"/>
                <w:b/>
                <w:bCs/>
                <w:color w:val="000000"/>
                <w:sz w:val="14"/>
                <w:szCs w:val="14"/>
                <w:lang w:val="en-US"/>
              </w:rPr>
            </w:pPr>
          </w:p>
        </w:tc>
      </w:tr>
      <w:tr w:rsidR="0027232A" w:rsidTr="00FB6CBE">
        <w:trPr>
          <w:trHeight w:val="391"/>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(в хил. евро)</w:t>
            </w:r>
          </w:p>
        </w:tc>
        <w:tc>
          <w:tcPr>
            <w:tcW w:w="992" w:type="dxa"/>
            <w:tcBorders>
              <w:top w:val="single" w:sz="4" w:space="0" w:color="auto"/>
              <w:left w:val="single" w:sz="4" w:space="0" w:color="auto"/>
              <w:bottom w:val="single" w:sz="4" w:space="0" w:color="auto"/>
              <w:right w:val="single" w:sz="4" w:space="0" w:color="auto"/>
            </w:tcBorders>
            <w:shd w:val="clear" w:color="000000" w:fill="FFCC99"/>
            <w:vAlign w:val="center"/>
          </w:tcPr>
          <w:p w:rsidR="0027232A" w:rsidRPr="005B2095" w:rsidRDefault="0027232A" w:rsidP="0027232A">
            <w:pPr>
              <w:suppressAutoHyphens w:val="0"/>
              <w:spacing w:after="0" w:line="240" w:lineRule="auto"/>
              <w:jc w:val="center"/>
              <w:rPr>
                <w:rFonts w:ascii="Times New Roman" w:eastAsia="Times New Roman" w:hAnsi="Times New Roman" w:cs="Times New Roman"/>
                <w:color w:val="000000"/>
                <w:sz w:val="14"/>
                <w:szCs w:val="14"/>
                <w:lang w:val="en-US"/>
              </w:rPr>
            </w:pPr>
            <w:r w:rsidRPr="005B2095">
              <w:rPr>
                <w:rFonts w:ascii="Times New Roman" w:hAnsi="Times New Roman" w:cs="Times New Roman"/>
                <w:color w:val="000000"/>
                <w:sz w:val="14"/>
                <w:szCs w:val="14"/>
              </w:rPr>
              <w:t>Общо разходи</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бюджета на ПРБ</w:t>
            </w:r>
          </w:p>
        </w:tc>
        <w:tc>
          <w:tcPr>
            <w:tcW w:w="956" w:type="dxa"/>
            <w:gridSpan w:val="2"/>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други бюджети и сметки за СЕС</w:t>
            </w:r>
          </w:p>
        </w:tc>
        <w:tc>
          <w:tcPr>
            <w:tcW w:w="833"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color w:val="000000"/>
                <w:sz w:val="14"/>
                <w:szCs w:val="14"/>
              </w:rPr>
            </w:pPr>
            <w:r w:rsidRPr="005B2095">
              <w:rPr>
                <w:rFonts w:ascii="Times New Roman" w:hAnsi="Times New Roman" w:cs="Times New Roman"/>
                <w:color w:val="000000"/>
                <w:sz w:val="14"/>
                <w:szCs w:val="14"/>
              </w:rPr>
              <w:t>Общо ведомствени</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бюджета на ПРБ</w:t>
            </w:r>
          </w:p>
        </w:tc>
        <w:tc>
          <w:tcPr>
            <w:tcW w:w="702"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други бюджети и сметки за СЕС</w:t>
            </w:r>
          </w:p>
        </w:tc>
        <w:tc>
          <w:tcPr>
            <w:tcW w:w="993"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color w:val="000000"/>
                <w:sz w:val="14"/>
                <w:szCs w:val="14"/>
              </w:rPr>
            </w:pPr>
            <w:r w:rsidRPr="005B2095">
              <w:rPr>
                <w:rFonts w:ascii="Times New Roman" w:hAnsi="Times New Roman" w:cs="Times New Roman"/>
                <w:color w:val="000000"/>
                <w:sz w:val="14"/>
                <w:szCs w:val="14"/>
              </w:rPr>
              <w:t>Общо администрирани</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бюджета на ПРБ</w:t>
            </w:r>
          </w:p>
        </w:tc>
        <w:tc>
          <w:tcPr>
            <w:tcW w:w="992" w:type="dxa"/>
            <w:tcBorders>
              <w:top w:val="single" w:sz="4" w:space="0" w:color="auto"/>
              <w:left w:val="nil"/>
              <w:bottom w:val="single" w:sz="4" w:space="0" w:color="auto"/>
              <w:right w:val="single" w:sz="4" w:space="0" w:color="auto"/>
            </w:tcBorders>
            <w:shd w:val="clear" w:color="000000" w:fill="FFCC99"/>
            <w:vAlign w:val="center"/>
          </w:tcPr>
          <w:p w:rsidR="0027232A" w:rsidRPr="005B2095" w:rsidRDefault="0027232A" w:rsidP="0027232A">
            <w:pPr>
              <w:jc w:val="center"/>
              <w:rPr>
                <w:rFonts w:ascii="Times New Roman" w:hAnsi="Times New Roman" w:cs="Times New Roman"/>
                <w:i/>
                <w:iCs/>
                <w:color w:val="000000"/>
                <w:sz w:val="14"/>
                <w:szCs w:val="14"/>
              </w:rPr>
            </w:pPr>
            <w:r w:rsidRPr="005B2095">
              <w:rPr>
                <w:rFonts w:ascii="Times New Roman" w:hAnsi="Times New Roman" w:cs="Times New Roman"/>
                <w:i/>
                <w:iCs/>
                <w:color w:val="000000"/>
                <w:sz w:val="14"/>
                <w:szCs w:val="14"/>
              </w:rPr>
              <w:t>По други бюджети и сметки за СЕС</w:t>
            </w:r>
          </w:p>
        </w:tc>
      </w:tr>
      <w:tr w:rsidR="0027232A" w:rsidTr="003F7421">
        <w:trPr>
          <w:trHeight w:val="255"/>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 </w:t>
            </w:r>
          </w:p>
        </w:tc>
        <w:tc>
          <w:tcPr>
            <w:tcW w:w="2417" w:type="dxa"/>
            <w:gridSpan w:val="3"/>
            <w:tcBorders>
              <w:top w:val="single" w:sz="4" w:space="0" w:color="000000"/>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both"/>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Общо разходи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4"/>
                <w:szCs w:val="14"/>
                <w:lang w:val="en-US"/>
              </w:rPr>
            </w:pPr>
            <w:r w:rsidRPr="0027232A">
              <w:rPr>
                <w:rFonts w:ascii="Times New Roman" w:hAnsi="Times New Roman" w:cs="Times New Roman"/>
                <w:b/>
                <w:bCs/>
                <w:color w:val="000000"/>
                <w:sz w:val="14"/>
                <w:szCs w:val="14"/>
              </w:rPr>
              <w:t>1 648 127,9</w:t>
            </w:r>
          </w:p>
        </w:tc>
        <w:tc>
          <w:tcPr>
            <w:tcW w:w="992"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1 099 232,3</w:t>
            </w:r>
          </w:p>
        </w:tc>
        <w:tc>
          <w:tcPr>
            <w:tcW w:w="956" w:type="dxa"/>
            <w:gridSpan w:val="2"/>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548 895,6</w:t>
            </w:r>
          </w:p>
        </w:tc>
        <w:tc>
          <w:tcPr>
            <w:tcW w:w="833"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208 865,6</w:t>
            </w:r>
          </w:p>
        </w:tc>
        <w:tc>
          <w:tcPr>
            <w:tcW w:w="911" w:type="dxa"/>
            <w:gridSpan w:val="2"/>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208 865,6</w:t>
            </w:r>
          </w:p>
        </w:tc>
        <w:tc>
          <w:tcPr>
            <w:tcW w:w="702"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1 439 262,3</w:t>
            </w:r>
          </w:p>
        </w:tc>
        <w:tc>
          <w:tcPr>
            <w:tcW w:w="850" w:type="dxa"/>
            <w:tcBorders>
              <w:top w:val="single" w:sz="4" w:space="0" w:color="auto"/>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890 366,7</w:t>
            </w:r>
          </w:p>
        </w:tc>
        <w:tc>
          <w:tcPr>
            <w:tcW w:w="992" w:type="dxa"/>
            <w:tcBorders>
              <w:top w:val="single" w:sz="4" w:space="0" w:color="auto"/>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548 895,6</w:t>
            </w:r>
          </w:p>
        </w:tc>
      </w:tr>
      <w:tr w:rsidR="0027232A" w:rsidTr="00FB6CBE">
        <w:trPr>
          <w:trHeight w:val="70"/>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2100.01.00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интегрирано развитие на регионите за постигане на растеж и подобряване качеството на жизнената среда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529 720,2</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4 604,5</w:t>
            </w:r>
          </w:p>
        </w:tc>
        <w:tc>
          <w:tcPr>
            <w:tcW w:w="956" w:type="dxa"/>
            <w:gridSpan w:val="2"/>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525 115,7</w:t>
            </w:r>
          </w:p>
        </w:tc>
        <w:tc>
          <w:tcPr>
            <w:tcW w:w="83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4 604,5</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4 604,5</w:t>
            </w:r>
          </w:p>
        </w:tc>
        <w:tc>
          <w:tcPr>
            <w:tcW w:w="70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525 115,7</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525 115,7</w:t>
            </w:r>
          </w:p>
        </w:tc>
      </w:tr>
      <w:tr w:rsidR="0027232A" w:rsidTr="00FB6CBE">
        <w:trPr>
          <w:trHeight w:val="122"/>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2100.01.01</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527 607,7</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2 492,0</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525 115,7</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2 492,0</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2 492,0</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525 115,7</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525 115,7</w:t>
            </w:r>
          </w:p>
        </w:tc>
      </w:tr>
      <w:tr w:rsidR="0027232A" w:rsidTr="00FB6CBE">
        <w:trPr>
          <w:trHeight w:val="156"/>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2100.01.02</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„Подобряване на жилищните условия на маргинализирани групи от населението”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510,6</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510,6</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510,6</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510,6</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72"/>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2100.01.03</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1 601,9</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1 601,9</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1 601,9</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1 601,9</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70"/>
        </w:trPr>
        <w:tc>
          <w:tcPr>
            <w:tcW w:w="419" w:type="dxa"/>
            <w:tcBorders>
              <w:left w:val="single" w:sz="4" w:space="0" w:color="000000"/>
              <w:bottom w:val="single" w:sz="4" w:space="0" w:color="000000"/>
              <w:right w:val="single" w:sz="4" w:space="0" w:color="000000"/>
            </w:tcBorders>
            <w:shd w:val="clear" w:color="000000" w:fill="FFCC99"/>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2100.02.00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Политика за подобряване на инвестиционния процес, поддържане, модернизация и изграждане на техническата инфраструктура</w:t>
            </w:r>
          </w:p>
        </w:tc>
        <w:tc>
          <w:tcPr>
            <w:tcW w:w="992" w:type="dxa"/>
            <w:tcBorders>
              <w:top w:val="nil"/>
              <w:left w:val="single" w:sz="4" w:space="0" w:color="auto"/>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1 102 516,6</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1 078 736,7</w:t>
            </w:r>
          </w:p>
        </w:tc>
        <w:tc>
          <w:tcPr>
            <w:tcW w:w="956" w:type="dxa"/>
            <w:gridSpan w:val="2"/>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23 779,9</w:t>
            </w:r>
          </w:p>
        </w:tc>
        <w:tc>
          <w:tcPr>
            <w:tcW w:w="83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188 370,0</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188 370,0</w:t>
            </w:r>
          </w:p>
        </w:tc>
        <w:tc>
          <w:tcPr>
            <w:tcW w:w="70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914 146,6</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890 366,7</w:t>
            </w:r>
          </w:p>
        </w:tc>
        <w:tc>
          <w:tcPr>
            <w:tcW w:w="992" w:type="dxa"/>
            <w:tcBorders>
              <w:top w:val="nil"/>
              <w:left w:val="nil"/>
              <w:bottom w:val="single" w:sz="4" w:space="0" w:color="auto"/>
              <w:right w:val="single" w:sz="4" w:space="0" w:color="auto"/>
            </w:tcBorders>
            <w:shd w:val="clear" w:color="000000" w:fill="FFCC99"/>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23 779,9</w:t>
            </w:r>
          </w:p>
        </w:tc>
      </w:tr>
      <w:tr w:rsidR="0027232A" w:rsidTr="00FB6CBE">
        <w:trPr>
          <w:trHeight w:val="7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2100.02.01</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„Рехабилитация и изграждане на пътна инфраструктура”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1 042 949,9</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1 024 552,5</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18 397,4</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159 759,7</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159 759,7</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883 190,2</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864 792,8</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18 397,4</w:t>
            </w:r>
          </w:p>
        </w:tc>
      </w:tr>
      <w:tr w:rsidR="0027232A" w:rsidTr="00FB6CBE">
        <w:trPr>
          <w:trHeight w:val="70"/>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2100.02.02</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„Устройство на територията, благоустройство, геозащита, водоснабдяване и канализация”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49 668,2</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44 285,7</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5 382,5</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18 711,8</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18 711,8</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30 956,4</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25 573,9</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5 382,5</w:t>
            </w:r>
          </w:p>
        </w:tc>
      </w:tr>
      <w:tr w:rsidR="0027232A" w:rsidTr="00FB6CBE">
        <w:trPr>
          <w:trHeight w:val="303"/>
        </w:trPr>
        <w:tc>
          <w:tcPr>
            <w:tcW w:w="419" w:type="dxa"/>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jc w:val="center"/>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2100.02.03</w:t>
            </w:r>
          </w:p>
        </w:tc>
        <w:tc>
          <w:tcPr>
            <w:tcW w:w="2417" w:type="dxa"/>
            <w:gridSpan w:val="3"/>
            <w:tcBorders>
              <w:left w:val="single" w:sz="4" w:space="0" w:color="000000"/>
              <w:bottom w:val="single" w:sz="4" w:space="0" w:color="000000"/>
              <w:right w:val="single" w:sz="4" w:space="0" w:color="000000"/>
            </w:tcBorders>
            <w:vAlign w:val="center"/>
          </w:tcPr>
          <w:p w:rsidR="0027232A" w:rsidRDefault="0027232A" w:rsidP="0027232A">
            <w:pPr>
              <w:spacing w:after="0" w:line="240" w:lineRule="auto"/>
              <w:ind w:left="-57" w:right="-57"/>
              <w:rPr>
                <w:rFonts w:ascii="Times New Roman" w:eastAsia="Times New Roman" w:hAnsi="Times New Roman" w:cs="Times New Roman"/>
                <w:color w:val="000000"/>
                <w:sz w:val="14"/>
                <w:szCs w:val="14"/>
                <w:lang w:val="en-US"/>
              </w:rPr>
            </w:pPr>
            <w:r>
              <w:rPr>
                <w:rFonts w:ascii="Times New Roman" w:hAnsi="Times New Roman" w:cs="Times New Roman"/>
                <w:color w:val="000000"/>
                <w:sz w:val="16"/>
                <w:szCs w:val="16"/>
              </w:rPr>
              <w:t xml:space="preserve">Бюджетна програма „Нормативно регулиране и контрол на строителните продукти и инвестиционния процес в строителството” </w:t>
            </w:r>
          </w:p>
        </w:tc>
        <w:tc>
          <w:tcPr>
            <w:tcW w:w="992" w:type="dxa"/>
            <w:tcBorders>
              <w:top w:val="nil"/>
              <w:left w:val="single" w:sz="4" w:space="0" w:color="auto"/>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9 898,5</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9 898,5</w:t>
            </w:r>
          </w:p>
        </w:tc>
        <w:tc>
          <w:tcPr>
            <w:tcW w:w="956" w:type="dxa"/>
            <w:gridSpan w:val="2"/>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3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9 898,5</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9 898,5</w:t>
            </w:r>
          </w:p>
        </w:tc>
        <w:tc>
          <w:tcPr>
            <w:tcW w:w="70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993"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i/>
                <w:iCs/>
                <w:color w:val="000000"/>
                <w:sz w:val="14"/>
                <w:szCs w:val="14"/>
              </w:rPr>
            </w:pPr>
            <w:r w:rsidRPr="0027232A">
              <w:rPr>
                <w:rFonts w:ascii="Times New Roman" w:hAnsi="Times New Roman" w:cs="Times New Roman"/>
                <w:i/>
                <w:iCs/>
                <w:color w:val="000000"/>
                <w:sz w:val="14"/>
                <w:szCs w:val="14"/>
              </w:rPr>
              <w:t>0,0</w:t>
            </w:r>
          </w:p>
        </w:tc>
        <w:tc>
          <w:tcPr>
            <w:tcW w:w="992" w:type="dxa"/>
            <w:tcBorders>
              <w:top w:val="nil"/>
              <w:left w:val="nil"/>
              <w:bottom w:val="single" w:sz="4" w:space="0" w:color="auto"/>
              <w:right w:val="single" w:sz="4" w:space="0" w:color="auto"/>
            </w:tcBorders>
            <w:shd w:val="clear" w:color="auto" w:fill="auto"/>
            <w:vAlign w:val="center"/>
          </w:tcPr>
          <w:p w:rsidR="0027232A" w:rsidRPr="0027232A" w:rsidRDefault="0027232A" w:rsidP="0027232A">
            <w:pPr>
              <w:jc w:val="right"/>
              <w:rPr>
                <w:rFonts w:ascii="Times New Roman" w:hAnsi="Times New Roman" w:cs="Times New Roman"/>
                <w:color w:val="000000"/>
                <w:sz w:val="14"/>
                <w:szCs w:val="14"/>
              </w:rPr>
            </w:pPr>
            <w:r w:rsidRPr="0027232A">
              <w:rPr>
                <w:rFonts w:ascii="Times New Roman" w:hAnsi="Times New Roman" w:cs="Times New Roman"/>
                <w:color w:val="000000"/>
                <w:sz w:val="14"/>
                <w:szCs w:val="14"/>
              </w:rPr>
              <w:t>0,0</w:t>
            </w:r>
          </w:p>
        </w:tc>
      </w:tr>
      <w:tr w:rsidR="0027232A" w:rsidTr="00FB6CBE">
        <w:trPr>
          <w:trHeight w:val="523"/>
        </w:trPr>
        <w:tc>
          <w:tcPr>
            <w:tcW w:w="419" w:type="dxa"/>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jc w:val="center"/>
              <w:rPr>
                <w:rFonts w:ascii="Times New Roman" w:eastAsia="Times New Roman" w:hAnsi="Times New Roman" w:cs="Times New Roman"/>
                <w:b/>
                <w:bCs/>
                <w:color w:val="000000"/>
                <w:sz w:val="14"/>
                <w:szCs w:val="14"/>
                <w:lang w:val="en-US"/>
              </w:rPr>
            </w:pPr>
            <w:r>
              <w:rPr>
                <w:rFonts w:ascii="Times New Roman" w:eastAsia="Times New Roman" w:hAnsi="Times New Roman" w:cs="Times New Roman"/>
                <w:b/>
                <w:bCs/>
                <w:color w:val="000000"/>
                <w:sz w:val="14"/>
                <w:szCs w:val="14"/>
                <w:lang w:val="en-US"/>
              </w:rPr>
              <w:t>2100.03.00</w:t>
            </w:r>
          </w:p>
        </w:tc>
        <w:tc>
          <w:tcPr>
            <w:tcW w:w="2417" w:type="dxa"/>
            <w:gridSpan w:val="3"/>
            <w:tcBorders>
              <w:left w:val="single" w:sz="4" w:space="0" w:color="000000"/>
              <w:bottom w:val="single" w:sz="4" w:space="0" w:color="000000"/>
              <w:right w:val="single" w:sz="4" w:space="0" w:color="000000"/>
            </w:tcBorders>
            <w:shd w:val="clear" w:color="000000" w:fill="FABF8F"/>
            <w:vAlign w:val="center"/>
          </w:tcPr>
          <w:p w:rsidR="0027232A" w:rsidRDefault="0027232A" w:rsidP="0027232A">
            <w:pPr>
              <w:spacing w:after="0" w:line="240" w:lineRule="auto"/>
              <w:ind w:left="-57" w:right="-57"/>
              <w:rPr>
                <w:rFonts w:ascii="Times New Roman" w:eastAsia="Times New Roman" w:hAnsi="Times New Roman" w:cs="Times New Roman"/>
                <w:b/>
                <w:bCs/>
                <w:color w:val="000000"/>
                <w:sz w:val="14"/>
                <w:szCs w:val="14"/>
                <w:lang w:val="en-US"/>
              </w:rPr>
            </w:pPr>
            <w:r>
              <w:rPr>
                <w:rFonts w:ascii="Times New Roman" w:hAnsi="Times New Roman" w:cs="Times New Roman"/>
                <w:b/>
                <w:bCs/>
                <w:color w:val="000000"/>
                <w:sz w:val="16"/>
                <w:szCs w:val="16"/>
              </w:rPr>
              <w:t xml:space="preserve">Бюджетна програма „Ефективна администрация и координация” </w:t>
            </w:r>
          </w:p>
        </w:tc>
        <w:tc>
          <w:tcPr>
            <w:tcW w:w="992" w:type="dxa"/>
            <w:tcBorders>
              <w:top w:val="nil"/>
              <w:left w:val="single" w:sz="4" w:space="0" w:color="auto"/>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15 891,1</w:t>
            </w:r>
          </w:p>
        </w:tc>
        <w:tc>
          <w:tcPr>
            <w:tcW w:w="992"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15 891,1</w:t>
            </w:r>
          </w:p>
        </w:tc>
        <w:tc>
          <w:tcPr>
            <w:tcW w:w="956" w:type="dxa"/>
            <w:gridSpan w:val="2"/>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833"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15 891,1</w:t>
            </w:r>
          </w:p>
        </w:tc>
        <w:tc>
          <w:tcPr>
            <w:tcW w:w="911" w:type="dxa"/>
            <w:gridSpan w:val="2"/>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15 891,1</w:t>
            </w:r>
          </w:p>
        </w:tc>
        <w:tc>
          <w:tcPr>
            <w:tcW w:w="702"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993"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c>
          <w:tcPr>
            <w:tcW w:w="850" w:type="dxa"/>
            <w:tcBorders>
              <w:top w:val="nil"/>
              <w:left w:val="nil"/>
              <w:bottom w:val="single" w:sz="4" w:space="0" w:color="auto"/>
              <w:right w:val="single" w:sz="4" w:space="0" w:color="auto"/>
            </w:tcBorders>
            <w:shd w:val="clear" w:color="000000" w:fill="FCD5B4"/>
            <w:vAlign w:val="center"/>
          </w:tcPr>
          <w:p w:rsidR="0027232A" w:rsidRPr="0027232A" w:rsidRDefault="0027232A" w:rsidP="0027232A">
            <w:pPr>
              <w:jc w:val="right"/>
              <w:rPr>
                <w:rFonts w:ascii="Times New Roman" w:hAnsi="Times New Roman" w:cs="Times New Roman"/>
                <w:b/>
                <w:bCs/>
                <w:i/>
                <w:iCs/>
                <w:color w:val="000000"/>
                <w:sz w:val="14"/>
                <w:szCs w:val="14"/>
              </w:rPr>
            </w:pPr>
            <w:r w:rsidRPr="0027232A">
              <w:rPr>
                <w:rFonts w:ascii="Times New Roman" w:hAnsi="Times New Roman" w:cs="Times New Roman"/>
                <w:b/>
                <w:bCs/>
                <w:i/>
                <w:iCs/>
                <w:color w:val="000000"/>
                <w:sz w:val="14"/>
                <w:szCs w:val="14"/>
              </w:rPr>
              <w:t>0,0</w:t>
            </w:r>
          </w:p>
        </w:tc>
        <w:tc>
          <w:tcPr>
            <w:tcW w:w="992" w:type="dxa"/>
            <w:tcBorders>
              <w:top w:val="nil"/>
              <w:left w:val="nil"/>
              <w:bottom w:val="single" w:sz="4" w:space="0" w:color="auto"/>
              <w:right w:val="single" w:sz="4" w:space="0" w:color="auto"/>
            </w:tcBorders>
            <w:shd w:val="clear" w:color="000000" w:fill="FABF8F"/>
            <w:vAlign w:val="center"/>
          </w:tcPr>
          <w:p w:rsidR="0027232A" w:rsidRPr="0027232A" w:rsidRDefault="0027232A" w:rsidP="0027232A">
            <w:pPr>
              <w:jc w:val="right"/>
              <w:rPr>
                <w:rFonts w:ascii="Times New Roman" w:hAnsi="Times New Roman" w:cs="Times New Roman"/>
                <w:b/>
                <w:bCs/>
                <w:color w:val="000000"/>
                <w:sz w:val="14"/>
                <w:szCs w:val="14"/>
              </w:rPr>
            </w:pPr>
            <w:r w:rsidRPr="0027232A">
              <w:rPr>
                <w:rFonts w:ascii="Times New Roman" w:hAnsi="Times New Roman" w:cs="Times New Roman"/>
                <w:b/>
                <w:bCs/>
                <w:color w:val="000000"/>
                <w:sz w:val="14"/>
                <w:szCs w:val="14"/>
              </w:rPr>
              <w:t>0,0</w:t>
            </w:r>
          </w:p>
        </w:tc>
      </w:tr>
    </w:tbl>
    <w:p w:rsidR="00426FE9" w:rsidRDefault="00D0590D">
      <w:pPr>
        <w:widowControl w:val="0"/>
        <w:tabs>
          <w:tab w:val="left" w:pos="-2410"/>
        </w:tabs>
        <w:spacing w:after="0" w:line="240" w:lineRule="auto"/>
        <w:jc w:val="both"/>
        <w:rPr>
          <w:rFonts w:ascii="Times New Roman" w:eastAsia="Times New Roman" w:hAnsi="Times New Roman" w:cs="Times New Roman"/>
          <w:b/>
          <w:i/>
          <w:color w:val="0000CC"/>
        </w:rPr>
      </w:pPr>
      <w:r>
        <w:rPr>
          <w:rFonts w:ascii="Times New Roman" w:eastAsia="Times New Roman" w:hAnsi="Times New Roman" w:cs="Times New Roman"/>
          <w:b/>
          <w:i/>
          <w:color w:val="0000CC"/>
        </w:rPr>
        <w:t xml:space="preserve">Описание на източниците на финансиране </w:t>
      </w:r>
    </w:p>
    <w:tbl>
      <w:tblPr>
        <w:tblW w:w="9840" w:type="dxa"/>
        <w:tblLook w:val="04A0" w:firstRow="1" w:lastRow="0" w:firstColumn="1" w:lastColumn="0" w:noHBand="0" w:noVBand="1"/>
      </w:tblPr>
      <w:tblGrid>
        <w:gridCol w:w="5740"/>
        <w:gridCol w:w="1380"/>
        <w:gridCol w:w="1360"/>
        <w:gridCol w:w="1360"/>
      </w:tblGrid>
      <w:tr w:rsidR="0027232A" w:rsidRPr="0027232A" w:rsidTr="0027232A">
        <w:trPr>
          <w:trHeight w:val="170"/>
        </w:trPr>
        <w:tc>
          <w:tcPr>
            <w:tcW w:w="5740"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27232A" w:rsidRPr="0027232A" w:rsidRDefault="0027232A" w:rsidP="0027232A">
            <w:pPr>
              <w:suppressAutoHyphens w:val="0"/>
              <w:spacing w:after="0" w:line="240" w:lineRule="auto"/>
              <w:jc w:val="center"/>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Финансиране на консолидираните разходи, обхванати в програмния бюджет (хил. евро)</w:t>
            </w:r>
          </w:p>
        </w:tc>
        <w:tc>
          <w:tcPr>
            <w:tcW w:w="1380" w:type="dxa"/>
            <w:tcBorders>
              <w:top w:val="single" w:sz="4" w:space="0" w:color="auto"/>
              <w:left w:val="nil"/>
              <w:bottom w:val="single" w:sz="4" w:space="0" w:color="auto"/>
              <w:right w:val="single" w:sz="4" w:space="0" w:color="auto"/>
            </w:tcBorders>
            <w:shd w:val="clear" w:color="000000" w:fill="FFCC99"/>
            <w:vAlign w:val="center"/>
            <w:hideMark/>
          </w:tcPr>
          <w:p w:rsidR="0027232A" w:rsidRPr="0027232A" w:rsidRDefault="00C22D43" w:rsidP="0027232A">
            <w:pPr>
              <w:suppressAutoHyphens w:val="0"/>
              <w:spacing w:after="0" w:line="240" w:lineRule="auto"/>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 xml:space="preserve">Бюджет </w:t>
            </w:r>
            <w:r w:rsidR="0027232A" w:rsidRPr="0027232A">
              <w:rPr>
                <w:rFonts w:ascii="Times New Roman" w:eastAsia="Times New Roman" w:hAnsi="Times New Roman" w:cs="Times New Roman"/>
                <w:b/>
                <w:bCs/>
                <w:i/>
                <w:iCs/>
                <w:color w:val="000000"/>
                <w:sz w:val="16"/>
                <w:szCs w:val="16"/>
                <w:lang w:val="en-US"/>
              </w:rPr>
              <w:t>2026 г.</w:t>
            </w:r>
          </w:p>
        </w:tc>
        <w:tc>
          <w:tcPr>
            <w:tcW w:w="1360" w:type="dxa"/>
            <w:tcBorders>
              <w:top w:val="single" w:sz="4" w:space="0" w:color="auto"/>
              <w:left w:val="nil"/>
              <w:bottom w:val="single" w:sz="4" w:space="0" w:color="auto"/>
              <w:right w:val="single" w:sz="4" w:space="0" w:color="auto"/>
            </w:tcBorders>
            <w:shd w:val="clear" w:color="000000" w:fill="FFCC99"/>
            <w:vAlign w:val="center"/>
            <w:hideMark/>
          </w:tcPr>
          <w:p w:rsidR="0027232A" w:rsidRPr="0027232A" w:rsidRDefault="0027232A" w:rsidP="0027232A">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27232A">
              <w:rPr>
                <w:rFonts w:ascii="Times New Roman" w:eastAsia="Times New Roman" w:hAnsi="Times New Roman" w:cs="Times New Roman"/>
                <w:b/>
                <w:bCs/>
                <w:i/>
                <w:iCs/>
                <w:color w:val="000000"/>
                <w:sz w:val="16"/>
                <w:szCs w:val="16"/>
                <w:lang w:val="en-US"/>
              </w:rPr>
              <w:t>Прогноза 2027 г.</w:t>
            </w:r>
          </w:p>
        </w:tc>
        <w:tc>
          <w:tcPr>
            <w:tcW w:w="1360" w:type="dxa"/>
            <w:tcBorders>
              <w:top w:val="single" w:sz="4" w:space="0" w:color="auto"/>
              <w:left w:val="nil"/>
              <w:bottom w:val="single" w:sz="4" w:space="0" w:color="auto"/>
              <w:right w:val="single" w:sz="4" w:space="0" w:color="auto"/>
            </w:tcBorders>
            <w:shd w:val="clear" w:color="000000" w:fill="FFCC99"/>
            <w:vAlign w:val="center"/>
            <w:hideMark/>
          </w:tcPr>
          <w:p w:rsidR="0027232A" w:rsidRPr="0027232A" w:rsidRDefault="0027232A" w:rsidP="0027232A">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27232A">
              <w:rPr>
                <w:rFonts w:ascii="Times New Roman" w:eastAsia="Times New Roman" w:hAnsi="Times New Roman" w:cs="Times New Roman"/>
                <w:b/>
                <w:bCs/>
                <w:i/>
                <w:iCs/>
                <w:color w:val="000000"/>
                <w:sz w:val="16"/>
                <w:szCs w:val="16"/>
                <w:lang w:val="en-US"/>
              </w:rPr>
              <w:t>Прогноза 2028 г.</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center"/>
              <w:rPr>
                <w:rFonts w:ascii="Times New Roman" w:eastAsia="Times New Roman" w:hAnsi="Times New Roman" w:cs="Times New Roman"/>
                <w:i/>
                <w:iCs/>
                <w:color w:val="000000"/>
                <w:sz w:val="16"/>
                <w:szCs w:val="16"/>
                <w:lang w:val="en-US"/>
              </w:rPr>
            </w:pPr>
            <w:r w:rsidRPr="0027232A">
              <w:rPr>
                <w:rFonts w:ascii="Times New Roman" w:eastAsia="Times New Roman" w:hAnsi="Times New Roman" w:cs="Times New Roman"/>
                <w:i/>
                <w:iCs/>
                <w:color w:val="000000"/>
                <w:sz w:val="16"/>
                <w:szCs w:val="16"/>
                <w:lang w:val="en-US"/>
              </w:rPr>
              <w:t> </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6"/>
                <w:szCs w:val="16"/>
                <w:lang w:val="en-US"/>
              </w:rPr>
            </w:pPr>
            <w:r w:rsidRPr="0027232A">
              <w:rPr>
                <w:rFonts w:ascii="Times New Roman" w:eastAsia="Times New Roman" w:hAnsi="Times New Roman" w:cs="Times New Roman"/>
                <w:i/>
                <w:iCs/>
                <w:color w:val="000000"/>
                <w:sz w:val="16"/>
                <w:szCs w:val="16"/>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Общо консолидирани разходи:</w:t>
            </w:r>
          </w:p>
        </w:tc>
        <w:tc>
          <w:tcPr>
            <w:tcW w:w="138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2 461 421,8</w:t>
            </w:r>
          </w:p>
        </w:tc>
        <w:tc>
          <w:tcPr>
            <w:tcW w:w="136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2 151 829,5</w:t>
            </w:r>
          </w:p>
        </w:tc>
        <w:tc>
          <w:tcPr>
            <w:tcW w:w="136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1 648 127,9</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lastRenderedPageBreak/>
              <w:t>Общо разчетено финансиране:</w:t>
            </w:r>
          </w:p>
        </w:tc>
        <w:tc>
          <w:tcPr>
            <w:tcW w:w="138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2 461 421,8</w:t>
            </w:r>
          </w:p>
        </w:tc>
        <w:tc>
          <w:tcPr>
            <w:tcW w:w="136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2 151 829,5</w:t>
            </w:r>
          </w:p>
        </w:tc>
        <w:tc>
          <w:tcPr>
            <w:tcW w:w="136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1 648 127,9</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both"/>
              <w:rPr>
                <w:rFonts w:ascii="Times New Roman" w:eastAsia="Times New Roman" w:hAnsi="Times New Roman" w:cs="Times New Roman"/>
                <w:b/>
                <w:bCs/>
                <w:i/>
                <w:iCs/>
                <w:color w:val="000000"/>
                <w:sz w:val="18"/>
                <w:szCs w:val="18"/>
                <w:lang w:val="en-US"/>
              </w:rPr>
            </w:pPr>
            <w:r w:rsidRPr="0027232A">
              <w:rPr>
                <w:rFonts w:ascii="Times New Roman" w:eastAsia="Times New Roman" w:hAnsi="Times New Roman" w:cs="Times New Roman"/>
                <w:b/>
                <w:bCs/>
                <w:i/>
                <w:iCs/>
                <w:color w:val="000000"/>
                <w:sz w:val="18"/>
                <w:szCs w:val="18"/>
                <w:lang w:val="en-US"/>
              </w:rPr>
              <w:t xml:space="preserve">   Бюджета на ПРБ</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1 058 603,6</w:t>
            </w:r>
          </w:p>
        </w:tc>
        <w:tc>
          <w:tcPr>
            <w:tcW w:w="136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1 099 232,3</w:t>
            </w:r>
          </w:p>
        </w:tc>
        <w:tc>
          <w:tcPr>
            <w:tcW w:w="136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1 099 232,3</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both"/>
              <w:rPr>
                <w:rFonts w:ascii="Times New Roman" w:eastAsia="Times New Roman" w:hAnsi="Times New Roman" w:cs="Times New Roman"/>
                <w:b/>
                <w:bCs/>
                <w:i/>
                <w:iCs/>
                <w:color w:val="000000"/>
                <w:sz w:val="18"/>
                <w:szCs w:val="18"/>
                <w:lang w:val="en-US"/>
              </w:rPr>
            </w:pPr>
            <w:r w:rsidRPr="0027232A">
              <w:rPr>
                <w:rFonts w:ascii="Times New Roman" w:eastAsia="Times New Roman" w:hAnsi="Times New Roman" w:cs="Times New Roman"/>
                <w:b/>
                <w:bCs/>
                <w:i/>
                <w:iCs/>
                <w:color w:val="000000"/>
                <w:sz w:val="18"/>
                <w:szCs w:val="18"/>
                <w:lang w:val="en-US"/>
              </w:rPr>
              <w:t xml:space="preserve">   Други бюджети и сметки за средства от ЕС, в т.ч. от:</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1 402 818,2</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1 052 597,2</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b/>
                <w:bCs/>
                <w:color w:val="000000"/>
                <w:sz w:val="18"/>
                <w:szCs w:val="18"/>
                <w:lang w:val="en-US"/>
              </w:rPr>
            </w:pPr>
            <w:r w:rsidRPr="0027232A">
              <w:rPr>
                <w:rFonts w:ascii="Times New Roman" w:eastAsia="Times New Roman" w:hAnsi="Times New Roman" w:cs="Times New Roman"/>
                <w:b/>
                <w:bCs/>
                <w:color w:val="000000"/>
                <w:sz w:val="18"/>
                <w:szCs w:val="18"/>
                <w:lang w:val="en-US"/>
              </w:rPr>
              <w:t>548 895,6</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Symbol" w:eastAsia="Times New Roman" w:hAnsi="Symbol" w:cs="Calibri"/>
                <w:color w:val="000000"/>
                <w:sz w:val="18"/>
                <w:szCs w:val="18"/>
                <w:lang w:val="en-US"/>
              </w:rPr>
            </w:pPr>
            <w:r w:rsidRPr="0027232A">
              <w:rPr>
                <w:rFonts w:ascii="Symbol" w:eastAsia="Times New Roman" w:hAnsi="Symbol" w:cs="Calibri"/>
                <w:color w:val="000000"/>
                <w:sz w:val="18"/>
                <w:szCs w:val="18"/>
                <w:lang w:val="en-US"/>
              </w:rPr>
              <w:t></w:t>
            </w:r>
            <w:r w:rsidRPr="0027232A">
              <w:rPr>
                <w:rFonts w:ascii="Times New Roman" w:eastAsia="Times New Roman" w:hAnsi="Times New Roman" w:cs="Times New Roman"/>
                <w:color w:val="000000"/>
                <w:sz w:val="14"/>
                <w:szCs w:val="14"/>
                <w:lang w:val="en-US"/>
              </w:rPr>
              <w:t xml:space="preserve">  </w:t>
            </w:r>
            <w:r w:rsidRPr="0027232A">
              <w:rPr>
                <w:rFonts w:ascii="Times New Roman" w:eastAsia="Times New Roman" w:hAnsi="Times New Roman" w:cs="Times New Roman"/>
                <w:i/>
                <w:iCs/>
                <w:color w:val="000000"/>
                <w:sz w:val="18"/>
                <w:szCs w:val="18"/>
                <w:lang w:val="en-US"/>
              </w:rPr>
              <w:t>Централен бюджет, в т.ч:.</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25 004,9</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24 446,5</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23 779,9</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ind w:firstLineChars="100" w:firstLine="180"/>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Държавни инвестиционни заеми</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25 004,9</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24 446,5</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23 779,9</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Symbol" w:eastAsia="Times New Roman" w:hAnsi="Symbol" w:cs="Calibri"/>
                <w:color w:val="000000"/>
                <w:sz w:val="18"/>
                <w:szCs w:val="18"/>
                <w:lang w:val="en-US"/>
              </w:rPr>
            </w:pPr>
            <w:r w:rsidRPr="0027232A">
              <w:rPr>
                <w:rFonts w:ascii="Symbol" w:eastAsia="Times New Roman" w:hAnsi="Symbol" w:cs="Calibri"/>
                <w:color w:val="000000"/>
                <w:sz w:val="18"/>
                <w:szCs w:val="18"/>
                <w:lang w:val="en-US"/>
              </w:rPr>
              <w:t></w:t>
            </w:r>
            <w:r w:rsidRPr="0027232A">
              <w:rPr>
                <w:rFonts w:ascii="Times New Roman" w:eastAsia="Times New Roman" w:hAnsi="Times New Roman" w:cs="Times New Roman"/>
                <w:color w:val="000000"/>
                <w:sz w:val="14"/>
                <w:szCs w:val="14"/>
                <w:lang w:val="en-US"/>
              </w:rPr>
              <w:t xml:space="preserve">  </w:t>
            </w:r>
            <w:r w:rsidRPr="0027232A">
              <w:rPr>
                <w:rFonts w:ascii="Times New Roman" w:eastAsia="Times New Roman" w:hAnsi="Times New Roman" w:cs="Times New Roman"/>
                <w:i/>
                <w:iCs/>
                <w:color w:val="000000"/>
                <w:sz w:val="18"/>
                <w:szCs w:val="18"/>
                <w:lang w:val="en-US"/>
              </w:rPr>
              <w:t>Сметки за средства от Европейския съюз (ССЕС на НФ и на ДФЗ)</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1 359 179,8</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1 022 767,4</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520 167,5</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Symbol" w:eastAsia="Times New Roman" w:hAnsi="Symbol" w:cs="Calibri"/>
                <w:color w:val="000000"/>
                <w:sz w:val="18"/>
                <w:szCs w:val="18"/>
                <w:lang w:val="en-US"/>
              </w:rPr>
            </w:pPr>
            <w:r w:rsidRPr="0027232A">
              <w:rPr>
                <w:rFonts w:ascii="Symbol" w:eastAsia="Times New Roman" w:hAnsi="Symbol" w:cs="Calibri"/>
                <w:color w:val="000000"/>
                <w:sz w:val="18"/>
                <w:szCs w:val="18"/>
                <w:lang w:val="en-US"/>
              </w:rPr>
              <w:t></w:t>
            </w:r>
            <w:r w:rsidRPr="0027232A">
              <w:rPr>
                <w:rFonts w:ascii="Times New Roman" w:eastAsia="Times New Roman" w:hAnsi="Times New Roman" w:cs="Times New Roman"/>
                <w:color w:val="000000"/>
                <w:sz w:val="14"/>
                <w:szCs w:val="14"/>
                <w:lang w:val="en-US"/>
              </w:rPr>
              <w:t xml:space="preserve">  </w:t>
            </w:r>
            <w:r w:rsidRPr="0027232A">
              <w:rPr>
                <w:rFonts w:ascii="Times New Roman" w:eastAsia="Times New Roman" w:hAnsi="Times New Roman" w:cs="Times New Roman"/>
                <w:i/>
                <w:iCs/>
                <w:color w:val="000000"/>
                <w:sz w:val="18"/>
                <w:szCs w:val="18"/>
                <w:lang w:val="en-US"/>
              </w:rPr>
              <w:t>Други програми и инициативи, по които Република България е страна-партньор, за които се прилага режимът на сметките за средства от Европейския съюз</w:t>
            </w:r>
          </w:p>
        </w:tc>
        <w:tc>
          <w:tcPr>
            <w:tcW w:w="138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18 633,5</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5 383,3</w:t>
            </w:r>
          </w:p>
        </w:tc>
        <w:tc>
          <w:tcPr>
            <w:tcW w:w="1360" w:type="dxa"/>
            <w:tcBorders>
              <w:top w:val="nil"/>
              <w:left w:val="nil"/>
              <w:bottom w:val="single" w:sz="4" w:space="0" w:color="auto"/>
              <w:right w:val="single" w:sz="4" w:space="0" w:color="auto"/>
            </w:tcBorders>
            <w:shd w:val="clear" w:color="000000" w:fill="FFFFFF"/>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i/>
                <w:iCs/>
                <w:color w:val="000000"/>
                <w:sz w:val="18"/>
                <w:szCs w:val="18"/>
                <w:lang w:val="en-US"/>
              </w:rPr>
            </w:pPr>
            <w:r w:rsidRPr="0027232A">
              <w:rPr>
                <w:rFonts w:ascii="Times New Roman" w:eastAsia="Times New Roman" w:hAnsi="Times New Roman" w:cs="Times New Roman"/>
                <w:i/>
                <w:iCs/>
                <w:color w:val="000000"/>
                <w:sz w:val="18"/>
                <w:szCs w:val="18"/>
                <w:lang w:val="en-US"/>
              </w:rPr>
              <w:t>4 948,2</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Symbol" w:eastAsia="Times New Roman" w:hAnsi="Symbol" w:cs="Calibri"/>
                <w:color w:val="000000"/>
                <w:sz w:val="18"/>
                <w:szCs w:val="18"/>
                <w:lang w:val="en-US"/>
              </w:rPr>
            </w:pPr>
            <w:r w:rsidRPr="0027232A">
              <w:rPr>
                <w:rFonts w:ascii="Symbol" w:eastAsia="Times New Roman" w:hAnsi="Symbol" w:cs="Calibri"/>
                <w:color w:val="000000"/>
                <w:sz w:val="18"/>
                <w:szCs w:val="18"/>
                <w:lang w:val="en-US"/>
              </w:rPr>
              <w:t></w:t>
            </w:r>
            <w:r w:rsidRPr="0027232A">
              <w:rPr>
                <w:rFonts w:ascii="Times New Roman" w:eastAsia="Times New Roman" w:hAnsi="Times New Roman" w:cs="Times New Roman"/>
                <w:color w:val="000000"/>
                <w:sz w:val="14"/>
                <w:szCs w:val="14"/>
                <w:lang w:val="en-US"/>
              </w:rPr>
              <w:t xml:space="preserve">  </w:t>
            </w:r>
            <w:r w:rsidRPr="0027232A">
              <w:rPr>
                <w:rFonts w:ascii="Times New Roman" w:eastAsia="Times New Roman" w:hAnsi="Times New Roman" w:cs="Times New Roman"/>
                <w:i/>
                <w:iCs/>
                <w:color w:val="000000"/>
                <w:sz w:val="18"/>
                <w:szCs w:val="18"/>
                <w:lang w:val="en-US"/>
              </w:rPr>
              <w:t>Други програми и  други донори по бюджета на ПРБ</w:t>
            </w:r>
          </w:p>
        </w:tc>
        <w:tc>
          <w:tcPr>
            <w:tcW w:w="138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Symbol" w:eastAsia="Times New Roman" w:hAnsi="Symbol" w:cs="Calibri"/>
                <w:color w:val="000000"/>
                <w:sz w:val="18"/>
                <w:szCs w:val="18"/>
                <w:lang w:val="en-US"/>
              </w:rPr>
            </w:pPr>
            <w:r w:rsidRPr="0027232A">
              <w:rPr>
                <w:rFonts w:ascii="Symbol" w:eastAsia="Times New Roman" w:hAnsi="Symbol" w:cs="Calibri"/>
                <w:color w:val="000000"/>
                <w:sz w:val="18"/>
                <w:szCs w:val="18"/>
                <w:lang w:val="en-US"/>
              </w:rPr>
              <w:t></w:t>
            </w:r>
            <w:r w:rsidRPr="0027232A">
              <w:rPr>
                <w:rFonts w:ascii="Times New Roman" w:eastAsia="Times New Roman" w:hAnsi="Times New Roman" w:cs="Times New Roman"/>
                <w:color w:val="000000"/>
                <w:sz w:val="14"/>
                <w:szCs w:val="14"/>
                <w:lang w:val="en-US"/>
              </w:rPr>
              <w:t xml:space="preserve">  </w:t>
            </w:r>
            <w:r w:rsidRPr="0027232A">
              <w:rPr>
                <w:rFonts w:ascii="Times New Roman" w:eastAsia="Times New Roman" w:hAnsi="Times New Roman" w:cs="Times New Roman"/>
                <w:i/>
                <w:iCs/>
                <w:color w:val="000000"/>
                <w:sz w:val="18"/>
                <w:szCs w:val="18"/>
                <w:lang w:val="en-US"/>
              </w:rPr>
              <w:t>Други бюджетни организации, включени в консолидираната фискална програма</w:t>
            </w:r>
          </w:p>
        </w:tc>
        <w:tc>
          <w:tcPr>
            <w:tcW w:w="138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r>
      <w:tr w:rsidR="0027232A" w:rsidRPr="0027232A" w:rsidTr="0027232A">
        <w:trPr>
          <w:trHeight w:val="170"/>
        </w:trPr>
        <w:tc>
          <w:tcPr>
            <w:tcW w:w="5740" w:type="dxa"/>
            <w:tcBorders>
              <w:top w:val="nil"/>
              <w:left w:val="single" w:sz="4" w:space="0" w:color="auto"/>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both"/>
              <w:rPr>
                <w:rFonts w:ascii="Symbol" w:eastAsia="Times New Roman" w:hAnsi="Symbol" w:cs="Calibri"/>
                <w:color w:val="000000"/>
                <w:sz w:val="18"/>
                <w:szCs w:val="18"/>
                <w:lang w:val="en-US"/>
              </w:rPr>
            </w:pPr>
            <w:r w:rsidRPr="0027232A">
              <w:rPr>
                <w:rFonts w:ascii="Symbol" w:eastAsia="Times New Roman" w:hAnsi="Symbol" w:cs="Calibri"/>
                <w:color w:val="000000"/>
                <w:sz w:val="18"/>
                <w:szCs w:val="18"/>
                <w:lang w:val="en-US"/>
              </w:rPr>
              <w:t></w:t>
            </w:r>
            <w:r w:rsidRPr="0027232A">
              <w:rPr>
                <w:rFonts w:ascii="Times New Roman" w:eastAsia="Times New Roman" w:hAnsi="Times New Roman" w:cs="Times New Roman"/>
                <w:color w:val="000000"/>
                <w:sz w:val="14"/>
                <w:szCs w:val="14"/>
                <w:lang w:val="en-US"/>
              </w:rPr>
              <w:t xml:space="preserve">  </w:t>
            </w:r>
            <w:r w:rsidRPr="0027232A">
              <w:rPr>
                <w:rFonts w:ascii="Times New Roman" w:eastAsia="Times New Roman" w:hAnsi="Times New Roman" w:cs="Times New Roman"/>
                <w:i/>
                <w:iCs/>
                <w:color w:val="000000"/>
                <w:sz w:val="18"/>
                <w:szCs w:val="18"/>
                <w:lang w:val="en-US"/>
              </w:rPr>
              <w:t>Други (в т.ч. и предоставените трансфери с положителен знак)</w:t>
            </w:r>
          </w:p>
        </w:tc>
        <w:tc>
          <w:tcPr>
            <w:tcW w:w="1380" w:type="dxa"/>
            <w:tcBorders>
              <w:top w:val="nil"/>
              <w:left w:val="nil"/>
              <w:bottom w:val="single" w:sz="4" w:space="0" w:color="auto"/>
              <w:right w:val="single" w:sz="4" w:space="0" w:color="auto"/>
            </w:tcBorders>
            <w:shd w:val="clear" w:color="auto" w:fill="auto"/>
            <w:vAlign w:val="center"/>
            <w:hideMark/>
          </w:tcPr>
          <w:p w:rsidR="0027232A" w:rsidRPr="0027232A" w:rsidRDefault="0027232A" w:rsidP="0027232A">
            <w:pPr>
              <w:suppressAutoHyphens w:val="0"/>
              <w:spacing w:after="0" w:line="240" w:lineRule="auto"/>
              <w:jc w:val="right"/>
              <w:rPr>
                <w:rFonts w:ascii="Times New Roman" w:eastAsia="Times New Roman" w:hAnsi="Times New Roman" w:cs="Times New Roman"/>
                <w:color w:val="000000"/>
                <w:sz w:val="18"/>
                <w:szCs w:val="18"/>
                <w:lang w:val="en-US"/>
              </w:rPr>
            </w:pPr>
            <w:r w:rsidRPr="0027232A">
              <w:rPr>
                <w:rFonts w:ascii="Times New Roman" w:eastAsia="Times New Roman" w:hAnsi="Times New Roman" w:cs="Times New Roman"/>
                <w:color w:val="000000"/>
                <w:sz w:val="18"/>
                <w:szCs w:val="18"/>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rsidR="0027232A" w:rsidRPr="0027232A" w:rsidRDefault="0027232A" w:rsidP="0027232A">
            <w:pPr>
              <w:suppressAutoHyphens w:val="0"/>
              <w:spacing w:after="0" w:line="240" w:lineRule="auto"/>
              <w:rPr>
                <w:rFonts w:ascii="Calibri" w:eastAsia="Times New Roman" w:hAnsi="Calibri" w:cs="Calibri"/>
                <w:color w:val="000000"/>
                <w:sz w:val="24"/>
                <w:szCs w:val="24"/>
                <w:lang w:val="en-US"/>
              </w:rPr>
            </w:pPr>
            <w:r w:rsidRPr="0027232A">
              <w:rPr>
                <w:rFonts w:ascii="Calibri" w:eastAsia="Times New Roman" w:hAnsi="Calibri" w:cs="Calibri"/>
                <w:color w:val="000000"/>
                <w:sz w:val="24"/>
                <w:szCs w:val="24"/>
                <w:lang w:val="en-US"/>
              </w:rPr>
              <w:t> </w:t>
            </w:r>
          </w:p>
        </w:tc>
      </w:tr>
    </w:tbl>
    <w:p w:rsidR="0027232A" w:rsidRDefault="0027232A">
      <w:pPr>
        <w:widowControl w:val="0"/>
        <w:tabs>
          <w:tab w:val="left" w:pos="-2410"/>
        </w:tabs>
        <w:spacing w:after="0" w:line="240" w:lineRule="auto"/>
        <w:jc w:val="both"/>
        <w:rPr>
          <w:rFonts w:ascii="Times New Roman" w:eastAsia="Times New Roman" w:hAnsi="Times New Roman" w:cs="Times New Roman"/>
          <w:b/>
          <w:i/>
          <w:color w:val="0000CC"/>
        </w:rPr>
      </w:pPr>
    </w:p>
    <w:p w:rsidR="00426FE9" w:rsidRDefault="00D0590D">
      <w:pPr>
        <w:keepNext/>
        <w:tabs>
          <w:tab w:val="left" w:pos="851"/>
          <w:tab w:val="left" w:pos="993"/>
        </w:tabs>
        <w:snapToGrid w:val="0"/>
        <w:spacing w:after="0" w:line="240" w:lineRule="auto"/>
        <w:ind w:firstLine="567"/>
        <w:jc w:val="both"/>
        <w:outlineLvl w:val="0"/>
        <w:rPr>
          <w:rFonts w:ascii="Times New Roman" w:eastAsia="Batang" w:hAnsi="Times New Roman"/>
          <w:b/>
          <w:i/>
          <w:color w:val="0000CC"/>
          <w:lang w:val="ru-RU" w:eastAsia="ko-KR"/>
        </w:rPr>
      </w:pPr>
      <w:r>
        <w:rPr>
          <w:rFonts w:ascii="Times New Roman" w:eastAsia="Batang" w:hAnsi="Times New Roman"/>
          <w:b/>
          <w:i/>
          <w:color w:val="0000CC"/>
          <w:lang w:val="ru-RU" w:eastAsia="ko-KR"/>
        </w:rPr>
        <w:t>V. ОПИСАНИЕ НА БЮДЖЕТНИТЕ ПРОГРАМИ И РАЗПРЕДЕЛЕНИЕ ПО ВЕДОМСТВЕНИ И АДМИНИСТРИРАНИ РАЗХОДИ</w:t>
      </w:r>
    </w:p>
    <w:p w:rsidR="00426FE9" w:rsidRDefault="00426FE9">
      <w:pPr>
        <w:keepNext/>
        <w:tabs>
          <w:tab w:val="left" w:pos="851"/>
          <w:tab w:val="left" w:pos="993"/>
        </w:tabs>
        <w:snapToGrid w:val="0"/>
        <w:spacing w:after="0" w:line="240" w:lineRule="auto"/>
        <w:ind w:firstLine="567"/>
        <w:jc w:val="both"/>
        <w:outlineLvl w:val="0"/>
        <w:rPr>
          <w:rFonts w:ascii="Times New Roman" w:eastAsia="Batang" w:hAnsi="Times New Roman"/>
          <w:b/>
          <w:i/>
          <w:color w:val="0000CC"/>
          <w:lang w:val="ru-RU" w:eastAsia="ko-KR"/>
        </w:rPr>
      </w:pPr>
    </w:p>
    <w:p w:rsidR="00426FE9" w:rsidRDefault="00D0590D">
      <w:pPr>
        <w:tabs>
          <w:tab w:val="left" w:pos="851"/>
        </w:tabs>
        <w:spacing w:after="0" w:line="240" w:lineRule="auto"/>
        <w:ind w:firstLine="567"/>
        <w:contextualSpacing/>
        <w:jc w:val="both"/>
        <w:rPr>
          <w:rFonts w:ascii="Times New Roman" w:hAnsi="Times New Roman" w:cs="Times New Roman"/>
          <w:b/>
          <w:bCs/>
          <w:color w:val="4A7C2C" w:themeColor="accent4" w:themeShade="BF"/>
        </w:rPr>
      </w:pPr>
      <w:r>
        <w:rPr>
          <w:rFonts w:ascii="Times New Roman" w:hAnsi="Times New Roman" w:cs="Times New Roman"/>
          <w:b/>
          <w:color w:val="4A7C2C" w:themeColor="accent4" w:themeShade="BF"/>
        </w:rPr>
        <w:t>2100.01.01</w:t>
      </w:r>
      <w:r>
        <w:rPr>
          <w:rFonts w:ascii="Times New Roman" w:hAnsi="Times New Roman" w:cs="Times New Roman"/>
          <w:color w:val="4A7C2C" w:themeColor="accent4" w:themeShade="BF"/>
        </w:rPr>
        <w:t xml:space="preserve"> </w:t>
      </w:r>
      <w:r>
        <w:rPr>
          <w:rFonts w:ascii="Times New Roman" w:hAnsi="Times New Roman" w:cs="Times New Roman"/>
          <w:b/>
          <w:color w:val="4A7C2C" w:themeColor="accent4" w:themeShade="BF"/>
        </w:rPr>
        <w:t xml:space="preserve">БЮДЖЕТНА ПРОГРАМА </w:t>
      </w:r>
      <w:r>
        <w:rPr>
          <w:rFonts w:ascii="Times New Roman" w:hAnsi="Times New Roman" w:cs="Times New Roman"/>
          <w:b/>
          <w:bCs/>
          <w:color w:val="4A7C2C" w:themeColor="accent4" w:themeShade="BF"/>
        </w:rPr>
        <w:t>„СТРАТЕГИЧЕСКО ПЛАНИРАНЕ НА РЕГИОНАЛНОТО И ПРОСТРАНСТВЕНОТО РАЗВИТИЕ, ДЕЦЕНТРАЛИЗАЦИЯ И ТЕРИТОРИАЛНО СЪТРУДНИЧЕСТВО“</w:t>
      </w:r>
    </w:p>
    <w:p w:rsidR="00426FE9" w:rsidRDefault="00D0590D">
      <w:pPr>
        <w:spacing w:after="0" w:line="240" w:lineRule="auto"/>
        <w:ind w:firstLine="567"/>
        <w:contextualSpacing/>
        <w:jc w:val="both"/>
        <w:rPr>
          <w:rFonts w:ascii="Times New Roman" w:eastAsia="Calibri" w:hAnsi="Times New Roman" w:cs="Times New Roman"/>
          <w:bCs/>
        </w:rPr>
      </w:pPr>
      <w:r>
        <w:rPr>
          <w:rFonts w:ascii="Times New Roman" w:eastAsia="Calibri" w:hAnsi="Times New Roman" w:cs="Times New Roman"/>
          <w:bCs/>
        </w:rPr>
        <w:t>Програмата допринася за изпълнението на мерките от програмата на правителството на Република България</w:t>
      </w:r>
      <w:r>
        <w:rPr>
          <w:rFonts w:ascii="Times New Roman" w:eastAsia="Calibri" w:hAnsi="Times New Roman" w:cs="Times New Roman"/>
          <w:b/>
          <w:bCs/>
        </w:rPr>
        <w:t xml:space="preserve"> </w:t>
      </w:r>
      <w:r>
        <w:rPr>
          <w:rFonts w:ascii="Times New Roman" w:eastAsia="Calibri" w:hAnsi="Times New Roman" w:cs="Times New Roman"/>
          <w:bCs/>
        </w:rPr>
        <w:t>по отношение на разработване и приемане на стратегическа рамка за развитие на районите в България, насочена към намаляване на междурегионалните и вътрешнорегионалните различия</w:t>
      </w:r>
      <w:r>
        <w:rPr>
          <w:rFonts w:ascii="Times New Roman" w:eastAsia="Calibri" w:hAnsi="Times New Roman" w:cs="Times New Roman"/>
          <w:b/>
          <w:bCs/>
        </w:rPr>
        <w:t xml:space="preserve">, </w:t>
      </w:r>
      <w:r>
        <w:rPr>
          <w:rFonts w:ascii="Times New Roman" w:eastAsia="Calibri" w:hAnsi="Times New Roman" w:cs="Times New Roman"/>
          <w:bCs/>
        </w:rPr>
        <w:t xml:space="preserve">ефективно използване на финансовия ресурс за </w:t>
      </w:r>
      <w:r>
        <w:rPr>
          <w:rFonts w:ascii="Times New Roman" w:eastAsia="Calibri" w:hAnsi="Times New Roman" w:cs="Times New Roman"/>
          <w:bCs/>
          <w:iCs/>
        </w:rPr>
        <w:t xml:space="preserve">изпълнение на Програма „Развитие на регионите“ 2021-2027 г. и Националния план за възстановяване и устойчивост, </w:t>
      </w:r>
      <w:r>
        <w:rPr>
          <w:rFonts w:ascii="Times New Roman" w:eastAsia="Calibri" w:hAnsi="Times New Roman" w:cs="Times New Roman"/>
          <w:bCs/>
        </w:rPr>
        <w:t>развитие на културно-историческия туризъм на основа на местния потенциал, разработване на стратегически документи, представящи дългосрочна визия за териториалния модел на развитие, участие в процеса на европейското териториално сътрудничество, разширяване на процеса на децентрализация.</w:t>
      </w:r>
    </w:p>
    <w:p w:rsidR="00426FE9" w:rsidRDefault="00D0590D">
      <w:pPr>
        <w:spacing w:after="0" w:line="240" w:lineRule="auto"/>
        <w:ind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Цели на бюджетната програма</w:t>
      </w:r>
    </w:p>
    <w:p w:rsidR="00426FE9" w:rsidRDefault="00D0590D">
      <w:pPr>
        <w:tabs>
          <w:tab w:val="left" w:pos="709"/>
        </w:tabs>
        <w:spacing w:after="0" w:line="240" w:lineRule="auto"/>
        <w:ind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 xml:space="preserve">Стратегически цели: </w:t>
      </w:r>
    </w:p>
    <w:p w:rsidR="00426FE9" w:rsidRDefault="00D0590D" w:rsidP="004F30BC">
      <w:pPr>
        <w:numPr>
          <w:ilvl w:val="0"/>
          <w:numId w:val="29"/>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Основната цел на политиката за регионално развитие в България е да създаде жизнени, силни и устойчиви региони като отговор на неблагоприятните демографски тенденции и задълбочаване на между-регионалните и вътрешно-регионалните различия, чрез изпълнение на следните стратегически и оперативни цели. Реализирането на целите се осъществява и чрез изпълнението на</w:t>
      </w:r>
      <w:r>
        <w:rPr>
          <w:rFonts w:ascii="Times New Roman" w:hAnsi="Times New Roman" w:cs="Times New Roman"/>
          <w:lang w:val="en-US"/>
        </w:rPr>
        <w:t xml:space="preserve"> </w:t>
      </w:r>
      <w:r>
        <w:rPr>
          <w:rFonts w:ascii="Times New Roman" w:hAnsi="Times New Roman" w:cs="Times New Roman"/>
        </w:rPr>
        <w:t>Програма „Развитие на регионите 2021-2027 г.:</w:t>
      </w:r>
    </w:p>
    <w:p w:rsidR="00426FE9" w:rsidRDefault="00D0590D" w:rsidP="004F30BC">
      <w:pPr>
        <w:pStyle w:val="ListParagraph"/>
        <w:numPr>
          <w:ilvl w:val="0"/>
          <w:numId w:val="30"/>
        </w:numPr>
        <w:tabs>
          <w:tab w:val="left" w:pos="709"/>
        </w:tabs>
        <w:spacing w:after="0" w:line="240" w:lineRule="auto"/>
        <w:ind w:left="0" w:firstLine="567"/>
        <w:jc w:val="both"/>
        <w:rPr>
          <w:rFonts w:ascii="Times New Roman" w:hAnsi="Times New Roman"/>
        </w:rPr>
      </w:pPr>
      <w:r>
        <w:rPr>
          <w:rFonts w:ascii="Times New Roman" w:hAnsi="Times New Roman"/>
        </w:rPr>
        <w:t xml:space="preserve">Създаване на стратегическа планова основа и хармонизирана нормативна уредба за интегрирано устойчиво развитие и постигане на интелигентен, устойчив и приобщаващ растеж на българските региони; </w:t>
      </w:r>
    </w:p>
    <w:p w:rsidR="00426FE9" w:rsidRDefault="00D0590D" w:rsidP="004F30BC">
      <w:pPr>
        <w:pStyle w:val="ListParagraph"/>
        <w:numPr>
          <w:ilvl w:val="0"/>
          <w:numId w:val="30"/>
        </w:numPr>
        <w:tabs>
          <w:tab w:val="left" w:pos="709"/>
        </w:tabs>
        <w:spacing w:after="0" w:line="240" w:lineRule="auto"/>
        <w:ind w:left="0" w:firstLine="567"/>
        <w:jc w:val="both"/>
        <w:rPr>
          <w:rFonts w:ascii="Times New Roman" w:hAnsi="Times New Roman"/>
        </w:rPr>
      </w:pPr>
      <w:r>
        <w:rPr>
          <w:rFonts w:ascii="Times New Roman" w:hAnsi="Times New Roman"/>
        </w:rPr>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rsidR="00426FE9" w:rsidRDefault="00D0590D" w:rsidP="004F30BC">
      <w:pPr>
        <w:pStyle w:val="ListParagraph"/>
        <w:numPr>
          <w:ilvl w:val="0"/>
          <w:numId w:val="30"/>
        </w:numPr>
        <w:tabs>
          <w:tab w:val="left" w:pos="709"/>
        </w:tabs>
        <w:spacing w:after="0" w:line="240" w:lineRule="auto"/>
        <w:ind w:left="0" w:firstLine="567"/>
        <w:jc w:val="both"/>
        <w:rPr>
          <w:rFonts w:ascii="Times New Roman" w:hAnsi="Times New Roman"/>
        </w:rPr>
      </w:pPr>
      <w:r>
        <w:rPr>
          <w:rFonts w:ascii="Times New Roman" w:hAnsi="Times New Roman"/>
        </w:rPr>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rsidR="00426FE9" w:rsidRDefault="00D0590D" w:rsidP="004F30BC">
      <w:pPr>
        <w:pStyle w:val="ListParagraph"/>
        <w:numPr>
          <w:ilvl w:val="0"/>
          <w:numId w:val="30"/>
        </w:numPr>
        <w:tabs>
          <w:tab w:val="left" w:pos="709"/>
        </w:tabs>
        <w:spacing w:after="0" w:line="240" w:lineRule="auto"/>
        <w:ind w:left="0" w:firstLine="567"/>
        <w:jc w:val="both"/>
        <w:rPr>
          <w:rFonts w:ascii="Times New Roman" w:hAnsi="Times New Roman"/>
        </w:rPr>
      </w:pPr>
      <w:r>
        <w:rPr>
          <w:rFonts w:ascii="Times New Roman" w:hAnsi="Times New Roman"/>
        </w:rPr>
        <w:t>Балансирано териториално развитие, чрез укрепване на мрежата от градове-центрове, подобряване свързаността в районите и качеството на средата в населените места;</w:t>
      </w:r>
    </w:p>
    <w:p w:rsidR="00426FE9" w:rsidRDefault="00D0590D" w:rsidP="004F30BC">
      <w:pPr>
        <w:pStyle w:val="ListParagraph"/>
        <w:numPr>
          <w:ilvl w:val="0"/>
          <w:numId w:val="30"/>
        </w:numPr>
        <w:tabs>
          <w:tab w:val="left" w:pos="709"/>
        </w:tabs>
        <w:spacing w:after="0" w:line="240" w:lineRule="auto"/>
        <w:ind w:left="0" w:firstLine="567"/>
        <w:jc w:val="both"/>
        <w:rPr>
          <w:rFonts w:ascii="Times New Roman" w:hAnsi="Times New Roman"/>
        </w:rPr>
      </w:pPr>
      <w:r>
        <w:rPr>
          <w:rFonts w:ascii="Times New Roman" w:hAnsi="Times New Roman"/>
        </w:rPr>
        <w:t>Създаване на условия за постигане на устойчиво интегрирано развитие на районите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p>
    <w:p w:rsidR="00426FE9" w:rsidRDefault="00D0590D" w:rsidP="004F30BC">
      <w:pPr>
        <w:pStyle w:val="ListParagraph"/>
        <w:numPr>
          <w:ilvl w:val="0"/>
          <w:numId w:val="30"/>
        </w:numPr>
        <w:tabs>
          <w:tab w:val="left" w:pos="709"/>
        </w:tabs>
        <w:spacing w:after="0" w:line="240" w:lineRule="auto"/>
        <w:ind w:left="0" w:firstLine="567"/>
        <w:jc w:val="both"/>
        <w:rPr>
          <w:rFonts w:ascii="Times New Roman" w:hAnsi="Times New Roman"/>
        </w:rPr>
      </w:pPr>
      <w:r>
        <w:rPr>
          <w:rFonts w:ascii="Times New Roman" w:hAnsi="Times New Roman"/>
        </w:rPr>
        <w:t>Осигуряване  на плавен преход към зелена икономика и неутралност по отношение на климата за въглищните региони.</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Устойчиво развитие в трансграничните региони в подкрепа на усилията за разширено европейско сътрудничество и интеграция;</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rPr>
        <w:t>Ефективно управление и изпълнение на програмите за европейско териториално сътрудничество;</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t>Подпомага провеждането на процедури по Закона за административно-териториалното устройство на Република България;</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lastRenderedPageBreak/>
        <w:t xml:space="preserve">Организацията, разработването, мониторинга и актуализацията на категоризацията на административно-териториалните и териториалните единици в страната; </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t xml:space="preserve">Поддържането и актуализацията на Единния класификатор на административно-териториалните и териториалните единици и на Националния регистър на населените места; </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t xml:space="preserve">Разработването на стратегически и програмни документи в областта на децентрализацията на държавното управление и координацията при тяхното съгласуване и изпълнение; </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t xml:space="preserve">Разработването и изпълнението на проекти за развитие на местното самоуправление и междуобщинското сътрудничество; </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t xml:space="preserve">Ефективното участие на министерството в дейността на органи и работни групи към Съвета на Европа, Конгреса на местните и регионалните власти на Съвета на Европа и Комитета на регионите на Европейския съюз; </w:t>
      </w:r>
    </w:p>
    <w:p w:rsidR="00426FE9" w:rsidRDefault="00D0590D" w:rsidP="004F30BC">
      <w:pPr>
        <w:numPr>
          <w:ilvl w:val="0"/>
          <w:numId w:val="29"/>
        </w:numPr>
        <w:tabs>
          <w:tab w:val="left" w:pos="709"/>
          <w:tab w:val="left" w:pos="851"/>
        </w:tabs>
        <w:spacing w:after="0" w:line="240" w:lineRule="auto"/>
        <w:ind w:left="0" w:firstLine="567"/>
        <w:jc w:val="both"/>
        <w:rPr>
          <w:rFonts w:ascii="Times New Roman" w:hAnsi="Times New Roman" w:cs="Times New Roman"/>
          <w:b/>
          <w:i/>
          <w:lang w:val="ru-RU"/>
        </w:rPr>
      </w:pPr>
      <w:r>
        <w:rPr>
          <w:rFonts w:ascii="Times New Roman" w:hAnsi="Times New Roman" w:cs="Times New Roman"/>
          <w:bCs/>
        </w:rPr>
        <w:t>Организацията и координацията на изпълнението на Стратегията за иновации и добро управление на местно ниво на Съвета на Европа и насърчаване участието на българските общини.</w:t>
      </w:r>
    </w:p>
    <w:p w:rsidR="00426FE9" w:rsidRDefault="00D0590D">
      <w:pPr>
        <w:tabs>
          <w:tab w:val="left" w:pos="709"/>
        </w:tabs>
        <w:spacing w:after="0" w:line="240" w:lineRule="auto"/>
        <w:ind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Оперативни цели:</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Повишаване ефективността и ефикасността на изпълнението на документите за регионално развитие на основа на системен мониторинг, оценка и регионална координация на секторните политики и инструментите за развитие; </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Повишаване на качеството на живот, социално включване, и подобряване на екологичната среда</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 xml:space="preserve"> чрез благоустрояване на физическата среда в градовете;</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Повишаване на енергийната ефективност в публичните сгради и в жилищния сектор;</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Намаляване броя на преждевременно отпадналите от училище и повишаване на броя на хората с висше образование;</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Социално приобщаване</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 xml:space="preserve"> чрез инвестиции в социална, спортна и културна инфраструктура в градовете;</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Повишаване на здравния статус на населението</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 xml:space="preserve"> чрез модернизация на здравната инфраструктура;</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Опазване, популяризиране и развитие на културното и природно наследство</w:t>
      </w:r>
      <w:r>
        <w:rPr>
          <w:rFonts w:ascii="Times New Roman" w:eastAsia="Times New Roman" w:hAnsi="Times New Roman" w:cs="Times New Roman"/>
          <w:lang w:val="en-US" w:eastAsia="bg-BG"/>
        </w:rPr>
        <w:t>,</w:t>
      </w:r>
      <w:r>
        <w:rPr>
          <w:rFonts w:ascii="Times New Roman" w:eastAsia="Times New Roman" w:hAnsi="Times New Roman" w:cs="Times New Roman"/>
          <w:lang w:eastAsia="bg-BG"/>
        </w:rPr>
        <w:t xml:space="preserve"> чрез насърчаване на регионалния туризъм;</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Подобряване на свързаността и достъпността до TEN-T мрежата за товари и пътници;</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Създаване на индустрия за устойчиви енергийни решения чрез мерки  за насърчаващи разработването и прилагането на нови устойчиви енергийни решения в съответствие с целите на прехода към неутралност по отношение на климата и икономическата диверсификация/създаването на работни места; </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Осигуряване на социална подкрепа и подкрепа на заетостта чрез повишаване на квалификацията и преквалификация на работната сила в засегнатите региони, насърчаване на предприемачеството, кариерно развитие, възможности за преминаване към алтернативни зелени работни места; </w:t>
      </w:r>
    </w:p>
    <w:p w:rsidR="00426FE9" w:rsidRDefault="00D0590D" w:rsidP="004F30BC">
      <w:pPr>
        <w:numPr>
          <w:ilvl w:val="0"/>
          <w:numId w:val="31"/>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Разнообразяване на местната икономика и насърчаване на нови икономически сектори, създаването на нови работни места, стартирането и развитието на предприятия, включително научноизследователска и развойна дейност, с цел преминаване към нови работни места след постепенното прекратяване на секторите, свързани с минното дело и енергията от въглища.</w:t>
      </w:r>
    </w:p>
    <w:p w:rsidR="00426FE9" w:rsidRDefault="00D0590D" w:rsidP="004F30BC">
      <w:pPr>
        <w:pStyle w:val="ListParagraph"/>
        <w:numPr>
          <w:ilvl w:val="0"/>
          <w:numId w:val="32"/>
        </w:numPr>
        <w:tabs>
          <w:tab w:val="left" w:pos="567"/>
          <w:tab w:val="left" w:pos="709"/>
        </w:tabs>
        <w:spacing w:after="0" w:line="240" w:lineRule="auto"/>
        <w:jc w:val="both"/>
        <w:rPr>
          <w:rFonts w:ascii="Times New Roman" w:hAnsi="Times New Roman"/>
          <w:b/>
          <w:i/>
          <w:color w:val="0000CC"/>
        </w:rPr>
      </w:pPr>
      <w:r>
        <w:rPr>
          <w:rFonts w:ascii="Times New Roman" w:hAnsi="Times New Roman"/>
          <w:b/>
          <w:i/>
          <w:color w:val="0000CC"/>
        </w:rPr>
        <w:t>Целеви стойности по показателите за изпълнение</w:t>
      </w:r>
    </w:p>
    <w:p w:rsidR="00426FE9" w:rsidRDefault="00426FE9">
      <w:pPr>
        <w:tabs>
          <w:tab w:val="left" w:pos="567"/>
          <w:tab w:val="left" w:pos="709"/>
        </w:tabs>
        <w:spacing w:after="0" w:line="240" w:lineRule="auto"/>
        <w:jc w:val="both"/>
        <w:rPr>
          <w:rFonts w:ascii="Times New Roman" w:hAnsi="Times New Roman"/>
          <w:b/>
          <w:i/>
          <w:color w:val="0000CC"/>
        </w:rPr>
      </w:pPr>
    </w:p>
    <w:tbl>
      <w:tblPr>
        <w:tblW w:w="10096" w:type="dxa"/>
        <w:tblInd w:w="-5" w:type="dxa"/>
        <w:tblLayout w:type="fixed"/>
        <w:tblLook w:val="04A0" w:firstRow="1" w:lastRow="0" w:firstColumn="1" w:lastColumn="0" w:noHBand="0" w:noVBand="1"/>
      </w:tblPr>
      <w:tblGrid>
        <w:gridCol w:w="5883"/>
        <w:gridCol w:w="1264"/>
        <w:gridCol w:w="981"/>
        <w:gridCol w:w="1026"/>
        <w:gridCol w:w="942"/>
      </w:tblGrid>
      <w:tr w:rsidR="00426FE9">
        <w:trPr>
          <w:trHeight w:hRule="exact" w:val="227"/>
        </w:trPr>
        <w:tc>
          <w:tcPr>
            <w:tcW w:w="5883" w:type="dxa"/>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ПОКАЗАТЕЛИ ЗА ИЗПЪЛНЕНИЕ</w:t>
            </w:r>
          </w:p>
        </w:tc>
        <w:tc>
          <w:tcPr>
            <w:tcW w:w="4213"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Целева стойност</w:t>
            </w:r>
          </w:p>
        </w:tc>
      </w:tr>
      <w:tr w:rsidR="00426FE9">
        <w:trPr>
          <w:trHeight w:hRule="exact" w:val="636"/>
        </w:trPr>
        <w:tc>
          <w:tcPr>
            <w:tcW w:w="5883"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2100.01.01 Бюджетна програма „Стратегическо планиране на регионалното и пространственото развитие, децентрализация и териториално сътрудничество“ </w:t>
            </w:r>
          </w:p>
        </w:tc>
        <w:tc>
          <w:tcPr>
            <w:tcW w:w="4213" w:type="dxa"/>
            <w:gridSpan w:val="4"/>
            <w:vMerge/>
            <w:tcBorders>
              <w:left w:val="single" w:sz="4" w:space="0" w:color="000000"/>
              <w:bottom w:val="single" w:sz="4" w:space="0" w:color="000000"/>
              <w:right w:val="single" w:sz="4" w:space="0" w:color="000000"/>
            </w:tcBorders>
            <w:vAlign w:val="center"/>
          </w:tcPr>
          <w:p w:rsidR="00426FE9" w:rsidRDefault="00426FE9">
            <w:pPr>
              <w:spacing w:after="0" w:line="240" w:lineRule="auto"/>
              <w:rPr>
                <w:rFonts w:ascii="Times New Roman" w:eastAsia="Times New Roman" w:hAnsi="Times New Roman" w:cs="Times New Roman"/>
                <w:b/>
                <w:bCs/>
                <w:color w:val="000000"/>
                <w:sz w:val="18"/>
                <w:szCs w:val="18"/>
                <w:lang w:val="en-US"/>
              </w:rPr>
            </w:pPr>
          </w:p>
        </w:tc>
      </w:tr>
      <w:tr w:rsidR="00426FE9">
        <w:trPr>
          <w:trHeight w:hRule="exact" w:val="420"/>
        </w:trPr>
        <w:tc>
          <w:tcPr>
            <w:tcW w:w="5883"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Показатели за изпълнение</w:t>
            </w:r>
          </w:p>
        </w:tc>
        <w:tc>
          <w:tcPr>
            <w:tcW w:w="1264"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Мерна единица</w:t>
            </w:r>
          </w:p>
        </w:tc>
        <w:tc>
          <w:tcPr>
            <w:tcW w:w="981" w:type="dxa"/>
            <w:tcBorders>
              <w:bottom w:val="single" w:sz="4" w:space="0" w:color="000000"/>
              <w:right w:val="single" w:sz="4" w:space="0" w:color="000000"/>
            </w:tcBorders>
            <w:shd w:val="clear" w:color="000000" w:fill="FFCC99"/>
            <w:vAlign w:val="center"/>
          </w:tcPr>
          <w:p w:rsidR="00426FE9" w:rsidRDefault="00331F71">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Бюджет</w:t>
            </w:r>
            <w:r w:rsidR="00D0590D">
              <w:rPr>
                <w:rFonts w:ascii="Times New Roman" w:eastAsia="Times New Roman" w:hAnsi="Times New Roman" w:cs="Times New Roman"/>
                <w:b/>
                <w:bCs/>
                <w:i/>
                <w:iCs/>
                <w:color w:val="000000"/>
                <w:sz w:val="18"/>
                <w:szCs w:val="18"/>
              </w:rPr>
              <w:t xml:space="preserve"> 2026 г.</w:t>
            </w:r>
          </w:p>
        </w:tc>
        <w:tc>
          <w:tcPr>
            <w:tcW w:w="1026"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Прогноза 2027 г.</w:t>
            </w:r>
          </w:p>
        </w:tc>
        <w:tc>
          <w:tcPr>
            <w:tcW w:w="942"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Прогноза 2028 г.</w:t>
            </w:r>
          </w:p>
        </w:tc>
      </w:tr>
      <w:tr w:rsidR="00426FE9">
        <w:trPr>
          <w:trHeight w:hRule="exact" w:val="227"/>
        </w:trPr>
        <w:tc>
          <w:tcPr>
            <w:tcW w:w="10096" w:type="dxa"/>
            <w:gridSpan w:val="5"/>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Показатели за изпълнение, свързани със стратегическото планиране, вкл. морско пространствено планиране</w:t>
            </w:r>
          </w:p>
        </w:tc>
      </w:tr>
      <w:tr w:rsidR="00426FE9">
        <w:trPr>
          <w:trHeight w:hRule="exact" w:val="378"/>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 Изготвени стратегически, аналитични, информационни и нормативни документи, в т.ч. доклади за наблюдение и оценка, свързани с регионалното развитие.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2</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2</w:t>
            </w:r>
          </w:p>
        </w:tc>
      </w:tr>
      <w:tr w:rsidR="00426FE9">
        <w:trPr>
          <w:trHeight w:hRule="exact" w:val="283"/>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  Проведени координационни срещи, събития и форуми в районите от ниво 2.</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брой</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12</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12</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12</w:t>
            </w:r>
          </w:p>
        </w:tc>
      </w:tr>
      <w:tr w:rsidR="00426FE9">
        <w:trPr>
          <w:trHeight w:hRule="exact" w:val="355"/>
        </w:trPr>
        <w:tc>
          <w:tcPr>
            <w:tcW w:w="10096" w:type="dxa"/>
            <w:gridSpan w:val="5"/>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Програма „Развитие на регионите“ 2021-2027 г.</w:t>
            </w:r>
            <w:r>
              <w:rPr>
                <w:rStyle w:val="FootnoteReference"/>
                <w:rFonts w:ascii="Times New Roman" w:eastAsia="Times New Roman" w:hAnsi="Times New Roman"/>
                <w:b/>
                <w:bCs/>
                <w:color w:val="0000CC"/>
                <w:sz w:val="24"/>
                <w:szCs w:val="24"/>
              </w:rPr>
              <w:footnoteReference w:id="3"/>
            </w:r>
          </w:p>
        </w:tc>
      </w:tr>
      <w:tr w:rsidR="00426FE9">
        <w:trPr>
          <w:trHeight w:hRule="exact" w:val="416"/>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lastRenderedPageBreak/>
              <w:t>3. Жилища с подобрени енергийни характеристики</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Жилищни сгради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38"/>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 Обществени сгради с подобрени енергийни характеристики</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квадратни метри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30"/>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5. Зелена инфраструктура, подпомогната за цели, различни от адаптиране към изменението на климата</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хектари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21"/>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6. Дължина на новите или подобрени пътища - извън трансевропейската транспортна мрежа</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километри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7. Дължина на реконструираните или модернизирани пътища — извън трансевропейската транспортна мрежа</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километри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20"/>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8. Капацитет на екологосъобразния подвижен състав за колективен обществен транспорт</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пътници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93"/>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9. Специализирана велосипедна инфраструктура, за която се отпуска подпомагане</w:t>
            </w:r>
          </w:p>
        </w:tc>
        <w:tc>
          <w:tcPr>
            <w:tcW w:w="1264" w:type="dxa"/>
            <w:tcBorders>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километри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850"/>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10. Инфраструктура за алтернативни горива (точки за зареждане/зарядни точки)</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станции за зареждане с гориво/ електроенергия</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11. Капацитет на нови или модернизирани места за социално жилищно настаняване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351"/>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12. Капацитет на класните стаи на нови или модернизирани детски заведения</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399"/>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13. Капацитет на класните стаи на нови или модернизирани образователни заведения</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14. Капацитет на нови или модернизирани здравни заведения</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лица/година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79"/>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15. Капацитет на нови или модернизирани структури за социални грижи (различни от жилищно настаняване)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лица/година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29"/>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16. Жители, обхванати от проекти в рамките на стратегии за интегрирано териториално развитие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49"/>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17. Стратегии за интегрирано териториално развитие, които получават подпомагане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приноси към стратегии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353"/>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18. Интегрирани проекти за териториално развитие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проекти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55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19. Брой културни и туристически обекти, които получават подпомагане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културни и туристически обекти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23"/>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20. Незастроени площи, създадени или рехабилитирани в градските райони</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квадратни метри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10096" w:type="dxa"/>
            <w:gridSpan w:val="5"/>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Програма „Развитие на регионите“ 2021-2027 г. - показатели, отчитащи приноса на ФСП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21. Общ брой на участниците</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22. Безработни, включително трайно безработни </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23. Заети лица, включително самостоятелно заети лица</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лица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371"/>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24. Предприятия, получаващи подкрепа (микро-, малки, средни и големи предприятия)</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предприятия</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19"/>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25. Предприятия, получаващи подкрепа чрез безвъзмездни средства </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предприятия</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440"/>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26. Нови предприятия, получаващи подкрепа</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предприятия</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62"/>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27. Жилища с подобрени енергийни характеристики </w:t>
            </w:r>
          </w:p>
        </w:tc>
        <w:tc>
          <w:tcPr>
            <w:tcW w:w="1264" w:type="dxa"/>
            <w:tcBorders>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 жилища</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28. Обществени сгради с подобрени енергийни характеристики </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кв. м.</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63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29. Допълнителен капацитет за производство на енергия от възобновяеми източници (от които: електроенергия, топлинна енергия)</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Произведен капацитет (MW)</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н/п</w:t>
            </w:r>
          </w:p>
        </w:tc>
      </w:tr>
      <w:tr w:rsidR="00426FE9">
        <w:trPr>
          <w:trHeight w:hRule="exact" w:val="22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Площ на рехабилитираната земя, за която се отпуска подкрепа</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хектари</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н/п </w:t>
            </w:r>
          </w:p>
        </w:tc>
      </w:tr>
      <w:tr w:rsidR="00426FE9">
        <w:trPr>
          <w:trHeight w:hRule="exact" w:val="337"/>
        </w:trPr>
        <w:tc>
          <w:tcPr>
            <w:tcW w:w="5883"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 МСП, които инвестират в умения за интелигентна специализация</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предприятия</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н/п</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н/п</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н/п</w:t>
            </w:r>
          </w:p>
        </w:tc>
      </w:tr>
      <w:tr w:rsidR="00426FE9">
        <w:trPr>
          <w:trHeight w:hRule="exact" w:val="227"/>
        </w:trPr>
        <w:tc>
          <w:tcPr>
            <w:tcW w:w="10096" w:type="dxa"/>
            <w:gridSpan w:val="5"/>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Програми за ТГС</w:t>
            </w:r>
          </w:p>
        </w:tc>
      </w:tr>
      <w:tr w:rsidR="00426FE9">
        <w:trPr>
          <w:trHeight w:hRule="exact" w:val="227"/>
        </w:trPr>
        <w:tc>
          <w:tcPr>
            <w:tcW w:w="5883"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hAnsi="Times New Roman" w:cs="Times New Roman"/>
                <w:bCs/>
                <w:sz w:val="16"/>
                <w:szCs w:val="16"/>
              </w:rPr>
              <w:lastRenderedPageBreak/>
              <w:t>Размер на сертифицираните средства по програмата за ТГС Интеррег-ИПП България- Република Северна Македония“ 20</w:t>
            </w:r>
            <w:r>
              <w:rPr>
                <w:rFonts w:ascii="Times New Roman" w:hAnsi="Times New Roman" w:cs="Times New Roman"/>
                <w:bCs/>
                <w:sz w:val="16"/>
                <w:szCs w:val="16"/>
                <w:lang w:val="en-US"/>
              </w:rPr>
              <w:t>21</w:t>
            </w:r>
            <w:r>
              <w:rPr>
                <w:rFonts w:ascii="Times New Roman" w:hAnsi="Times New Roman" w:cs="Times New Roman"/>
                <w:bCs/>
                <w:sz w:val="16"/>
                <w:szCs w:val="16"/>
              </w:rPr>
              <w:t>-202</w:t>
            </w:r>
            <w:r>
              <w:rPr>
                <w:rFonts w:ascii="Times New Roman" w:hAnsi="Times New Roman" w:cs="Times New Roman"/>
                <w:bCs/>
                <w:sz w:val="16"/>
                <w:szCs w:val="16"/>
                <w:lang w:val="en-US"/>
              </w:rPr>
              <w:t>7</w:t>
            </w:r>
            <w:r>
              <w:rPr>
                <w:rFonts w:ascii="Times New Roman" w:hAnsi="Times New Roman" w:cs="Times New Roman"/>
                <w:bCs/>
                <w:sz w:val="16"/>
                <w:szCs w:val="16"/>
              </w:rPr>
              <w:t xml:space="preserve"> г.</w:t>
            </w:r>
          </w:p>
        </w:tc>
        <w:tc>
          <w:tcPr>
            <w:tcW w:w="1264"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Евро</w:t>
            </w:r>
          </w:p>
        </w:tc>
        <w:tc>
          <w:tcPr>
            <w:tcW w:w="981"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2 597 175</w:t>
            </w:r>
          </w:p>
        </w:tc>
        <w:tc>
          <w:tcPr>
            <w:tcW w:w="1026"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5 466 900</w:t>
            </w:r>
          </w:p>
        </w:tc>
        <w:tc>
          <w:tcPr>
            <w:tcW w:w="942"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5 566 052</w:t>
            </w:r>
          </w:p>
        </w:tc>
      </w:tr>
      <w:tr w:rsidR="00426FE9">
        <w:trPr>
          <w:trHeight w:hRule="exact" w:val="227"/>
        </w:trPr>
        <w:tc>
          <w:tcPr>
            <w:tcW w:w="5883"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eastAsia="Times New Roman" w:hAnsi="Times New Roman" w:cs="Times New Roman"/>
                <w:b/>
                <w:bCs/>
                <w:color w:val="000000"/>
                <w:sz w:val="16"/>
                <w:szCs w:val="16"/>
              </w:rPr>
            </w:pPr>
            <w:r>
              <w:rPr>
                <w:rFonts w:ascii="Times New Roman" w:hAnsi="Times New Roman" w:cs="Times New Roman"/>
                <w:bCs/>
                <w:sz w:val="16"/>
                <w:szCs w:val="16"/>
              </w:rPr>
              <w:t>Размер на сертифицираните средства по програмата за ТГС Интеррег-ИПП България-Турция“ 20</w:t>
            </w:r>
            <w:r>
              <w:rPr>
                <w:rFonts w:ascii="Times New Roman" w:hAnsi="Times New Roman" w:cs="Times New Roman"/>
                <w:bCs/>
                <w:sz w:val="16"/>
                <w:szCs w:val="16"/>
                <w:lang w:val="en-US"/>
              </w:rPr>
              <w:t>21</w:t>
            </w:r>
            <w:r>
              <w:rPr>
                <w:rFonts w:ascii="Times New Roman" w:hAnsi="Times New Roman" w:cs="Times New Roman"/>
                <w:bCs/>
                <w:sz w:val="16"/>
                <w:szCs w:val="16"/>
              </w:rPr>
              <w:t>-202</w:t>
            </w:r>
            <w:r>
              <w:rPr>
                <w:rFonts w:ascii="Times New Roman" w:hAnsi="Times New Roman" w:cs="Times New Roman"/>
                <w:bCs/>
                <w:sz w:val="16"/>
                <w:szCs w:val="16"/>
                <w:lang w:val="en-US"/>
              </w:rPr>
              <w:t>7</w:t>
            </w:r>
            <w:r>
              <w:rPr>
                <w:rFonts w:ascii="Times New Roman" w:hAnsi="Times New Roman" w:cs="Times New Roman"/>
                <w:bCs/>
                <w:sz w:val="16"/>
                <w:szCs w:val="16"/>
              </w:rPr>
              <w:t xml:space="preserve"> г.</w:t>
            </w:r>
          </w:p>
        </w:tc>
        <w:tc>
          <w:tcPr>
            <w:tcW w:w="1264"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b/>
                <w:bCs/>
                <w:color w:val="000000"/>
                <w:sz w:val="16"/>
                <w:szCs w:val="16"/>
              </w:rPr>
            </w:pPr>
            <w:r>
              <w:rPr>
                <w:rFonts w:ascii="Times New Roman" w:hAnsi="Times New Roman" w:cs="Times New Roman"/>
                <w:sz w:val="16"/>
                <w:szCs w:val="16"/>
              </w:rPr>
              <w:t>Евро</w:t>
            </w:r>
          </w:p>
        </w:tc>
        <w:tc>
          <w:tcPr>
            <w:tcW w:w="981"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b/>
                <w:bCs/>
                <w:color w:val="000000"/>
                <w:sz w:val="16"/>
                <w:szCs w:val="16"/>
              </w:rPr>
            </w:pPr>
            <w:r>
              <w:rPr>
                <w:rFonts w:ascii="Times New Roman" w:hAnsi="Times New Roman" w:cs="Times New Roman"/>
                <w:iCs/>
                <w:sz w:val="16"/>
                <w:szCs w:val="16"/>
              </w:rPr>
              <w:t>2 869 197</w:t>
            </w:r>
          </w:p>
        </w:tc>
        <w:tc>
          <w:tcPr>
            <w:tcW w:w="1026"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b/>
                <w:bCs/>
                <w:color w:val="000000"/>
                <w:sz w:val="16"/>
                <w:szCs w:val="16"/>
              </w:rPr>
            </w:pPr>
            <w:r>
              <w:rPr>
                <w:rFonts w:ascii="Times New Roman" w:hAnsi="Times New Roman" w:cs="Times New Roman"/>
                <w:iCs/>
                <w:sz w:val="16"/>
                <w:szCs w:val="16"/>
                <w:lang w:val="en-US"/>
              </w:rPr>
              <w:t>6 039 495</w:t>
            </w:r>
          </w:p>
        </w:tc>
        <w:tc>
          <w:tcPr>
            <w:tcW w:w="942"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b/>
                <w:bCs/>
                <w:color w:val="000000"/>
                <w:sz w:val="16"/>
                <w:szCs w:val="16"/>
              </w:rPr>
            </w:pPr>
            <w:r>
              <w:rPr>
                <w:rFonts w:ascii="Times New Roman" w:hAnsi="Times New Roman" w:cs="Times New Roman"/>
                <w:iCs/>
                <w:sz w:val="16"/>
                <w:szCs w:val="16"/>
                <w:lang w:val="en-US"/>
              </w:rPr>
              <w:t>6 149 028</w:t>
            </w:r>
          </w:p>
        </w:tc>
      </w:tr>
      <w:tr w:rsidR="00426FE9">
        <w:trPr>
          <w:trHeight w:hRule="exact" w:val="227"/>
        </w:trPr>
        <w:tc>
          <w:tcPr>
            <w:tcW w:w="5883"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bCs/>
                <w:sz w:val="16"/>
                <w:szCs w:val="16"/>
              </w:rPr>
            </w:pPr>
            <w:r>
              <w:rPr>
                <w:rFonts w:ascii="Times New Roman" w:hAnsi="Times New Roman" w:cs="Times New Roman"/>
                <w:bCs/>
                <w:sz w:val="16"/>
                <w:szCs w:val="16"/>
              </w:rPr>
              <w:t>Размер на сертифицираните средства по програмата за ТГС Интеррег-ИПП България-Сърбия“ 20</w:t>
            </w:r>
            <w:r>
              <w:rPr>
                <w:rFonts w:ascii="Times New Roman" w:hAnsi="Times New Roman" w:cs="Times New Roman"/>
                <w:bCs/>
                <w:sz w:val="16"/>
                <w:szCs w:val="16"/>
                <w:lang w:val="en-US"/>
              </w:rPr>
              <w:t>21</w:t>
            </w:r>
            <w:r>
              <w:rPr>
                <w:rFonts w:ascii="Times New Roman" w:hAnsi="Times New Roman" w:cs="Times New Roman"/>
                <w:bCs/>
                <w:sz w:val="16"/>
                <w:szCs w:val="16"/>
              </w:rPr>
              <w:t>-202</w:t>
            </w:r>
            <w:r>
              <w:rPr>
                <w:rFonts w:ascii="Times New Roman" w:hAnsi="Times New Roman" w:cs="Times New Roman"/>
                <w:bCs/>
                <w:sz w:val="16"/>
                <w:szCs w:val="16"/>
                <w:lang w:val="en-US"/>
              </w:rPr>
              <w:t>7</w:t>
            </w:r>
            <w:r>
              <w:rPr>
                <w:rFonts w:ascii="Times New Roman" w:hAnsi="Times New Roman" w:cs="Times New Roman"/>
                <w:bCs/>
                <w:sz w:val="16"/>
                <w:szCs w:val="16"/>
              </w:rPr>
              <w:t xml:space="preserve"> г.</w:t>
            </w:r>
          </w:p>
        </w:tc>
        <w:tc>
          <w:tcPr>
            <w:tcW w:w="1264"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Евро</w:t>
            </w:r>
          </w:p>
        </w:tc>
        <w:tc>
          <w:tcPr>
            <w:tcW w:w="981"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iCs/>
                <w:sz w:val="16"/>
                <w:szCs w:val="16"/>
              </w:rPr>
            </w:pPr>
            <w:r>
              <w:rPr>
                <w:rFonts w:ascii="Times New Roman" w:hAnsi="Times New Roman" w:cs="Times New Roman"/>
                <w:iCs/>
                <w:sz w:val="16"/>
                <w:szCs w:val="16"/>
              </w:rPr>
              <w:t>3 177 762</w:t>
            </w:r>
          </w:p>
        </w:tc>
        <w:tc>
          <w:tcPr>
            <w:tcW w:w="1026"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iCs/>
                <w:sz w:val="16"/>
                <w:szCs w:val="16"/>
                <w:lang w:val="en-US"/>
              </w:rPr>
            </w:pPr>
            <w:r>
              <w:rPr>
                <w:rFonts w:ascii="Times New Roman" w:hAnsi="Times New Roman" w:cs="Times New Roman"/>
                <w:iCs/>
                <w:sz w:val="16"/>
                <w:szCs w:val="16"/>
              </w:rPr>
              <w:t>6 689 005</w:t>
            </w:r>
          </w:p>
        </w:tc>
        <w:tc>
          <w:tcPr>
            <w:tcW w:w="942"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iCs/>
                <w:sz w:val="16"/>
                <w:szCs w:val="16"/>
                <w:lang w:val="en-US"/>
              </w:rPr>
            </w:pPr>
            <w:r>
              <w:rPr>
                <w:rFonts w:ascii="Times New Roman" w:hAnsi="Times New Roman" w:cs="Times New Roman"/>
                <w:iCs/>
                <w:sz w:val="16"/>
                <w:szCs w:val="16"/>
                <w:lang w:val="en-US"/>
              </w:rPr>
              <w:t>6 810 319</w:t>
            </w:r>
          </w:p>
        </w:tc>
      </w:tr>
      <w:tr w:rsidR="00426FE9">
        <w:trPr>
          <w:trHeight w:hRule="exact" w:val="227"/>
        </w:trPr>
        <w:tc>
          <w:tcPr>
            <w:tcW w:w="10096" w:type="dxa"/>
            <w:gridSpan w:val="5"/>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b/>
                <w:iCs/>
                <w:sz w:val="16"/>
                <w:szCs w:val="16"/>
                <w:lang w:val="en-US"/>
              </w:rPr>
            </w:pPr>
            <w:r>
              <w:rPr>
                <w:rFonts w:ascii="Times New Roman" w:hAnsi="Times New Roman" w:cs="Times New Roman"/>
                <w:b/>
                <w:bCs/>
                <w:sz w:val="16"/>
                <w:szCs w:val="16"/>
              </w:rPr>
              <w:t>Показатели за изпълнение, във връзка с административно-териториалното устройството</w:t>
            </w:r>
          </w:p>
        </w:tc>
      </w:tr>
      <w:tr w:rsidR="00426FE9">
        <w:trPr>
          <w:trHeight w:hRule="exact" w:val="227"/>
        </w:trPr>
        <w:tc>
          <w:tcPr>
            <w:tcW w:w="5883" w:type="dxa"/>
            <w:tcBorders>
              <w:left w:val="single" w:sz="4"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bCs/>
                <w:sz w:val="16"/>
                <w:szCs w:val="16"/>
              </w:rPr>
            </w:pPr>
            <w:r>
              <w:rPr>
                <w:rFonts w:ascii="Times New Roman" w:hAnsi="Times New Roman" w:cs="Times New Roman"/>
                <w:bCs/>
                <w:sz w:val="16"/>
                <w:szCs w:val="16"/>
              </w:rPr>
              <w:t>Извършени тематични анализи и оценки, свързани с административно-териториалното устройство</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Брой</w:t>
            </w:r>
          </w:p>
        </w:tc>
        <w:tc>
          <w:tcPr>
            <w:tcW w:w="98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4</w:t>
            </w:r>
          </w:p>
        </w:tc>
        <w:tc>
          <w:tcPr>
            <w:tcW w:w="1026"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4</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4</w:t>
            </w:r>
          </w:p>
        </w:tc>
      </w:tr>
      <w:tr w:rsidR="00426FE9">
        <w:trPr>
          <w:trHeight w:hRule="exact" w:val="227"/>
        </w:trPr>
        <w:tc>
          <w:tcPr>
            <w:tcW w:w="5883"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bCs/>
                <w:sz w:val="16"/>
                <w:szCs w:val="16"/>
              </w:rPr>
            </w:pPr>
            <w:r>
              <w:rPr>
                <w:rFonts w:ascii="Times New Roman" w:hAnsi="Times New Roman" w:cs="Times New Roman"/>
                <w:bCs/>
                <w:sz w:val="16"/>
                <w:szCs w:val="16"/>
              </w:rPr>
              <w:t>Изпълнени проекто-проучвателни дейности с бюджетно и/или външно финансиране в областта на децентрализацията и доброто управление на местно ниво</w:t>
            </w:r>
          </w:p>
        </w:tc>
        <w:tc>
          <w:tcPr>
            <w:tcW w:w="1264"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Брой</w:t>
            </w:r>
          </w:p>
        </w:tc>
        <w:tc>
          <w:tcPr>
            <w:tcW w:w="981"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3</w:t>
            </w:r>
          </w:p>
        </w:tc>
        <w:tc>
          <w:tcPr>
            <w:tcW w:w="1026"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4</w:t>
            </w:r>
          </w:p>
        </w:tc>
        <w:tc>
          <w:tcPr>
            <w:tcW w:w="94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4</w:t>
            </w:r>
          </w:p>
        </w:tc>
      </w:tr>
    </w:tbl>
    <w:p w:rsidR="00426FE9" w:rsidRDefault="00426FE9">
      <w:pPr>
        <w:tabs>
          <w:tab w:val="left" w:pos="567"/>
          <w:tab w:val="left" w:pos="709"/>
        </w:tabs>
        <w:spacing w:after="0" w:line="240" w:lineRule="auto"/>
        <w:jc w:val="both"/>
        <w:rPr>
          <w:rFonts w:ascii="Times New Roman" w:hAnsi="Times New Roman"/>
          <w:b/>
          <w:i/>
          <w:color w:val="0000CC"/>
        </w:rPr>
      </w:pPr>
    </w:p>
    <w:p w:rsidR="00426FE9" w:rsidRDefault="00D0590D">
      <w:pPr>
        <w:spacing w:after="0" w:line="240" w:lineRule="auto"/>
        <w:ind w:firstLine="567"/>
        <w:jc w:val="both"/>
        <w:rPr>
          <w:rFonts w:ascii="Times New Roman" w:eastAsia="Calibri" w:hAnsi="Times New Roman" w:cs="Times New Roman"/>
          <w:b/>
          <w:i/>
          <w:color w:val="0000CC"/>
        </w:rPr>
      </w:pPr>
      <w:r>
        <w:rPr>
          <w:rFonts w:ascii="Times New Roman" w:eastAsia="Calibri" w:hAnsi="Times New Roman" w:cs="Times New Roman"/>
          <w:b/>
          <w:i/>
          <w:color w:val="0000CC"/>
        </w:rPr>
        <w:t>Описание на показателите за изпълнение</w:t>
      </w:r>
    </w:p>
    <w:p w:rsidR="00426FE9" w:rsidRDefault="00D0590D">
      <w:pPr>
        <w:spacing w:after="0" w:line="240" w:lineRule="auto"/>
        <w:ind w:firstLine="567"/>
        <w:jc w:val="both"/>
        <w:rPr>
          <w:rFonts w:ascii="Times New Roman" w:eastAsia="Calibri" w:hAnsi="Times New Roman" w:cs="Times New Roman"/>
          <w:b/>
          <w:i/>
          <w:color w:val="0000CC"/>
        </w:rPr>
      </w:pPr>
      <w:r>
        <w:rPr>
          <w:rFonts w:ascii="Times New Roman" w:eastAsia="Calibri" w:hAnsi="Times New Roman" w:cs="Times New Roman"/>
          <w:b/>
          <w:i/>
          <w:color w:val="0000CC"/>
        </w:rPr>
        <w:t>Показатели по стратегическо планиране, вкл. морско пространствено планиране:</w:t>
      </w:r>
    </w:p>
    <w:p w:rsidR="00426FE9" w:rsidRDefault="00D0590D" w:rsidP="004F30BC">
      <w:pPr>
        <w:pStyle w:val="ListParagraph"/>
        <w:numPr>
          <w:ilvl w:val="0"/>
          <w:numId w:val="3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„Изготвени стратегически, аналитични, информационни и нормативни документи, в т.ч. доклади за наблюдение и оценка, свързани с регионалното развитие“ – измерва постигнатите резултати във връзка с разработването, актуализирането, наблюдението и оценката на документите за стратегическо планиране на регионалното и пространственото развитие и хармонизацията на нормативната база за регионалното развитие. Целевите годишни стойности отразяват броя на документите, които се планира да бъдат изготвени. Целева група са всички свързани институции, органи и партньори (министерства и агенции, работодатели, синдикати, неправителствени организации, научни институти, университети, граждански сдружения и др.), участващи в провеждането на политиката за регионално развитие. </w:t>
      </w:r>
    </w:p>
    <w:p w:rsidR="00426FE9" w:rsidRDefault="00D0590D" w:rsidP="004F30BC">
      <w:pPr>
        <w:pStyle w:val="ListParagraph"/>
        <w:numPr>
          <w:ilvl w:val="0"/>
          <w:numId w:val="33"/>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Показател „Проведени координационни срещи, събития и форуми в районите от ниво 2“ – отчита постигнатите резултати по осъществяването на дейностите, свързани с регионалната координация за изпълнение на документите за регионално и местно развитие в районите от ниво 2. С целевите годишни стойности се планира броят на координационните срещи, събития и форуми в районите от ниво 2. Целева група са всички свързани институции, органи и партньори (министерства и агенции, работодатели, синдикати, неправителствени организации, научни институти, университети, граждански сдружения и др.), участващи в провеждането на политиката за регионално развитие.</w:t>
      </w:r>
    </w:p>
    <w:p w:rsidR="00426FE9" w:rsidRDefault="00D0590D">
      <w:pPr>
        <w:pStyle w:val="ListParagraph"/>
        <w:tabs>
          <w:tab w:val="left" w:pos="851"/>
        </w:tabs>
        <w:spacing w:after="0" w:line="240" w:lineRule="auto"/>
        <w:ind w:left="567"/>
        <w:jc w:val="both"/>
        <w:rPr>
          <w:rFonts w:ascii="Times New Roman" w:eastAsia="Times New Roman" w:hAnsi="Times New Roman"/>
          <w:lang w:eastAsia="bg-BG"/>
        </w:rPr>
      </w:pPr>
      <w:r>
        <w:rPr>
          <w:rFonts w:ascii="Times New Roman" w:eastAsia="Times New Roman" w:hAnsi="Times New Roman"/>
          <w:lang w:eastAsia="bg-BG"/>
        </w:rPr>
        <w:t xml:space="preserve">Показателите отчитат следните стратегически и оперативни цели: </w:t>
      </w:r>
    </w:p>
    <w:p w:rsidR="00426FE9" w:rsidRDefault="00D0590D">
      <w:pPr>
        <w:pStyle w:val="ListParagraph"/>
        <w:tabs>
          <w:tab w:val="left" w:pos="851"/>
        </w:tabs>
        <w:spacing w:after="0" w:line="240" w:lineRule="auto"/>
        <w:ind w:left="567"/>
        <w:jc w:val="both"/>
        <w:rPr>
          <w:rFonts w:ascii="Times New Roman" w:eastAsia="Times New Roman" w:hAnsi="Times New Roman"/>
          <w:lang w:eastAsia="bg-BG"/>
        </w:rPr>
      </w:pPr>
      <w:r>
        <w:rPr>
          <w:rFonts w:ascii="Times New Roman" w:eastAsia="Times New Roman" w:hAnsi="Times New Roman"/>
          <w:lang w:eastAsia="bg-BG"/>
        </w:rPr>
        <w:t xml:space="preserve">Стратегически цели: </w:t>
      </w:r>
    </w:p>
    <w:p w:rsidR="00426FE9" w:rsidRDefault="00D0590D" w:rsidP="004F30BC">
      <w:pPr>
        <w:pStyle w:val="ListParagraph"/>
        <w:numPr>
          <w:ilvl w:val="0"/>
          <w:numId w:val="34"/>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Създаване на стратегическа планова основа и хармонизирана нормативна уредба за интегрирано устойчиво развитие и постигане на интелигентен, устойчив и приобщаващ растеж на българските региони; </w:t>
      </w:r>
    </w:p>
    <w:p w:rsidR="00426FE9" w:rsidRDefault="00D0590D" w:rsidP="004F30BC">
      <w:pPr>
        <w:pStyle w:val="ListParagraph"/>
        <w:numPr>
          <w:ilvl w:val="0"/>
          <w:numId w:val="34"/>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rsidR="00426FE9" w:rsidRDefault="00D0590D">
      <w:pPr>
        <w:pStyle w:val="ListParagraph"/>
        <w:tabs>
          <w:tab w:val="left" w:pos="851"/>
        </w:tabs>
        <w:spacing w:after="0" w:line="240" w:lineRule="auto"/>
        <w:ind w:left="567"/>
        <w:jc w:val="both"/>
        <w:rPr>
          <w:rFonts w:ascii="Times New Roman" w:eastAsia="Times New Roman" w:hAnsi="Times New Roman"/>
          <w:lang w:eastAsia="bg-BG"/>
        </w:rPr>
      </w:pPr>
      <w:r>
        <w:rPr>
          <w:rFonts w:ascii="Times New Roman" w:eastAsia="Times New Roman" w:hAnsi="Times New Roman"/>
          <w:lang w:eastAsia="bg-BG"/>
        </w:rPr>
        <w:t>Оперативни цели:</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Повишаване ефективността и ефикасността на изпълнението на документите за регионално развитие на основа на системен мониторинг, оценка и регионална координация на секторните политики и инструментите за развитие.</w:t>
      </w:r>
    </w:p>
    <w:p w:rsidR="00426FE9" w:rsidRDefault="00D0590D">
      <w:pPr>
        <w:spacing w:after="0" w:line="240" w:lineRule="auto"/>
        <w:ind w:firstLine="567"/>
        <w:jc w:val="both"/>
        <w:rPr>
          <w:rFonts w:ascii="Times New Roman" w:eastAsia="Calibri" w:hAnsi="Times New Roman" w:cs="Times New Roman"/>
          <w:b/>
          <w:i/>
          <w:color w:val="0000CC"/>
        </w:rPr>
      </w:pPr>
      <w:r>
        <w:rPr>
          <w:rFonts w:ascii="Times New Roman" w:eastAsia="Calibri" w:hAnsi="Times New Roman" w:cs="Times New Roman"/>
          <w:b/>
          <w:i/>
          <w:color w:val="0000CC"/>
        </w:rPr>
        <w:t>Показатели по Програма „Развитие на регионите“ 2021-2027 г., отчитащи изпълнението на ЕФРР:</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„Жилища с подобрени енергийни характеристики“ – отчита постигнатите резултати по осъществяване на дейностите, свързани с подобряване на енергийните характеристики на жилищни сгради, удостоверени въз основа на извършено сертифициране и оценка на за постигнатите енергийни спестявания след прилагане на енергоспестяващи мерки. С целевите стойности се планира какъв ще бъде броят на жилищните сгради с подобрени енергийни характеристики.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„Обществени сгради с подобрени енергийни характеристики“  - отчита постигнатите резултати по осъществяване на дейностите, свързани с подобряване на енергийните характеристики на обществени сгради, удостоверени въз основа на извършено сертифициране и оценка на за постигнатите енергийни спестявания след прилагане на енергоспестяващи мерки. С целевите стойности се планира каква ще разгънатата застроена площ, представена в квадратни метри, на обществените сгради с подобрени енергийни характеристики.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„Зелена инфраструктура, подпомогната за цели, различни от адаптиране към изменението на климата“ – отчита постигнатите резултати, свързани с инвестиции за изграждане на нова или обновяване на съществуваща зелена инфраструктура. С целевите стойности се планира общата площ на зелената инфраструктура, изразена в хектари.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„Дължина на новите или подобрени пътища – извън трансевропейската транспортна мрежа“ – отчита постигнатите резултати, свързани с подобряване на мобилността на регионалното равнище </w:t>
      </w:r>
      <w:r>
        <w:rPr>
          <w:rFonts w:ascii="Times New Roman" w:eastAsia="Times New Roman" w:hAnsi="Times New Roman"/>
          <w:lang w:eastAsia="bg-BG"/>
        </w:rPr>
        <w:lastRenderedPageBreak/>
        <w:t xml:space="preserve">посредством изграждане и подобряване на пътни участъци извън </w:t>
      </w:r>
      <w:r>
        <w:rPr>
          <w:rFonts w:ascii="Times New Roman" w:eastAsia="Times New Roman" w:hAnsi="Times New Roman"/>
          <w:lang w:val="en-US" w:eastAsia="bg-BG"/>
        </w:rPr>
        <w:t xml:space="preserve">TEN-T </w:t>
      </w:r>
      <w:r>
        <w:rPr>
          <w:rFonts w:ascii="Times New Roman" w:eastAsia="Times New Roman" w:hAnsi="Times New Roman"/>
          <w:lang w:eastAsia="bg-BG"/>
        </w:rPr>
        <w:t xml:space="preserve">мрежата. С целевите стойности се планира общата дължина на новоизградени или подобрени пътища, изразена в километри.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Показател „Дължина на реконструираните или модернизирани пътища - извън трансевропейската транспортна мрежа“</w:t>
      </w:r>
      <w:r>
        <w:rPr>
          <w:rFonts w:ascii="Times New Roman" w:eastAsia="Times New Roman" w:hAnsi="Times New Roman"/>
          <w:lang w:val="en-US" w:eastAsia="bg-BG"/>
        </w:rPr>
        <w:t xml:space="preserve"> </w:t>
      </w:r>
      <w:r>
        <w:rPr>
          <w:rFonts w:ascii="Times New Roman" w:eastAsia="Times New Roman" w:hAnsi="Times New Roman"/>
          <w:lang w:eastAsia="bg-BG"/>
        </w:rPr>
        <w:t>–</w:t>
      </w:r>
      <w:r>
        <w:rPr>
          <w:rFonts w:ascii="Times New Roman" w:eastAsia="Times New Roman" w:hAnsi="Times New Roman"/>
          <w:lang w:val="en-US" w:eastAsia="bg-BG"/>
        </w:rPr>
        <w:t xml:space="preserve"> </w:t>
      </w:r>
      <w:r>
        <w:rPr>
          <w:rFonts w:ascii="Times New Roman" w:eastAsia="Times New Roman" w:hAnsi="Times New Roman"/>
          <w:lang w:eastAsia="bg-BG"/>
        </w:rPr>
        <w:t xml:space="preserve">отчита постигнатите резултати, свързани с подобряване на мобилността на регионалното равнище посредством реконструиране и модернизиране на пътни участъци извън </w:t>
      </w:r>
      <w:r>
        <w:rPr>
          <w:rFonts w:ascii="Times New Roman" w:eastAsia="Times New Roman" w:hAnsi="Times New Roman"/>
          <w:lang w:val="en-US" w:eastAsia="bg-BG"/>
        </w:rPr>
        <w:t xml:space="preserve">TEN-T </w:t>
      </w:r>
      <w:r>
        <w:rPr>
          <w:rFonts w:ascii="Times New Roman" w:eastAsia="Times New Roman" w:hAnsi="Times New Roman"/>
          <w:lang w:eastAsia="bg-BG"/>
        </w:rPr>
        <w:t xml:space="preserve">мрежата. С целевите стойности се планира общата дължина на реконструирани или модернизирани пътища, изразена в километри.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„Капацитет на екологосъобразния подвижен състав за колективен обществен транспорт“ – отчита постигнатите резултати, свързани с предприемане на действия по осигуряване на екологично чист обществен транспорт. С целевите стойности се планира капацитетът на седящи и правостоящи пътници в екологичните транспортни средства.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„Специализирана велосипедна инфраструктура, за която се отпуска подпомагане“ – отчита постигнатите резултати, свързани с инвестиции в изграждане или обновяване на велосипедна инфраструктура, включваща велосипедни трасета, физически отделени от автомобилното движение, велосипедни улици, велосипедни тунели и др. С целевите стойности се планира дължината на новоизградената или обновена велосипедна инфраструктура, изразена в километри.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„Инфраструктура за алтернативни горива (точки за зареждане/ зарядни точки)“ – отчита постигнатите резултати, насочени към създаване или модернизиране на инфраструктура за смекчаване въздействието на транспорта върху околната среда. С целевите стойности на индикатора се планира борят на новосъздадени или модернизирани точки за зареждане/зарядни точки за алтернативни горива.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„Капацитет на нови или модернизирани места за социално жилищно настаняване“ – отчита постигнатите резултати, свързани с инвестициите в социално жилищно настаняване, което допринася за по-добро социално приобщаване и интеграция на уязвими, малцинствени и социално слаби групи от населението, включително други групи в неравностойно положение. С целевите стойности се планира максималният брой на лицата, които могат да бъдат настанени в новопостроени или модернизирани социални жилища.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„Капацитет на класните стаи на нови или модернизирани детски заведения“ – отчита постигнатите резултати, свързани с инвестиции в обществени детски заведения за предучилищно отглеждане и възпитание. С целевите стойности се планира максималният брой на лицата, ползватели на новопостроени или модернизирани детски заведения, при спазване на нормативно установения максимален брой на лицата.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„Капацитет на класните стаи на нови или модернизирани образователни заведения“ – отчита постигнатите резултати, свързани с инвестиции в образователна инфраструктура, т.ч. училища и висши учебни заведения. С целевите стойности се планира максималният брой на лицата, ползватели на новопостроени или модернизирани образователни заведения, при спазване на нормативно установения максимален брой на лицата.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„Капацитет на нови или модернизирани здравни заведения“- отчита постигнатите резултати, свързани с подобряване достъпа до здравна помощ чрез модернизация на съществуващи или изграждане на нови здравни заведения. С целевите стойности се планира годишният брой на лицата, обслужени/възползващи се от новоизградените или модернизирани здравни заведения.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„Капацитет на нови или модернизирани структури за социални грижи (различни от жилищно настаняване)“ – отчита постигнатите резултати по отношение на инвестициите в социална инфраструктура, различна от социално жилищно настаняване. С целевите стойности се планира максималният годишен брой на лицата, които могат да бъдат обслужени поне веднъж в рамките на една календарна година от нови или модернизирани структури за социални грижи, различни от социално жилищно настаняване.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„Жители, обхванати от проекти в рамките на стратегии за интегрирано териториално развитие“ – отчита постигнатите резултати, свързани с изпълнението на проекти, подкрепени от фондовете на Европейския съюз. С целевите стойности се планира броят на лицата, обхванати от проекти, в рамките на стратегии за интегрирано териториално развитие.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„Стратегии за интегрирано териториално развитие, които получават подпомагане“ – отчита постигнатите резултати по отношение на приносите към стратегии за интегрирано териториално </w:t>
      </w:r>
      <w:r>
        <w:rPr>
          <w:rFonts w:ascii="Times New Roman" w:eastAsia="Times New Roman" w:hAnsi="Times New Roman"/>
          <w:lang w:eastAsia="bg-BG"/>
        </w:rPr>
        <w:lastRenderedPageBreak/>
        <w:t xml:space="preserve">развитие, в съответствие с разпоредбите на Регламент ЕС 1060/2021 за общоприложимите разпоредби (РОР). С целевите стойности се планира броят на финансовите приноси.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„Интегрирани проекти за териториално развитие“ – отчита постигнатите резултати по отношение на подкрепата за интегрирано териториално развитие. С целевите стойности се планира броят на интегрираните проекти, подкрепени в рамките на интегрираното териториално развитие в съответствие с разпоредбите на чл. 28 от РОР.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„Брой културни и туристически обекти, които получават подпомагане“ – отчита постигнатите резултати, свързани със съхраняване, опазване, популяризиране и развитие на публични туристически активи и услуги и културно наследство. С целевите стойности се планира броят на подкрепените културни и туристически обекти. </w:t>
      </w:r>
    </w:p>
    <w:p w:rsidR="00426FE9" w:rsidRDefault="00D0590D" w:rsidP="004F30BC">
      <w:pPr>
        <w:pStyle w:val="ListParagraph"/>
        <w:numPr>
          <w:ilvl w:val="0"/>
          <w:numId w:val="36"/>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„Незастроени площи, създадени или рехабилитирани в градските райони“ – отчита постигнатите резултати, свързани с предприемане на действия за подобряване на градската среда чрез инвестиции в създаване или обновяване на открити обществени пространства в градските райони. С целевите стойности се планира площта на новосъздадени или обновени открити обществени пространства, изразена в квадратни метри. </w:t>
      </w:r>
    </w:p>
    <w:p w:rsidR="00426FE9" w:rsidRDefault="00D0590D">
      <w:pPr>
        <w:pStyle w:val="ListParagraph"/>
        <w:tabs>
          <w:tab w:val="left" w:pos="851"/>
        </w:tabs>
        <w:spacing w:after="0" w:line="240" w:lineRule="auto"/>
        <w:ind w:left="567"/>
        <w:jc w:val="both"/>
        <w:rPr>
          <w:rFonts w:ascii="Times New Roman" w:eastAsia="Times New Roman" w:hAnsi="Times New Roman"/>
          <w:lang w:eastAsia="bg-BG"/>
        </w:rPr>
      </w:pPr>
      <w:r>
        <w:rPr>
          <w:rFonts w:ascii="Times New Roman" w:eastAsia="Times New Roman" w:hAnsi="Times New Roman"/>
          <w:lang w:eastAsia="bg-BG"/>
        </w:rPr>
        <w:t xml:space="preserve">Гореизброените показатели отчитат следните стратегически и оперативни цели: </w:t>
      </w:r>
    </w:p>
    <w:p w:rsidR="00426FE9" w:rsidRDefault="00D0590D">
      <w:pPr>
        <w:pStyle w:val="ListParagraph"/>
        <w:tabs>
          <w:tab w:val="left" w:pos="851"/>
        </w:tabs>
        <w:spacing w:after="0" w:line="240" w:lineRule="auto"/>
        <w:ind w:left="0" w:firstLine="567"/>
        <w:jc w:val="both"/>
        <w:rPr>
          <w:rFonts w:ascii="Times New Roman" w:eastAsia="Times New Roman" w:hAnsi="Times New Roman"/>
          <w:i/>
          <w:lang w:eastAsia="bg-BG"/>
        </w:rPr>
      </w:pPr>
      <w:r>
        <w:rPr>
          <w:rFonts w:ascii="Times New Roman" w:eastAsia="Times New Roman" w:hAnsi="Times New Roman"/>
          <w:i/>
          <w:lang w:eastAsia="bg-BG"/>
        </w:rPr>
        <w:t xml:space="preserve">Стратегически цели: </w:t>
      </w:r>
    </w:p>
    <w:p w:rsidR="00426FE9" w:rsidRDefault="00D0590D" w:rsidP="004F30BC">
      <w:pPr>
        <w:pStyle w:val="ListParagraph"/>
        <w:numPr>
          <w:ilvl w:val="0"/>
          <w:numId w:val="29"/>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rsidR="00426FE9" w:rsidRDefault="00D0590D" w:rsidP="004F30BC">
      <w:pPr>
        <w:pStyle w:val="ListParagraph"/>
        <w:numPr>
          <w:ilvl w:val="0"/>
          <w:numId w:val="29"/>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rsidR="00426FE9" w:rsidRDefault="00D0590D" w:rsidP="004F30BC">
      <w:pPr>
        <w:pStyle w:val="ListParagraph"/>
        <w:numPr>
          <w:ilvl w:val="0"/>
          <w:numId w:val="29"/>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Балансирано териториално развитие, чрез укрепване на мрежата от градове-центрове, подобряване свързаността в районите и качеството на средата в населените места;</w:t>
      </w:r>
    </w:p>
    <w:p w:rsidR="00426FE9" w:rsidRDefault="00D0590D">
      <w:pPr>
        <w:pStyle w:val="ListParagraph"/>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Създаване на условия за постигане на устойчиво интегрирано развитие на районите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p>
    <w:p w:rsidR="00426FE9" w:rsidRDefault="00D0590D">
      <w:pPr>
        <w:pStyle w:val="ListParagraph"/>
        <w:tabs>
          <w:tab w:val="left" w:pos="709"/>
        </w:tabs>
        <w:spacing w:after="0" w:line="240" w:lineRule="auto"/>
        <w:ind w:left="0" w:firstLine="567"/>
        <w:jc w:val="both"/>
        <w:rPr>
          <w:rFonts w:ascii="Times New Roman" w:eastAsia="Times New Roman" w:hAnsi="Times New Roman"/>
          <w:i/>
          <w:lang w:eastAsia="bg-BG"/>
        </w:rPr>
      </w:pPr>
      <w:r>
        <w:rPr>
          <w:rFonts w:ascii="Times New Roman" w:eastAsia="Times New Roman" w:hAnsi="Times New Roman"/>
          <w:i/>
          <w:lang w:eastAsia="bg-BG"/>
        </w:rPr>
        <w:t>Оперативни цели:</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Повишаване на качеството на живот, социално включване, и подобряване на екологичната среда, чрез благоустрояване на физическата среда в градовете;</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Повишаване на енергийната ефективност в публичните сгради и в жилищния сектор;</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Намаляване броя на преждевременно отпадналите от училище и повишаване на броя на хората с висше образование;</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Социално приобщаване, чрез инвестиции в социална, спортна и културна инфраструктура в градовете;</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Повишаване на здравния статус на населението, чрез модернизация на здравната инфраструктура;</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Опазване, популяризиране и развитие на културното и природно наследство, чрез насърчаване на регионалния туризъм;</w:t>
      </w:r>
    </w:p>
    <w:p w:rsidR="00426FE9" w:rsidRDefault="00D0590D" w:rsidP="004F30BC">
      <w:pPr>
        <w:pStyle w:val="ListParagraph"/>
        <w:numPr>
          <w:ilvl w:val="0"/>
          <w:numId w:val="35"/>
        </w:numPr>
        <w:tabs>
          <w:tab w:val="left" w:pos="709"/>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Подобряване на свързаността и достъпността до TEN-T мрежата за товари и пътници.</w:t>
      </w:r>
    </w:p>
    <w:p w:rsidR="00426FE9" w:rsidRDefault="00D0590D">
      <w:pPr>
        <w:pStyle w:val="ListParagraph"/>
        <w:tabs>
          <w:tab w:val="left" w:pos="851"/>
        </w:tabs>
        <w:spacing w:after="0" w:line="240" w:lineRule="auto"/>
        <w:ind w:left="0" w:firstLine="567"/>
        <w:jc w:val="both"/>
        <w:rPr>
          <w:rFonts w:ascii="Times New Roman" w:eastAsia="Times New Roman" w:hAnsi="Times New Roman"/>
          <w:b/>
          <w:i/>
          <w:color w:val="0000CC"/>
          <w:lang w:eastAsia="bg-BG"/>
        </w:rPr>
      </w:pPr>
      <w:r>
        <w:rPr>
          <w:rFonts w:ascii="Times New Roman" w:eastAsia="Times New Roman" w:hAnsi="Times New Roman"/>
          <w:b/>
          <w:i/>
          <w:color w:val="0000CC"/>
          <w:lang w:eastAsia="bg-BG"/>
        </w:rPr>
        <w:t>Показатели  по Програма „Развитие на регионите“ 2021-2027 г., отчитащи изпълнението на ФСП:</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Показател „Общ брой на участниците“ - отчита общия брой на участниците, обхванати от интервенциите по програмата, свързани с инвестициите за социален преход, повишаване на квалификацията, преквалификация, насърчаване на предприемачеството.</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Показател</w:t>
      </w:r>
      <w:r>
        <w:rPr>
          <w:rFonts w:ascii="Times New Roman" w:eastAsia="Times New Roman" w:hAnsi="Times New Roman"/>
          <w:lang w:val="en-US" w:eastAsia="bg-BG"/>
        </w:rPr>
        <w:t xml:space="preserve"> </w:t>
      </w:r>
      <w:r>
        <w:rPr>
          <w:rFonts w:ascii="Times New Roman" w:eastAsia="Times New Roman" w:hAnsi="Times New Roman"/>
          <w:lang w:eastAsia="bg-BG"/>
        </w:rPr>
        <w:t>“Безработни, включително трайно безработни” – отчита стойността на безработни, включително трайно безработни, които ще бъдат подкрепени по програмата с дейности за включването им на пазара на труда чрез повишаване на квалификацията и знанията, мотивацията за работа, професионални консултации, насърчаване на предприемачеството и т.н.</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Показател „Заети лица, включително самостоятелно заети лица“ – отчита стойността на заетите лица, включително самостоятелно заети лица  които ще бъдат подкрепени по програмата с целенасочени дейности към работодателите, предприятията и работниците за адаптиране и преодоляване на предизвикателствата в регионите, свързани с прехода към климатична неутралност.</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 xml:space="preserve">Показател „Предприятия, получаващи подкрепа (микро-, малки, средни и големи предприятия)“ - отчита броя на предприятията (микро-, малки, средни и големи предприятия), които ще получат финансова подкрепа в рамките на планираните инвестиции с ресурс от ФСП.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„Предприятия, получаващи подкрепа чрез безвъзмездни средства“ – отчита броя на предприятията, които ще получат безвъзмездна финансова помощ в рамките на планираните инвестиции с ресурс от ФСП.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„Нови предприятия, получаващи подкрепа“ – отчита броя Броят на подкрепените нови предприятия с финансиране от ФСП. За ново предприятие се счита това, което е създадено не по-рано от три години преди да кандидатства за подпомагане по конкретна процедура.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„Жилища с подобрени енергийни характеристики“ – отчита постигнатите резултати от осъществяване на дейностите с ресурс от ФСП, свързани с подобряване на енергийните характеристики на жилищни сгради, които са на територията на 3-те въглищни региона Перник, Кюстендил и Стара Загора с 10 прилежащи общини. С целевите стойности се планира какъв ще бъде броят на жилищните сгради с подобрени енергийни характеристики.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„Обществени сгради с подобрени енергийни характеристики“ - отчита постигнатите резултати по осъществяване на дейностите с финансиране от ФСП, свързани с подобряване на енергийните характеристики на обществени сгради, които са на територията на 3-те въглищни региона Перник, Кюстендил и Стара Загора с 10 прилежащи общини. С целевите стойности се планира каква ще разгънатата застроена площ, представена в квадратни метри, на обществените сгради с подобрени енергийни характеристики.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„Допълнителен капацитет за производство на енергия от възобновяеми източници (от които: електроенергия, топлинна енергия)“ - отчита допълнителния производствен капацитет за енергия от ВЕИ, изграден или разширен в резултат от подкрепата по програмата. Обхваща и производствения капацитет, който е бил изграден или разширен, но все още не е свързан към мрежата (ако е приложимо) или не е все още не е напълно готов да произвежда енергия. Производственият капацитет се разбира като "нетна максимална електрическа капацитет", определен от Евростат като "максималната активна мощност, която може да се доставя непрекъснато, при работеща инсталация, в точката на изхода (т.е. след като се вземе захранването на спомагателните съоръжения на централата и се допусне загубите в трансформаторите, които се считат за неразделна част от станцията)".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Показател „Площ на рехабилитираната земя, за която се отпуска подкрепа“ – отчита инвестициите за рекултивация и възстановяване на минните терени и подготовката им за бъдещи  за нови промишлени дейности. </w:t>
      </w:r>
    </w:p>
    <w:p w:rsidR="00426FE9" w:rsidRDefault="00D0590D" w:rsidP="004F30BC">
      <w:pPr>
        <w:pStyle w:val="ListParagraph"/>
        <w:numPr>
          <w:ilvl w:val="0"/>
          <w:numId w:val="3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Показател „МСП, които инвестират в умения за интелигентна специализация, промишлен преход и предприемачество“ – отчита броя на предприятията (микро, малки и средни), които са получили финансова подкрепа за инвестиции в умения за интелигентна специализация, промишлен преход и предприемачество за изследвания и иновации в тях.</w:t>
      </w:r>
    </w:p>
    <w:p w:rsidR="00426FE9" w:rsidRDefault="00D0590D">
      <w:pPr>
        <w:pStyle w:val="ListParagraph"/>
        <w:tabs>
          <w:tab w:val="left" w:pos="709"/>
        </w:tabs>
        <w:spacing w:after="0" w:line="240" w:lineRule="auto"/>
        <w:ind w:left="567"/>
        <w:rPr>
          <w:rFonts w:ascii="Times New Roman" w:eastAsia="Times New Roman" w:hAnsi="Times New Roman"/>
          <w:lang w:eastAsia="bg-BG"/>
        </w:rPr>
      </w:pPr>
      <w:r>
        <w:rPr>
          <w:rFonts w:ascii="Times New Roman" w:eastAsia="Times New Roman" w:hAnsi="Times New Roman"/>
          <w:lang w:eastAsia="bg-BG"/>
        </w:rPr>
        <w:t xml:space="preserve">Гореизброените показатели отчитат следните стратегически и оперативни цели: </w:t>
      </w:r>
    </w:p>
    <w:p w:rsidR="00426FE9" w:rsidRDefault="00D0590D">
      <w:pPr>
        <w:pStyle w:val="ListParagraph"/>
        <w:tabs>
          <w:tab w:val="left" w:pos="709"/>
        </w:tabs>
        <w:spacing w:after="0" w:line="240" w:lineRule="auto"/>
        <w:ind w:left="567"/>
        <w:rPr>
          <w:rFonts w:ascii="Times New Roman" w:eastAsia="Times New Roman" w:hAnsi="Times New Roman"/>
          <w:i/>
          <w:lang w:eastAsia="bg-BG"/>
        </w:rPr>
      </w:pPr>
      <w:r>
        <w:rPr>
          <w:rFonts w:ascii="Times New Roman" w:eastAsia="Times New Roman" w:hAnsi="Times New Roman"/>
          <w:i/>
          <w:lang w:eastAsia="bg-BG"/>
        </w:rPr>
        <w:t xml:space="preserve">Стратегически цели: </w:t>
      </w:r>
    </w:p>
    <w:p w:rsidR="00426FE9" w:rsidRDefault="00D0590D" w:rsidP="004F30BC">
      <w:pPr>
        <w:pStyle w:val="ListParagraph"/>
        <w:numPr>
          <w:ilvl w:val="0"/>
          <w:numId w:val="29"/>
        </w:numPr>
        <w:spacing w:after="0" w:line="240" w:lineRule="auto"/>
        <w:ind w:left="0" w:firstLine="567"/>
        <w:rPr>
          <w:rFonts w:ascii="Times New Roman" w:eastAsia="Times New Roman" w:hAnsi="Times New Roman"/>
          <w:lang w:eastAsia="bg-BG"/>
        </w:rPr>
      </w:pPr>
      <w:r>
        <w:rPr>
          <w:rFonts w:ascii="Times New Roman" w:eastAsia="Times New Roman" w:hAnsi="Times New Roman"/>
          <w:lang w:eastAsia="bg-BG"/>
        </w:rPr>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rsidR="00426FE9" w:rsidRDefault="00D0590D" w:rsidP="004F30BC">
      <w:pPr>
        <w:pStyle w:val="ListParagraph"/>
        <w:numPr>
          <w:ilvl w:val="0"/>
          <w:numId w:val="29"/>
        </w:numPr>
        <w:spacing w:after="0" w:line="240" w:lineRule="auto"/>
        <w:ind w:left="0" w:firstLine="567"/>
        <w:rPr>
          <w:rFonts w:ascii="Times New Roman" w:eastAsia="Times New Roman" w:hAnsi="Times New Roman"/>
          <w:lang w:eastAsia="bg-BG"/>
        </w:rPr>
      </w:pPr>
      <w:r>
        <w:rPr>
          <w:rFonts w:ascii="Times New Roman" w:eastAsia="Times New Roman" w:hAnsi="Times New Roman"/>
          <w:lang w:eastAsia="bg-BG"/>
        </w:rPr>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rsidR="00426FE9" w:rsidRDefault="00D0590D" w:rsidP="004F30BC">
      <w:pPr>
        <w:pStyle w:val="ListParagraph"/>
        <w:numPr>
          <w:ilvl w:val="0"/>
          <w:numId w:val="29"/>
        </w:numPr>
        <w:spacing w:after="0" w:line="240" w:lineRule="auto"/>
        <w:ind w:left="0" w:firstLine="567"/>
        <w:rPr>
          <w:rFonts w:ascii="Times New Roman" w:eastAsia="Times New Roman" w:hAnsi="Times New Roman"/>
          <w:lang w:eastAsia="bg-BG"/>
        </w:rPr>
      </w:pPr>
      <w:r>
        <w:rPr>
          <w:rFonts w:ascii="Times New Roman" w:eastAsia="Times New Roman" w:hAnsi="Times New Roman"/>
          <w:lang w:eastAsia="bg-BG"/>
        </w:rPr>
        <w:t>Балансирано териториално развитие чрез укрепване на мрежата от градове-центрове, подобряване свързаността в районите и качеството на средата в населените места;</w:t>
      </w:r>
    </w:p>
    <w:p w:rsidR="00426FE9" w:rsidRDefault="00D0590D" w:rsidP="004F30BC">
      <w:pPr>
        <w:pStyle w:val="ListParagraph"/>
        <w:numPr>
          <w:ilvl w:val="0"/>
          <w:numId w:val="29"/>
        </w:numPr>
        <w:spacing w:after="0" w:line="240" w:lineRule="auto"/>
        <w:ind w:left="0" w:firstLine="567"/>
        <w:rPr>
          <w:rFonts w:ascii="Times New Roman" w:eastAsia="Times New Roman" w:hAnsi="Times New Roman"/>
          <w:lang w:eastAsia="bg-BG"/>
        </w:rPr>
      </w:pPr>
      <w:r>
        <w:rPr>
          <w:rFonts w:ascii="Times New Roman" w:eastAsia="Times New Roman" w:hAnsi="Times New Roman"/>
          <w:lang w:eastAsia="bg-BG"/>
        </w:rPr>
        <w:t>Създаване на условия за постигане на устойчиво интегрирано развитие на районите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r>
        <w:rPr>
          <w:rFonts w:ascii="Times New Roman" w:eastAsia="Times New Roman" w:hAnsi="Times New Roman"/>
          <w:lang w:val="en-US" w:eastAsia="bg-BG"/>
        </w:rPr>
        <w:t>;</w:t>
      </w:r>
    </w:p>
    <w:p w:rsidR="00426FE9" w:rsidRDefault="00D0590D" w:rsidP="004F30BC">
      <w:pPr>
        <w:pStyle w:val="ListParagraph"/>
        <w:numPr>
          <w:ilvl w:val="0"/>
          <w:numId w:val="29"/>
        </w:numPr>
        <w:spacing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Предоставяне на възможност на регионите и хората да се справят със социалните, икономическите и екологичните последици от прехода към целите на Съюза за 2030 в областта на енергетиката и климата и към неутрална по отношение на климата икономика на Съюза до 2050, въз основа на Парижкото споразумение.</w:t>
      </w:r>
    </w:p>
    <w:p w:rsidR="00426FE9" w:rsidRDefault="00D0590D">
      <w:pPr>
        <w:pStyle w:val="ListParagraph"/>
        <w:tabs>
          <w:tab w:val="left" w:pos="709"/>
        </w:tabs>
        <w:spacing w:after="0" w:line="240" w:lineRule="auto"/>
        <w:ind w:left="567"/>
        <w:jc w:val="both"/>
        <w:rPr>
          <w:rFonts w:ascii="Times New Roman" w:eastAsia="Times New Roman" w:hAnsi="Times New Roman"/>
          <w:i/>
          <w:lang w:eastAsia="bg-BG"/>
        </w:rPr>
      </w:pPr>
      <w:r>
        <w:rPr>
          <w:rFonts w:ascii="Times New Roman" w:eastAsia="Times New Roman" w:hAnsi="Times New Roman"/>
          <w:i/>
          <w:lang w:eastAsia="bg-BG"/>
        </w:rPr>
        <w:t>Оперативни цели:</w:t>
      </w:r>
    </w:p>
    <w:p w:rsidR="00426FE9" w:rsidRDefault="00D0590D" w:rsidP="004F30BC">
      <w:pPr>
        <w:pStyle w:val="ListParagraph"/>
        <w:numPr>
          <w:ilvl w:val="0"/>
          <w:numId w:val="38"/>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Повишаване на качеството на живот, социално включване, и подобряване на екологичната среда чрез благоустрояване на физическата среда в градовете;</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Повишаване на енергийната ефективност в публичните сгради и в жилищния сектор;</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Намаляване броя на преждевременно отпадналите от училище и повишаване на броя на хората с висше образование;</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Социално приобщаване чрез инвестиции в социална, спортна и културна инфраструктура в градовете;</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Повишаване на здравния статус на населението чрез модернизация на здравната инфраструктура;</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Опазване, популяризиране и развитие на културното и природно наследство чрез насърчаване на регионалния туризъм;</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Подобряване на свързаността и достъпността до TEN-T мрежата за товари и пътници;</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Създаване на индустрия за устойчиви енергийни решения чрез мерки  за насърчаващи разработването и прилагането на нови устойчиви енергийни решения в съответствие с целите на прехода към неутралност по отношение на климата и икономическата диверсификация/създаването на работни места</w:t>
      </w:r>
      <w:r>
        <w:rPr>
          <w:rFonts w:ascii="Times New Roman" w:eastAsia="Times New Roman" w:hAnsi="Times New Roman"/>
          <w:lang w:val="en-US" w:eastAsia="bg-BG"/>
        </w:rPr>
        <w:t>;</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Осигуряване на социална подкрепа и подкрепа на заетостта чрез повишаване на квалификацията и преквалификация на работната сила в засегнатите региони, насърчаване на предприемачеството, кариерно развитие, възможности за преминаване към алтернативни зелени работни места</w:t>
      </w:r>
      <w:r>
        <w:rPr>
          <w:rFonts w:ascii="Times New Roman" w:eastAsia="Times New Roman" w:hAnsi="Times New Roman"/>
          <w:lang w:val="en-US" w:eastAsia="bg-BG"/>
        </w:rPr>
        <w:t>;</w:t>
      </w:r>
    </w:p>
    <w:p w:rsidR="00426FE9" w:rsidRDefault="00D0590D" w:rsidP="004F30BC">
      <w:pPr>
        <w:pStyle w:val="ListParagraph"/>
        <w:numPr>
          <w:ilvl w:val="0"/>
          <w:numId w:val="39"/>
        </w:numPr>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Разнообразяване на местната икономика и насърчаване на нови икономически сектори, създаването на нови работни места, стартирането и развитието на предприятия, включително научноизследователска и развойна дейност, с цел преминаване към нови работни места след постепенното прекратяване на секторите, свързани с минното дело и енергията от въглища.</w:t>
      </w:r>
    </w:p>
    <w:p w:rsidR="00426FE9" w:rsidRDefault="00D0590D">
      <w:pPr>
        <w:pStyle w:val="ListParagraph"/>
        <w:tabs>
          <w:tab w:val="left" w:pos="709"/>
        </w:tabs>
        <w:spacing w:after="0" w:line="240" w:lineRule="auto"/>
        <w:ind w:left="567"/>
        <w:jc w:val="both"/>
        <w:rPr>
          <w:rFonts w:ascii="Times New Roman" w:eastAsia="Times New Roman" w:hAnsi="Times New Roman"/>
          <w:b/>
          <w:i/>
          <w:color w:val="0000CC"/>
          <w:lang w:eastAsia="bg-BG"/>
        </w:rPr>
      </w:pPr>
      <w:r>
        <w:rPr>
          <w:rFonts w:ascii="Times New Roman" w:eastAsia="Times New Roman" w:hAnsi="Times New Roman"/>
          <w:b/>
          <w:i/>
          <w:color w:val="0000CC"/>
          <w:lang w:eastAsia="bg-BG"/>
        </w:rPr>
        <w:t xml:space="preserve">Показатели по програмите за трансгранично сътрудничество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Заложените стойности са в съответствие с финансовия план на всяка програма за ТГС Интеррег ИПП 2021-2027 като е включено и 15 % национално съфинансиране. Изпълнението на целевите стойности влияе пряко на ефективното управление и изпълнение на програмите за ТГС Интеррег ИПП 2021-2027, което е от съществено значение за изпълнението на бюджетната програма 2100.01.01. При неизпълнение на целевите стойности съществува риск от автоматично освобождаване на средства по правилото „n+3“, което води до намаляване на общия бюджет на съответната програма за ТГС Интеррег ИПП 2021-2027.</w:t>
      </w:r>
    </w:p>
    <w:p w:rsidR="00426FE9" w:rsidRDefault="00D0590D" w:rsidP="004F30BC">
      <w:pPr>
        <w:pStyle w:val="ListParagraph"/>
        <w:numPr>
          <w:ilvl w:val="0"/>
          <w:numId w:val="32"/>
        </w:numPr>
        <w:tabs>
          <w:tab w:val="left" w:pos="851"/>
        </w:tabs>
        <w:spacing w:after="0" w:line="240" w:lineRule="auto"/>
        <w:ind w:left="0" w:firstLine="568"/>
        <w:jc w:val="both"/>
        <w:rPr>
          <w:rFonts w:ascii="Times New Roman" w:hAnsi="Times New Roman"/>
          <w:color w:val="0000CC"/>
          <w:lang w:val="ru-RU"/>
        </w:rPr>
      </w:pPr>
      <w:r>
        <w:rPr>
          <w:rFonts w:ascii="Times New Roman" w:hAnsi="Times New Roman"/>
          <w:b/>
          <w:i/>
          <w:color w:val="0000CC"/>
        </w:rPr>
        <w:t>Външни фактори, които могат да окажат въздействие върху постигането на целите на програмата</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Непреодолима сила;</w:t>
      </w:r>
    </w:p>
    <w:p w:rsidR="00426FE9" w:rsidRDefault="00D0590D" w:rsidP="004F30BC">
      <w:pPr>
        <w:numPr>
          <w:ilvl w:val="0"/>
          <w:numId w:val="40"/>
        </w:numPr>
        <w:tabs>
          <w:tab w:val="left" w:pos="567"/>
          <w:tab w:val="left" w:pos="851"/>
          <w:tab w:val="left" w:pos="1134"/>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Качествено изпълнение на договори по Закона за обществените поръчки, по проекти за безвъзмездна финансова помощ;</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Спазване на правило N+3 по Структурните фондове на Европейския съюз и постигане на междинните етапни цели по ОПРР;</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Недостатъчен административен и финансов капацитет на бенефициентите;</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Влиянието на последиците от икономическата криза и бежанската вълна върху стабилността на макроикономическата среда на Балканите;</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Липсата на промени в размера и териториалното разпределение на преките чуждестранни инвестиции по региони;</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Възможни сътресения в Еврозоната;</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Неизпълнение или некоректно изпълнение на задълженията на институциите от партниращата страна по съответната програма;</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Неизпълнение или некоректно изпълнение на задълженията на институциите от българска страна по съответната програма;</w:t>
      </w:r>
    </w:p>
    <w:p w:rsidR="00426FE9" w:rsidRDefault="00D0590D" w:rsidP="004F30BC">
      <w:pPr>
        <w:pStyle w:val="ListParagraph"/>
        <w:numPr>
          <w:ilvl w:val="0"/>
          <w:numId w:val="40"/>
        </w:numPr>
        <w:tabs>
          <w:tab w:val="left" w:pos="851"/>
        </w:tabs>
        <w:spacing w:after="0" w:line="240" w:lineRule="auto"/>
        <w:ind w:left="0" w:firstLine="567"/>
        <w:rPr>
          <w:rFonts w:ascii="Times New Roman" w:eastAsia="Times New Roman" w:hAnsi="Times New Roman"/>
          <w:lang w:eastAsia="bg-BG"/>
        </w:rPr>
      </w:pPr>
      <w:r>
        <w:rPr>
          <w:rFonts w:ascii="Times New Roman" w:eastAsia="Times New Roman" w:hAnsi="Times New Roman"/>
          <w:lang w:eastAsia="bg-BG"/>
        </w:rPr>
        <w:t>Целевите стойности са определени в одобрените от ЕК програмни документи за целия период на изпълнение на програмите;</w:t>
      </w:r>
    </w:p>
    <w:p w:rsidR="00426FE9" w:rsidRDefault="00D0590D" w:rsidP="004F30BC">
      <w:pPr>
        <w:numPr>
          <w:ilvl w:val="0"/>
          <w:numId w:val="40"/>
        </w:numPr>
        <w:tabs>
          <w:tab w:val="left" w:pos="851"/>
          <w:tab w:val="left" w:pos="1134"/>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bCs/>
          <w:lang w:eastAsia="bg-BG"/>
        </w:rPr>
        <w:t>Условия на кризи в областта на икономиката, здравеопазването, политиката, екологията и др. на регионално, национално и международно ниво.</w:t>
      </w:r>
    </w:p>
    <w:p w:rsidR="00426FE9" w:rsidRDefault="00D0590D" w:rsidP="004F30BC">
      <w:pPr>
        <w:numPr>
          <w:ilvl w:val="0"/>
          <w:numId w:val="32"/>
        </w:numPr>
        <w:tabs>
          <w:tab w:val="left" w:pos="851"/>
        </w:tabs>
        <w:spacing w:after="0" w:line="240" w:lineRule="auto"/>
        <w:ind w:left="0" w:firstLine="567"/>
        <w:jc w:val="both"/>
        <w:rPr>
          <w:rFonts w:ascii="Times New Roman" w:hAnsi="Times New Roman" w:cs="Times New Roman"/>
          <w:b/>
          <w:i/>
          <w:color w:val="0000CC"/>
        </w:rPr>
      </w:pPr>
      <w:r>
        <w:rPr>
          <w:rFonts w:ascii="Times New Roman" w:hAnsi="Times New Roman" w:cs="Times New Roman"/>
          <w:b/>
          <w:i/>
          <w:color w:val="0000CC"/>
        </w:rPr>
        <w:t>Информация за наличността и качеството на данните</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eastAsia="Calibri" w:hAnsi="Times New Roman" w:cs="Times New Roman"/>
          <w:b/>
        </w:rPr>
      </w:pPr>
      <w:r>
        <w:rPr>
          <w:rFonts w:ascii="Times New Roman" w:eastAsia="Calibri" w:hAnsi="Times New Roman" w:cs="Times New Roman"/>
          <w:bCs/>
        </w:rPr>
        <w:t>„</w:t>
      </w:r>
      <w:r>
        <w:rPr>
          <w:rFonts w:ascii="Times New Roman" w:eastAsia="Calibri" w:hAnsi="Times New Roman" w:cs="Times New Roman"/>
        </w:rPr>
        <w:t>Информационна система за управление и наблюдение на средствата от ЕС в България”- ИСУН 2020;</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b/>
        </w:rPr>
      </w:pPr>
      <w:r>
        <w:rPr>
          <w:rFonts w:ascii="Times New Roman" w:hAnsi="Times New Roman" w:cs="Times New Roman"/>
        </w:rPr>
        <w:lastRenderedPageBreak/>
        <w:t>Оперативна програма „Региони в растеж“ 2014-2020 г.;</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b/>
        </w:rPr>
      </w:pPr>
      <w:r>
        <w:rPr>
          <w:rFonts w:ascii="Times New Roman" w:hAnsi="Times New Roman" w:cs="Times New Roman"/>
        </w:rPr>
        <w:t xml:space="preserve"> Програма „Развитие на регионите“ 2021-2027 г.;</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b/>
        </w:rPr>
      </w:pPr>
      <w:r>
        <w:rPr>
          <w:rFonts w:ascii="Times New Roman" w:hAnsi="Times New Roman" w:cs="Times New Roman"/>
          <w:lang w:val="en-US"/>
        </w:rPr>
        <w:t xml:space="preserve">SFC </w:t>
      </w:r>
      <w:r>
        <w:rPr>
          <w:rFonts w:ascii="Times New Roman" w:hAnsi="Times New Roman" w:cs="Times New Roman"/>
        </w:rPr>
        <w:t>- система за управление на средствата от ЕС</w:t>
      </w:r>
      <w:r>
        <w:rPr>
          <w:rFonts w:ascii="Times New Roman" w:hAnsi="Times New Roman" w:cs="Times New Roman"/>
          <w:lang w:val="en-US"/>
        </w:rPr>
        <w:t xml:space="preserve"> </w:t>
      </w:r>
      <w:r>
        <w:rPr>
          <w:rFonts w:ascii="Times New Roman" w:hAnsi="Times New Roman" w:cs="Times New Roman"/>
        </w:rPr>
        <w:t>на ЕК;</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b/>
        </w:rPr>
      </w:pPr>
      <w:r>
        <w:rPr>
          <w:rFonts w:ascii="Times New Roman" w:hAnsi="Times New Roman" w:cs="Times New Roman"/>
        </w:rPr>
        <w:t>Националния статистически институт;</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Евростат.</w:t>
      </w:r>
    </w:p>
    <w:p w:rsidR="00426FE9" w:rsidRDefault="00D0590D" w:rsidP="004F30BC">
      <w:pPr>
        <w:numPr>
          <w:ilvl w:val="0"/>
          <w:numId w:val="32"/>
        </w:numPr>
        <w:tabs>
          <w:tab w:val="left" w:pos="851"/>
        </w:tabs>
        <w:spacing w:after="0" w:line="240" w:lineRule="auto"/>
        <w:ind w:left="0" w:firstLine="567"/>
        <w:jc w:val="both"/>
        <w:rPr>
          <w:rFonts w:ascii="Times New Roman" w:hAnsi="Times New Roman" w:cs="Times New Roman"/>
          <w:i/>
          <w:color w:val="0000CC"/>
        </w:rPr>
      </w:pPr>
      <w:r>
        <w:rPr>
          <w:rFonts w:ascii="Times New Roman" w:hAnsi="Times New Roman" w:cs="Times New Roman"/>
          <w:b/>
          <w:i/>
          <w:color w:val="0000CC"/>
        </w:rPr>
        <w:t xml:space="preserve">Предоставяни по програмата продукти/услуги </w:t>
      </w:r>
    </w:p>
    <w:p w:rsidR="00426FE9" w:rsidRDefault="00D0590D">
      <w:pPr>
        <w:tabs>
          <w:tab w:val="left" w:pos="851"/>
        </w:tabs>
        <w:spacing w:after="0" w:line="240" w:lineRule="auto"/>
        <w:ind w:firstLine="567"/>
        <w:jc w:val="both"/>
        <w:rPr>
          <w:rFonts w:ascii="Times New Roman" w:hAnsi="Times New Roman" w:cs="Times New Roman"/>
          <w:b/>
          <w:i/>
        </w:rPr>
      </w:pPr>
      <w:r>
        <w:rPr>
          <w:rFonts w:ascii="Times New Roman" w:hAnsi="Times New Roman" w:cs="Times New Roman"/>
          <w:b/>
          <w:i/>
        </w:rPr>
        <w:t>Предоставяни в областта на стратегическото планиране продукти/услуги:</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Продукт/услуга: Анализ, разработване, актуализиране и осигуряване на публичност на документите за стратегическо планиране на регионалното развитие и хармонизация на нормативната база за регионалното развитие;</w:t>
      </w:r>
    </w:p>
    <w:p w:rsidR="00426FE9" w:rsidRDefault="00D0590D" w:rsidP="004F30BC">
      <w:pPr>
        <w:numPr>
          <w:ilvl w:val="0"/>
          <w:numId w:val="41"/>
        </w:numPr>
        <w:tabs>
          <w:tab w:val="left" w:pos="851"/>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Продукт/услуга: Наблюдение, оценка и регионална координация за изпълнение на документите за регионално и местно развитие в районите от ниво 2;</w:t>
      </w:r>
    </w:p>
    <w:p w:rsidR="00426FE9" w:rsidRDefault="00D0590D">
      <w:pPr>
        <w:tabs>
          <w:tab w:val="left" w:pos="851"/>
          <w:tab w:val="left" w:pos="1134"/>
        </w:tabs>
        <w:spacing w:after="0" w:line="240" w:lineRule="auto"/>
        <w:ind w:firstLine="567"/>
        <w:jc w:val="both"/>
        <w:rPr>
          <w:rFonts w:ascii="Times New Roman" w:hAnsi="Times New Roman" w:cs="Times New Roman"/>
          <w:b/>
          <w:i/>
        </w:rPr>
      </w:pPr>
      <w:r>
        <w:rPr>
          <w:rFonts w:ascii="Times New Roman" w:hAnsi="Times New Roman" w:cs="Times New Roman"/>
          <w:b/>
          <w:i/>
        </w:rPr>
        <w:t>Предоставяни по програма ПРР 2021-2027 г. продукти/услуги, вкл. отчитащи приноса на ФСП:</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Продукт/услуга: Насърчаване на регионалния туризъм, чрез опазване, популяризиране и развитие на културното и природно наследство;</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Продукт/услуга: Подобряване на социалната, образователната, културната, здравната и спортната инфраструктура;</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Продукт/услуга: Повишаване на енергийната ефективност, внедряване на мерки за устойчива градска мобилност и осигуряване на качествена и безопасна околна среда;</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 xml:space="preserve">Продукт/услуга: Насърчаване на икономическата активност и развитие на икономически дейности, чрез инвестиции в инфраструктура за бизнес и предприемачество; </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 xml:space="preserve">Продукт/услуга: Подобряване на свързаността и функционалните връзки между териториите, чрез инвестиции в пътна инфраструктура и безопасност на движението; </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Продукт/услуга: Подкрепа за мерките, насърчаващи разработване и внедряване на нови устойчиви енергийни решения;</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Продукт/услуга: Осигуряване на възможности за плавен преход към климатично неутрална икономика във въглищните региони, базиран на квалифицирана заетост, предприемачество, социални услуги и защита;</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Продукт/услуга: Подкрепа за диверсификация на местната икономика - подкрепа за икономическата диверсификация/създаване на работни места, развитие на нови икономически сектори, създаване на нови работни места и стартиращи фирми и развитие на предприятия.</w:t>
      </w:r>
    </w:p>
    <w:p w:rsidR="00426FE9" w:rsidRDefault="00D0590D">
      <w:pPr>
        <w:tabs>
          <w:tab w:val="left" w:pos="851"/>
        </w:tabs>
        <w:spacing w:after="0" w:line="240" w:lineRule="auto"/>
        <w:ind w:firstLine="567"/>
        <w:jc w:val="both"/>
        <w:rPr>
          <w:rFonts w:ascii="Times New Roman" w:hAnsi="Times New Roman" w:cs="Times New Roman"/>
          <w:b/>
          <w:i/>
        </w:rPr>
      </w:pPr>
      <w:r>
        <w:rPr>
          <w:rFonts w:ascii="Times New Roman" w:hAnsi="Times New Roman" w:cs="Times New Roman"/>
          <w:b/>
          <w:i/>
        </w:rPr>
        <w:t>Предоставяни в областта на административно-териториалното устройство продукти/ услуги:</w:t>
      </w:r>
    </w:p>
    <w:p w:rsidR="00426FE9" w:rsidRDefault="00D0590D" w:rsidP="004F30BC">
      <w:pPr>
        <w:pStyle w:val="ListParagraph"/>
        <w:numPr>
          <w:ilvl w:val="0"/>
          <w:numId w:val="41"/>
        </w:numPr>
        <w:tabs>
          <w:tab w:val="left" w:pos="851"/>
          <w:tab w:val="left" w:pos="1134"/>
        </w:tabs>
        <w:spacing w:after="0" w:line="240" w:lineRule="auto"/>
        <w:ind w:left="0" w:firstLine="567"/>
        <w:rPr>
          <w:rFonts w:ascii="Times New Roman" w:hAnsi="Times New Roman"/>
        </w:rPr>
      </w:pPr>
      <w:r>
        <w:rPr>
          <w:rFonts w:ascii="Times New Roman" w:hAnsi="Times New Roman"/>
        </w:rPr>
        <w:t>Продукт/Услуга: Провеждане на политиката по административно-териториално устройство на страната, разработване и актуализиране на категоризацията на административно-териториалните и териториалните  единици (АТТЕ)</w:t>
      </w:r>
    </w:p>
    <w:p w:rsidR="00426FE9" w:rsidRDefault="00D0590D">
      <w:pPr>
        <w:pStyle w:val="ListParagraph"/>
        <w:tabs>
          <w:tab w:val="left" w:pos="851"/>
          <w:tab w:val="left" w:pos="1134"/>
        </w:tabs>
        <w:spacing w:after="0" w:line="240" w:lineRule="auto"/>
        <w:ind w:left="0" w:firstLine="567"/>
        <w:jc w:val="both"/>
        <w:rPr>
          <w:rFonts w:ascii="Times New Roman" w:hAnsi="Times New Roman"/>
        </w:rPr>
      </w:pPr>
      <w:r>
        <w:rPr>
          <w:rFonts w:ascii="Times New Roman" w:hAnsi="Times New Roman"/>
        </w:rPr>
        <w:t>Дейности за предоставяне на продукта/услугата:</w:t>
      </w:r>
    </w:p>
    <w:p w:rsidR="00426FE9" w:rsidRDefault="00D0590D">
      <w:pPr>
        <w:tabs>
          <w:tab w:val="left" w:pos="851"/>
          <w:tab w:val="left" w:pos="1134"/>
        </w:tabs>
        <w:spacing w:after="0" w:line="240" w:lineRule="auto"/>
        <w:ind w:firstLine="567"/>
        <w:jc w:val="both"/>
        <w:rPr>
          <w:rFonts w:ascii="Times New Roman" w:hAnsi="Times New Roman"/>
        </w:rPr>
      </w:pPr>
      <w:r>
        <w:rPr>
          <w:rFonts w:ascii="Times New Roman" w:hAnsi="Times New Roman"/>
        </w:rPr>
        <w:t>Изготвяне на становища, анализи и оценки  в областта на административно-териториалното устройство и свързаното</w:t>
      </w:r>
      <w:r>
        <w:rPr>
          <w:rFonts w:ascii="Times New Roman" w:hAnsi="Times New Roman"/>
          <w:i/>
        </w:rPr>
        <w:t xml:space="preserve"> </w:t>
      </w:r>
      <w:r>
        <w:rPr>
          <w:rFonts w:ascii="Times New Roman" w:hAnsi="Times New Roman"/>
        </w:rPr>
        <w:t>национално и европейско</w:t>
      </w:r>
      <w:r>
        <w:rPr>
          <w:rFonts w:ascii="Times New Roman" w:hAnsi="Times New Roman"/>
          <w:i/>
        </w:rPr>
        <w:t xml:space="preserve"> </w:t>
      </w:r>
      <w:r>
        <w:rPr>
          <w:rFonts w:ascii="Times New Roman" w:hAnsi="Times New Roman"/>
        </w:rPr>
        <w:t>законодателство; осъществяване мониторинг на  категоризацията на административно-териториалните и териториалните единици в страната и подготвяне заповеди за актуализирането й; подпомагане поддържането и актуализацията на Единния класификатор на административно-териториалните и териториалните единици и на Националния регистър на населените места; подпомагане провеждането на процедури по Закона за административно-териториалното устройство на Република България, вкл. извършване на административно-териториални промени и изготвяне на становища и организиране внасянето на материалите за разглеждане от Министерския съвет.</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t xml:space="preserve">Продукт/Услуга: Развитие на процеса на децентрализация  </w:t>
      </w:r>
    </w:p>
    <w:p w:rsidR="00426FE9" w:rsidRDefault="00D0590D">
      <w:pPr>
        <w:pStyle w:val="ListParagraph"/>
        <w:tabs>
          <w:tab w:val="left" w:pos="851"/>
          <w:tab w:val="left" w:pos="1134"/>
        </w:tabs>
        <w:spacing w:after="0" w:line="240" w:lineRule="auto"/>
        <w:ind w:left="0" w:firstLine="567"/>
        <w:jc w:val="both"/>
        <w:rPr>
          <w:rFonts w:ascii="Times New Roman" w:hAnsi="Times New Roman"/>
        </w:rPr>
      </w:pPr>
      <w:r>
        <w:rPr>
          <w:rFonts w:ascii="Times New Roman" w:hAnsi="Times New Roman"/>
        </w:rPr>
        <w:t>Дейности за предоставяне на продукта/услугата:</w:t>
      </w:r>
    </w:p>
    <w:p w:rsidR="00426FE9" w:rsidRDefault="00D0590D">
      <w:pPr>
        <w:pStyle w:val="ListParagraph"/>
        <w:tabs>
          <w:tab w:val="left" w:pos="851"/>
          <w:tab w:val="left" w:pos="1134"/>
        </w:tabs>
        <w:spacing w:after="0" w:line="240" w:lineRule="auto"/>
        <w:ind w:left="0" w:firstLine="567"/>
        <w:jc w:val="both"/>
        <w:rPr>
          <w:rFonts w:ascii="Times New Roman" w:hAnsi="Times New Roman"/>
        </w:rPr>
      </w:pPr>
      <w:r>
        <w:rPr>
          <w:rFonts w:ascii="Times New Roman" w:hAnsi="Times New Roman"/>
        </w:rPr>
        <w:t>Координация и мониторинг на процеса на децентрализация, включително на стратегически и програмни документи; разработване на проектни предложения, подпомагащи процеса на децентрализация на държавното управление; актуализация на Стратегията за децентрализация, разработване и изпълнение на мерки за изпълнение на Стратегията; изпълнение функциите на секретариат на Съвета по децентрализация на държавното управление на Министерски съвет.</w:t>
      </w:r>
    </w:p>
    <w:p w:rsidR="00426FE9" w:rsidRDefault="00D0590D" w:rsidP="004F30BC">
      <w:pPr>
        <w:pStyle w:val="ListParagraph"/>
        <w:numPr>
          <w:ilvl w:val="0"/>
          <w:numId w:val="41"/>
        </w:numPr>
        <w:tabs>
          <w:tab w:val="left" w:pos="851"/>
          <w:tab w:val="left" w:pos="1134"/>
        </w:tabs>
        <w:spacing w:after="0" w:line="240" w:lineRule="auto"/>
        <w:ind w:left="0" w:firstLine="567"/>
        <w:jc w:val="both"/>
        <w:rPr>
          <w:rFonts w:ascii="Times New Roman" w:hAnsi="Times New Roman"/>
        </w:rPr>
      </w:pPr>
      <w:r>
        <w:rPr>
          <w:rFonts w:ascii="Times New Roman" w:hAnsi="Times New Roman"/>
        </w:rPr>
        <w:lastRenderedPageBreak/>
        <w:t xml:space="preserve">Продукт/Услуга: Укрепване на местното самоуправление и подкрепа за доброто управление на местно ниво </w:t>
      </w:r>
    </w:p>
    <w:p w:rsidR="00426FE9" w:rsidRDefault="00D0590D">
      <w:pPr>
        <w:pStyle w:val="ListParagraph"/>
        <w:tabs>
          <w:tab w:val="left" w:pos="851"/>
          <w:tab w:val="left" w:pos="1134"/>
        </w:tabs>
        <w:spacing w:after="0" w:line="240" w:lineRule="auto"/>
        <w:ind w:left="0" w:firstLine="567"/>
        <w:jc w:val="both"/>
        <w:rPr>
          <w:rFonts w:ascii="Times New Roman" w:hAnsi="Times New Roman"/>
        </w:rPr>
      </w:pPr>
      <w:r>
        <w:rPr>
          <w:rFonts w:ascii="Times New Roman" w:hAnsi="Times New Roman"/>
        </w:rPr>
        <w:t>Дейности за предоставяне на продукта/услугата:</w:t>
      </w:r>
    </w:p>
    <w:p w:rsidR="00426FE9" w:rsidRDefault="00D0590D">
      <w:pPr>
        <w:tabs>
          <w:tab w:val="left" w:pos="851"/>
          <w:tab w:val="left" w:pos="1134"/>
        </w:tabs>
        <w:spacing w:after="0" w:line="240" w:lineRule="auto"/>
        <w:ind w:firstLine="567"/>
        <w:jc w:val="both"/>
        <w:rPr>
          <w:rFonts w:ascii="Times New Roman" w:hAnsi="Times New Roman"/>
          <w:bCs/>
        </w:rPr>
      </w:pPr>
      <w:r>
        <w:rPr>
          <w:rFonts w:ascii="Times New Roman" w:hAnsi="Times New Roman"/>
          <w:bCs/>
        </w:rPr>
        <w:t>Извършване на аналитични и проектно-проучвателни дейности в областта на местното самоуправление и местната администрация; планиране, координация и изпълнение на мерки,  процедури и проекти във връзка с прилагането на Стратегията за иновации и добро управление на местно ниво на Съвета на Европа; изпълнение функциите на секретариат на</w:t>
      </w:r>
      <w:r>
        <w:rPr>
          <w:rFonts w:ascii="Times New Roman" w:hAnsi="Times New Roman"/>
        </w:rPr>
        <w:t xml:space="preserve"> </w:t>
      </w:r>
      <w:r>
        <w:rPr>
          <w:rFonts w:ascii="Times New Roman" w:hAnsi="Times New Roman"/>
          <w:bCs/>
        </w:rPr>
        <w:t>Националната платформа на партньорите за добро демократично управление на местно ниво</w:t>
      </w:r>
    </w:p>
    <w:p w:rsidR="00426FE9" w:rsidRDefault="00D0590D">
      <w:pPr>
        <w:pStyle w:val="ListParagraph"/>
        <w:tabs>
          <w:tab w:val="left" w:pos="851"/>
          <w:tab w:val="left" w:pos="1134"/>
        </w:tabs>
        <w:spacing w:after="0" w:line="240" w:lineRule="auto"/>
        <w:ind w:left="0" w:firstLine="567"/>
        <w:jc w:val="both"/>
        <w:rPr>
          <w:rFonts w:ascii="Times New Roman" w:hAnsi="Times New Roman"/>
        </w:rPr>
      </w:pPr>
      <w:r>
        <w:rPr>
          <w:rFonts w:ascii="Times New Roman" w:hAnsi="Times New Roman"/>
        </w:rPr>
        <w:t>В областта на местното самоуправление и развитието на доброто управление и местната демокрация, както и в процеса на децентрализация се прилагат средносрочни до дългосрочни критерии и показатели за изпълнение на целите на програмата. Продуктите-услугите се предоставят в съответствие и с европейски, национални и регионални стратегии, планове и програми както в отделни сектори, така и имащи интегриран  или хоризонтален характер, съдържащи съответните критерии и показатели за изпълнение.</w:t>
      </w:r>
    </w:p>
    <w:p w:rsidR="00426FE9" w:rsidRDefault="00D0590D" w:rsidP="004F30BC">
      <w:pPr>
        <w:pStyle w:val="ListParagraph"/>
        <w:numPr>
          <w:ilvl w:val="0"/>
          <w:numId w:val="32"/>
        </w:numPr>
        <w:tabs>
          <w:tab w:val="left" w:pos="851"/>
        </w:tabs>
        <w:spacing w:after="0" w:line="240" w:lineRule="auto"/>
        <w:ind w:left="0" w:firstLine="567"/>
        <w:jc w:val="both"/>
        <w:rPr>
          <w:rFonts w:ascii="Times New Roman" w:hAnsi="Times New Roman"/>
          <w:b/>
          <w:i/>
          <w:color w:val="0000CC"/>
          <w:lang w:val="ru-RU"/>
        </w:rPr>
      </w:pPr>
      <w:r>
        <w:rPr>
          <w:rFonts w:ascii="Times New Roman" w:hAnsi="Times New Roman"/>
          <w:b/>
          <w:i/>
          <w:color w:val="0000CC"/>
        </w:rPr>
        <w:t>Организационни структури, участващи в програмата</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Европейска комисия;</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Управляващи органи и Национални партниращи органи;</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ИА „Одит на средствата от ЕС” към Министъра на финансите – Одитен орган;</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Дирекция „Национален фонд” към Министерството на финансите – Сертифициращ орган;</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Съвместни секретариати;</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Централни, регионални и местни институции;</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Образователни и културни институции;</w:t>
      </w:r>
    </w:p>
    <w:p w:rsidR="00426FE9" w:rsidRDefault="00D0590D" w:rsidP="004F30BC">
      <w:pPr>
        <w:pStyle w:val="ListParagraph"/>
        <w:numPr>
          <w:ilvl w:val="0"/>
          <w:numId w:val="42"/>
        </w:numPr>
        <w:tabs>
          <w:tab w:val="left" w:pos="851"/>
        </w:tabs>
        <w:spacing w:after="0" w:line="240" w:lineRule="auto"/>
        <w:ind w:left="0" w:firstLine="567"/>
        <w:jc w:val="both"/>
        <w:rPr>
          <w:rFonts w:ascii="Times New Roman" w:hAnsi="Times New Roman"/>
        </w:rPr>
      </w:pPr>
      <w:r>
        <w:rPr>
          <w:rFonts w:ascii="Times New Roman" w:hAnsi="Times New Roman"/>
        </w:rPr>
        <w:t>Неправителствени организации.</w:t>
      </w:r>
    </w:p>
    <w:p w:rsidR="00426FE9" w:rsidRDefault="00D0590D" w:rsidP="004F30BC">
      <w:pPr>
        <w:pStyle w:val="ListParagraph"/>
        <w:numPr>
          <w:ilvl w:val="0"/>
          <w:numId w:val="32"/>
        </w:numPr>
        <w:tabs>
          <w:tab w:val="left" w:pos="851"/>
        </w:tabs>
        <w:spacing w:after="0" w:line="240" w:lineRule="auto"/>
        <w:ind w:left="0" w:firstLine="567"/>
        <w:jc w:val="both"/>
        <w:rPr>
          <w:rFonts w:ascii="Times New Roman" w:hAnsi="Times New Roman"/>
          <w:b/>
          <w:i/>
          <w:color w:val="0000CC"/>
          <w:lang w:val="ru-RU"/>
        </w:rPr>
      </w:pPr>
      <w:r>
        <w:rPr>
          <w:rFonts w:ascii="Times New Roman" w:hAnsi="Times New Roman"/>
          <w:b/>
          <w:i/>
          <w:color w:val="0000CC"/>
        </w:rPr>
        <w:t>Отговорност за изпълнението на програмата</w:t>
      </w:r>
    </w:p>
    <w:p w:rsidR="00426FE9" w:rsidRDefault="00D0590D">
      <w:pPr>
        <w:pStyle w:val="ListParagraph"/>
        <w:tabs>
          <w:tab w:val="left" w:pos="-5103"/>
        </w:tabs>
        <w:spacing w:after="0" w:line="240" w:lineRule="auto"/>
        <w:ind w:left="0" w:firstLine="567"/>
        <w:jc w:val="both"/>
        <w:rPr>
          <w:rFonts w:ascii="Times New Roman" w:eastAsia="Times New Roman" w:hAnsi="Times New Roman"/>
          <w:bCs/>
          <w:color w:val="000000" w:themeColor="text1"/>
          <w:lang w:val="ru-RU" w:eastAsia="bg-BG"/>
        </w:rPr>
      </w:pPr>
      <w:r>
        <w:rPr>
          <w:rFonts w:ascii="Times New Roman" w:eastAsia="Times New Roman" w:hAnsi="Times New Roman"/>
          <w:bCs/>
          <w:color w:val="000000" w:themeColor="text1"/>
          <w:lang w:eastAsia="bg-BG"/>
        </w:rPr>
        <w:t>Изпълнението на програмата се координира от министъра, ресорния заместник-министър на регионалното развитие и благоустройството, главния директор на ГД „Стратегическо планиране и програми за регионално развитие“, директора на</w:t>
      </w:r>
      <w:r>
        <w:rPr>
          <w:lang w:val="ru-RU"/>
        </w:rPr>
        <w:t xml:space="preserve"> </w:t>
      </w:r>
      <w:r>
        <w:rPr>
          <w:rFonts w:ascii="Times New Roman" w:eastAsia="Times New Roman" w:hAnsi="Times New Roman"/>
          <w:bCs/>
          <w:color w:val="000000" w:themeColor="text1"/>
          <w:lang w:eastAsia="bg-BG"/>
        </w:rPr>
        <w:t>дирекция „Управление на териториалното сътрудничество” и директора на дирекция „Устройство на територията и административно-териториално устройство“.</w:t>
      </w:r>
    </w:p>
    <w:p w:rsidR="00426FE9" w:rsidRDefault="00D0590D" w:rsidP="004F30BC">
      <w:pPr>
        <w:pStyle w:val="ListParagraph"/>
        <w:numPr>
          <w:ilvl w:val="0"/>
          <w:numId w:val="32"/>
        </w:numPr>
        <w:tabs>
          <w:tab w:val="left" w:pos="851"/>
        </w:tabs>
        <w:spacing w:after="0" w:line="240" w:lineRule="auto"/>
        <w:jc w:val="both"/>
        <w:rPr>
          <w:rFonts w:ascii="Times New Roman" w:hAnsi="Times New Roman"/>
          <w:b/>
          <w:i/>
          <w:color w:val="0000CC"/>
        </w:rPr>
      </w:pPr>
      <w:r>
        <w:rPr>
          <w:rFonts w:ascii="Times New Roman" w:hAnsi="Times New Roman"/>
          <w:b/>
          <w:i/>
          <w:color w:val="0000CC"/>
        </w:rPr>
        <w:t>Бюджетна прогноза по ведомствени и администрирани параграфи на програмата</w:t>
      </w:r>
    </w:p>
    <w:tbl>
      <w:tblPr>
        <w:tblW w:w="10108" w:type="dxa"/>
        <w:tblLook w:val="04A0" w:firstRow="1" w:lastRow="0" w:firstColumn="1" w:lastColumn="0" w:noHBand="0" w:noVBand="1"/>
      </w:tblPr>
      <w:tblGrid>
        <w:gridCol w:w="443"/>
        <w:gridCol w:w="3960"/>
        <w:gridCol w:w="979"/>
        <w:gridCol w:w="932"/>
        <w:gridCol w:w="884"/>
        <w:gridCol w:w="1019"/>
        <w:gridCol w:w="992"/>
        <w:gridCol w:w="899"/>
      </w:tblGrid>
      <w:tr w:rsidR="00B672F6" w:rsidRPr="00B672F6" w:rsidTr="00B672F6">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w:t>
            </w:r>
          </w:p>
        </w:tc>
        <w:tc>
          <w:tcPr>
            <w:tcW w:w="3960"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2100.01.01  Бюджетна програма  „Стратегическо планиране  на регионалното и пространственото развитие, децентрализация и териториално сътрудничество” (хил. евро)</w:t>
            </w:r>
          </w:p>
        </w:tc>
        <w:tc>
          <w:tcPr>
            <w:tcW w:w="97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Отчет 2023 г.</w:t>
            </w:r>
          </w:p>
        </w:tc>
        <w:tc>
          <w:tcPr>
            <w:tcW w:w="932"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Отчет 2024 г.</w:t>
            </w:r>
          </w:p>
        </w:tc>
        <w:tc>
          <w:tcPr>
            <w:tcW w:w="884"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Закон 2025 г.</w:t>
            </w:r>
          </w:p>
        </w:tc>
        <w:tc>
          <w:tcPr>
            <w:tcW w:w="101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C55938"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Бюджет </w:t>
            </w:r>
            <w:r w:rsidR="00B672F6" w:rsidRPr="00B672F6">
              <w:rPr>
                <w:rFonts w:ascii="Times New Roman" w:eastAsia="Times New Roman" w:hAnsi="Times New Roman" w:cs="Times New Roman"/>
                <w:b/>
                <w:bCs/>
                <w:color w:val="000000"/>
                <w:sz w:val="16"/>
                <w:szCs w:val="16"/>
                <w:lang w:val="en-US"/>
              </w:rPr>
              <w:t>2026 г.</w:t>
            </w:r>
          </w:p>
        </w:tc>
        <w:tc>
          <w:tcPr>
            <w:tcW w:w="992"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Прогноза 2027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Прогноза 2028 г.</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w:t>
            </w:r>
          </w:p>
        </w:tc>
        <w:tc>
          <w:tcPr>
            <w:tcW w:w="884"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4</w:t>
            </w:r>
          </w:p>
        </w:tc>
        <w:tc>
          <w:tcPr>
            <w:tcW w:w="1019"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w:t>
            </w:r>
          </w:p>
        </w:tc>
        <w:tc>
          <w:tcPr>
            <w:tcW w:w="992"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6</w:t>
            </w:r>
          </w:p>
        </w:tc>
        <w:tc>
          <w:tcPr>
            <w:tcW w:w="899"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ведомствени разходи:</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869,4</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529,1</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2 041,7</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1 967,7</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2 028,4</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2 492,0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Персонал</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547,0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238,9</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255,7</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262,4</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243,8</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243,8</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Издръжка</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322,4</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285,0</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1 786,0</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1 705,3</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1 784,6</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2 248,2</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Капиталови разходи</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5,2</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Ведомствени разходи по бюджета на ПРБ:</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869,4</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529,1</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2 041,7</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1 967,7</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2 028,4</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2 492,0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   Персонал</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547,0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238,9</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255,7</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262,4</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243,8</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243,8</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   Издръжка</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322,4</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285,0</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1 786,0</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1 705,3</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1 784,6</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2 248,2</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   Капиталови разходи</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5,2</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ІІ.</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ІІІ.</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13 324,0</w:t>
            </w:r>
          </w:p>
        </w:tc>
        <w:tc>
          <w:tcPr>
            <w:tcW w:w="1019" w:type="dxa"/>
            <w:tcBorders>
              <w:top w:val="nil"/>
              <w:left w:val="nil"/>
              <w:bottom w:val="single" w:sz="4" w:space="0" w:color="auto"/>
              <w:right w:val="single" w:sz="4" w:space="0" w:color="auto"/>
            </w:tcBorders>
            <w:shd w:val="clear" w:color="000000" w:fill="FFCC99"/>
            <w:noWrap/>
            <w:vAlign w:val="center"/>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1 039 672,4</w:t>
            </w:r>
          </w:p>
        </w:tc>
        <w:tc>
          <w:tcPr>
            <w:tcW w:w="992" w:type="dxa"/>
            <w:tcBorders>
              <w:top w:val="nil"/>
              <w:left w:val="nil"/>
              <w:bottom w:val="single" w:sz="4" w:space="0" w:color="auto"/>
              <w:right w:val="single" w:sz="4" w:space="0" w:color="auto"/>
            </w:tcBorders>
            <w:shd w:val="clear" w:color="000000" w:fill="FFCC99"/>
            <w:noWrap/>
            <w:vAlign w:val="center"/>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1 028 150,7</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525 115,7</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Сметки за средства от ЕС</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873 156,2</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520 167,5</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Национален план за възстановяване и устойчивост</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148 017,9</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vAlign w:val="bottom"/>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Други програми и инициативи, по които Република България е страна-партньор</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13 324,0</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18 498,3</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5 383,3</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4 948,2</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администрирани разходи (ІІ.+ІІІ.):</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13 324,0</w:t>
            </w:r>
          </w:p>
        </w:tc>
        <w:tc>
          <w:tcPr>
            <w:tcW w:w="1019" w:type="dxa"/>
            <w:tcBorders>
              <w:top w:val="nil"/>
              <w:left w:val="nil"/>
              <w:bottom w:val="single" w:sz="4" w:space="0" w:color="auto"/>
              <w:right w:val="single" w:sz="4" w:space="0" w:color="auto"/>
            </w:tcBorders>
            <w:shd w:val="clear" w:color="000000" w:fill="FFCC99"/>
            <w:noWrap/>
            <w:vAlign w:val="center"/>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1 039 672,4</w:t>
            </w:r>
          </w:p>
        </w:tc>
        <w:tc>
          <w:tcPr>
            <w:tcW w:w="992" w:type="dxa"/>
            <w:tcBorders>
              <w:top w:val="nil"/>
              <w:left w:val="nil"/>
              <w:bottom w:val="single" w:sz="4" w:space="0" w:color="auto"/>
              <w:right w:val="single" w:sz="4" w:space="0" w:color="auto"/>
            </w:tcBorders>
            <w:shd w:val="clear" w:color="000000" w:fill="FFCC99"/>
            <w:noWrap/>
            <w:vAlign w:val="center"/>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1 028 150,7</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525 115,7</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разходи по бюджета (І.1+ІІ.):</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869,4</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529,1</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2 041,7</w:t>
            </w:r>
          </w:p>
        </w:tc>
        <w:tc>
          <w:tcPr>
            <w:tcW w:w="101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1 967,7</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2 028,4</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2 492,0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lastRenderedPageBreak/>
              <w:t> </w:t>
            </w:r>
          </w:p>
        </w:tc>
        <w:tc>
          <w:tcPr>
            <w:tcW w:w="3960"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разходи (І.+ІІ.+ІІІ.):</w:t>
            </w:r>
          </w:p>
        </w:tc>
        <w:tc>
          <w:tcPr>
            <w:tcW w:w="97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869,4</w:t>
            </w:r>
          </w:p>
        </w:tc>
        <w:tc>
          <w:tcPr>
            <w:tcW w:w="93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529,1</w:t>
            </w:r>
          </w:p>
        </w:tc>
        <w:tc>
          <w:tcPr>
            <w:tcW w:w="884"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15 365,7</w:t>
            </w:r>
          </w:p>
        </w:tc>
        <w:tc>
          <w:tcPr>
            <w:tcW w:w="1019" w:type="dxa"/>
            <w:tcBorders>
              <w:top w:val="nil"/>
              <w:left w:val="nil"/>
              <w:bottom w:val="single" w:sz="4" w:space="0" w:color="auto"/>
              <w:right w:val="single" w:sz="4" w:space="0" w:color="auto"/>
            </w:tcBorders>
            <w:shd w:val="clear" w:color="000000" w:fill="FFCC99"/>
            <w:noWrap/>
            <w:vAlign w:val="center"/>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1 041 640,1</w:t>
            </w:r>
          </w:p>
        </w:tc>
        <w:tc>
          <w:tcPr>
            <w:tcW w:w="992" w:type="dxa"/>
            <w:tcBorders>
              <w:top w:val="nil"/>
              <w:left w:val="nil"/>
              <w:bottom w:val="single" w:sz="4" w:space="0" w:color="auto"/>
              <w:right w:val="single" w:sz="4" w:space="0" w:color="auto"/>
            </w:tcBorders>
            <w:shd w:val="clear" w:color="000000" w:fill="FFCC99"/>
            <w:noWrap/>
            <w:vAlign w:val="center"/>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1 030 179,1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527 607,7</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Численост на щатния персонал</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193</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199</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214</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214</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214</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214</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960"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Численост на извънщатния персонал</w:t>
            </w:r>
          </w:p>
        </w:tc>
        <w:tc>
          <w:tcPr>
            <w:tcW w:w="97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3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101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r>
    </w:tbl>
    <w:p w:rsidR="00426FE9" w:rsidRDefault="00426FE9">
      <w:pPr>
        <w:pStyle w:val="ListParagraph"/>
        <w:tabs>
          <w:tab w:val="left" w:pos="851"/>
        </w:tabs>
        <w:spacing w:after="0" w:line="240" w:lineRule="auto"/>
        <w:ind w:left="928"/>
        <w:jc w:val="both"/>
        <w:rPr>
          <w:rFonts w:ascii="Times New Roman" w:hAnsi="Times New Roman"/>
          <w:b/>
          <w:i/>
          <w:color w:val="0000CC"/>
        </w:rPr>
      </w:pPr>
    </w:p>
    <w:p w:rsidR="00426FE9" w:rsidRDefault="00D0590D">
      <w:pPr>
        <w:spacing w:after="0" w:line="240" w:lineRule="auto"/>
        <w:ind w:firstLine="567"/>
        <w:jc w:val="both"/>
        <w:rPr>
          <w:rFonts w:ascii="Times New Roman" w:eastAsia="Times New Roman" w:hAnsi="Times New Roman" w:cs="Times New Roman"/>
          <w:b/>
          <w:i/>
          <w:color w:val="0000CC"/>
          <w:lang w:eastAsia="bg-BG"/>
        </w:rPr>
      </w:pPr>
      <w:r>
        <w:rPr>
          <w:rFonts w:ascii="Times New Roman" w:eastAsia="Times New Roman" w:hAnsi="Times New Roman" w:cs="Times New Roman"/>
          <w:b/>
          <w:i/>
          <w:color w:val="0000CC"/>
          <w:lang w:eastAsia="bg-BG"/>
        </w:rPr>
        <w:t>Описание на администрираните разходни параграфи по програмата, вкл. проектите</w:t>
      </w:r>
    </w:p>
    <w:p w:rsidR="00426FE9" w:rsidRDefault="00D0590D" w:rsidP="004F30BC">
      <w:pPr>
        <w:numPr>
          <w:ilvl w:val="0"/>
          <w:numId w:val="43"/>
        </w:numPr>
        <w:tabs>
          <w:tab w:val="left" w:pos="851"/>
          <w:tab w:val="left" w:pos="993"/>
        </w:tabs>
        <w:spacing w:after="0" w:line="240" w:lineRule="auto"/>
        <w:ind w:left="0" w:firstLine="567"/>
        <w:contextualSpacing/>
        <w:jc w:val="both"/>
        <w:rPr>
          <w:rFonts w:ascii="Times New Roman" w:eastAsia="Times New Roman" w:hAnsi="Times New Roman" w:cs="Times New Roman"/>
          <w:b/>
          <w:i/>
          <w:lang w:eastAsia="bg-BG"/>
        </w:rPr>
      </w:pPr>
      <w:r>
        <w:rPr>
          <w:rFonts w:ascii="Times New Roman" w:eastAsia="Times New Roman" w:hAnsi="Times New Roman" w:cs="Times New Roman"/>
          <w:b/>
          <w:i/>
          <w:lang w:eastAsia="bg-BG"/>
        </w:rPr>
        <w:t>Програми за трансгранично сътрудничество, съфинансирани от ЕФРР</w:t>
      </w:r>
    </w:p>
    <w:p w:rsidR="00426FE9" w:rsidRDefault="00D0590D">
      <w:pPr>
        <w:spacing w:after="0" w:line="240" w:lineRule="auto"/>
        <w:ind w:firstLine="851"/>
        <w:contextualSpacing/>
        <w:jc w:val="both"/>
        <w:rPr>
          <w:rFonts w:ascii="Times New Roman" w:hAnsi="Times New Roman" w:cs="Times New Roman"/>
        </w:rPr>
      </w:pPr>
      <w:r>
        <w:rPr>
          <w:rFonts w:ascii="Times New Roman" w:eastAsia="Calibri" w:hAnsi="Times New Roman" w:cs="Times New Roman"/>
          <w:lang w:val="en-US"/>
        </w:rPr>
        <w:t>ИНТЕРРЕГ</w:t>
      </w:r>
      <w:r>
        <w:rPr>
          <w:rFonts w:ascii="Times New Roman" w:hAnsi="Times New Roman" w:cs="Times New Roman"/>
        </w:rPr>
        <w:t xml:space="preserve"> V-A Румъния – България</w:t>
      </w:r>
    </w:p>
    <w:p w:rsidR="00426FE9" w:rsidRDefault="00D0590D">
      <w:pPr>
        <w:spacing w:after="0" w:line="240" w:lineRule="auto"/>
        <w:ind w:firstLine="851"/>
        <w:contextualSpacing/>
        <w:jc w:val="both"/>
        <w:rPr>
          <w:rFonts w:ascii="Times New Roman" w:hAnsi="Times New Roman" w:cs="Times New Roman"/>
        </w:rPr>
      </w:pPr>
      <w:r>
        <w:rPr>
          <w:rFonts w:ascii="Times New Roman" w:eastAsia="Calibri" w:hAnsi="Times New Roman" w:cs="Times New Roman"/>
          <w:lang w:val="en-US"/>
        </w:rPr>
        <w:t>ИНТЕРРЕГ</w:t>
      </w:r>
      <w:r>
        <w:rPr>
          <w:rFonts w:ascii="Times New Roman" w:hAnsi="Times New Roman" w:cs="Times New Roman"/>
        </w:rPr>
        <w:t xml:space="preserve"> V-A Гърция – България</w:t>
      </w:r>
    </w:p>
    <w:p w:rsidR="00426FE9" w:rsidRDefault="00D0590D" w:rsidP="004F30BC">
      <w:pPr>
        <w:numPr>
          <w:ilvl w:val="0"/>
          <w:numId w:val="43"/>
        </w:numPr>
        <w:tabs>
          <w:tab w:val="left" w:pos="567"/>
          <w:tab w:val="left" w:pos="851"/>
        </w:tabs>
        <w:spacing w:after="0" w:line="240" w:lineRule="auto"/>
        <w:ind w:left="0" w:firstLine="567"/>
        <w:contextualSpacing/>
        <w:jc w:val="both"/>
        <w:rPr>
          <w:rFonts w:ascii="Times New Roman" w:eastAsia="Times New Roman" w:hAnsi="Times New Roman" w:cs="Times New Roman"/>
          <w:b/>
          <w:i/>
          <w:lang w:eastAsia="bg-BG"/>
        </w:rPr>
      </w:pPr>
      <w:r>
        <w:rPr>
          <w:rFonts w:ascii="Times New Roman" w:eastAsia="Times New Roman" w:hAnsi="Times New Roman" w:cs="Times New Roman"/>
          <w:b/>
          <w:i/>
          <w:lang w:eastAsia="bg-BG"/>
        </w:rPr>
        <w:t>Програми за трансгранично сътрудничество, съфинансирани от ИПП</w:t>
      </w:r>
    </w:p>
    <w:p w:rsidR="00426FE9" w:rsidRDefault="00D0590D">
      <w:pPr>
        <w:tabs>
          <w:tab w:val="left" w:pos="851"/>
        </w:tabs>
        <w:spacing w:after="0" w:line="240" w:lineRule="auto"/>
        <w:ind w:left="851"/>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Програма за трансгранично сътрудничество ИНТЕРРЕГ ИПП България – Сърбия 2021-2027;</w:t>
      </w:r>
    </w:p>
    <w:p w:rsidR="00426FE9" w:rsidRDefault="00D0590D">
      <w:pPr>
        <w:tabs>
          <w:tab w:val="left" w:pos="851"/>
        </w:tabs>
        <w:spacing w:after="0" w:line="240" w:lineRule="auto"/>
        <w:ind w:left="851"/>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Програма за трансгранично сътрудничество ИНТЕРРЕГ ИПП България – Турция 2021-2027;</w:t>
      </w:r>
    </w:p>
    <w:p w:rsidR="00426FE9" w:rsidRDefault="00D0590D">
      <w:pPr>
        <w:tabs>
          <w:tab w:val="left" w:pos="851"/>
        </w:tabs>
        <w:spacing w:after="0" w:line="240" w:lineRule="auto"/>
        <w:ind w:left="851"/>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Програма за трансгранично сътрудничество ИНТЕРРЕГ ИПП България – Република  Северна Македония 2021-2027.</w:t>
      </w:r>
    </w:p>
    <w:p w:rsidR="00426FE9" w:rsidRDefault="00D0590D" w:rsidP="004F30BC">
      <w:pPr>
        <w:numPr>
          <w:ilvl w:val="0"/>
          <w:numId w:val="43"/>
        </w:numPr>
        <w:tabs>
          <w:tab w:val="left" w:pos="567"/>
          <w:tab w:val="left" w:pos="851"/>
        </w:tabs>
        <w:spacing w:after="0" w:line="240" w:lineRule="auto"/>
        <w:ind w:left="0" w:firstLine="567"/>
        <w:contextualSpacing/>
        <w:jc w:val="both"/>
        <w:rPr>
          <w:rFonts w:ascii="Times New Roman" w:eastAsia="Times New Roman" w:hAnsi="Times New Roman" w:cs="Times New Roman"/>
          <w:b/>
          <w:i/>
          <w:lang w:eastAsia="bg-BG"/>
        </w:rPr>
      </w:pPr>
      <w:r>
        <w:rPr>
          <w:rFonts w:ascii="Times New Roman" w:eastAsia="Times New Roman" w:hAnsi="Times New Roman" w:cs="Times New Roman"/>
          <w:b/>
          <w:i/>
          <w:lang w:eastAsia="bg-BG"/>
        </w:rPr>
        <w:t>Програми за транснационално сътрудничество, съфинансирани от ЕФРР</w:t>
      </w:r>
    </w:p>
    <w:p w:rsidR="00426FE9" w:rsidRDefault="00D0590D">
      <w:pPr>
        <w:spacing w:after="0" w:line="240" w:lineRule="auto"/>
        <w:ind w:left="851" w:hanging="11"/>
        <w:rPr>
          <w:rFonts w:ascii="Times New Roman" w:hAnsi="Times New Roman" w:cs="Times New Roman"/>
        </w:rPr>
      </w:pPr>
      <w:r>
        <w:rPr>
          <w:rFonts w:ascii="Times New Roman" w:hAnsi="Times New Roman" w:cs="Times New Roman"/>
        </w:rPr>
        <w:t>Програма за трансгранично сътрудничество ИНТЕРРЕГ NEXT</w:t>
      </w:r>
      <w:r>
        <w:rPr>
          <w:rFonts w:ascii="Times New Roman" w:hAnsi="Times New Roman" w:cs="Times New Roman"/>
          <w:lang w:val="en-US"/>
        </w:rPr>
        <w:t xml:space="preserve"> </w:t>
      </w:r>
      <w:r>
        <w:rPr>
          <w:rFonts w:ascii="Times New Roman" w:hAnsi="Times New Roman" w:cs="Times New Roman"/>
        </w:rPr>
        <w:t xml:space="preserve">„Черноморски басейн“ 2021-2027 </w:t>
      </w:r>
    </w:p>
    <w:p w:rsidR="00426FE9" w:rsidRDefault="00D0590D">
      <w:pPr>
        <w:spacing w:after="0" w:line="240" w:lineRule="auto"/>
        <w:ind w:left="851" w:hanging="11"/>
        <w:contextualSpacing/>
        <w:jc w:val="both"/>
        <w:rPr>
          <w:rFonts w:ascii="Times New Roman" w:hAnsi="Times New Roman" w:cs="Times New Roman"/>
        </w:rPr>
      </w:pPr>
      <w:r>
        <w:rPr>
          <w:rFonts w:ascii="Times New Roman" w:hAnsi="Times New Roman" w:cs="Times New Roman"/>
        </w:rPr>
        <w:t>Програма „Евро-Средиземноморски басейн“ 2021-2027 (Евро-МЕД</w:t>
      </w:r>
      <w:r>
        <w:rPr>
          <w:rFonts w:ascii="Times New Roman" w:hAnsi="Times New Roman" w:cs="Times New Roman"/>
          <w:lang w:val="en-US"/>
        </w:rPr>
        <w:t>);</w:t>
      </w:r>
      <w:r>
        <w:rPr>
          <w:rFonts w:ascii="Times New Roman" w:hAnsi="Times New Roman" w:cs="Times New Roman"/>
        </w:rPr>
        <w:t xml:space="preserve"> </w:t>
      </w:r>
    </w:p>
    <w:p w:rsidR="00426FE9" w:rsidRDefault="00D0590D">
      <w:pPr>
        <w:spacing w:after="0" w:line="240" w:lineRule="auto"/>
        <w:ind w:left="851" w:hanging="11"/>
        <w:contextualSpacing/>
        <w:jc w:val="both"/>
        <w:rPr>
          <w:rFonts w:ascii="Times New Roman" w:hAnsi="Times New Roman" w:cs="Times New Roman"/>
        </w:rPr>
      </w:pPr>
      <w:r>
        <w:rPr>
          <w:rFonts w:ascii="Times New Roman" w:hAnsi="Times New Roman" w:cs="Times New Roman"/>
        </w:rPr>
        <w:t xml:space="preserve">Програма за транснационално сътрудничество „Дунавски регион“ 2021-2027 г. </w:t>
      </w:r>
    </w:p>
    <w:p w:rsidR="00426FE9" w:rsidRDefault="00D0590D" w:rsidP="004F30BC">
      <w:pPr>
        <w:pStyle w:val="ListParagraph"/>
        <w:numPr>
          <w:ilvl w:val="0"/>
          <w:numId w:val="44"/>
        </w:numPr>
        <w:tabs>
          <w:tab w:val="left" w:pos="567"/>
          <w:tab w:val="left" w:pos="851"/>
        </w:tabs>
        <w:spacing w:after="0" w:line="240" w:lineRule="auto"/>
        <w:ind w:left="0" w:firstLine="567"/>
        <w:jc w:val="both"/>
        <w:rPr>
          <w:rFonts w:ascii="Times New Roman" w:eastAsia="Times New Roman" w:hAnsi="Times New Roman"/>
          <w:b/>
          <w:i/>
          <w:lang w:eastAsia="bg-BG"/>
        </w:rPr>
      </w:pPr>
      <w:r>
        <w:rPr>
          <w:rFonts w:ascii="Times New Roman" w:eastAsia="Times New Roman" w:hAnsi="Times New Roman"/>
          <w:b/>
          <w:i/>
          <w:lang w:eastAsia="bg-BG"/>
        </w:rPr>
        <w:t>Програми за междурегионално сътрудничество, съфинансирани от ЕФРР</w:t>
      </w:r>
    </w:p>
    <w:p w:rsidR="00426FE9" w:rsidRDefault="00D0590D">
      <w:pPr>
        <w:spacing w:after="0" w:line="240" w:lineRule="auto"/>
        <w:ind w:firstLine="851"/>
        <w:jc w:val="both"/>
        <w:rPr>
          <w:rFonts w:ascii="Times New Roman" w:hAnsi="Times New Roman" w:cs="Times New Roman"/>
        </w:rPr>
      </w:pPr>
      <w:r>
        <w:rPr>
          <w:rFonts w:ascii="Times New Roman" w:hAnsi="Times New Roman" w:cs="Times New Roman"/>
        </w:rPr>
        <w:t xml:space="preserve">Програма за междурегионално сътрудничество „ИНТЕРРЕГ ЕВРОПА“ 2021-2027 г. </w:t>
      </w:r>
    </w:p>
    <w:p w:rsidR="00426FE9" w:rsidRDefault="00D0590D">
      <w:pPr>
        <w:spacing w:after="0" w:line="240" w:lineRule="auto"/>
        <w:ind w:firstLine="851"/>
        <w:contextualSpacing/>
        <w:jc w:val="both"/>
        <w:rPr>
          <w:rFonts w:ascii="Times New Roman" w:hAnsi="Times New Roman" w:cs="Times New Roman"/>
        </w:rPr>
      </w:pPr>
      <w:r>
        <w:rPr>
          <w:rFonts w:ascii="Times New Roman" w:hAnsi="Times New Roman" w:cs="Times New Roman"/>
        </w:rPr>
        <w:t>ЕСПОН 2027</w:t>
      </w:r>
    </w:p>
    <w:p w:rsidR="00426FE9" w:rsidRDefault="00D0590D">
      <w:pPr>
        <w:tabs>
          <w:tab w:val="left" w:pos="567"/>
          <w:tab w:val="left" w:pos="851"/>
        </w:tabs>
        <w:spacing w:after="0" w:line="240" w:lineRule="auto"/>
        <w:ind w:firstLine="851"/>
        <w:contextualSpacing/>
        <w:jc w:val="both"/>
        <w:rPr>
          <w:rFonts w:ascii="Times New Roman" w:hAnsi="Times New Roman" w:cs="Times New Roman"/>
        </w:rPr>
      </w:pPr>
      <w:r>
        <w:rPr>
          <w:rFonts w:ascii="Times New Roman" w:hAnsi="Times New Roman" w:cs="Times New Roman"/>
        </w:rPr>
        <w:t>УРБАКТ IV 2021-2027</w:t>
      </w:r>
    </w:p>
    <w:p w:rsidR="00426FE9" w:rsidRDefault="00D0590D">
      <w:pPr>
        <w:tabs>
          <w:tab w:val="left" w:pos="567"/>
          <w:tab w:val="left" w:pos="851"/>
        </w:tabs>
        <w:spacing w:after="0" w:line="240" w:lineRule="auto"/>
        <w:ind w:firstLine="851"/>
        <w:contextualSpacing/>
        <w:jc w:val="both"/>
        <w:rPr>
          <w:rFonts w:ascii="Times New Roman" w:hAnsi="Times New Roman" w:cs="Times New Roman"/>
        </w:rPr>
      </w:pPr>
      <w:r>
        <w:rPr>
          <w:rFonts w:ascii="Times New Roman" w:hAnsi="Times New Roman" w:cs="Times New Roman"/>
        </w:rPr>
        <w:t>ИНТЕРАКТ IV 2021-2027</w:t>
      </w:r>
    </w:p>
    <w:p w:rsidR="00426FE9" w:rsidRDefault="00D0590D" w:rsidP="004F30BC">
      <w:pPr>
        <w:pStyle w:val="ListParagraph"/>
        <w:numPr>
          <w:ilvl w:val="0"/>
          <w:numId w:val="43"/>
        </w:numPr>
        <w:tabs>
          <w:tab w:val="left" w:pos="851"/>
        </w:tabs>
        <w:spacing w:after="0" w:line="240" w:lineRule="auto"/>
        <w:ind w:left="0" w:firstLine="567"/>
        <w:jc w:val="both"/>
        <w:rPr>
          <w:rFonts w:ascii="Times New Roman" w:eastAsia="Times New Roman" w:hAnsi="Times New Roman"/>
          <w:b/>
          <w:i/>
          <w:lang w:eastAsia="bg-BG"/>
        </w:rPr>
      </w:pPr>
      <w:r>
        <w:rPr>
          <w:rFonts w:ascii="Times New Roman" w:eastAsia="Times New Roman" w:hAnsi="Times New Roman"/>
          <w:b/>
          <w:i/>
          <w:lang w:eastAsia="bg-BG"/>
        </w:rPr>
        <w:t>Програма „Развитие на регионите“ 2021-2027 г.</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xml:space="preserve">На 19.07.2023 г. Управляващият орган на ПРР 2021-2027 сключи финансово споразумение с </w:t>
      </w:r>
      <w:r w:rsidR="00E10A0B">
        <w:rPr>
          <w:rFonts w:ascii="Times New Roman" w:eastAsia="Times New Roman" w:hAnsi="Times New Roman"/>
          <w:lang w:eastAsia="bg-BG"/>
        </w:rPr>
        <w:t>„</w:t>
      </w:r>
      <w:r>
        <w:rPr>
          <w:rFonts w:ascii="Times New Roman" w:eastAsia="Times New Roman" w:hAnsi="Times New Roman"/>
          <w:lang w:eastAsia="bg-BG"/>
        </w:rPr>
        <w:t>Фонд мениджър на финансови инструменти в България“ ЕАД за  управление на средствата за финансови инструменти по ПРР 2021-2027 г. в размер на 236 245 176,48 евро (в т.ч. 141 747 105,89 евро  средства за финансови инструменти и 94 498 070,59 евро – безвъзмездни средства в рамките на финансов инструмент) за програмния период.. Прогнозите за междинни плащания по ПРР, изготвени от ФМФИБ са съответно: за 2026 г. - 0,00 млн. евро, за 2027 г. – 70,9 млн. евро, а за 2028 – 70,9 млн. евро.</w:t>
      </w:r>
    </w:p>
    <w:p w:rsidR="00E10A0B" w:rsidRDefault="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През 2026 г. предстои сключване на финансово споразумение с „Фонд мениджър на финансови инструменти в България“ ЕАД за  управление на средствата  за финансови инструменти по ФСП по ПРР 2021-2027 г.</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В рамките на Приоритет 5 „Техническа помощ“ на ПРР 2021-2027 са одобрени 5 заповеди за предоставяне на БФП за бюджетни линии на УО на ПРР в общ размер 60 997 121,43 евро.</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xml:space="preserve">В рамките на Приоритет 3 „Техническа помощ по чл. 37“ е одобрена 1 заповед за предоставяне на БФП за бюджетна линия на УО на ПРР, в размер на 20 736 017,97 евро. Предвидените дейности в бюджетната линия са насочени към всички идентифицирани целеви групи в рамките на процедурата по Приоритет 3, систематизирани в следните категории: </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програмни органи (УО на всички програми с финансиране от ЕС, участващи в ИТИ подхода);</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регионалните органи (Регионални съвети за развитие) и Областните информационни центрове (ОИЦ);</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органи на областно ниво (от въглищните райони с функции по изпълнение на мерки с финансиране от ФСП);</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местни органи на ниво градски общини;</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централни органи и администрации, имащи отношение към изпълнението на ПРР;</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заинтересовани лица (частен сектор, НПО и др.) във връзка с реализация на инвестиции, свързани с инструмента ИТИ и изпълнение на мерки с финансиране от ФСП.</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В рамките на Приоритет 5 „Техническа помощ“ по процедура „Подкрепа за подкомитетите за справедлив преход за целите на изпълнение на ТПСП“ са сключени 3 договора за предоставяне на БФП с областните администрации на областите Перник, Стара Загора и Кюстендил с общ размер 765 493,98 евро.</w:t>
      </w:r>
    </w:p>
    <w:p w:rsidR="00426FE9" w:rsidRDefault="00D0590D">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t xml:space="preserve">През 2025 г. </w:t>
      </w:r>
      <w:r w:rsidR="00E10A0B">
        <w:rPr>
          <w:rFonts w:ascii="Times New Roman" w:eastAsia="Times New Roman" w:hAnsi="Times New Roman"/>
          <w:lang w:eastAsia="bg-BG"/>
        </w:rPr>
        <w:t xml:space="preserve">и 2026 г. </w:t>
      </w:r>
      <w:r>
        <w:rPr>
          <w:rFonts w:ascii="Times New Roman" w:eastAsia="Times New Roman" w:hAnsi="Times New Roman"/>
          <w:lang w:eastAsia="bg-BG"/>
        </w:rPr>
        <w:t xml:space="preserve">в рамките на приоритети 1, 2 и 4 са сключени </w:t>
      </w:r>
      <w:r w:rsidR="00E10A0B">
        <w:rPr>
          <w:rFonts w:ascii="Times New Roman" w:eastAsia="Times New Roman" w:hAnsi="Times New Roman"/>
          <w:lang w:eastAsia="bg-BG"/>
        </w:rPr>
        <w:t>610</w:t>
      </w:r>
      <w:r>
        <w:rPr>
          <w:rFonts w:ascii="Times New Roman" w:eastAsia="Times New Roman" w:hAnsi="Times New Roman"/>
          <w:lang w:eastAsia="bg-BG"/>
        </w:rPr>
        <w:t xml:space="preserve"> АДБФП с обща стойност на предоставената БФП </w:t>
      </w:r>
      <w:r w:rsidR="00E10A0B">
        <w:rPr>
          <w:rFonts w:ascii="Times New Roman" w:eastAsia="Times New Roman" w:hAnsi="Times New Roman"/>
          <w:lang w:eastAsia="bg-BG"/>
        </w:rPr>
        <w:t>1 776 276 337,43</w:t>
      </w:r>
      <w:r>
        <w:rPr>
          <w:rFonts w:ascii="Times New Roman" w:eastAsia="Times New Roman" w:hAnsi="Times New Roman"/>
          <w:lang w:eastAsia="bg-BG"/>
        </w:rPr>
        <w:t xml:space="preserve"> евро както следва: </w:t>
      </w:r>
    </w:p>
    <w:p w:rsidR="00426FE9" w:rsidRPr="00E10A0B" w:rsidRDefault="00D0590D">
      <w:pPr>
        <w:tabs>
          <w:tab w:val="left" w:pos="851"/>
        </w:tabs>
        <w:spacing w:after="0" w:line="240" w:lineRule="auto"/>
        <w:ind w:firstLine="567"/>
        <w:jc w:val="both"/>
        <w:rPr>
          <w:rFonts w:ascii="Times New Roman" w:eastAsia="Times New Roman" w:hAnsi="Times New Roman"/>
          <w:b/>
          <w:lang w:eastAsia="bg-BG"/>
        </w:rPr>
      </w:pPr>
      <w:r w:rsidRPr="00E10A0B">
        <w:rPr>
          <w:rFonts w:ascii="Times New Roman" w:eastAsia="Times New Roman" w:hAnsi="Times New Roman"/>
          <w:b/>
          <w:lang w:eastAsia="bg-BG"/>
        </w:rPr>
        <w:t>Приоритет 1 „Интегрирано градско развитие“:</w:t>
      </w:r>
    </w:p>
    <w:p w:rsidR="00426FE9" w:rsidRDefault="00D0590D" w:rsidP="00E10A0B">
      <w:pPr>
        <w:tabs>
          <w:tab w:val="left" w:pos="851"/>
        </w:tabs>
        <w:spacing w:after="0" w:line="240" w:lineRule="auto"/>
        <w:ind w:firstLine="567"/>
        <w:jc w:val="both"/>
        <w:rPr>
          <w:rFonts w:ascii="Times New Roman" w:eastAsia="Times New Roman" w:hAnsi="Times New Roman"/>
          <w:lang w:eastAsia="bg-BG"/>
        </w:rPr>
      </w:pPr>
      <w:r>
        <w:rPr>
          <w:rFonts w:ascii="Times New Roman" w:eastAsia="Times New Roman" w:hAnsi="Times New Roman"/>
          <w:lang w:eastAsia="bg-BG"/>
        </w:rPr>
        <w:lastRenderedPageBreak/>
        <w:t xml:space="preserve">- </w:t>
      </w:r>
      <w:r w:rsidR="00E10A0B" w:rsidRPr="00E10A0B">
        <w:rPr>
          <w:rFonts w:ascii="Times New Roman" w:eastAsia="Times New Roman" w:hAnsi="Times New Roman"/>
          <w:lang w:eastAsia="bg-BG"/>
        </w:rPr>
        <w:t>процедура  BG16FFPR003-1.001 „Подкрепа за интегрирано градско развитие в 10-те градски общини – основни центрове на растеж“ са сключени 63 договора с обща стойност на предоставената БФП 342 848 418,61евро.</w:t>
      </w:r>
    </w:p>
    <w:p w:rsidR="00426FE9" w:rsidRPr="00E10A0B" w:rsidRDefault="00D0590D">
      <w:pPr>
        <w:tabs>
          <w:tab w:val="left" w:pos="851"/>
        </w:tabs>
        <w:spacing w:after="0" w:line="240" w:lineRule="auto"/>
        <w:ind w:firstLine="567"/>
        <w:jc w:val="both"/>
        <w:rPr>
          <w:rFonts w:ascii="Times New Roman" w:eastAsia="Times New Roman" w:hAnsi="Times New Roman"/>
          <w:b/>
          <w:lang w:eastAsia="bg-BG"/>
        </w:rPr>
      </w:pPr>
      <w:r w:rsidRPr="00E10A0B">
        <w:rPr>
          <w:rFonts w:ascii="Times New Roman" w:eastAsia="Times New Roman" w:hAnsi="Times New Roman"/>
          <w:b/>
          <w:lang w:eastAsia="bg-BG"/>
        </w:rPr>
        <w:t>Приоритет 2 „Интегрирано териториално развитие на регионите“:</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BG16FFPR003-2.005 „Техническа подкрепа за изпълнение на ИТИ инструмента“ са сключени 36 договора с обща стойност на предоставената БФП 1 141 667,02 евро като в изпълнение са 31 договора на обща стойност на предоставената БФП 982 151,00 евро, 5 договора са приключили изпълнението;</w:t>
      </w:r>
    </w:p>
    <w:p w:rsid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BG16FFPR003-2.006 „Подкрепа за интегрирано градско развитие в 40 градски общини“ – за проектни предложения, подадени по процедура BG16FFPR003-2.002 „Подкрепа за интегрирано градско развитие в 40 градски общини“ – сключени са общо 152 договора за 33 одобрени проектни предложения. Общата стойност на договорите  е 862 128 818,54 евро, от които 682 393 081,77 – безвъзмездна финансова помощ и 179 735 736,77 евро – съфинансиране от бенефициента.</w:t>
      </w:r>
    </w:p>
    <w:p w:rsidR="00E10A0B" w:rsidRPr="00E10A0B" w:rsidRDefault="00E10A0B" w:rsidP="00E10A0B">
      <w:pPr>
        <w:tabs>
          <w:tab w:val="left" w:pos="851"/>
        </w:tabs>
        <w:spacing w:after="0" w:line="240" w:lineRule="auto"/>
        <w:ind w:firstLine="567"/>
        <w:jc w:val="both"/>
        <w:rPr>
          <w:rFonts w:ascii="Times New Roman" w:eastAsia="Times New Roman" w:hAnsi="Times New Roman"/>
          <w:b/>
          <w:lang w:eastAsia="bg-BG"/>
        </w:rPr>
      </w:pPr>
      <w:r>
        <w:rPr>
          <w:rFonts w:ascii="Times New Roman" w:eastAsia="Times New Roman" w:hAnsi="Times New Roman"/>
          <w:lang w:eastAsia="bg-BG"/>
        </w:rPr>
        <w:t xml:space="preserve"> </w:t>
      </w:r>
      <w:r w:rsidRPr="00E10A0B">
        <w:rPr>
          <w:rFonts w:ascii="Times New Roman" w:eastAsia="Times New Roman" w:hAnsi="Times New Roman"/>
          <w:b/>
          <w:lang w:eastAsia="bg-BG"/>
        </w:rPr>
        <w:t>Приоритет 4 „Справедлив преход“:</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BG16FFPR003-4.001 „Подкрепа за устойчиво енергийно обновяване на многофамилни жилищни сгради, включително справяне с енергийната бедност“ са сключени 303 договора с обща стойност на предоставената БФП 217 945 608,69евро;</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BG16FFPR003-4.002 „Подкрепа за работещите в засегнатите сектори чрез обучения за квалификация и преквалификация“ - сключени са 29 договора със стойност на предоставената БФП 40 209 540,38 евро. В процес на оценка са 7 проектни предложения;</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BG16FFPR003-4.003 „Картографиране на уменията на косвено засегнатите лица в най-силно засегнатите от климатичния преход области“ е сключен 1 договор със стойност на предоставената БФП 1 533 875,64 евро;</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BG16FFPR003-4.004 „Подкрепа за работещите в засегнатите сектори чрез обучения за квалификация и преквалификация“ - сключени са 32 договора със стойност на предоставената БФП 8 369 971,32 евро, към настоящия момент договорите са временно спрени;</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BG16FFPR003-4.005 „Подкрепа за индустриални и логистични паркове и зони с фокус върху използването на чиста енергия“ - сключени са 10 договора със стойност на предоставената БФП 87 624 086,91 евро;</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 процедура BG16FFPR003-4.006 „Подкрепа за производствени инвестиции в големи предприятия в регион Стара Загора“ - сключени са 27 договора със стойност на предоставената БФП 168 684 887,42 евро;</w:t>
      </w:r>
    </w:p>
    <w:p w:rsidR="00E10A0B" w:rsidRP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По процедура BG16FFPR003-4.007 „Пилотни инициативи за енергийни общности и подобряване на енергийна ефективност на обществени сгради - КОМПОНЕНТ 1“ са одобрени 4 проектни предложения, по процедура BG16FFPR003-4.011  Подкрепа за фотоволтаични системи и съоръжения в микро, малки и средни предприятия Компонент 1 и Компонент 2 са подадени 89 проектни предложения като в процес на оценка са 83 проектни предложения.</w:t>
      </w:r>
    </w:p>
    <w:p w:rsidR="00E10A0B" w:rsidRDefault="00E10A0B" w:rsidP="00E10A0B">
      <w:pPr>
        <w:tabs>
          <w:tab w:val="left" w:pos="851"/>
        </w:tabs>
        <w:spacing w:after="0" w:line="240" w:lineRule="auto"/>
        <w:ind w:firstLine="567"/>
        <w:jc w:val="both"/>
        <w:rPr>
          <w:rFonts w:ascii="Times New Roman" w:eastAsia="Times New Roman" w:hAnsi="Times New Roman"/>
          <w:lang w:eastAsia="bg-BG"/>
        </w:rPr>
      </w:pPr>
      <w:r w:rsidRPr="00E10A0B">
        <w:rPr>
          <w:rFonts w:ascii="Times New Roman" w:eastAsia="Times New Roman" w:hAnsi="Times New Roman"/>
          <w:lang w:eastAsia="bg-BG"/>
        </w:rPr>
        <w:t>С оглед засиления фокус през програмен период 2021-2027 г. към мерки за видимост, прозрачност, комуникация и популяризиране по Програмата в рамките на периода е заложено изпълнение на множество по мащаб и тематика публични събития. Те ще бъдат насочени към широк кръг от заинтересовани страни и ще представят възможностите за подкрепа и постигнатите положителни резултати при реализирането на инициативи, проекти и инвестициите по ПРР 2021-2027 г.</w:t>
      </w:r>
    </w:p>
    <w:p w:rsidR="00426FE9" w:rsidRDefault="00D0590D" w:rsidP="004F30BC">
      <w:pPr>
        <w:pStyle w:val="ListParagraph"/>
        <w:numPr>
          <w:ilvl w:val="0"/>
          <w:numId w:val="45"/>
        </w:numPr>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b/>
          <w:i/>
          <w:lang w:eastAsia="bg-BG"/>
        </w:rPr>
        <w:t>Проект „</w:t>
      </w:r>
      <w:r>
        <w:rPr>
          <w:rFonts w:ascii="Times New Roman" w:eastAsia="Times New Roman" w:hAnsi="Times New Roman"/>
          <w:b/>
          <w:i/>
          <w:iCs/>
          <w:lang w:eastAsia="bg-BG"/>
        </w:rPr>
        <w:t>Морския пространствен план на Република България“</w:t>
      </w:r>
    </w:p>
    <w:p w:rsidR="00426FE9" w:rsidRDefault="00D0590D">
      <w:pPr>
        <w:pStyle w:val="ListParagraph"/>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iCs/>
          <w:lang w:eastAsia="bg-BG"/>
        </w:rPr>
        <w:t>Морският пространствен план на Република България 2021-2035 (МППРБ), одобрен с Решение на Министерски съвет № 386 от 23.05.2023 г., е първият по рода си за страната, широко обхватен стратегически документ определящ визията, целите и приоритети на държавната политика в сферата на интегрираната морска политика и морското пространствено планиране като инструмент за нейното прилагане. Той съчетава в себе си характерните черти на стратегия и план с разписани мерки, които включените институции трябва да следва да изпълняват и отчитат.</w:t>
      </w:r>
    </w:p>
    <w:p w:rsidR="00426FE9" w:rsidRDefault="00D0590D">
      <w:pPr>
        <w:pStyle w:val="ListParagraph"/>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iCs/>
          <w:lang w:eastAsia="bg-BG"/>
        </w:rPr>
        <w:t>Основна отговорност за осигуряване на информация и публичност на процеса на разработване, съгласуване, актуализиране и изпълнение на МППРБ има министърът на регионалното развитие и благоустройството, подпомаган от Консултативен съвет по МПП и от ГД „Стратегическо планиране и програми за регионално развитие“ на МРРБ.</w:t>
      </w:r>
    </w:p>
    <w:p w:rsidR="00426FE9" w:rsidRDefault="00D0590D">
      <w:pPr>
        <w:pStyle w:val="ListParagraph"/>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iCs/>
          <w:lang w:eastAsia="bg-BG"/>
        </w:rPr>
        <w:lastRenderedPageBreak/>
        <w:t xml:space="preserve">Съгласно разпоредбите на ЗМПВВППРБ (чл. 51е, ал. 2) планът следва да се преразглежда и  актуализира на всеки 10 г. или извън този срок ако настъпят съществени промени в обществено-икономическите условия, при които е бил одобрен (чл. 51е, ал. 3). Това условие за преразглеждане на плана в конкретния случай възникна скоро след приемането на МППРБ, вследствие на настъпилите значителни глобални нормативни, икономически и политически промени, нови обстоятелства, нестабилната геополитическа обстановка, както и предвид големия времеви интервал между разработването (2020г.) и одобряването на плана (2023 г.). </w:t>
      </w:r>
    </w:p>
    <w:p w:rsidR="00426FE9" w:rsidRDefault="00D0590D">
      <w:pPr>
        <w:pStyle w:val="ListParagraph"/>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iCs/>
          <w:lang w:eastAsia="bg-BG"/>
        </w:rPr>
        <w:t>Като се има предвид обема и сложността на задачата и продължителната съгласувателна процедура</w:t>
      </w:r>
      <w:r w:rsidR="00CD4345">
        <w:rPr>
          <w:rFonts w:ascii="Times New Roman" w:eastAsia="Times New Roman" w:hAnsi="Times New Roman"/>
          <w:iCs/>
          <w:lang w:eastAsia="bg-BG"/>
        </w:rPr>
        <w:t>,</w:t>
      </w:r>
      <w:r>
        <w:rPr>
          <w:rFonts w:ascii="Times New Roman" w:eastAsia="Times New Roman" w:hAnsi="Times New Roman"/>
          <w:iCs/>
          <w:lang w:eastAsia="bg-BG"/>
        </w:rPr>
        <w:t xml:space="preserve"> предвидено е същинската актуализация на плана да бъде възложена на НЦТР ЕАД в </w:t>
      </w:r>
      <w:r w:rsidR="00CD4345">
        <w:rPr>
          <w:rFonts w:ascii="Times New Roman" w:eastAsia="Times New Roman" w:hAnsi="Times New Roman"/>
          <w:iCs/>
          <w:lang w:eastAsia="bg-BG"/>
        </w:rPr>
        <w:t>средата на 2026</w:t>
      </w:r>
      <w:r>
        <w:rPr>
          <w:rFonts w:ascii="Times New Roman" w:eastAsia="Times New Roman" w:hAnsi="Times New Roman"/>
          <w:iCs/>
          <w:lang w:eastAsia="bg-BG"/>
        </w:rPr>
        <w:t xml:space="preserve"> г. с период на изпълнение - 15 месеца. Съгласно чл. 14, ал. 3 от ЗРР: „Морският пространствен план на Република България се изработва от специализирано търговско дружество със сто на сто държавно участие в капитала, в което правата на държавата се упражняват от министъра на регионалното развитие и благоустройството“, условие на което в момента отговаря единствено НЦТР ЕАД. </w:t>
      </w:r>
    </w:p>
    <w:p w:rsidR="00426FE9" w:rsidRDefault="00D0590D">
      <w:pPr>
        <w:pStyle w:val="ListParagraph"/>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iCs/>
          <w:lang w:eastAsia="bg-BG"/>
        </w:rPr>
        <w:t>На база на гореизложеното общата сума на необходимото финансиране възлиза общо на  204 997,4 евро с ДДС, като се предвижда да бъде изплатена част от сумата  през 2026 г., а останалата през 2027 г.</w:t>
      </w:r>
    </w:p>
    <w:p w:rsidR="00426FE9" w:rsidRDefault="00D0590D">
      <w:pPr>
        <w:pStyle w:val="ListParagraph"/>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iCs/>
          <w:lang w:eastAsia="bg-BG"/>
        </w:rPr>
        <w:t>Дейностите, свързани с морското пространствено планиране са разписани в мярка 4 „Изпълнение на морската политика“ от „Област на въздействие 9.1.в „Стратегическо планиране и наблюдение на регионалното и пространственото развитие“ на Приоритет 9 „Местно развитие“ от Плана за действие за изпълнението на Националната програма за развитие: БЪЛГАРИЯ 2030 за периода 2022-2024 г.</w:t>
      </w:r>
    </w:p>
    <w:p w:rsidR="00CD4345" w:rsidRPr="00CD4345" w:rsidRDefault="00CD4345" w:rsidP="00CD4345">
      <w:pPr>
        <w:pStyle w:val="ListParagraph"/>
        <w:tabs>
          <w:tab w:val="left" w:pos="851"/>
        </w:tabs>
        <w:spacing w:after="0" w:line="240" w:lineRule="auto"/>
        <w:ind w:left="0" w:firstLine="567"/>
        <w:jc w:val="both"/>
        <w:rPr>
          <w:rFonts w:ascii="Times New Roman" w:eastAsia="Times New Roman" w:hAnsi="Times New Roman"/>
          <w:iCs/>
          <w:lang w:eastAsia="bg-BG"/>
        </w:rPr>
      </w:pPr>
      <w:r w:rsidRPr="00CD4345">
        <w:rPr>
          <w:rFonts w:ascii="Times New Roman" w:eastAsia="Times New Roman" w:hAnsi="Times New Roman"/>
          <w:iCs/>
          <w:lang w:eastAsia="bg-BG"/>
        </w:rPr>
        <w:t xml:space="preserve">В периода февруари-април 2026 г. МРРБ се включи консорциум от 6 европейски държави и кандидатства с проект MPS-COMPASS за финансиране със средства от Европейския фонд за морско дело и рибарство в областта на МПП на обща стойност 72 961 евро, от които 14 592 евро необходимо съфинансиране, като периодът на изпълнение е 2027-2029 г. Очаква се одобрение от ЕК за финансиране на проекта до края на юли 2026 г. и сключване на споразумение на консорциума с ЕК в периода октомври-ноември 2026г. В началото на изпълнението на проекта, при сключване на споразумението през 2026 г. се очаква да се изплати към бюджета на МРРБ  авансово плащане от 40% от стойността на БФП по проекта. В случай, че бъде одобрен, предложеното необходимо съфинансиране от 14 592 евро следва да бъде разпределено за годините по следния начин: 2028 г. – 10 000 евро и за 2029 г. – 4 592 евро. </w:t>
      </w:r>
    </w:p>
    <w:p w:rsidR="00426FE9" w:rsidRDefault="00D0590D" w:rsidP="004F30BC">
      <w:pPr>
        <w:pStyle w:val="ListParagraph"/>
        <w:numPr>
          <w:ilvl w:val="0"/>
          <w:numId w:val="45"/>
        </w:numPr>
        <w:tabs>
          <w:tab w:val="left" w:pos="851"/>
        </w:tabs>
        <w:spacing w:after="0" w:line="240" w:lineRule="auto"/>
        <w:ind w:left="0" w:firstLine="567"/>
        <w:jc w:val="both"/>
        <w:rPr>
          <w:rFonts w:ascii="Times New Roman" w:eastAsia="Times New Roman" w:hAnsi="Times New Roman"/>
          <w:iCs/>
          <w:lang w:eastAsia="bg-BG"/>
        </w:rPr>
      </w:pPr>
      <w:r>
        <w:rPr>
          <w:rFonts w:ascii="Times New Roman" w:eastAsia="Times New Roman" w:hAnsi="Times New Roman"/>
          <w:b/>
          <w:i/>
          <w:lang w:eastAsia="bg-BG"/>
        </w:rPr>
        <w:t xml:space="preserve">Национален план за възстановяване и </w:t>
      </w:r>
      <w:r w:rsidR="00F878D7">
        <w:rPr>
          <w:rFonts w:ascii="Times New Roman" w:eastAsia="Times New Roman" w:hAnsi="Times New Roman"/>
          <w:b/>
          <w:i/>
          <w:lang w:eastAsia="bg-BG"/>
        </w:rPr>
        <w:t>устойчивост</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В рамките на Националния план за възстановяване и устойчивост (НПВУ) ГД СППРР има отговорности по подготовката и изпълнението на проект 9б „Подкрепа за устойчиво енергийно обновяване на нежилищния сграден фонд“ и на проект 25 „Екологосъобразна мобилност“ - пилотна схема за подкрепа на устойчивата градска мобилност чрез мерки за развитие на екологични, безопасни, функционални и енергийно ефективни транспортни системи“. </w:t>
      </w:r>
    </w:p>
    <w:p w:rsidR="00426FE9" w:rsidRPr="00F878D7" w:rsidRDefault="00D0590D">
      <w:pPr>
        <w:pStyle w:val="ListParagraph"/>
        <w:tabs>
          <w:tab w:val="left" w:pos="851"/>
        </w:tabs>
        <w:spacing w:after="0" w:line="240" w:lineRule="auto"/>
        <w:ind w:left="0" w:firstLine="567"/>
        <w:jc w:val="both"/>
        <w:rPr>
          <w:rFonts w:ascii="Times New Roman" w:eastAsia="Times New Roman" w:hAnsi="Times New Roman"/>
          <w:b/>
          <w:lang w:eastAsia="bg-BG"/>
        </w:rPr>
      </w:pPr>
      <w:r w:rsidRPr="00F878D7">
        <w:rPr>
          <w:rFonts w:ascii="Times New Roman" w:eastAsia="Times New Roman" w:hAnsi="Times New Roman"/>
          <w:b/>
          <w:lang w:eastAsia="bg-BG"/>
        </w:rPr>
        <w:t>Проект 9б „Подкрепа за устойчиво енергийно обновяване на нежилищния сграден фонд“</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Дейностите по този проект са пряко насочени към постигане на икономии на енергия чрез целенасочени инвестиции и устойчиво енергийно обновяване на нежилищния сграден фонд. Основните цели са насочени към подобряване на енергийните характеристики на националния сграден фонд от нежилищни сгради; достигане на клас на енергопотребление „А“ и „Б“ след прилагане на енергоспестяващи мерки при публични сгради; намаляване на разходите за енергопотребление, което ще доведе и до спестяване на публичен ресурс; подобряване на условията в помещенията за предоставяне на услуги и за работа; постигане на 30% спестяване на първична енергия за всеки обект от нежилищния сграден фонд. Проектът е структуриран в 3 основни компонента, както следва: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КОМПОНЕНТ 1 – ПУБЛИЧНИ СГРАДИ</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Финансиране на мерки за устойчиво енергийно обновяване на държавни и общински сгради  (в т.ч. сгради за административно обслужване, сгради за обществено обслужване в областта на културата и изкуството и сгради за спорт, както и сгради, собственост на Българска академия на науките). </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Бюджет на Компонент 1 е в размер на 189,3 млн. евро без ДДС. Допустими бенефициенти по Компонент 1 са: </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 всички общини на територията на Р. България в партньорство с компетентен национален орган (областни администрации, министерства и др.) или друг партньор (собственик на сградата), съобразно спецификата и собствеността на обекта в рамките на процедура BG-RRP-4.020 „Подкрепа за устойчиво енергийно обновяване на публичен сграден фонд за административно обслужване, култура и спорт; </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 xml:space="preserve">- Българска академия на науките (БАН) – в рамките на процедура BG-RRP-4.022 „Повишаване на енергийната ефективност в публични сгради на Българска академия на науките“. </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Оценката на предложенията за изпълнение на инвестиции (ПИИ) по процедура чрез директно предоставяне на средства BG-RRP-4.022 „Повишаване на енергийната ефективност в публични сгради на Българска академия на науките“ с конкретен краен получател БАН е приключена, като с решение на Ръководителя на Структурата за наблюдение и докладване са одобрени 12 проекта. В периода м. ноември - м. декември 2023 г. са сключени 12 договора за финансиране на одобрените проекти на обща стойност на средствата от МВУ – 18 345 209,20 евро. </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Финализирана е оценката на ПИИ по процедура чрез подбор BG-RRP-4.020 „Подкрепа за устойчиво енергийно обновяване на публичен сграден фонд за административно обслужване, култура и спорт“ с общ бюджет 208,81 млн. евро. По процедурата са одобрени 291 предложения за изпълнение на инвестиции на територията на цялата страна (от тях за 6 предложения, кандидатите са се отказали от сключване на договор). От тях 139 предложения за административни сгради, 111 предложения за сгради за култура и 41 предложения за сгради за спорт</w:t>
      </w:r>
      <w:r w:rsidRPr="004C426E">
        <w:rPr>
          <w:rFonts w:ascii="Times New Roman" w:eastAsia="Times New Roman" w:hAnsi="Times New Roman"/>
          <w:lang w:val="en-US" w:eastAsia="bg-BG"/>
        </w:rPr>
        <w:t>.</w:t>
      </w:r>
      <w:r w:rsidRPr="004C426E">
        <w:rPr>
          <w:rFonts w:ascii="Times New Roman" w:eastAsia="Times New Roman" w:hAnsi="Times New Roman"/>
          <w:bCs/>
          <w:lang w:eastAsia="bg-BG"/>
        </w:rPr>
        <w:t xml:space="preserve"> Към настоящия момент са сключени 284 бр. договора за финансиране с крайни получатели, като в изпълнение са 265 бр. договора на обща стойност 225 104 763,51 евро, прекратени са 9 бр. договора и 10 бр. са приключили.  По процедурата се изпълняват проекти свързани с постигане на енергийна ефективност на нежилищни обществени сгради.</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КОМПОНЕНТ 2 - СГРАДИ В СФЕРАТА НА ПРОИЗВОДСТВОТО, ТЪРГОВИЯТА И УСЛУГИТЕ</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Финансиране на мерки за устойчиво енергийно ефективно обновяване на сгради в сферата на производството, търговията и услугите. Допустими кандидати по Компонент 2 са микро/малки, средни и големи предприятия на територията на цялата страна.</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Първоначалният максимален размер на бюджета на Компонент 2, в размер на 120,26 млн. евро без ДДС е определен на 76,8 млн. евро без ДДС, съгласно Допълнително споразумение № 1 към Оперативно споразумение № СПОР-18 от 16.02.2023 г. между Министерство на финансите и Министерство на регионалното развитие и благоустройството.</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bCs/>
          <w:lang w:eastAsia="bg-BG"/>
        </w:rPr>
      </w:pPr>
      <w:r w:rsidRPr="004C426E">
        <w:rPr>
          <w:rFonts w:ascii="Times New Roman" w:eastAsia="Times New Roman" w:hAnsi="Times New Roman"/>
          <w:lang w:eastAsia="bg-BG"/>
        </w:rPr>
        <w:t xml:space="preserve">Финализирана е оценката на ПИИ по процедура чрез подбор BG-RRP-4.021 „Подкрепа за енергийно обновяване на сгради в сферата на производството, търговията и услугите“. По процедурата са подадени 413 проекти предложения, одобрени са 318 предложения, 38 предложения са отхвърлени, а 50 проектни предложения са оттеглени от кандидатите. </w:t>
      </w:r>
      <w:r w:rsidRPr="004C426E">
        <w:rPr>
          <w:rFonts w:ascii="Times New Roman" w:eastAsia="Times New Roman" w:hAnsi="Times New Roman"/>
          <w:bCs/>
          <w:lang w:eastAsia="bg-BG"/>
        </w:rPr>
        <w:t xml:space="preserve">Към настоящия момент са сключени 280 бр. договора за финансиране с крайни получатели, като в изпълнение са 216 бр. договора на обща стойност 81 638 305,13 евро, прекратени са 47 бр. договора, развален е 1 бр. и 16 бр. са приключили. </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Максималният индикативен срок за изпълнение на проекти по Компонент 1 е 30 месеца, а по компонент 2 – 24 месеца, но не по-късно от 30.06.2026 г.</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КОМПОНЕНТ 3 – ОРГАНИЗАЦИЯ И УПРАВЛЕНИЕ НА ПРОГРАМАТА И МЕРКИ ЗА ПУБЛИЧНОСТ И ВИДИМОСТ </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 xml:space="preserve">По компонента е предвиден ресурс в размер на 6,19 млн. евро. без ДДС. Ще се подкрепят дейности за организация, управление, оценка, контрол, мониторинг проектите, както и дейности за публичност и видимост на програмата и проектите – информационни кампании с цел популяризиране на постигнатите резултати от изпълнението на мерките за устойчиво енергийно обновяване. </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b/>
          <w:lang w:eastAsia="bg-BG"/>
        </w:rPr>
      </w:pPr>
      <w:r w:rsidRPr="004C426E">
        <w:rPr>
          <w:rFonts w:ascii="Times New Roman" w:eastAsia="Times New Roman" w:hAnsi="Times New Roman"/>
          <w:b/>
          <w:lang w:eastAsia="bg-BG"/>
        </w:rPr>
        <w:t>Проект 25 „Екологосъобразна мобилност“ - пилотна схема за подкрепа на устойчивата градска мобилност чрез мерки за развитие на екологични, безопасни, функционални и енергийно ефективни транспортни системи“</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 xml:space="preserve">Целта на проекта е да подпомогне растежа на градовете и тяхната устойчивост, чрез изпълнение на интегрирани мерки за устойчива градска мобилност. Проектът се осъществи под формата на пилотна схема в подкрепа на реформата за устойчива градска мобилност, както и да се насърчи сформирането на партньорства, като по този начин ще се улесни подготовката и изпълнението на сходни проекти, които да бъдат финансирани със средства от Програма „Развитие на регионите“ 2021-2027 г. В рамките на пилотния проект е предвидено да бъдат доставени 68 бр. превозни средства (автобуси и/или тролейбуси) за градския и междуселищния обществен транспорт с нулеви емисии, изградени зарядни станции за тях, както и разработването на ИТС и интегрирани цифрови решения за подобряване на ефикасността и ефективността на обществения транспорт и изпълнени мерки за развитие на пешеходната и велосипедната инфраструктура. </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lastRenderedPageBreak/>
        <w:t>Финансовият ресурс за схемата е 51,1 млн. евро, от които 49,6 млн. евро са европейско финансиране (безвъзмездна помощ) по Механизма за възстановяване и устойчивост и 1,5 млн. евро са средства от националния бюджет за покриване на невъзстановим за бенефициентите ДДС.</w:t>
      </w:r>
    </w:p>
    <w:p w:rsidR="004C426E"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 xml:space="preserve">Допустими бенефициенти в рамките на пилотната схема са партньорства на градски общини и оператори на обществения транспорт (включително междуселищен), действащи на съответната територия, като максималният индикативен срок за изпълнение на проекти е 24 месеца, но не по-късно от 30.06.2026 г. </w:t>
      </w:r>
    </w:p>
    <w:p w:rsidR="00426FE9" w:rsidRPr="004C426E" w:rsidRDefault="004C426E" w:rsidP="004C426E">
      <w:pPr>
        <w:pStyle w:val="ListParagraph"/>
        <w:tabs>
          <w:tab w:val="left" w:pos="851"/>
        </w:tabs>
        <w:spacing w:line="240" w:lineRule="auto"/>
        <w:ind w:left="0" w:firstLine="567"/>
        <w:jc w:val="both"/>
        <w:rPr>
          <w:rFonts w:ascii="Times New Roman" w:eastAsia="Times New Roman" w:hAnsi="Times New Roman"/>
          <w:lang w:eastAsia="bg-BG"/>
        </w:rPr>
      </w:pPr>
      <w:r w:rsidRPr="004C426E">
        <w:rPr>
          <w:rFonts w:ascii="Times New Roman" w:eastAsia="Times New Roman" w:hAnsi="Times New Roman"/>
          <w:lang w:eastAsia="bg-BG"/>
        </w:rPr>
        <w:t>Към момента в процес на изпълнение са 14 договора за предоставяне на средства на крайни получатели от Механизма за възстановяване и устойчивост на обща стойност 62 097 483,86</w:t>
      </w:r>
      <w:r w:rsidRPr="004C426E" w:rsidDel="00DE62A8">
        <w:rPr>
          <w:rFonts w:ascii="Times New Roman" w:eastAsia="Times New Roman" w:hAnsi="Times New Roman"/>
          <w:lang w:eastAsia="bg-BG"/>
        </w:rPr>
        <w:t xml:space="preserve"> </w:t>
      </w:r>
      <w:r w:rsidRPr="004C426E">
        <w:rPr>
          <w:rFonts w:ascii="Times New Roman" w:eastAsia="Times New Roman" w:hAnsi="Times New Roman"/>
          <w:lang w:eastAsia="bg-BG"/>
        </w:rPr>
        <w:t>евро.</w:t>
      </w:r>
    </w:p>
    <w:p w:rsidR="00426FE9" w:rsidRDefault="00D0590D">
      <w:pPr>
        <w:spacing w:after="0" w:line="240" w:lineRule="auto"/>
        <w:ind w:firstLine="567"/>
        <w:jc w:val="both"/>
        <w:rPr>
          <w:rFonts w:ascii="Times New Roman" w:hAnsi="Times New Roman"/>
          <w:b/>
          <w:bCs/>
          <w:color w:val="4A7C2C" w:themeColor="accent4" w:themeShade="BF"/>
        </w:rPr>
      </w:pPr>
      <w:r>
        <w:rPr>
          <w:rFonts w:ascii="Times New Roman" w:hAnsi="Times New Roman"/>
          <w:b/>
          <w:color w:val="4A7C2C" w:themeColor="accent4" w:themeShade="BF"/>
        </w:rPr>
        <w:t>2100.01.02 БЮДЖЕТНА ПРОГРАМА „</w:t>
      </w:r>
      <w:r>
        <w:rPr>
          <w:rFonts w:ascii="Times New Roman" w:hAnsi="Times New Roman"/>
          <w:b/>
          <w:bCs/>
          <w:color w:val="4A7C2C" w:themeColor="accent4" w:themeShade="BF"/>
        </w:rPr>
        <w:t>ПОДОБРЯВАНЕ НА ЖИЛИЩНИТЕ УСЛОВИЯ НА МАРГИНАЛИЗИРАНИ ГРУПИ ОТ НАСЕЛЕНИЕТО”</w:t>
      </w:r>
    </w:p>
    <w:p w:rsidR="00426FE9" w:rsidRDefault="00D0590D" w:rsidP="004F30BC">
      <w:pPr>
        <w:numPr>
          <w:ilvl w:val="2"/>
          <w:numId w:val="46"/>
        </w:numPr>
        <w:tabs>
          <w:tab w:val="left" w:pos="851"/>
        </w:tabs>
        <w:spacing w:after="0" w:line="240" w:lineRule="auto"/>
        <w:ind w:left="0"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Цели на бюджетната програмата</w:t>
      </w:r>
    </w:p>
    <w:p w:rsidR="00426FE9" w:rsidRDefault="00D0590D" w:rsidP="004F30BC">
      <w:pPr>
        <w:pStyle w:val="ListParagraph"/>
        <w:numPr>
          <w:ilvl w:val="1"/>
          <w:numId w:val="47"/>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Подобряване енергийните характеристики на националния жилищен фонд от жилищни сгради, чрез прилагане на интегрирани енергоефективни мерки;</w:t>
      </w:r>
    </w:p>
    <w:p w:rsidR="00426FE9" w:rsidRDefault="00D0590D" w:rsidP="004F30BC">
      <w:pPr>
        <w:pStyle w:val="ListParagraph"/>
        <w:numPr>
          <w:ilvl w:val="1"/>
          <w:numId w:val="47"/>
        </w:numPr>
        <w:tabs>
          <w:tab w:val="left" w:pos="851"/>
        </w:tabs>
        <w:spacing w:before="120" w:after="12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Достигане на клас на енергопотребление минимум „В“ след прилагане на енергоспестяващи мерки при жилищни сгради;</w:t>
      </w:r>
    </w:p>
    <w:p w:rsidR="00426FE9" w:rsidRDefault="00D0590D" w:rsidP="004F30BC">
      <w:pPr>
        <w:pStyle w:val="ListParagraph"/>
        <w:numPr>
          <w:ilvl w:val="1"/>
          <w:numId w:val="47"/>
        </w:numPr>
        <w:tabs>
          <w:tab w:val="left" w:pos="851"/>
        </w:tabs>
        <w:spacing w:before="120" w:after="12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Стимулиране на минимум 30% спестяване на първична енергия за обновените жилищни сгради;</w:t>
      </w:r>
    </w:p>
    <w:p w:rsidR="00426FE9" w:rsidRDefault="00D0590D" w:rsidP="004F30BC">
      <w:pPr>
        <w:pStyle w:val="ListParagraph"/>
        <w:numPr>
          <w:ilvl w:val="1"/>
          <w:numId w:val="47"/>
        </w:numPr>
        <w:tabs>
          <w:tab w:val="left" w:pos="851"/>
        </w:tabs>
        <w:spacing w:before="120" w:after="12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Ресурсна ефективност, икономическа целесъобразност, декарбонизация чрез ВЕИ, устойчив строителен процес;</w:t>
      </w:r>
    </w:p>
    <w:p w:rsidR="00426FE9" w:rsidRDefault="00D0590D" w:rsidP="004F30BC">
      <w:pPr>
        <w:pStyle w:val="ListParagraph"/>
        <w:numPr>
          <w:ilvl w:val="1"/>
          <w:numId w:val="47"/>
        </w:numPr>
        <w:tabs>
          <w:tab w:val="left" w:pos="851"/>
        </w:tabs>
        <w:spacing w:before="120" w:after="12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Намаляване на енергийната бедност, чрез намаляване разходите на енергия;</w:t>
      </w:r>
    </w:p>
    <w:p w:rsidR="00426FE9" w:rsidRDefault="00D0590D" w:rsidP="004F30BC">
      <w:pPr>
        <w:pStyle w:val="ListParagraph"/>
        <w:numPr>
          <w:ilvl w:val="1"/>
          <w:numId w:val="47"/>
        </w:numPr>
        <w:tabs>
          <w:tab w:val="left" w:pos="851"/>
        </w:tabs>
        <w:spacing w:before="120" w:after="12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Подобряване на условията и качеството на живот на населението в страната чрез технологично обновление и модернизация на сградния фонд;</w:t>
      </w:r>
    </w:p>
    <w:p w:rsidR="00426FE9" w:rsidRDefault="00D0590D" w:rsidP="004F30BC">
      <w:pPr>
        <w:pStyle w:val="ListParagraph"/>
        <w:numPr>
          <w:ilvl w:val="1"/>
          <w:numId w:val="46"/>
        </w:numPr>
        <w:tabs>
          <w:tab w:val="left" w:pos="851"/>
        </w:tabs>
        <w:spacing w:after="0" w:line="240" w:lineRule="auto"/>
        <w:ind w:hanging="1778"/>
        <w:jc w:val="both"/>
        <w:rPr>
          <w:rFonts w:ascii="Times New Roman" w:hAnsi="Times New Roman"/>
          <w:b/>
          <w:i/>
          <w:color w:val="0000CC"/>
        </w:rPr>
      </w:pPr>
      <w:r>
        <w:rPr>
          <w:rFonts w:ascii="Times New Roman" w:hAnsi="Times New Roman"/>
          <w:b/>
          <w:i/>
          <w:color w:val="0000CC"/>
        </w:rPr>
        <w:t>Целеви стойности по показателите за изпълнение</w:t>
      </w:r>
    </w:p>
    <w:tbl>
      <w:tblPr>
        <w:tblW w:w="10054" w:type="dxa"/>
        <w:tblLayout w:type="fixed"/>
        <w:tblLook w:val="04A0" w:firstRow="1" w:lastRow="0" w:firstColumn="1" w:lastColumn="0" w:noHBand="0" w:noVBand="1"/>
      </w:tblPr>
      <w:tblGrid>
        <w:gridCol w:w="5376"/>
        <w:gridCol w:w="1418"/>
        <w:gridCol w:w="1133"/>
        <w:gridCol w:w="1164"/>
        <w:gridCol w:w="963"/>
      </w:tblGrid>
      <w:tr w:rsidR="00426FE9">
        <w:trPr>
          <w:trHeight w:val="130"/>
        </w:trPr>
        <w:tc>
          <w:tcPr>
            <w:tcW w:w="5376" w:type="dxa"/>
            <w:tcBorders>
              <w:top w:val="single" w:sz="8" w:space="0" w:color="000000"/>
              <w:left w:val="single" w:sz="8" w:space="0" w:color="000000"/>
              <w:bottom w:val="single" w:sz="8" w:space="0" w:color="000000"/>
              <w:right w:val="single" w:sz="8"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ПОКАЗАТЕЛИ ЗА ИЗПЪЛНЕНИЕ </w:t>
            </w:r>
          </w:p>
        </w:tc>
        <w:tc>
          <w:tcPr>
            <w:tcW w:w="4678" w:type="dxa"/>
            <w:gridSpan w:val="4"/>
            <w:vMerge w:val="restart"/>
            <w:tcBorders>
              <w:top w:val="single" w:sz="8" w:space="0" w:color="000000"/>
              <w:left w:val="single" w:sz="8" w:space="0" w:color="000000"/>
              <w:bottom w:val="single" w:sz="8" w:space="0" w:color="000000"/>
              <w:right w:val="single" w:sz="8"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Целева стойност</w:t>
            </w:r>
          </w:p>
        </w:tc>
      </w:tr>
      <w:tr w:rsidR="00426FE9">
        <w:trPr>
          <w:trHeight w:val="204"/>
        </w:trPr>
        <w:tc>
          <w:tcPr>
            <w:tcW w:w="5376" w:type="dxa"/>
            <w:tcBorders>
              <w:left w:val="single" w:sz="8" w:space="0" w:color="000000"/>
              <w:bottom w:val="single" w:sz="8" w:space="0" w:color="000000"/>
              <w:right w:val="single" w:sz="8"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2100.01.02 Бюджетна програма „Подобряване на жилищните условия на маргинализирани групи от населението“ </w:t>
            </w:r>
          </w:p>
        </w:tc>
        <w:tc>
          <w:tcPr>
            <w:tcW w:w="4678" w:type="dxa"/>
            <w:gridSpan w:val="4"/>
            <w:vMerge/>
            <w:tcBorders>
              <w:left w:val="single" w:sz="8" w:space="0" w:color="000000"/>
              <w:bottom w:val="single" w:sz="8" w:space="0" w:color="000000"/>
              <w:right w:val="single" w:sz="8" w:space="0" w:color="000000"/>
            </w:tcBorders>
            <w:vAlign w:val="center"/>
          </w:tcPr>
          <w:p w:rsidR="00426FE9" w:rsidRDefault="00426FE9">
            <w:pPr>
              <w:spacing w:after="0" w:line="240" w:lineRule="auto"/>
              <w:rPr>
                <w:rFonts w:ascii="Times New Roman" w:eastAsia="Times New Roman" w:hAnsi="Times New Roman" w:cs="Times New Roman"/>
                <w:b/>
                <w:bCs/>
                <w:color w:val="000000"/>
                <w:sz w:val="16"/>
                <w:szCs w:val="16"/>
                <w:lang w:val="en-US"/>
              </w:rPr>
            </w:pPr>
          </w:p>
        </w:tc>
      </w:tr>
      <w:tr w:rsidR="00426FE9">
        <w:trPr>
          <w:trHeight w:val="109"/>
        </w:trPr>
        <w:tc>
          <w:tcPr>
            <w:tcW w:w="5376" w:type="dxa"/>
            <w:tcBorders>
              <w:left w:val="single" w:sz="8" w:space="0" w:color="000000"/>
              <w:bottom w:val="single" w:sz="4" w:space="0" w:color="000000"/>
              <w:right w:val="single" w:sz="8"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Показатели</w:t>
            </w:r>
            <w:r>
              <w:rPr>
                <w:rFonts w:eastAsia="Times New Roman" w:cs="Calibri"/>
                <w:color w:val="0563C1"/>
                <w:u w:val="single"/>
              </w:rPr>
              <w:t xml:space="preserve"> </w:t>
            </w:r>
            <w:r>
              <w:rPr>
                <w:rFonts w:ascii="Times New Roman" w:eastAsia="Times New Roman" w:hAnsi="Times New Roman" w:cs="Times New Roman"/>
                <w:b/>
                <w:bCs/>
                <w:color w:val="000000"/>
                <w:sz w:val="16"/>
                <w:szCs w:val="16"/>
              </w:rPr>
              <w:t>за изпълнение</w:t>
            </w:r>
          </w:p>
        </w:tc>
        <w:tc>
          <w:tcPr>
            <w:tcW w:w="1418" w:type="dxa"/>
            <w:tcBorders>
              <w:bottom w:val="single" w:sz="4" w:space="0" w:color="000000"/>
              <w:right w:val="single" w:sz="8"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Мерна единица</w:t>
            </w:r>
          </w:p>
        </w:tc>
        <w:tc>
          <w:tcPr>
            <w:tcW w:w="1133" w:type="dxa"/>
            <w:tcBorders>
              <w:bottom w:val="single" w:sz="4" w:space="0" w:color="000000"/>
              <w:right w:val="single" w:sz="8" w:space="0" w:color="000000"/>
            </w:tcBorders>
            <w:shd w:val="clear" w:color="000000" w:fill="FFCC99"/>
            <w:vAlign w:val="center"/>
          </w:tcPr>
          <w:p w:rsidR="00426FE9" w:rsidRDefault="00C55938">
            <w:pPr>
              <w:spacing w:after="0" w:line="240" w:lineRule="auto"/>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 xml:space="preserve">Бюджет </w:t>
            </w:r>
            <w:r w:rsidR="00D0590D">
              <w:rPr>
                <w:rFonts w:ascii="Times New Roman" w:eastAsia="Times New Roman" w:hAnsi="Times New Roman" w:cs="Times New Roman"/>
                <w:b/>
                <w:bCs/>
                <w:i/>
                <w:iCs/>
                <w:color w:val="000000"/>
                <w:sz w:val="16"/>
                <w:szCs w:val="16"/>
              </w:rPr>
              <w:t>2026 г.</w:t>
            </w:r>
          </w:p>
        </w:tc>
        <w:tc>
          <w:tcPr>
            <w:tcW w:w="1164" w:type="dxa"/>
            <w:tcBorders>
              <w:bottom w:val="single" w:sz="4" w:space="0" w:color="000000"/>
              <w:right w:val="single" w:sz="8"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Прогноза 2027 г.</w:t>
            </w:r>
          </w:p>
        </w:tc>
        <w:tc>
          <w:tcPr>
            <w:tcW w:w="963" w:type="dxa"/>
            <w:tcBorders>
              <w:bottom w:val="single" w:sz="4" w:space="0" w:color="000000"/>
              <w:right w:val="single" w:sz="8"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Прогноза 2028 г.</w:t>
            </w:r>
          </w:p>
        </w:tc>
      </w:tr>
      <w:tr w:rsidR="00426FE9">
        <w:trPr>
          <w:trHeight w:val="154"/>
        </w:trPr>
        <w:tc>
          <w:tcPr>
            <w:tcW w:w="5376" w:type="dxa"/>
            <w:tcBorders>
              <w:left w:val="single" w:sz="8" w:space="0" w:color="000000"/>
              <w:bottom w:val="single" w:sz="4" w:space="0" w:color="000000"/>
              <w:right w:val="single" w:sz="8" w:space="0" w:color="000000"/>
            </w:tcBorders>
            <w:shd w:val="clear" w:color="auto" w:fill="FFFFFF" w:themeFill="background1"/>
          </w:tcPr>
          <w:p w:rsidR="00426FE9" w:rsidRDefault="00D0590D">
            <w:pPr>
              <w:spacing w:after="0" w:line="240" w:lineRule="auto"/>
              <w:rPr>
                <w:rFonts w:ascii="Times New Roman" w:eastAsia="Times New Roman" w:hAnsi="Times New Roman" w:cs="Times New Roman"/>
                <w:i/>
                <w:color w:val="000000"/>
                <w:sz w:val="16"/>
                <w:szCs w:val="16"/>
                <w:lang w:val="en-US"/>
              </w:rPr>
            </w:pPr>
            <w:r>
              <w:rPr>
                <w:rFonts w:ascii="Times New Roman" w:hAnsi="Times New Roman" w:cs="Times New Roman"/>
                <w:sz w:val="16"/>
                <w:szCs w:val="16"/>
              </w:rPr>
              <w:t>1. Показател: Енергийно обновена разгъната застроена площ в многофамилни жилищни сгради (РЗП)</w:t>
            </w:r>
          </w:p>
        </w:tc>
        <w:tc>
          <w:tcPr>
            <w:tcW w:w="1418"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color w:val="000000"/>
                <w:sz w:val="16"/>
                <w:szCs w:val="16"/>
              </w:rPr>
            </w:pPr>
            <w:r>
              <w:rPr>
                <w:rFonts w:ascii="Times New Roman" w:hAnsi="Times New Roman" w:cs="Times New Roman"/>
                <w:sz w:val="16"/>
                <w:szCs w:val="16"/>
              </w:rPr>
              <w:t> </w:t>
            </w:r>
          </w:p>
        </w:tc>
        <w:tc>
          <w:tcPr>
            <w:tcW w:w="1133"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i/>
                <w:iCs/>
                <w:color w:val="000000"/>
                <w:sz w:val="16"/>
                <w:szCs w:val="16"/>
              </w:rPr>
            </w:pPr>
            <w:r>
              <w:rPr>
                <w:rFonts w:ascii="Times New Roman" w:hAnsi="Times New Roman" w:cs="Times New Roman"/>
                <w:sz w:val="16"/>
                <w:szCs w:val="16"/>
              </w:rPr>
              <w:t> </w:t>
            </w:r>
          </w:p>
        </w:tc>
        <w:tc>
          <w:tcPr>
            <w:tcW w:w="1164"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rPr>
            </w:pPr>
          </w:p>
        </w:tc>
        <w:tc>
          <w:tcPr>
            <w:tcW w:w="963"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highlight w:val="yellow"/>
              </w:rPr>
            </w:pPr>
          </w:p>
        </w:tc>
      </w:tr>
      <w:tr w:rsidR="00426FE9">
        <w:trPr>
          <w:trHeight w:val="169"/>
        </w:trPr>
        <w:tc>
          <w:tcPr>
            <w:tcW w:w="5376" w:type="dxa"/>
            <w:tcBorders>
              <w:left w:val="single" w:sz="8" w:space="0" w:color="000000"/>
              <w:bottom w:val="single" w:sz="4" w:space="0" w:color="000000"/>
              <w:right w:val="single" w:sz="8" w:space="0" w:color="000000"/>
            </w:tcBorders>
            <w:shd w:val="clear" w:color="auto" w:fill="FFFFFF" w:themeFill="background1"/>
          </w:tcPr>
          <w:p w:rsidR="00426FE9" w:rsidRDefault="00D0590D">
            <w:pPr>
              <w:spacing w:after="0" w:line="240" w:lineRule="auto"/>
              <w:rPr>
                <w:rFonts w:ascii="Times New Roman" w:eastAsia="Times New Roman" w:hAnsi="Times New Roman" w:cs="Times New Roman"/>
                <w:i/>
                <w:color w:val="000000"/>
                <w:sz w:val="16"/>
                <w:szCs w:val="16"/>
                <w:lang w:val="en-US"/>
              </w:rPr>
            </w:pPr>
            <w:r>
              <w:rPr>
                <w:rFonts w:ascii="Times New Roman" w:hAnsi="Times New Roman" w:cs="Times New Roman"/>
                <w:sz w:val="16"/>
                <w:szCs w:val="16"/>
              </w:rPr>
              <w:t>-НПЕЕМЖС</w:t>
            </w:r>
          </w:p>
        </w:tc>
        <w:tc>
          <w:tcPr>
            <w:tcW w:w="1418"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color w:val="000000"/>
                <w:sz w:val="16"/>
                <w:szCs w:val="16"/>
              </w:rPr>
            </w:pPr>
            <w:r>
              <w:rPr>
                <w:rFonts w:ascii="Times New Roman" w:hAnsi="Times New Roman" w:cs="Times New Roman"/>
                <w:sz w:val="16"/>
                <w:szCs w:val="16"/>
              </w:rPr>
              <w:t>млн. кв. м РЗП</w:t>
            </w:r>
          </w:p>
        </w:tc>
        <w:tc>
          <w:tcPr>
            <w:tcW w:w="1133"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i/>
                <w:iCs/>
                <w:color w:val="000000"/>
                <w:sz w:val="16"/>
                <w:szCs w:val="16"/>
              </w:rPr>
            </w:pPr>
            <w:r>
              <w:rPr>
                <w:rFonts w:ascii="Times New Roman" w:hAnsi="Times New Roman" w:cs="Times New Roman"/>
                <w:sz w:val="16"/>
                <w:szCs w:val="16"/>
              </w:rPr>
              <w:t xml:space="preserve"> 11,5 </w:t>
            </w:r>
          </w:p>
        </w:tc>
        <w:tc>
          <w:tcPr>
            <w:tcW w:w="1164"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rPr>
            </w:pPr>
          </w:p>
        </w:tc>
        <w:tc>
          <w:tcPr>
            <w:tcW w:w="963"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highlight w:val="yellow"/>
              </w:rPr>
            </w:pPr>
          </w:p>
        </w:tc>
      </w:tr>
      <w:tr w:rsidR="00426FE9">
        <w:trPr>
          <w:trHeight w:val="169"/>
        </w:trPr>
        <w:tc>
          <w:tcPr>
            <w:tcW w:w="5376" w:type="dxa"/>
            <w:tcBorders>
              <w:left w:val="single" w:sz="8" w:space="0" w:color="000000"/>
              <w:bottom w:val="single" w:sz="4" w:space="0" w:color="000000"/>
              <w:right w:val="single" w:sz="8" w:space="0" w:color="000000"/>
            </w:tcBorders>
            <w:shd w:val="clear" w:color="auto" w:fill="FFFFFF" w:themeFill="background1"/>
          </w:tcPr>
          <w:p w:rsidR="00426FE9" w:rsidRDefault="00D0590D">
            <w:pPr>
              <w:spacing w:after="0" w:line="240" w:lineRule="auto"/>
              <w:rPr>
                <w:rFonts w:ascii="Times New Roman" w:eastAsia="Times New Roman" w:hAnsi="Times New Roman" w:cs="Times New Roman"/>
                <w:i/>
                <w:color w:val="000000"/>
                <w:sz w:val="16"/>
                <w:szCs w:val="16"/>
                <w:lang w:val="en-US"/>
              </w:rPr>
            </w:pPr>
            <w:r>
              <w:rPr>
                <w:rFonts w:ascii="Times New Roman" w:hAnsi="Times New Roman" w:cs="Times New Roman"/>
                <w:sz w:val="16"/>
                <w:szCs w:val="16"/>
              </w:rPr>
              <w:t>-НПВУ</w:t>
            </w:r>
          </w:p>
        </w:tc>
        <w:tc>
          <w:tcPr>
            <w:tcW w:w="1418"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color w:val="000000"/>
                <w:sz w:val="16"/>
                <w:szCs w:val="16"/>
              </w:rPr>
            </w:pPr>
            <w:r>
              <w:rPr>
                <w:rFonts w:ascii="Times New Roman" w:hAnsi="Times New Roman" w:cs="Times New Roman"/>
                <w:sz w:val="16"/>
                <w:szCs w:val="16"/>
              </w:rPr>
              <w:t>млн. кв. м РЗП</w:t>
            </w:r>
          </w:p>
        </w:tc>
        <w:tc>
          <w:tcPr>
            <w:tcW w:w="1133"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i/>
                <w:iCs/>
                <w:color w:val="000000"/>
                <w:sz w:val="16"/>
                <w:szCs w:val="16"/>
              </w:rPr>
            </w:pPr>
            <w:r>
              <w:rPr>
                <w:rFonts w:ascii="Times New Roman" w:hAnsi="Times New Roman" w:cs="Times New Roman"/>
                <w:sz w:val="16"/>
                <w:szCs w:val="16"/>
              </w:rPr>
              <w:t xml:space="preserve"> 2,15 </w:t>
            </w:r>
          </w:p>
        </w:tc>
        <w:tc>
          <w:tcPr>
            <w:tcW w:w="1164"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rPr>
            </w:pPr>
          </w:p>
        </w:tc>
        <w:tc>
          <w:tcPr>
            <w:tcW w:w="963"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highlight w:val="yellow"/>
              </w:rPr>
            </w:pPr>
          </w:p>
        </w:tc>
      </w:tr>
      <w:tr w:rsidR="00426FE9">
        <w:trPr>
          <w:trHeight w:val="169"/>
        </w:trPr>
        <w:tc>
          <w:tcPr>
            <w:tcW w:w="5376" w:type="dxa"/>
            <w:tcBorders>
              <w:left w:val="single" w:sz="8" w:space="0" w:color="000000"/>
              <w:bottom w:val="single" w:sz="4" w:space="0" w:color="000000"/>
              <w:right w:val="single" w:sz="8" w:space="0" w:color="000000"/>
            </w:tcBorders>
            <w:shd w:val="clear" w:color="auto" w:fill="FFFFFF" w:themeFill="background1"/>
          </w:tcPr>
          <w:p w:rsidR="00426FE9" w:rsidRDefault="00D0590D">
            <w:pPr>
              <w:spacing w:after="0" w:line="240" w:lineRule="auto"/>
              <w:rPr>
                <w:rFonts w:ascii="Times New Roman" w:eastAsia="Times New Roman" w:hAnsi="Times New Roman" w:cs="Times New Roman"/>
                <w:i/>
                <w:color w:val="000000"/>
                <w:sz w:val="16"/>
                <w:szCs w:val="16"/>
                <w:lang w:val="en-US"/>
              </w:rPr>
            </w:pPr>
            <w:r>
              <w:rPr>
                <w:rFonts w:ascii="Times New Roman" w:hAnsi="Times New Roman" w:cs="Times New Roman"/>
                <w:sz w:val="16"/>
                <w:szCs w:val="16"/>
              </w:rPr>
              <w:t>-Споразумения за трансфер</w:t>
            </w:r>
          </w:p>
        </w:tc>
        <w:tc>
          <w:tcPr>
            <w:tcW w:w="1418"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color w:val="000000"/>
                <w:sz w:val="16"/>
                <w:szCs w:val="16"/>
              </w:rPr>
            </w:pPr>
            <w:r>
              <w:rPr>
                <w:rFonts w:ascii="Times New Roman" w:hAnsi="Times New Roman" w:cs="Times New Roman"/>
                <w:sz w:val="16"/>
                <w:szCs w:val="16"/>
              </w:rPr>
              <w:t>хил. кв. м РЗП</w:t>
            </w:r>
          </w:p>
        </w:tc>
        <w:tc>
          <w:tcPr>
            <w:tcW w:w="1133" w:type="dxa"/>
            <w:tcBorders>
              <w:bottom w:val="single" w:sz="4" w:space="0" w:color="000000"/>
              <w:right w:val="single" w:sz="8" w:space="0" w:color="000000"/>
            </w:tcBorders>
            <w:shd w:val="clear" w:color="auto" w:fill="FFFFFF" w:themeFill="background1"/>
          </w:tcPr>
          <w:p w:rsidR="00426FE9" w:rsidRDefault="00D0590D">
            <w:pPr>
              <w:spacing w:after="0" w:line="240" w:lineRule="auto"/>
              <w:jc w:val="center"/>
              <w:rPr>
                <w:rFonts w:ascii="Times New Roman" w:eastAsia="Times New Roman" w:hAnsi="Times New Roman" w:cs="Times New Roman"/>
                <w:bCs/>
                <w:i/>
                <w:iCs/>
                <w:color w:val="000000"/>
                <w:sz w:val="16"/>
                <w:szCs w:val="16"/>
              </w:rPr>
            </w:pPr>
            <w:r>
              <w:rPr>
                <w:rFonts w:ascii="Times New Roman" w:hAnsi="Times New Roman" w:cs="Times New Roman"/>
                <w:sz w:val="16"/>
                <w:szCs w:val="16"/>
              </w:rPr>
              <w:t>364</w:t>
            </w:r>
          </w:p>
        </w:tc>
        <w:tc>
          <w:tcPr>
            <w:tcW w:w="1164"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rPr>
            </w:pPr>
          </w:p>
        </w:tc>
        <w:tc>
          <w:tcPr>
            <w:tcW w:w="963" w:type="dxa"/>
            <w:tcBorders>
              <w:bottom w:val="single" w:sz="4" w:space="0" w:color="000000"/>
              <w:right w:val="single" w:sz="8" w:space="0" w:color="000000"/>
            </w:tcBorders>
            <w:shd w:val="clear" w:color="auto" w:fill="FFFFFF" w:themeFill="background1"/>
            <w:vAlign w:val="center"/>
          </w:tcPr>
          <w:p w:rsidR="00426FE9" w:rsidRDefault="00426FE9">
            <w:pPr>
              <w:spacing w:after="0" w:line="240" w:lineRule="auto"/>
              <w:jc w:val="center"/>
              <w:rPr>
                <w:rFonts w:ascii="Times New Roman" w:eastAsia="Times New Roman" w:hAnsi="Times New Roman" w:cs="Times New Roman"/>
                <w:bCs/>
                <w:i/>
                <w:iCs/>
                <w:color w:val="000000"/>
                <w:sz w:val="16"/>
                <w:szCs w:val="16"/>
                <w:highlight w:val="yellow"/>
              </w:rPr>
            </w:pPr>
          </w:p>
        </w:tc>
      </w:tr>
      <w:tr w:rsidR="00426FE9">
        <w:trPr>
          <w:trHeight w:val="182"/>
        </w:trPr>
        <w:tc>
          <w:tcPr>
            <w:tcW w:w="5376"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eastAsia="Times New Roman" w:hAnsi="Times New Roman" w:cs="Times New Roman"/>
                <w:i/>
                <w:color w:val="000000"/>
                <w:sz w:val="16"/>
                <w:szCs w:val="16"/>
                <w:lang w:val="en-US"/>
              </w:rPr>
            </w:pPr>
            <w:r>
              <w:rPr>
                <w:rFonts w:ascii="Times New Roman" w:hAnsi="Times New Roman" w:cs="Times New Roman"/>
                <w:sz w:val="16"/>
                <w:szCs w:val="16"/>
              </w:rPr>
              <w:t>2. Показател: Енергийно обновени многофамилни жилищни сгради</w:t>
            </w:r>
          </w:p>
        </w:tc>
        <w:tc>
          <w:tcPr>
            <w:tcW w:w="1418"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center"/>
              <w:rPr>
                <w:rFonts w:ascii="Times New Roman" w:eastAsia="Times New Roman" w:hAnsi="Times New Roman" w:cs="Times New Roman"/>
                <w:color w:val="000000"/>
                <w:sz w:val="16"/>
                <w:szCs w:val="16"/>
                <w:lang w:val="en-US"/>
              </w:rPr>
            </w:pPr>
          </w:p>
        </w:tc>
        <w:tc>
          <w:tcPr>
            <w:tcW w:w="1133"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center"/>
              <w:rPr>
                <w:rFonts w:ascii="Times New Roman" w:eastAsia="Times New Roman" w:hAnsi="Times New Roman" w:cs="Times New Roman"/>
                <w:color w:val="000000"/>
                <w:sz w:val="16"/>
                <w:szCs w:val="16"/>
                <w:lang w:val="en-US"/>
              </w:rPr>
            </w:pPr>
          </w:p>
        </w:tc>
        <w:tc>
          <w:tcPr>
            <w:tcW w:w="1164"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both"/>
              <w:rPr>
                <w:rFonts w:ascii="Times New Roman" w:eastAsia="Times New Roman" w:hAnsi="Times New Roman" w:cs="Times New Roman"/>
                <w:color w:val="000000"/>
                <w:sz w:val="16"/>
                <w:szCs w:val="16"/>
                <w:lang w:val="en-US"/>
              </w:rPr>
            </w:pPr>
          </w:p>
        </w:tc>
        <w:tc>
          <w:tcPr>
            <w:tcW w:w="963"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center"/>
              <w:rPr>
                <w:rFonts w:ascii="Times New Roman" w:eastAsia="Times New Roman" w:hAnsi="Times New Roman" w:cs="Times New Roman"/>
                <w:color w:val="000000"/>
                <w:sz w:val="16"/>
                <w:szCs w:val="16"/>
                <w:highlight w:val="yellow"/>
                <w:lang w:val="en-US"/>
              </w:rPr>
            </w:pPr>
          </w:p>
        </w:tc>
      </w:tr>
      <w:tr w:rsidR="00426FE9">
        <w:trPr>
          <w:trHeight w:val="70"/>
        </w:trPr>
        <w:tc>
          <w:tcPr>
            <w:tcW w:w="5376" w:type="dxa"/>
            <w:tcBorders>
              <w:top w:val="single" w:sz="4" w:space="0" w:color="000000"/>
              <w:left w:val="single" w:sz="4" w:space="0" w:color="000000"/>
              <w:bottom w:val="single" w:sz="4" w:space="0" w:color="000000"/>
              <w:right w:val="single" w:sz="4" w:space="0" w:color="000000"/>
            </w:tcBorders>
          </w:tcPr>
          <w:p w:rsidR="00426FE9" w:rsidRDefault="00D0590D">
            <w:pPr>
              <w:pStyle w:val="ListParagraph"/>
              <w:spacing w:after="0" w:line="240" w:lineRule="auto"/>
              <w:ind w:left="22"/>
              <w:rPr>
                <w:rFonts w:ascii="Times New Roman" w:hAnsi="Times New Roman"/>
                <w:sz w:val="16"/>
                <w:szCs w:val="16"/>
              </w:rPr>
            </w:pPr>
            <w:r>
              <w:rPr>
                <w:rFonts w:ascii="Times New Roman" w:hAnsi="Times New Roman"/>
                <w:sz w:val="16"/>
                <w:szCs w:val="16"/>
              </w:rPr>
              <w:t>-НПЕЕМЖС</w:t>
            </w:r>
          </w:p>
        </w:tc>
        <w:tc>
          <w:tcPr>
            <w:tcW w:w="1418"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w:t>
            </w:r>
          </w:p>
        </w:tc>
        <w:tc>
          <w:tcPr>
            <w:tcW w:w="1133" w:type="dxa"/>
            <w:tcBorders>
              <w:top w:val="single" w:sz="4" w:space="0" w:color="000000"/>
              <w:left w:val="single" w:sz="4" w:space="0" w:color="000000"/>
              <w:bottom w:val="single" w:sz="4" w:space="0" w:color="000000"/>
              <w:right w:val="single" w:sz="4" w:space="0" w:color="000000"/>
            </w:tcBorders>
          </w:tcPr>
          <w:p w:rsidR="00426FE9" w:rsidRDefault="00D0590D" w:rsidP="00E3601F">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19</w:t>
            </w:r>
            <w:r w:rsidR="00E3601F">
              <w:rPr>
                <w:rFonts w:ascii="Times New Roman" w:hAnsi="Times New Roman" w:cs="Times New Roman"/>
                <w:sz w:val="16"/>
                <w:szCs w:val="16"/>
              </w:rPr>
              <w:t>68</w:t>
            </w:r>
          </w:p>
        </w:tc>
        <w:tc>
          <w:tcPr>
            <w:tcW w:w="1164"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both"/>
              <w:rPr>
                <w:rFonts w:ascii="Times New Roman" w:eastAsia="Times New Roman" w:hAnsi="Times New Roman" w:cs="Times New Roman"/>
                <w:color w:val="000000"/>
                <w:sz w:val="16"/>
                <w:szCs w:val="16"/>
                <w:lang w:val="en-US"/>
              </w:rPr>
            </w:pPr>
          </w:p>
        </w:tc>
        <w:tc>
          <w:tcPr>
            <w:tcW w:w="963"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center"/>
              <w:rPr>
                <w:rFonts w:ascii="Times New Roman" w:eastAsia="Times New Roman" w:hAnsi="Times New Roman" w:cs="Times New Roman"/>
                <w:color w:val="000000"/>
                <w:sz w:val="16"/>
                <w:szCs w:val="16"/>
                <w:highlight w:val="yellow"/>
                <w:lang w:val="en-US"/>
              </w:rPr>
            </w:pPr>
          </w:p>
        </w:tc>
      </w:tr>
      <w:tr w:rsidR="00426FE9">
        <w:trPr>
          <w:trHeight w:val="172"/>
        </w:trPr>
        <w:tc>
          <w:tcPr>
            <w:tcW w:w="5376"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sz w:val="16"/>
                <w:szCs w:val="16"/>
              </w:rPr>
            </w:pPr>
            <w:r>
              <w:rPr>
                <w:rFonts w:ascii="Times New Roman" w:hAnsi="Times New Roman" w:cs="Times New Roman"/>
                <w:sz w:val="16"/>
                <w:szCs w:val="16"/>
              </w:rPr>
              <w:t>-НПВУ</w:t>
            </w:r>
          </w:p>
        </w:tc>
        <w:tc>
          <w:tcPr>
            <w:tcW w:w="1418"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Бр. </w:t>
            </w:r>
          </w:p>
        </w:tc>
        <w:tc>
          <w:tcPr>
            <w:tcW w:w="1133" w:type="dxa"/>
            <w:tcBorders>
              <w:top w:val="single" w:sz="4" w:space="0" w:color="000000"/>
              <w:left w:val="single" w:sz="4" w:space="0" w:color="000000"/>
              <w:bottom w:val="single" w:sz="4" w:space="0" w:color="000000"/>
              <w:right w:val="single" w:sz="4" w:space="0" w:color="000000"/>
            </w:tcBorders>
          </w:tcPr>
          <w:p w:rsidR="00426FE9" w:rsidRDefault="00E3601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585</w:t>
            </w:r>
          </w:p>
        </w:tc>
        <w:tc>
          <w:tcPr>
            <w:tcW w:w="1164"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both"/>
              <w:rPr>
                <w:rFonts w:ascii="Times New Roman" w:eastAsia="Times New Roman" w:hAnsi="Times New Roman" w:cs="Times New Roman"/>
                <w:color w:val="000000"/>
                <w:sz w:val="16"/>
                <w:szCs w:val="16"/>
                <w:lang w:val="en-US"/>
              </w:rPr>
            </w:pPr>
          </w:p>
        </w:tc>
        <w:tc>
          <w:tcPr>
            <w:tcW w:w="963"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center"/>
              <w:rPr>
                <w:rFonts w:ascii="Times New Roman" w:eastAsia="Times New Roman" w:hAnsi="Times New Roman" w:cs="Times New Roman"/>
                <w:color w:val="000000"/>
                <w:sz w:val="16"/>
                <w:szCs w:val="16"/>
                <w:highlight w:val="yellow"/>
                <w:lang w:val="en-US"/>
              </w:rPr>
            </w:pPr>
          </w:p>
        </w:tc>
      </w:tr>
      <w:tr w:rsidR="00426FE9">
        <w:trPr>
          <w:trHeight w:val="92"/>
        </w:trPr>
        <w:tc>
          <w:tcPr>
            <w:tcW w:w="5376"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rPr>
                <w:rFonts w:ascii="Times New Roman" w:hAnsi="Times New Roman" w:cs="Times New Roman"/>
                <w:sz w:val="16"/>
                <w:szCs w:val="16"/>
              </w:rPr>
            </w:pPr>
            <w:r>
              <w:rPr>
                <w:rFonts w:ascii="Times New Roman" w:hAnsi="Times New Roman" w:cs="Times New Roman"/>
                <w:sz w:val="16"/>
                <w:szCs w:val="16"/>
              </w:rPr>
              <w:t>-Споразумения за трансфер</w:t>
            </w:r>
          </w:p>
        </w:tc>
        <w:tc>
          <w:tcPr>
            <w:tcW w:w="1418"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Бр. </w:t>
            </w:r>
          </w:p>
        </w:tc>
        <w:tc>
          <w:tcPr>
            <w:tcW w:w="1133" w:type="dxa"/>
            <w:tcBorders>
              <w:top w:val="single" w:sz="4" w:space="0" w:color="000000"/>
              <w:left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47</w:t>
            </w:r>
          </w:p>
        </w:tc>
        <w:tc>
          <w:tcPr>
            <w:tcW w:w="1164"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both"/>
              <w:rPr>
                <w:rFonts w:ascii="Times New Roman" w:eastAsia="Times New Roman" w:hAnsi="Times New Roman" w:cs="Times New Roman"/>
                <w:color w:val="000000"/>
                <w:sz w:val="16"/>
                <w:szCs w:val="16"/>
                <w:lang w:val="en-US"/>
              </w:rPr>
            </w:pPr>
          </w:p>
        </w:tc>
        <w:tc>
          <w:tcPr>
            <w:tcW w:w="963" w:type="dxa"/>
            <w:tcBorders>
              <w:top w:val="single" w:sz="4" w:space="0" w:color="000000"/>
              <w:left w:val="single" w:sz="4" w:space="0" w:color="000000"/>
              <w:bottom w:val="single" w:sz="4" w:space="0" w:color="000000"/>
              <w:right w:val="single" w:sz="4" w:space="0" w:color="000000"/>
            </w:tcBorders>
          </w:tcPr>
          <w:p w:rsidR="00426FE9" w:rsidRDefault="00426FE9">
            <w:pPr>
              <w:spacing w:after="0" w:line="240" w:lineRule="auto"/>
              <w:jc w:val="center"/>
              <w:rPr>
                <w:rFonts w:ascii="Times New Roman" w:eastAsia="Times New Roman" w:hAnsi="Times New Roman" w:cs="Times New Roman"/>
                <w:color w:val="000000"/>
                <w:sz w:val="16"/>
                <w:szCs w:val="16"/>
                <w:highlight w:val="yellow"/>
                <w:lang w:val="en-US"/>
              </w:rPr>
            </w:pPr>
          </w:p>
        </w:tc>
      </w:tr>
    </w:tbl>
    <w:p w:rsidR="00426FE9" w:rsidRDefault="00426FE9">
      <w:pPr>
        <w:tabs>
          <w:tab w:val="left" w:pos="851"/>
        </w:tabs>
        <w:spacing w:after="0" w:line="240" w:lineRule="auto"/>
        <w:jc w:val="both"/>
        <w:rPr>
          <w:rFonts w:ascii="Times New Roman" w:hAnsi="Times New Roman"/>
          <w:b/>
          <w:i/>
          <w:color w:val="0000CC"/>
          <w:sz w:val="10"/>
        </w:rPr>
      </w:pPr>
    </w:p>
    <w:p w:rsidR="00426FE9" w:rsidRDefault="00D0590D" w:rsidP="004F30BC">
      <w:pPr>
        <w:pStyle w:val="ListParagraph"/>
        <w:numPr>
          <w:ilvl w:val="1"/>
          <w:numId w:val="46"/>
        </w:numPr>
        <w:tabs>
          <w:tab w:val="left" w:pos="851"/>
        </w:tabs>
        <w:spacing w:after="0" w:line="240" w:lineRule="auto"/>
        <w:ind w:left="0" w:firstLine="567"/>
        <w:jc w:val="both"/>
        <w:rPr>
          <w:rFonts w:ascii="Times New Roman" w:hAnsi="Times New Roman"/>
          <w:color w:val="0000CC"/>
        </w:rPr>
      </w:pPr>
      <w:r>
        <w:rPr>
          <w:rFonts w:ascii="Times New Roman" w:hAnsi="Times New Roman"/>
          <w:b/>
          <w:i/>
          <w:color w:val="0000CC"/>
        </w:rPr>
        <w:t>Външни фактори, които могат да окажат въздействие върху постигането на целите на програмата</w:t>
      </w:r>
    </w:p>
    <w:p w:rsidR="00426FE9" w:rsidRDefault="00D0590D">
      <w:pPr>
        <w:pStyle w:val="ListParagraph"/>
        <w:tabs>
          <w:tab w:val="left" w:pos="851"/>
        </w:tabs>
        <w:spacing w:after="0" w:line="240" w:lineRule="auto"/>
        <w:ind w:left="0" w:firstLine="567"/>
        <w:jc w:val="both"/>
        <w:rPr>
          <w:rFonts w:ascii="Times New Roman" w:hAnsi="Times New Roman"/>
        </w:rPr>
      </w:pPr>
      <w:r>
        <w:rPr>
          <w:rFonts w:ascii="Times New Roman" w:hAnsi="Times New Roman"/>
        </w:rPr>
        <w:t>Инфлационни фактори, в следствие на които при нарастване на цените на строителните услуги и материали би се наложило индексиране стойността на сключените договори.</w:t>
      </w:r>
    </w:p>
    <w:p w:rsidR="00426FE9" w:rsidRDefault="00D0590D" w:rsidP="004F30BC">
      <w:pPr>
        <w:pStyle w:val="ListParagraph"/>
        <w:numPr>
          <w:ilvl w:val="1"/>
          <w:numId w:val="46"/>
        </w:numPr>
        <w:tabs>
          <w:tab w:val="left" w:pos="851"/>
        </w:tabs>
        <w:spacing w:after="0" w:line="240" w:lineRule="auto"/>
        <w:ind w:left="0" w:firstLine="567"/>
        <w:jc w:val="both"/>
        <w:rPr>
          <w:rFonts w:ascii="Times New Roman" w:hAnsi="Times New Roman"/>
          <w:color w:val="0000CC"/>
        </w:rPr>
      </w:pPr>
      <w:r>
        <w:rPr>
          <w:rFonts w:ascii="Times New Roman" w:hAnsi="Times New Roman"/>
          <w:b/>
          <w:i/>
          <w:color w:val="0000CC"/>
        </w:rPr>
        <w:t>Информация за наличността и качеството на данните</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Обобщаването на информацията свързана с отчитане изпълнението на показателите се осъществява от структура за наблюдение и докладване (СНД) в МРРБ (отговорна за изпълнение е дирекция „ЖП) и същата да се предоставя на регионален принцип изхождайки от данните основно от изготвените енергийни и технически обследвания на жилищните сгради.</w:t>
      </w:r>
    </w:p>
    <w:p w:rsidR="00426FE9" w:rsidRDefault="00D0590D" w:rsidP="004F30BC">
      <w:pPr>
        <w:pStyle w:val="ListParagraph"/>
        <w:numPr>
          <w:ilvl w:val="1"/>
          <w:numId w:val="46"/>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Организационни структури, участващи в програмата</w:t>
      </w:r>
    </w:p>
    <w:p w:rsidR="00426FE9" w:rsidRDefault="00D0590D">
      <w:pPr>
        <w:spacing w:after="0" w:line="240" w:lineRule="auto"/>
        <w:ind w:firstLine="567"/>
        <w:jc w:val="both"/>
        <w:rPr>
          <w:rFonts w:ascii="Times New Roman" w:eastAsia="Times New Roman" w:hAnsi="Times New Roman" w:cs="Times New Roman"/>
          <w:i/>
          <w:lang w:eastAsia="bg-BG"/>
        </w:rPr>
      </w:pPr>
      <w:r>
        <w:rPr>
          <w:rFonts w:ascii="Times New Roman" w:eastAsia="Times New Roman" w:hAnsi="Times New Roman" w:cs="Times New Roman"/>
          <w:i/>
          <w:lang w:eastAsia="bg-BG"/>
        </w:rPr>
        <w:t>Национална програма за енергийна ефективност на многофамилни жилищни сгради (Приета с ПМС № 18/2015 г.). Програмата е в заключителен етап на изпълнение.</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Министерство на финансите – отговорно за методическото ръководство по отношение на бюджетните и отчетните аспекти на НПЕЕМЖС.</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Българска банка за развитие – участва в договарянето за предоставяне на заеми за осигуряване на финансовия ресурс за изпълнение на НПЕЕМЖС, за която е необходимо издаване на държавна гаранция. Разплаща извършените дейности към външните изпълнители.</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lastRenderedPageBreak/>
        <w:t>Общини – приемат заявления за регистрация на сдруженията на собствениците с цел енергийно обновяване по НПЕЕМЖС, сключват договори за целево финансиране за обновяване на жилищните сгради, издават разрешения за строеж, упражняват инвеститорски контрол, възложител по сключените договори.</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Областни управители – в качеството си на представители на държавата подписват договори за целево финансиране, наблюдават и контролират процеса на обновяване относно допустимостта на извършените строителни разходи.</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Сдружения на собствениците – осъществяват контрол върху изпълнението на обновяването за енергийна ефективност по НПЕЕМЖС.</w:t>
      </w:r>
    </w:p>
    <w:p w:rsidR="00426FE9" w:rsidRDefault="00D0590D">
      <w:pPr>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Външни изпълнители по сключени договори – избират се от общините по реда и условията на открити процедури по ЗОП за изпълнение на дейностите по НПЕЕМЖС.</w:t>
      </w:r>
    </w:p>
    <w:p w:rsidR="00426FE9" w:rsidRDefault="00D0590D">
      <w:pPr>
        <w:spacing w:after="0" w:line="240" w:lineRule="auto"/>
        <w:ind w:firstLine="567"/>
        <w:jc w:val="both"/>
        <w:rPr>
          <w:rFonts w:ascii="Times New Roman" w:eastAsia="Times New Roman" w:hAnsi="Times New Roman" w:cs="Times New Roman"/>
          <w:i/>
          <w:lang w:eastAsia="bg-BG"/>
        </w:rPr>
      </w:pPr>
      <w:r w:rsidRPr="00617B7C">
        <w:rPr>
          <w:rFonts w:ascii="Times New Roman" w:eastAsia="Times New Roman" w:hAnsi="Times New Roman" w:cs="Times New Roman"/>
          <w:b/>
          <w:i/>
          <w:lang w:eastAsia="bg-BG"/>
        </w:rPr>
        <w:t>Изпълнение на Подмярка „Подкрепа за устойчиво енергийно обновяване на жилищния сграден фонд“ Компонент 4: „Нисковъглеродна икономика“ финансирана по НПВУ</w:t>
      </w:r>
      <w:r>
        <w:rPr>
          <w:rFonts w:ascii="Times New Roman" w:eastAsia="Times New Roman" w:hAnsi="Times New Roman" w:cs="Times New Roman"/>
          <w:i/>
          <w:lang w:eastAsia="bg-BG"/>
        </w:rPr>
        <w:t>. Структури за изпълнение на процедурата: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Дирекция „Национален фонд“ в МФ (ДНФ - с оторизирани правомощия от МФ, съгласно сключено ОС), изпълняващо функции на координационно звено на национално равнище по отношение подготовката на общи правила и процедури за изпълнение на НПВУ, за извършването на проверки и контрол на изпълнението на инвестицията.</w:t>
      </w:r>
    </w:p>
    <w:p w:rsidR="00426FE9" w:rsidRDefault="00D0590D">
      <w:pPr>
        <w:spacing w:after="0" w:line="240" w:lineRule="auto"/>
        <w:ind w:firstLine="567"/>
        <w:jc w:val="both"/>
        <w:rPr>
          <w:rFonts w:ascii="Times New Roman" w:eastAsia="Calibri" w:hAnsi="Times New Roman" w:cs="Times New Roman"/>
        </w:rPr>
      </w:pPr>
      <w:r>
        <w:rPr>
          <w:rFonts w:ascii="Times New Roman" w:eastAsia="Calibri" w:hAnsi="Times New Roman" w:cs="Times New Roman"/>
        </w:rPr>
        <w:t>Министерство на регионалното развитие и благоустройството (чрез ДЖП и ЗИНПВУ), изпълнява функции на СНД съгласно Постановление на МС № 157 от 7 юли 2022 г. за определяне органите и структурите, отговорни за изпълнението на НПВУ и техните функции. СНД определя условията за кандидатстване чрез разработени и одобрени Насоки за кандидатстване (НК) и приложения към тях, отговаря за подпора на кандидатите, сключва договор за финансиране (ДФ), обобщава финансовата и техническа информация и осъществява контрол, проследява изпълнението на етапите и целите в процеса на изпълнение на реформите и инвестицията.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Отговорни структури на регионално равнище са общинските/районните администрации с функции на водещи партньори (ВП) на СНД по силата на сключени договори за финансиране (ДФ)</w:t>
      </w:r>
    </w:p>
    <w:p w:rsidR="00426FE9" w:rsidRPr="00617B7C" w:rsidRDefault="00D0590D">
      <w:pPr>
        <w:spacing w:after="0" w:line="240" w:lineRule="auto"/>
        <w:ind w:firstLine="567"/>
        <w:jc w:val="both"/>
        <w:rPr>
          <w:rFonts w:ascii="Times New Roman" w:eastAsia="Times New Roman" w:hAnsi="Times New Roman" w:cs="Times New Roman"/>
          <w:b/>
          <w:i/>
          <w:lang w:eastAsia="bg-BG"/>
        </w:rPr>
      </w:pPr>
      <w:r w:rsidRPr="00617B7C">
        <w:rPr>
          <w:rFonts w:ascii="Times New Roman" w:eastAsia="Times New Roman" w:hAnsi="Times New Roman" w:cs="Times New Roman"/>
          <w:b/>
          <w:i/>
          <w:lang w:eastAsia="bg-BG"/>
        </w:rPr>
        <w:t>Изпълнение на дейности за подобрява</w:t>
      </w:r>
      <w:r w:rsidR="00617B7C">
        <w:rPr>
          <w:rFonts w:ascii="Times New Roman" w:eastAsia="Times New Roman" w:hAnsi="Times New Roman" w:cs="Times New Roman"/>
          <w:b/>
          <w:i/>
          <w:lang w:eastAsia="bg-BG"/>
        </w:rPr>
        <w:t>не енергийната ефективност на 47</w:t>
      </w:r>
      <w:r w:rsidRPr="00617B7C">
        <w:rPr>
          <w:rFonts w:ascii="Times New Roman" w:eastAsia="Times New Roman" w:hAnsi="Times New Roman" w:cs="Times New Roman"/>
          <w:b/>
          <w:i/>
          <w:lang w:eastAsia="bg-BG"/>
        </w:rPr>
        <w:t xml:space="preserve"> многофамилни жилищни сгради на територията на шест общини: Столична община, Добрич, Каварна, Хасково, Тутракан и Пловдив</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Във връзка с ПМС № 228 от 17.11.2023 г. за одобряване на вътрешнокомпенсирани промени на утвърдените разходи по области на политики/бюджетни програми по бюджета на Министерството на регионалното развитие и благоустройството за 2023 г. са сключени споразумения за трансфер в полза на 6 общини за изпълнение на мерки за подобряване енергийната ефективност в 48 многофамилни жилищни сгради, за които е регистриран недостиг на финансов ресурс по НПЕЕМЖС. Отговорни за прякото изпълнение на сключените споразумения са общинските администрации.</w:t>
      </w:r>
    </w:p>
    <w:p w:rsidR="00426FE9" w:rsidRDefault="00D0590D" w:rsidP="004F30BC">
      <w:pPr>
        <w:pStyle w:val="ListParagraph"/>
        <w:numPr>
          <w:ilvl w:val="1"/>
          <w:numId w:val="46"/>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Отговорност за изпълнението на програмата</w:t>
      </w:r>
    </w:p>
    <w:p w:rsidR="00426FE9" w:rsidRDefault="00D0590D">
      <w:pPr>
        <w:tabs>
          <w:tab w:val="left" w:pos="851"/>
        </w:tabs>
        <w:snapToGrid w:val="0"/>
        <w:spacing w:after="0" w:line="240" w:lineRule="auto"/>
        <w:ind w:firstLine="567"/>
        <w:jc w:val="both"/>
        <w:rPr>
          <w:rFonts w:ascii="Times New Roman" w:eastAsia="Calibri" w:hAnsi="Times New Roman" w:cs="Times New Roman"/>
          <w:color w:val="000000"/>
        </w:rPr>
      </w:pPr>
      <w:r>
        <w:rPr>
          <w:rFonts w:ascii="Times New Roman" w:eastAsia="Times New Roman" w:hAnsi="Times New Roman"/>
          <w:bCs/>
          <w:color w:val="000000" w:themeColor="text1"/>
          <w:lang w:eastAsia="bg-BG"/>
        </w:rPr>
        <w:t>Изпълнението на програмата се координира от министъра, ресорния заместник-министър на регионалното развитие и благоустройството</w:t>
      </w:r>
      <w:r>
        <w:rPr>
          <w:rFonts w:ascii="Times New Roman" w:hAnsi="Times New Roman" w:cs="Times New Roman"/>
        </w:rPr>
        <w:t xml:space="preserve">, директора на дирекция </w:t>
      </w:r>
      <w:r>
        <w:rPr>
          <w:rFonts w:ascii="Times New Roman" w:eastAsia="Calibri" w:hAnsi="Times New Roman" w:cs="Times New Roman"/>
          <w:color w:val="000000"/>
        </w:rPr>
        <w:t>„Жилищна политика“.</w:t>
      </w:r>
    </w:p>
    <w:p w:rsidR="00426FE9" w:rsidRPr="003B2214" w:rsidRDefault="00D0590D" w:rsidP="003B2214">
      <w:pPr>
        <w:pStyle w:val="ListParagraph"/>
        <w:numPr>
          <w:ilvl w:val="1"/>
          <w:numId w:val="46"/>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Бюджетна прогноза по ведомствени и администрирани параграфи на програмата</w:t>
      </w:r>
    </w:p>
    <w:tbl>
      <w:tblPr>
        <w:tblW w:w="9873" w:type="dxa"/>
        <w:tblLook w:val="04A0" w:firstRow="1" w:lastRow="0" w:firstColumn="1" w:lastColumn="0" w:noHBand="0" w:noVBand="1"/>
      </w:tblPr>
      <w:tblGrid>
        <w:gridCol w:w="443"/>
        <w:gridCol w:w="3825"/>
        <w:gridCol w:w="972"/>
        <w:gridCol w:w="922"/>
        <w:gridCol w:w="921"/>
        <w:gridCol w:w="992"/>
        <w:gridCol w:w="899"/>
        <w:gridCol w:w="899"/>
      </w:tblGrid>
      <w:tr w:rsidR="00B672F6" w:rsidRPr="00B672F6" w:rsidTr="00B672F6">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w:t>
            </w:r>
          </w:p>
        </w:tc>
        <w:tc>
          <w:tcPr>
            <w:tcW w:w="3825"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2100.01.02 Бюджетна програма„Подобряване на жилищните условия на маргинализирани групи от населението” (хил. евро)</w:t>
            </w:r>
          </w:p>
        </w:tc>
        <w:tc>
          <w:tcPr>
            <w:tcW w:w="972"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Отчет 2023 г.</w:t>
            </w:r>
          </w:p>
        </w:tc>
        <w:tc>
          <w:tcPr>
            <w:tcW w:w="922"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Отчет 2024 г.</w:t>
            </w:r>
          </w:p>
        </w:tc>
        <w:tc>
          <w:tcPr>
            <w:tcW w:w="921"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Закон 2025 г.</w:t>
            </w:r>
          </w:p>
        </w:tc>
        <w:tc>
          <w:tcPr>
            <w:tcW w:w="992"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663769"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Бюджет </w:t>
            </w:r>
            <w:r w:rsidR="00B672F6" w:rsidRPr="00B672F6">
              <w:rPr>
                <w:rFonts w:ascii="Times New Roman" w:eastAsia="Times New Roman" w:hAnsi="Times New Roman" w:cs="Times New Roman"/>
                <w:b/>
                <w:bCs/>
                <w:color w:val="000000"/>
                <w:sz w:val="16"/>
                <w:szCs w:val="16"/>
                <w:lang w:val="en-US"/>
              </w:rPr>
              <w:t>2026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Прогноза 2027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Прогноза 2028 г.</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w:t>
            </w:r>
          </w:p>
        </w:tc>
        <w:tc>
          <w:tcPr>
            <w:tcW w:w="921"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4</w:t>
            </w:r>
          </w:p>
        </w:tc>
        <w:tc>
          <w:tcPr>
            <w:tcW w:w="992"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w:t>
            </w:r>
          </w:p>
        </w:tc>
        <w:tc>
          <w:tcPr>
            <w:tcW w:w="899"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6</w:t>
            </w:r>
          </w:p>
        </w:tc>
        <w:tc>
          <w:tcPr>
            <w:tcW w:w="899"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ведомствени разходи:</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189,1</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237,7</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381,4</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278,9</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261,1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261,1</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Персонал</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181,7</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236,2</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261,4</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269,8</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252,0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252,0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Издръжка</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1,2</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1,5</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10,2</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9,0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9,0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9,0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Капиталови разходи</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6,2</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109,8</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Ведомствени разходи по бюджета на ПРБ:</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369,8</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464,8</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746,0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545,4</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510,6</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510,6</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Персонал</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355,3</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461,9</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511,2</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527,7</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492,9</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492,9</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Издръжка</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2,3</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2,9</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17,7</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17,7</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17,7</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Капиталови разходи</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12,2</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214,8</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w:t>
            </w:r>
          </w:p>
        </w:tc>
        <w:tc>
          <w:tcPr>
            <w:tcW w:w="3825" w:type="dxa"/>
            <w:tcBorders>
              <w:top w:val="nil"/>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ІІ.</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7 344,6</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17 438,9</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3 213,4</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lastRenderedPageBreak/>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Текущи разходи</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Капиталови разходи</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Капиталови трансфери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7 344,6</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17 438,9</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3 213,4</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ІІІ.</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335 767,2</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Национален план за възстановяване и устойчивост</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335 767,2</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администрирани разходи (ІІ.+ІІІ.):</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7 344,6</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353 206,1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3 213,4</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разходи по бюджета (І.1+ІІ.):</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369,8</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464,8</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8 090,6</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17 984,3</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3 724,0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510,6</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разходи (І.+ІІ.+ІІІ.):</w:t>
            </w:r>
          </w:p>
        </w:tc>
        <w:tc>
          <w:tcPr>
            <w:tcW w:w="97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189,1</w:t>
            </w:r>
          </w:p>
        </w:tc>
        <w:tc>
          <w:tcPr>
            <w:tcW w:w="92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237,7</w:t>
            </w:r>
          </w:p>
        </w:tc>
        <w:tc>
          <w:tcPr>
            <w:tcW w:w="92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7 726,0</w:t>
            </w:r>
          </w:p>
        </w:tc>
        <w:tc>
          <w:tcPr>
            <w:tcW w:w="99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353 485,0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3 474,5</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261,1</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Численост на щатния персонал</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14</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14</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18</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18</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18</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18</w:t>
            </w:r>
          </w:p>
        </w:tc>
      </w:tr>
      <w:tr w:rsidR="00B672F6" w:rsidRPr="00B672F6" w:rsidTr="00B672F6">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both"/>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3825"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Численост на извънщатния персонал</w:t>
            </w:r>
          </w:p>
        </w:tc>
        <w:tc>
          <w:tcPr>
            <w:tcW w:w="97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92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92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99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r>
    </w:tbl>
    <w:p w:rsidR="00E13F8B" w:rsidRDefault="00E13F8B">
      <w:pPr>
        <w:tabs>
          <w:tab w:val="left" w:pos="851"/>
        </w:tabs>
        <w:spacing w:after="0" w:line="240" w:lineRule="auto"/>
        <w:jc w:val="both"/>
        <w:rPr>
          <w:rFonts w:ascii="Times New Roman" w:hAnsi="Times New Roman"/>
          <w:b/>
          <w:i/>
          <w:color w:val="0000CC"/>
        </w:rPr>
      </w:pPr>
    </w:p>
    <w:p w:rsidR="00426FE9" w:rsidRDefault="00D0590D">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2100.01.03. 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p w:rsidR="00426FE9" w:rsidRDefault="00D0590D" w:rsidP="004F30BC">
      <w:pPr>
        <w:numPr>
          <w:ilvl w:val="0"/>
          <w:numId w:val="48"/>
        </w:numPr>
        <w:tabs>
          <w:tab w:val="left" w:pos="851"/>
        </w:tabs>
        <w:spacing w:after="0" w:line="240" w:lineRule="auto"/>
        <w:ind w:left="0" w:firstLine="567"/>
        <w:jc w:val="both"/>
        <w:rPr>
          <w:rFonts w:ascii="Times New Roman" w:hAnsi="Times New Roman" w:cs="Times New Roman"/>
          <w:b/>
          <w:i/>
          <w:color w:val="0000CC"/>
        </w:rPr>
      </w:pPr>
      <w:r>
        <w:rPr>
          <w:rFonts w:ascii="Times New Roman" w:hAnsi="Times New Roman" w:cs="Times New Roman"/>
          <w:b/>
          <w:i/>
          <w:color w:val="0000CC"/>
        </w:rPr>
        <w:t>Цели на бюджетната програма</w:t>
      </w:r>
    </w:p>
    <w:p w:rsidR="00426FE9" w:rsidRDefault="00D0590D">
      <w:pPr>
        <w:tabs>
          <w:tab w:val="left" w:pos="851"/>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Усъвършенстване управлението и разпореждането с имоти - държавна собственост, съобразно конституционните и законоустановени принципи.</w:t>
      </w:r>
    </w:p>
    <w:p w:rsidR="0073355C" w:rsidRDefault="0073355C">
      <w:pPr>
        <w:tabs>
          <w:tab w:val="left" w:pos="851"/>
        </w:tabs>
        <w:spacing w:after="0" w:line="240" w:lineRule="auto"/>
        <w:ind w:firstLine="567"/>
        <w:jc w:val="both"/>
        <w:rPr>
          <w:rFonts w:ascii="Times New Roman" w:eastAsia="Calibri" w:hAnsi="Times New Roman" w:cs="Times New Roman"/>
        </w:rPr>
      </w:pPr>
      <w:r w:rsidRPr="0073355C">
        <w:rPr>
          <w:rFonts w:ascii="Times New Roman" w:eastAsia="Calibri" w:hAnsi="Times New Roman" w:cs="Times New Roman"/>
        </w:rPr>
        <w:t>Реализиране на правата и задълженията на министъра като представител на държавата - собственик на акции и дялове в търговските дружества от системата на Министерство на регионалното развитие и благоустройството с над 50 % държавно участие в капитала и публичните предприятия, дъщерни на „Български ВиК холдинг“ ЕАД.</w:t>
      </w:r>
    </w:p>
    <w:p w:rsidR="00426FE9" w:rsidRDefault="00D0590D">
      <w:pPr>
        <w:pStyle w:val="ListParagraph"/>
        <w:tabs>
          <w:tab w:val="left" w:pos="567"/>
          <w:tab w:val="left" w:pos="851"/>
        </w:tabs>
        <w:spacing w:after="0" w:line="240" w:lineRule="auto"/>
        <w:ind w:left="0" w:firstLine="567"/>
        <w:contextualSpacing w:val="0"/>
        <w:jc w:val="both"/>
        <w:rPr>
          <w:rFonts w:ascii="Times New Roman" w:hAnsi="Times New Roman"/>
          <w:lang w:val="ru-RU"/>
        </w:rPr>
      </w:pPr>
      <w:r>
        <w:rPr>
          <w:rFonts w:ascii="Times New Roman" w:eastAsiaTheme="minorHAnsi" w:hAnsi="Times New Roman"/>
        </w:rPr>
        <w:t>Съществена част от целите на дирекция „Държавна собственост и търговски дружества“ е да се реализират правата и задълженията на министъра като представител на държавата - собственик на акции и дялове в търговските дружества от системата на Министерство на регионалното развитие и благоустройството с над 50 % държавно участие в капитала и публичните предприятия, дъщерни на „Български ВиК холдинг“ ЕАД.</w:t>
      </w:r>
    </w:p>
    <w:p w:rsidR="00426FE9" w:rsidRDefault="00D0590D">
      <w:pPr>
        <w:pStyle w:val="ListParagraph"/>
        <w:tabs>
          <w:tab w:val="left" w:pos="567"/>
          <w:tab w:val="left" w:pos="851"/>
        </w:tabs>
        <w:spacing w:after="0" w:line="240" w:lineRule="auto"/>
        <w:ind w:left="0" w:firstLine="567"/>
        <w:contextualSpacing w:val="0"/>
        <w:jc w:val="both"/>
        <w:rPr>
          <w:rFonts w:ascii="Times New Roman" w:hAnsi="Times New Roman"/>
          <w:b/>
          <w:i/>
          <w:color w:val="0000CC"/>
        </w:rPr>
      </w:pPr>
      <w:r>
        <w:rPr>
          <w:rFonts w:ascii="Times New Roman" w:hAnsi="Times New Roman"/>
          <w:b/>
          <w:i/>
          <w:color w:val="0000CC"/>
        </w:rPr>
        <w:t>Оперативни цели</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rPr>
      </w:pPr>
      <w:r>
        <w:rPr>
          <w:rFonts w:ascii="Times New Roman" w:hAnsi="Times New Roman"/>
        </w:rPr>
        <w:t>Н</w:t>
      </w:r>
      <w:r>
        <w:rPr>
          <w:rFonts w:ascii="Times New Roman" w:hAnsi="Times New Roman"/>
          <w:lang w:val="ru-RU"/>
        </w:rPr>
        <w:t>епрекъсваемост на предоставяните</w:t>
      </w:r>
      <w:r>
        <w:rPr>
          <w:rFonts w:ascii="Times New Roman" w:hAnsi="Times New Roman"/>
          <w:lang w:val="en-US"/>
        </w:rPr>
        <w:t xml:space="preserve"> </w:t>
      </w:r>
      <w:r>
        <w:rPr>
          <w:rFonts w:ascii="Times New Roman" w:hAnsi="Times New Roman"/>
        </w:rPr>
        <w:t>услуги</w:t>
      </w:r>
      <w:r>
        <w:rPr>
          <w:rFonts w:ascii="Times New Roman" w:hAnsi="Times New Roman"/>
          <w:lang w:val="ru-RU"/>
        </w:rPr>
        <w:t xml:space="preserve"> от публичните предприятия на потребителите при необходимото качество, включително и от дружествата от сектор В и К, предоставящи услуги от висок обществен интерес при цени, обект на регулиране от държавен независим орган;</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lang w:val="ru-RU"/>
        </w:rPr>
      </w:pPr>
      <w:r>
        <w:rPr>
          <w:rFonts w:ascii="Times New Roman" w:hAnsi="Times New Roman"/>
        </w:rPr>
        <w:t>О</w:t>
      </w:r>
      <w:r>
        <w:rPr>
          <w:rFonts w:ascii="Times New Roman" w:hAnsi="Times New Roman"/>
          <w:lang w:val="ru-RU"/>
        </w:rPr>
        <w:t xml:space="preserve">птимизиране на производствено-техническото и финансово-икономическо състояние на публичните предприятия и недопускане на прекомерно висока междуфирмена задлъжнялост и третиране на дружествата като </w:t>
      </w:r>
      <w:r>
        <w:rPr>
          <w:rFonts w:ascii="Times New Roman" w:hAnsi="Times New Roman"/>
        </w:rPr>
        <w:t>„</w:t>
      </w:r>
      <w:r>
        <w:rPr>
          <w:rFonts w:ascii="Times New Roman" w:hAnsi="Times New Roman"/>
          <w:lang w:val="ru-RU"/>
        </w:rPr>
        <w:t>предприятия в затруднето положение</w:t>
      </w:r>
      <w:r>
        <w:rPr>
          <w:rFonts w:ascii="Times New Roman" w:hAnsi="Times New Roman"/>
          <w:lang w:val="en-US"/>
        </w:rPr>
        <w:t>”</w:t>
      </w:r>
      <w:r>
        <w:rPr>
          <w:rFonts w:ascii="Times New Roman" w:hAnsi="Times New Roman"/>
          <w:lang w:val="ru-RU"/>
        </w:rPr>
        <w:t>;</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lang w:val="ru-RU"/>
        </w:rPr>
      </w:pPr>
      <w:r>
        <w:rPr>
          <w:rFonts w:ascii="Times New Roman" w:hAnsi="Times New Roman"/>
          <w:lang w:val="ru-RU"/>
        </w:rPr>
        <w:t>Своевременно внасяне в приход на държавния бюджет на отчисления от печалбата за държавата;</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rPr>
      </w:pPr>
      <w:r>
        <w:rPr>
          <w:rFonts w:ascii="Times New Roman" w:hAnsi="Times New Roman"/>
          <w:lang w:val="ru-RU"/>
        </w:rPr>
        <w:t xml:space="preserve">Изпълнение на мерки и прилагане на процедури за обезпечаване на дейността и финансовата независимост и ликвидност на дружествата от отрасъл ВиК чрез одобряване на предложения за финансиране и кредитиране от </w:t>
      </w:r>
      <w:r>
        <w:rPr>
          <w:rFonts w:ascii="Times New Roman" w:hAnsi="Times New Roman"/>
        </w:rPr>
        <w:t>„Български ВиК холдинг“ ЕАД, гр. София на инвестиционните потребности и оперативни нужди на В и К операторите;</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rPr>
      </w:pPr>
      <w:r>
        <w:rPr>
          <w:rFonts w:ascii="Times New Roman" w:hAnsi="Times New Roman"/>
        </w:rPr>
        <w:t>Осигуряване на предпоставки за изпълнение на инвестиционните програми на публичните предприятия, съгласно разчетите им в приетите за изпълнение бизнес програми и бизнес планове;</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rPr>
      </w:pPr>
      <w:r>
        <w:rPr>
          <w:rFonts w:ascii="Times New Roman" w:hAnsi="Times New Roman"/>
        </w:rPr>
        <w:t>Провеждане на конкурсни процедури за избор на органи за управление на публичните предприятия и сключване на договори за управление с лицата, номинирани и избрани от органа упражняващ правата на държавата в тях.</w:t>
      </w:r>
    </w:p>
    <w:p w:rsidR="00426FE9" w:rsidRDefault="00D0590D" w:rsidP="004F30BC">
      <w:pPr>
        <w:pStyle w:val="ListParagraph"/>
        <w:numPr>
          <w:ilvl w:val="0"/>
          <w:numId w:val="49"/>
        </w:numPr>
        <w:tabs>
          <w:tab w:val="left" w:pos="567"/>
          <w:tab w:val="left" w:pos="851"/>
        </w:tabs>
        <w:spacing w:after="0" w:line="240" w:lineRule="auto"/>
        <w:ind w:left="0" w:firstLine="567"/>
        <w:contextualSpacing w:val="0"/>
        <w:jc w:val="both"/>
        <w:rPr>
          <w:rFonts w:ascii="Times New Roman" w:hAnsi="Times New Roman"/>
          <w:lang w:val="ru-RU"/>
        </w:rPr>
      </w:pPr>
      <w:r>
        <w:rPr>
          <w:rFonts w:ascii="Times New Roman" w:hAnsi="Times New Roman"/>
          <w:lang w:val="ru-RU"/>
        </w:rPr>
        <w:t>Прилагане на мерки и процедури, осигуряващи спазване на трудовото законодателство, изпълнение на поетите от органите на управление задължения за прозрачно и ефективно управление на предприятията.</w:t>
      </w:r>
    </w:p>
    <w:p w:rsidR="00426FE9" w:rsidRDefault="00D0590D" w:rsidP="004F30BC">
      <w:pPr>
        <w:numPr>
          <w:ilvl w:val="0"/>
          <w:numId w:val="48"/>
        </w:numPr>
        <w:tabs>
          <w:tab w:val="left" w:pos="851"/>
        </w:tabs>
        <w:spacing w:after="0" w:line="240" w:lineRule="auto"/>
        <w:ind w:hanging="153"/>
        <w:jc w:val="both"/>
        <w:rPr>
          <w:rFonts w:ascii="Times New Roman" w:hAnsi="Times New Roman" w:cs="Times New Roman"/>
          <w:b/>
          <w:i/>
          <w:color w:val="0000CC"/>
        </w:rPr>
      </w:pPr>
      <w:r>
        <w:rPr>
          <w:rFonts w:ascii="Times New Roman" w:hAnsi="Times New Roman" w:cs="Times New Roman"/>
          <w:b/>
          <w:i/>
          <w:color w:val="0000CC"/>
        </w:rPr>
        <w:t>Целеви стойности по показателите за изпълнение</w:t>
      </w:r>
    </w:p>
    <w:tbl>
      <w:tblPr>
        <w:tblW w:w="9923" w:type="dxa"/>
        <w:tblInd w:w="-5" w:type="dxa"/>
        <w:tblLayout w:type="fixed"/>
        <w:tblLook w:val="04A0" w:firstRow="1" w:lastRow="0" w:firstColumn="1" w:lastColumn="0" w:noHBand="0" w:noVBand="1"/>
      </w:tblPr>
      <w:tblGrid>
        <w:gridCol w:w="6521"/>
        <w:gridCol w:w="849"/>
        <w:gridCol w:w="852"/>
        <w:gridCol w:w="849"/>
        <w:gridCol w:w="852"/>
      </w:tblGrid>
      <w:tr w:rsidR="00426FE9">
        <w:trPr>
          <w:trHeight w:val="170"/>
        </w:trPr>
        <w:tc>
          <w:tcPr>
            <w:tcW w:w="6521" w:type="dxa"/>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ПОКАЗАТЕЛИ ЗА ИЗПЪЛНЕНИЕ</w:t>
            </w:r>
          </w:p>
        </w:tc>
        <w:tc>
          <w:tcPr>
            <w:tcW w:w="3402"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Целева стойност</w:t>
            </w:r>
          </w:p>
        </w:tc>
      </w:tr>
      <w:tr w:rsidR="00426FE9">
        <w:trPr>
          <w:trHeight w:val="170"/>
        </w:trPr>
        <w:tc>
          <w:tcPr>
            <w:tcW w:w="6521"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2100.01.03 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tc>
        <w:tc>
          <w:tcPr>
            <w:tcW w:w="3402" w:type="dxa"/>
            <w:gridSpan w:val="4"/>
            <w:vMerge/>
            <w:tcBorders>
              <w:left w:val="single" w:sz="4" w:space="0" w:color="000000"/>
              <w:bottom w:val="single" w:sz="4" w:space="0" w:color="000000"/>
              <w:right w:val="single" w:sz="4" w:space="0" w:color="000000"/>
            </w:tcBorders>
            <w:vAlign w:val="center"/>
          </w:tcPr>
          <w:p w:rsidR="00426FE9" w:rsidRDefault="00426FE9">
            <w:pPr>
              <w:spacing w:after="0" w:line="240" w:lineRule="auto"/>
              <w:rPr>
                <w:rFonts w:ascii="Times New Roman" w:eastAsia="Times New Roman" w:hAnsi="Times New Roman" w:cs="Times New Roman"/>
                <w:b/>
                <w:bCs/>
                <w:color w:val="000000"/>
                <w:sz w:val="16"/>
                <w:szCs w:val="16"/>
                <w:lang w:val="en-US"/>
              </w:rPr>
            </w:pPr>
          </w:p>
        </w:tc>
      </w:tr>
      <w:tr w:rsidR="00426FE9">
        <w:trPr>
          <w:trHeight w:val="170"/>
        </w:trPr>
        <w:tc>
          <w:tcPr>
            <w:tcW w:w="6521"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lastRenderedPageBreak/>
              <w:t>Показатели за изпълнение</w:t>
            </w:r>
          </w:p>
        </w:tc>
        <w:tc>
          <w:tcPr>
            <w:tcW w:w="849"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Мерна единица</w:t>
            </w:r>
          </w:p>
        </w:tc>
        <w:tc>
          <w:tcPr>
            <w:tcW w:w="852" w:type="dxa"/>
            <w:tcBorders>
              <w:bottom w:val="single" w:sz="4" w:space="0" w:color="000000"/>
              <w:right w:val="single" w:sz="4" w:space="0" w:color="000000"/>
            </w:tcBorders>
            <w:shd w:val="clear" w:color="000000" w:fill="FFCC99"/>
            <w:vAlign w:val="center"/>
          </w:tcPr>
          <w:p w:rsidR="00426FE9" w:rsidRDefault="00663769">
            <w:pPr>
              <w:spacing w:after="0" w:line="240" w:lineRule="auto"/>
              <w:ind w:left="-57" w:right="-57"/>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Бюджет</w:t>
            </w:r>
            <w:r w:rsidR="00D0590D">
              <w:rPr>
                <w:rFonts w:ascii="Times New Roman" w:eastAsia="Times New Roman" w:hAnsi="Times New Roman" w:cs="Times New Roman"/>
                <w:b/>
                <w:bCs/>
                <w:i/>
                <w:iCs/>
                <w:color w:val="000000"/>
                <w:sz w:val="16"/>
                <w:szCs w:val="16"/>
              </w:rPr>
              <w:t xml:space="preserve"> 2026 г.</w:t>
            </w:r>
          </w:p>
        </w:tc>
        <w:tc>
          <w:tcPr>
            <w:tcW w:w="849"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Прогноза 2027 г.</w:t>
            </w:r>
          </w:p>
        </w:tc>
        <w:tc>
          <w:tcPr>
            <w:tcW w:w="852" w:type="dxa"/>
            <w:tcBorders>
              <w:bottom w:val="single" w:sz="4" w:space="0" w:color="000000"/>
              <w:right w:val="single" w:sz="4" w:space="0" w:color="000000"/>
            </w:tcBorders>
            <w:shd w:val="clear" w:color="000000" w:fill="FFCC99"/>
            <w:vAlign w:val="center"/>
          </w:tcPr>
          <w:p w:rsidR="00426FE9" w:rsidRDefault="00D0590D">
            <w:pPr>
              <w:spacing w:after="0" w:line="240" w:lineRule="auto"/>
              <w:ind w:left="-57" w:right="-57"/>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Прогноза 2028 г.</w:t>
            </w:r>
          </w:p>
        </w:tc>
      </w:tr>
      <w:tr w:rsidR="00426FE9">
        <w:trPr>
          <w:trHeight w:val="170"/>
        </w:trPr>
        <w:tc>
          <w:tcPr>
            <w:tcW w:w="6521" w:type="dxa"/>
            <w:tcBorders>
              <w:left w:val="single" w:sz="4" w:space="0" w:color="000000"/>
              <w:bottom w:val="single" w:sz="4" w:space="0" w:color="000000"/>
              <w:right w:val="single" w:sz="4" w:space="0" w:color="000000"/>
            </w:tcBorders>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1.Проекти на актове на Министерския съвет за промяна в характера на собствеността на имоти - държавна собственост, за безвъзмездното им предоставяне за управление, за безвъзмездното им прехвърляне в собственост, за учредяване на право на ползване върху тях, за учредяване на ограничени вещни права върху имоти – публична държавна собственост,  проекти на актове на МС за изменение и допълнение на актове на МС, и  проекти на актове на МС, по които МРРБ е съвносител</w:t>
            </w:r>
          </w:p>
        </w:tc>
        <w:tc>
          <w:tcPr>
            <w:tcW w:w="84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75</w:t>
            </w:r>
          </w:p>
        </w:tc>
        <w:tc>
          <w:tcPr>
            <w:tcW w:w="84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70</w:t>
            </w:r>
          </w:p>
        </w:tc>
        <w:tc>
          <w:tcPr>
            <w:tcW w:w="85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70</w:t>
            </w:r>
          </w:p>
        </w:tc>
      </w:tr>
      <w:tr w:rsidR="00426FE9">
        <w:trPr>
          <w:trHeight w:val="170"/>
        </w:trPr>
        <w:tc>
          <w:tcPr>
            <w:tcW w:w="6521" w:type="dxa"/>
            <w:tcBorders>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2.Проекти на решения на Министерския съвет за отчуждаване на имоти и части от имоти - частна собственост, за държавни нужди, за изграждането на национални обекти</w:t>
            </w:r>
          </w:p>
        </w:tc>
        <w:tc>
          <w:tcPr>
            <w:tcW w:w="84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p>
        </w:tc>
        <w:tc>
          <w:tcPr>
            <w:tcW w:w="84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p>
        </w:tc>
        <w:tc>
          <w:tcPr>
            <w:tcW w:w="85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p>
        </w:tc>
      </w:tr>
      <w:tr w:rsidR="00426FE9">
        <w:trPr>
          <w:trHeight w:val="170"/>
        </w:trPr>
        <w:tc>
          <w:tcPr>
            <w:tcW w:w="6521" w:type="dxa"/>
            <w:tcBorders>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3.Актове на министъра на регионалното развитие и благоустройството за отчуждаване на имоти и части от имоти - частна собственост, за държавни нужди</w:t>
            </w:r>
          </w:p>
        </w:tc>
        <w:tc>
          <w:tcPr>
            <w:tcW w:w="84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2</w:t>
            </w:r>
          </w:p>
        </w:tc>
        <w:tc>
          <w:tcPr>
            <w:tcW w:w="84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2</w:t>
            </w:r>
          </w:p>
        </w:tc>
        <w:tc>
          <w:tcPr>
            <w:tcW w:w="85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2</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ind w:right="-57"/>
              <w:jc w:val="both"/>
              <w:rPr>
                <w:rFonts w:ascii="Times New Roman" w:eastAsia="Times New Roman" w:hAnsi="Times New Roman"/>
                <w:color w:val="000000"/>
                <w:sz w:val="16"/>
                <w:szCs w:val="16"/>
                <w:lang w:val="en-US"/>
              </w:rPr>
            </w:pPr>
            <w:r>
              <w:rPr>
                <w:rFonts w:ascii="Times New Roman" w:hAnsi="Times New Roman"/>
                <w:sz w:val="16"/>
                <w:szCs w:val="16"/>
              </w:rPr>
              <w:t>4.Заповеди за отписване, респ. откази за отписване от актовите книги за имотите - държавна собственост, на имоти - публична държавна собственост, свързани с държавната тайна или със сигурността и отбраната на страната, които са съставени неправилно или чието основание за актуване е отпаднало</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5. Становища за даване на съгласие, респ. откази за даване на съгласие за продажба на имоти – частна държавна собственост, по реда на Закона за насърчаване на инвестициите</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6. Съставени актове за изключителна държавна собственост, в т.ч. актове за поправка на АИДС</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15</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14</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14</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7.Даване на указания по прилагането на нормативните актове, свързани с имотите – държавна собственост в т.ч. изразяване на становища по искания, заявления и жалби на ведомства, общини, физически и юридически лица, свързани с имотите - държавна собственост, и съответното им изпращане на компетентния да се произнесе по искането държавен орган, както и изходящи писма, с които са изискани допълнителни документи и становища от заинтересованите ведомства, необходими за надлежното комплектоване и последващо процедиране на образуваните в министерството преписки по държавната собственост.</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120</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125</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127</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8.Общ брой на ТД, в т. ч. ТД с над 50 % държавно участие (ДУ), пряко и непряко контролирани публични предприятия</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43/39</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43/39</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43/39</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pStyle w:val="ListParagraph"/>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9.Брой на публичните предприятия, формиращи балансова печалба/загуба</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35/3</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35/3</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35/3</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pStyle w:val="ListParagraph"/>
              <w:tabs>
                <w:tab w:val="left" w:pos="321"/>
              </w:tabs>
              <w:spacing w:after="0" w:line="240" w:lineRule="auto"/>
              <w:ind w:left="0" w:right="-57"/>
              <w:jc w:val="both"/>
              <w:rPr>
                <w:rFonts w:ascii="Times New Roman" w:eastAsia="Times New Roman" w:hAnsi="Times New Roman"/>
                <w:color w:val="000000"/>
                <w:sz w:val="16"/>
                <w:szCs w:val="16"/>
                <w:lang w:val="en-US"/>
              </w:rPr>
            </w:pPr>
            <w:r>
              <w:rPr>
                <w:rFonts w:ascii="Times New Roman" w:hAnsi="Times New Roman"/>
                <w:sz w:val="16"/>
                <w:szCs w:val="16"/>
              </w:rPr>
              <w:t>10.Преобразувани/преструктурирани публични предприетия по смисъла на закон</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tabs>
                <w:tab w:val="left" w:pos="321"/>
              </w:tabs>
              <w:spacing w:after="0" w:line="240" w:lineRule="auto"/>
              <w:ind w:right="-57"/>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11.Прекратени с ликвидация, или несъстоятелност ТД</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tabs>
                <w:tab w:val="left" w:pos="321"/>
              </w:tabs>
              <w:spacing w:after="0" w:line="240" w:lineRule="auto"/>
              <w:ind w:right="-57"/>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12.Заличени от Търговския регистър ТД</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2</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0</w:t>
            </w:r>
          </w:p>
        </w:tc>
      </w:tr>
      <w:tr w:rsidR="00426FE9">
        <w:trPr>
          <w:trHeight w:val="1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tabs>
                <w:tab w:val="left" w:pos="321"/>
              </w:tabs>
              <w:spacing w:after="0" w:line="240" w:lineRule="auto"/>
              <w:ind w:right="-57"/>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13.Протоколи за приемане на годишни финансови отчети /заповеди-пълномощни, съгласно Търговския закон  при  упражняване  правата на държавата чрез  министъра на РРБ в ТД с над 50% държавно участие.</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1/7</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1/6</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1/6</w:t>
            </w:r>
          </w:p>
        </w:tc>
      </w:tr>
      <w:tr w:rsidR="00426FE9">
        <w:trPr>
          <w:trHeight w:val="70"/>
        </w:trPr>
        <w:tc>
          <w:tcPr>
            <w:tcW w:w="6521" w:type="dxa"/>
            <w:tcBorders>
              <w:top w:val="single" w:sz="4" w:space="0" w:color="000000"/>
              <w:left w:val="single" w:sz="4" w:space="0" w:color="000000"/>
              <w:bottom w:val="single" w:sz="4" w:space="0" w:color="000000"/>
              <w:right w:val="single" w:sz="4" w:space="0" w:color="000000"/>
            </w:tcBorders>
            <w:vAlign w:val="center"/>
          </w:tcPr>
          <w:p w:rsidR="00426FE9" w:rsidRDefault="00D0590D">
            <w:pPr>
              <w:tabs>
                <w:tab w:val="left" w:pos="321"/>
              </w:tabs>
              <w:spacing w:after="0" w:line="240" w:lineRule="auto"/>
              <w:ind w:right="-57"/>
              <w:jc w:val="both"/>
              <w:rPr>
                <w:rFonts w:ascii="Times New Roman" w:eastAsia="Times New Roman" w:hAnsi="Times New Roman" w:cs="Times New Roman"/>
                <w:color w:val="000000"/>
                <w:sz w:val="16"/>
                <w:szCs w:val="16"/>
                <w:lang w:val="en-US"/>
              </w:rPr>
            </w:pPr>
            <w:r>
              <w:rPr>
                <w:rFonts w:ascii="Times New Roman" w:hAnsi="Times New Roman" w:cs="Times New Roman"/>
                <w:sz w:val="16"/>
                <w:szCs w:val="16"/>
              </w:rPr>
              <w:t>14.Заповед за стартиране на подготвителни действия за предоставяне на концесии.</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rPr>
              <w:t>брой</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w:t>
            </w:r>
          </w:p>
        </w:tc>
        <w:tc>
          <w:tcPr>
            <w:tcW w:w="849"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w:t>
            </w:r>
          </w:p>
        </w:tc>
        <w:tc>
          <w:tcPr>
            <w:tcW w:w="85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sz w:val="16"/>
                <w:szCs w:val="16"/>
                <w:lang w:val="en-US"/>
              </w:rPr>
              <w:t>1</w:t>
            </w:r>
          </w:p>
        </w:tc>
      </w:tr>
    </w:tbl>
    <w:p w:rsidR="00426FE9" w:rsidRDefault="00D0590D" w:rsidP="004F30BC">
      <w:pPr>
        <w:pStyle w:val="ListParagraph"/>
        <w:numPr>
          <w:ilvl w:val="0"/>
          <w:numId w:val="21"/>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Външни фактори, които могат да окажат въздействие върху постигането на целите на програмата</w:t>
      </w:r>
    </w:p>
    <w:p w:rsidR="00426FE9" w:rsidRDefault="00D0590D" w:rsidP="004F30BC">
      <w:pPr>
        <w:numPr>
          <w:ilvl w:val="0"/>
          <w:numId w:val="50"/>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Забавяне приемането на нормативните актове, които трябва да подпомогнат постигането на целите;</w:t>
      </w:r>
    </w:p>
    <w:p w:rsidR="00426FE9" w:rsidRDefault="00D0590D" w:rsidP="004F30BC">
      <w:pPr>
        <w:numPr>
          <w:ilvl w:val="0"/>
          <w:numId w:val="50"/>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Неосигуряване, в годишните закони за държавния бюджет, на необходимите средства, предвидени за изпълнение на програмата;</w:t>
      </w:r>
    </w:p>
    <w:p w:rsidR="00426FE9" w:rsidRDefault="00D0590D" w:rsidP="004F30BC">
      <w:pPr>
        <w:numPr>
          <w:ilvl w:val="0"/>
          <w:numId w:val="50"/>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Неосигуряване на необходимия административен капацитет за управление на средствата по програмата.</w:t>
      </w:r>
    </w:p>
    <w:p w:rsidR="00426FE9" w:rsidRDefault="00D0590D" w:rsidP="004F30BC">
      <w:pPr>
        <w:pStyle w:val="ListParagraph"/>
        <w:numPr>
          <w:ilvl w:val="0"/>
          <w:numId w:val="50"/>
        </w:numPr>
        <w:tabs>
          <w:tab w:val="left" w:pos="851"/>
        </w:tabs>
        <w:spacing w:after="0" w:line="240" w:lineRule="auto"/>
        <w:ind w:left="0" w:firstLine="567"/>
        <w:contextualSpacing w:val="0"/>
        <w:jc w:val="both"/>
        <w:rPr>
          <w:rFonts w:ascii="Times New Roman" w:hAnsi="Times New Roman"/>
        </w:rPr>
      </w:pPr>
      <w:r>
        <w:rPr>
          <w:rFonts w:ascii="Times New Roman" w:hAnsi="Times New Roman"/>
        </w:rPr>
        <w:t>Потенциални затруднения при кредитиране, финансиране и съфинансиране от страна на търговските дружества, при изпълнение на инвестиционни проекти, свързани с изграждането на ВиК инфраструктура по оперативните програми;</w:t>
      </w:r>
    </w:p>
    <w:p w:rsidR="00426FE9" w:rsidRDefault="00D0590D" w:rsidP="004F30BC">
      <w:pPr>
        <w:pStyle w:val="ListParagraph"/>
        <w:numPr>
          <w:ilvl w:val="0"/>
          <w:numId w:val="50"/>
        </w:numPr>
        <w:tabs>
          <w:tab w:val="left" w:pos="851"/>
        </w:tabs>
        <w:spacing w:after="0" w:line="240" w:lineRule="auto"/>
        <w:ind w:left="0" w:firstLine="567"/>
        <w:contextualSpacing w:val="0"/>
        <w:jc w:val="both"/>
        <w:rPr>
          <w:rFonts w:ascii="Times New Roman" w:hAnsi="Times New Roman"/>
        </w:rPr>
      </w:pPr>
      <w:r>
        <w:rPr>
          <w:rFonts w:ascii="Times New Roman" w:hAnsi="Times New Roman"/>
        </w:rPr>
        <w:t>Скоростта, обхвата и методите, които ще бъдат приети и реализирани от страна на компетентните държавни органи и институции при провеждане на политиките в управлението на ТД от системата на МРРБ;</w:t>
      </w:r>
    </w:p>
    <w:p w:rsidR="00426FE9" w:rsidRDefault="00D0590D" w:rsidP="004F30BC">
      <w:pPr>
        <w:pStyle w:val="ListParagraph"/>
        <w:numPr>
          <w:ilvl w:val="0"/>
          <w:numId w:val="50"/>
        </w:numPr>
        <w:tabs>
          <w:tab w:val="left" w:pos="851"/>
        </w:tabs>
        <w:spacing w:after="0" w:line="240" w:lineRule="auto"/>
        <w:ind w:left="0" w:firstLine="567"/>
        <w:contextualSpacing w:val="0"/>
        <w:jc w:val="both"/>
        <w:rPr>
          <w:rFonts w:ascii="Times New Roman" w:hAnsi="Times New Roman"/>
        </w:rPr>
      </w:pPr>
      <w:r>
        <w:rPr>
          <w:rFonts w:ascii="Times New Roman" w:hAnsi="Times New Roman"/>
        </w:rPr>
        <w:t>Законодателни промени на макро ниво и свързаните с това съществени изменения в стойността на разчетените икономически показатели, свързани с дейността на ТД през прогнозния период;</w:t>
      </w:r>
    </w:p>
    <w:p w:rsidR="00426FE9" w:rsidRDefault="00D0590D" w:rsidP="004F30BC">
      <w:pPr>
        <w:pStyle w:val="ListParagraph"/>
        <w:numPr>
          <w:ilvl w:val="0"/>
          <w:numId w:val="21"/>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Информация за наличността и качеството на данните</w:t>
      </w:r>
    </w:p>
    <w:p w:rsidR="00426FE9" w:rsidRDefault="00D0590D">
      <w:pPr>
        <w:tabs>
          <w:tab w:val="left" w:pos="851"/>
        </w:tabs>
        <w:spacing w:after="0" w:line="240" w:lineRule="auto"/>
        <w:ind w:firstLine="567"/>
        <w:jc w:val="both"/>
        <w:rPr>
          <w:rFonts w:ascii="Times New Roman" w:hAnsi="Times New Roman"/>
        </w:rPr>
      </w:pPr>
      <w:r>
        <w:rPr>
          <w:rFonts w:ascii="Times New Roman" w:hAnsi="Times New Roman"/>
        </w:rPr>
        <w:t>Основната дейност на дирекция „Държавна собственост и търговски дружества“ е свързана с процедурите по управление, разпореждане и актуване на имотите – държавна собственост, в изпълнение на разпоредбите на Закона за държавната собственост, Правилника за неговото прилагане и други нормативни актове, както и необходимостта от подобряването им.</w:t>
      </w:r>
    </w:p>
    <w:p w:rsidR="00426FE9" w:rsidRDefault="00D0590D">
      <w:pPr>
        <w:tabs>
          <w:tab w:val="left" w:pos="851"/>
        </w:tabs>
        <w:spacing w:after="0" w:line="240" w:lineRule="auto"/>
        <w:ind w:firstLine="567"/>
        <w:jc w:val="both"/>
        <w:rPr>
          <w:rFonts w:ascii="Times New Roman" w:hAnsi="Times New Roman"/>
        </w:rPr>
      </w:pPr>
      <w:r>
        <w:rPr>
          <w:rFonts w:ascii="Times New Roman" w:hAnsi="Times New Roman"/>
        </w:rPr>
        <w:t>Дирекция „ДСТД“ изисква, съхранява и участва в обработването и анализа на финансово-икономическа информация и справки, свързани с установяването величината и темповете на изменение на заложените показатели, характеризиращи финансово-икономическото състояние на публичните предприятия от системата на МРРБ тримесечно и годишно;</w:t>
      </w:r>
    </w:p>
    <w:p w:rsidR="00426FE9" w:rsidRDefault="00D0590D">
      <w:pPr>
        <w:tabs>
          <w:tab w:val="left" w:pos="851"/>
        </w:tabs>
        <w:spacing w:after="0" w:line="240" w:lineRule="auto"/>
        <w:ind w:firstLine="567"/>
        <w:jc w:val="both"/>
        <w:rPr>
          <w:rFonts w:ascii="Times New Roman" w:hAnsi="Times New Roman"/>
        </w:rPr>
      </w:pPr>
      <w:r>
        <w:rPr>
          <w:rFonts w:ascii="Times New Roman" w:hAnsi="Times New Roman"/>
        </w:rPr>
        <w:lastRenderedPageBreak/>
        <w:t>Издадените от  дирекция „ДСТД” административни актове (протоколи по смисъла на ТЗ, заповеди, пълномощни, проекти на решения и разпореждания на МС) и друга кореспонденция от компетенциите на дирекцията са надеждно установими чрез въведената деловодна система на МРРБ и поддържаните досиета на ТД, съдържащи издадените документи.</w:t>
      </w:r>
    </w:p>
    <w:p w:rsidR="00426FE9" w:rsidRDefault="00D0590D" w:rsidP="004F30BC">
      <w:pPr>
        <w:pStyle w:val="ListParagraph"/>
        <w:numPr>
          <w:ilvl w:val="0"/>
          <w:numId w:val="21"/>
        </w:numPr>
        <w:tabs>
          <w:tab w:val="left" w:pos="851"/>
        </w:tabs>
        <w:spacing w:after="0" w:line="240" w:lineRule="auto"/>
        <w:jc w:val="both"/>
        <w:rPr>
          <w:rFonts w:ascii="Times New Roman" w:hAnsi="Times New Roman"/>
          <w:b/>
          <w:i/>
          <w:color w:val="0000CC"/>
        </w:rPr>
      </w:pPr>
      <w:r>
        <w:rPr>
          <w:rFonts w:ascii="Times New Roman" w:hAnsi="Times New Roman"/>
          <w:b/>
          <w:i/>
          <w:color w:val="0000CC"/>
        </w:rPr>
        <w:t>Предоставяни по програмата продукти/услуги (ведомствени разходни параграфи)</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Приемане на годишни и междинни финансови отчети, справки и данни за финансово -икономическото и производствено - техническо състояние на дружествата;</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Обработване на финансови данни и документация за състоянието на всяко дружество и предложения свързани с въпроси по дейността на дружествата;</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Анализ на състоянието и тенденциите за развитие и изготвяне на доклад за пазарните перспективи, производствен и инвестиционен капацитет на дружествата от системата на МРРБ; </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Осигуряване и поддържане на условия за по-добро управление на търговските дружества с над 50% държавно участие от системата на МРРБ. Извършваните дейности се основават на разпоредбите на Търговския закон, Закона за публичните предприятия, Правилника за прилагане на Закона за публичните предприятия (приет с ПМС № 85 от 30.04.2020 г., в сила от 05.05.2020 г.), Закона за водите, Закона за регулиране на водоснабдителните и канализационните услуги и др. законови и подзаконови нормативни актове регламентиращи дейността и управлението на търговските дружества;</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Приемане и контрол при отчитане на бизнес програмите на публичните предприятия;</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Преструктуриране и финансиране на дружествата с предмет на дейност водоснабдяване и канализация с цел осигуряване на съвременни стандарти във водопотреблението при пестеливо използване на ограничените водни ресурси, подобряване на ефективността на водоснабдителните и канализационните системи и качеството на водните услуги и осигуряване необходимите инвестиции чрез механизъм за гарантиране извършването им и влагането им в съществуващата и в нова ВиК публична инфраструктура.</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Разработване на нормативна база по управление на държавното участие в търговските дружества, вътрешноведомствени правила, методики, инструкции, указания, образци на документи, заповеди и др., приложими при осъществяване на дейността им;</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Изготвяне и актуализиране се в съответствие с нормативната уредба на образци на договори за възлагане управлението и контрола в търговските дружества, вкл. в прекратените с ликвидация;</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Провеждане политиката на МРРБ по отношение на квалификацията и преквалификацията на работниците и  служителите от ТД с оглед на повишаване на конкурентоспособността на дружествата;</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Отговорности по процедурите на провеждане на конкурси за избор на управителни и контролни органи на дружествата от отрасъл  В и К с държавно участие.</w:t>
      </w:r>
    </w:p>
    <w:p w:rsidR="00426FE9" w:rsidRDefault="00D0590D" w:rsidP="004F30BC">
      <w:pPr>
        <w:pStyle w:val="ListParagraph"/>
        <w:numPr>
          <w:ilvl w:val="0"/>
          <w:numId w:val="51"/>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Съставяне и поддържане на регистри.</w:t>
      </w:r>
    </w:p>
    <w:p w:rsidR="00426FE9" w:rsidRDefault="00D0590D" w:rsidP="004F30BC">
      <w:pPr>
        <w:numPr>
          <w:ilvl w:val="0"/>
          <w:numId w:val="21"/>
        </w:numPr>
        <w:tabs>
          <w:tab w:val="left" w:pos="851"/>
        </w:tabs>
        <w:spacing w:after="0" w:line="240" w:lineRule="auto"/>
        <w:ind w:left="0" w:firstLine="567"/>
        <w:jc w:val="both"/>
        <w:rPr>
          <w:rFonts w:ascii="Times New Roman" w:hAnsi="Times New Roman" w:cs="Times New Roman"/>
          <w:b/>
          <w:i/>
          <w:color w:val="0000CC"/>
        </w:rPr>
      </w:pPr>
      <w:r>
        <w:rPr>
          <w:rFonts w:ascii="Times New Roman" w:hAnsi="Times New Roman" w:cs="Times New Roman"/>
          <w:b/>
          <w:i/>
          <w:color w:val="0000CC"/>
        </w:rPr>
        <w:t>Организационни структури, участващи в програмата</w:t>
      </w:r>
    </w:p>
    <w:p w:rsidR="00426FE9" w:rsidRDefault="00D0590D" w:rsidP="004F30BC">
      <w:pPr>
        <w:pStyle w:val="ListParagraph"/>
        <w:numPr>
          <w:ilvl w:val="0"/>
          <w:numId w:val="52"/>
        </w:numPr>
        <w:tabs>
          <w:tab w:val="left" w:pos="851"/>
        </w:tabs>
        <w:spacing w:after="0" w:line="240" w:lineRule="auto"/>
        <w:ind w:left="0" w:firstLine="567"/>
        <w:jc w:val="both"/>
        <w:rPr>
          <w:rFonts w:ascii="Times New Roman" w:hAnsi="Times New Roman"/>
        </w:rPr>
      </w:pPr>
      <w:r>
        <w:rPr>
          <w:rFonts w:ascii="Times New Roman" w:hAnsi="Times New Roman"/>
        </w:rPr>
        <w:t>Областни администрации и общини;</w:t>
      </w:r>
    </w:p>
    <w:p w:rsidR="00426FE9" w:rsidRDefault="00D0590D" w:rsidP="004F30BC">
      <w:pPr>
        <w:pStyle w:val="ListParagraph"/>
        <w:numPr>
          <w:ilvl w:val="0"/>
          <w:numId w:val="52"/>
        </w:numPr>
        <w:tabs>
          <w:tab w:val="left" w:pos="851"/>
        </w:tabs>
        <w:spacing w:after="0" w:line="240" w:lineRule="auto"/>
        <w:ind w:left="0" w:firstLine="567"/>
        <w:jc w:val="both"/>
        <w:rPr>
          <w:rFonts w:ascii="Times New Roman" w:hAnsi="Times New Roman"/>
        </w:rPr>
      </w:pPr>
      <w:r>
        <w:rPr>
          <w:rFonts w:ascii="Times New Roman" w:hAnsi="Times New Roman"/>
        </w:rPr>
        <w:t>Министерства;</w:t>
      </w:r>
    </w:p>
    <w:p w:rsidR="00426FE9" w:rsidRDefault="00D0590D" w:rsidP="004F30BC">
      <w:pPr>
        <w:pStyle w:val="ListParagraph"/>
        <w:numPr>
          <w:ilvl w:val="0"/>
          <w:numId w:val="52"/>
        </w:numPr>
        <w:tabs>
          <w:tab w:val="left" w:pos="851"/>
        </w:tabs>
        <w:spacing w:after="0" w:line="240" w:lineRule="auto"/>
        <w:ind w:left="0" w:firstLine="567"/>
        <w:jc w:val="both"/>
        <w:rPr>
          <w:rFonts w:ascii="Times New Roman" w:hAnsi="Times New Roman"/>
        </w:rPr>
      </w:pPr>
      <w:r>
        <w:rPr>
          <w:rFonts w:ascii="Times New Roman" w:hAnsi="Times New Roman"/>
        </w:rPr>
        <w:t>Търговски дружества.</w:t>
      </w:r>
    </w:p>
    <w:p w:rsidR="00426FE9" w:rsidRDefault="00D0590D" w:rsidP="004F30BC">
      <w:pPr>
        <w:numPr>
          <w:ilvl w:val="0"/>
          <w:numId w:val="21"/>
        </w:numPr>
        <w:tabs>
          <w:tab w:val="left" w:pos="851"/>
        </w:tabs>
        <w:spacing w:after="0" w:line="240" w:lineRule="auto"/>
        <w:ind w:left="0" w:firstLine="567"/>
        <w:jc w:val="both"/>
        <w:rPr>
          <w:rFonts w:ascii="Times New Roman" w:hAnsi="Times New Roman" w:cs="Times New Roman"/>
          <w:b/>
          <w:i/>
          <w:color w:val="0000CC"/>
        </w:rPr>
      </w:pPr>
      <w:r>
        <w:rPr>
          <w:rFonts w:ascii="Times New Roman" w:hAnsi="Times New Roman" w:cs="Times New Roman"/>
          <w:b/>
          <w:i/>
          <w:color w:val="0000CC"/>
        </w:rPr>
        <w:t>Отговорност за изпълнението на програмата</w:t>
      </w:r>
    </w:p>
    <w:p w:rsidR="00426FE9" w:rsidRDefault="00D0590D">
      <w:pPr>
        <w:tabs>
          <w:tab w:val="left" w:pos="567"/>
          <w:tab w:val="left" w:pos="851"/>
        </w:tabs>
        <w:spacing w:after="0" w:line="240" w:lineRule="auto"/>
        <w:ind w:firstLine="567"/>
        <w:jc w:val="both"/>
        <w:rPr>
          <w:rFonts w:ascii="Times New Roman" w:hAnsi="Times New Roman" w:cs="Times New Roman"/>
        </w:rPr>
      </w:pPr>
      <w:r>
        <w:rPr>
          <w:rFonts w:ascii="Times New Roman" w:hAnsi="Times New Roman" w:cs="Times New Roman"/>
          <w:color w:val="000000"/>
          <w:spacing w:val="-1"/>
        </w:rPr>
        <w:t>Програмата се координира от министър, ресорен заместник-министър, директорът на дирекция “Държавна собственост</w:t>
      </w:r>
      <w:r>
        <w:rPr>
          <w:rFonts w:ascii="Times New Roman" w:hAnsi="Times New Roman" w:cs="Times New Roman"/>
        </w:rPr>
        <w:t xml:space="preserve"> и търговски дружества</w:t>
      </w:r>
      <w:r>
        <w:rPr>
          <w:rFonts w:ascii="Times New Roman" w:hAnsi="Times New Roman" w:cs="Times New Roman"/>
          <w:color w:val="000000"/>
          <w:spacing w:val="-1"/>
        </w:rPr>
        <w:t>”.</w:t>
      </w:r>
    </w:p>
    <w:p w:rsidR="00426FE9" w:rsidRDefault="00D0590D" w:rsidP="004F30BC">
      <w:pPr>
        <w:pStyle w:val="ListParagraph"/>
        <w:numPr>
          <w:ilvl w:val="0"/>
          <w:numId w:val="21"/>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Бюджетна прогноза по ведомствени и администрирани параграфи на програмат</w:t>
      </w:r>
      <w:r w:rsidR="00506940">
        <w:rPr>
          <w:rFonts w:ascii="Times New Roman" w:hAnsi="Times New Roman"/>
          <w:b/>
          <w:i/>
          <w:color w:val="0000CC"/>
        </w:rPr>
        <w:t>а</w:t>
      </w:r>
    </w:p>
    <w:tbl>
      <w:tblPr>
        <w:tblW w:w="10360" w:type="dxa"/>
        <w:tblLook w:val="04A0" w:firstRow="1" w:lastRow="0" w:firstColumn="1" w:lastColumn="0" w:noHBand="0" w:noVBand="1"/>
      </w:tblPr>
      <w:tblGrid>
        <w:gridCol w:w="704"/>
        <w:gridCol w:w="4071"/>
        <w:gridCol w:w="1056"/>
        <w:gridCol w:w="1056"/>
        <w:gridCol w:w="923"/>
        <w:gridCol w:w="752"/>
        <w:gridCol w:w="899"/>
        <w:gridCol w:w="899"/>
      </w:tblGrid>
      <w:tr w:rsidR="00B672F6" w:rsidRPr="00B672F6" w:rsidTr="00383666">
        <w:trPr>
          <w:trHeight w:val="170"/>
        </w:trPr>
        <w:tc>
          <w:tcPr>
            <w:tcW w:w="704"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2100.01.03 Бюджетна програма„Ефективно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 (хил. евро)</w:t>
            </w:r>
          </w:p>
        </w:tc>
        <w:tc>
          <w:tcPr>
            <w:tcW w:w="1056"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Отчет 2023 г.</w:t>
            </w:r>
          </w:p>
        </w:tc>
        <w:tc>
          <w:tcPr>
            <w:tcW w:w="1056"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Отчет 2024 г.</w:t>
            </w:r>
          </w:p>
        </w:tc>
        <w:tc>
          <w:tcPr>
            <w:tcW w:w="923"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Закон 2025 г.</w:t>
            </w:r>
          </w:p>
        </w:tc>
        <w:tc>
          <w:tcPr>
            <w:tcW w:w="752"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301F1D"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Бюджет</w:t>
            </w:r>
            <w:r w:rsidR="00B672F6" w:rsidRPr="00B672F6">
              <w:rPr>
                <w:rFonts w:ascii="Times New Roman" w:eastAsia="Times New Roman" w:hAnsi="Times New Roman" w:cs="Times New Roman"/>
                <w:b/>
                <w:bCs/>
                <w:color w:val="000000"/>
                <w:sz w:val="16"/>
                <w:szCs w:val="16"/>
                <w:lang w:val="en-US"/>
              </w:rPr>
              <w:t xml:space="preserve"> 2026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Прогноза 2027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Прогноза 2028 г.</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2</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3</w:t>
            </w:r>
          </w:p>
        </w:tc>
        <w:tc>
          <w:tcPr>
            <w:tcW w:w="923"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4</w:t>
            </w:r>
          </w:p>
        </w:tc>
        <w:tc>
          <w:tcPr>
            <w:tcW w:w="752"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5</w:t>
            </w:r>
          </w:p>
        </w:tc>
        <w:tc>
          <w:tcPr>
            <w:tcW w:w="899"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6</w:t>
            </w:r>
          </w:p>
        </w:tc>
        <w:tc>
          <w:tcPr>
            <w:tcW w:w="899" w:type="dxa"/>
            <w:tcBorders>
              <w:top w:val="nil"/>
              <w:left w:val="nil"/>
              <w:bottom w:val="single" w:sz="4" w:space="0" w:color="auto"/>
              <w:right w:val="single" w:sz="4" w:space="0" w:color="auto"/>
            </w:tcBorders>
            <w:shd w:val="clear" w:color="auto" w:fill="auto"/>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7</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ведомствени разходи:</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800,8</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999,8</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1 854,4</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1 128,1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1 295,0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1 601,9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Персонал</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794,3</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991,1</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1 073,7</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1 113,3</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1 048,9</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1 048,9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Издръжка</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6,5</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8,7</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13,8</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14,8</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16,1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16,1</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xml:space="preserve">   Капиталови разходи</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766,9</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230,0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536,9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Ведомствени разходи по бюджета на ПРБ:</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800,8</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999,8</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1 854,4</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1 128,1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1 295,0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1 601,9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   Персонал</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794,3</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991,1</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1 073,7</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1 113,3</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1 048,9</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1 048,9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   Издръжка</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6,5</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8,7</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13,8</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14,8</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16,1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16,1</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xml:space="preserve">   Капиталови разходи</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766,9</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230,0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536,9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lastRenderedPageBreak/>
              <w:t>2</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i/>
                <w:iCs/>
                <w:color w:val="000000"/>
                <w:sz w:val="16"/>
                <w:szCs w:val="16"/>
                <w:lang w:val="en-US"/>
              </w:rPr>
            </w:pPr>
            <w:r w:rsidRPr="00B672F6">
              <w:rPr>
                <w:rFonts w:ascii="Times New Roman" w:eastAsia="Times New Roman" w:hAnsi="Times New Roman" w:cs="Times New Roman"/>
                <w:b/>
                <w:bCs/>
                <w:i/>
                <w:iCs/>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ІІ.</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ІІІ.</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администрирани разходи (ІІ.+ІІІ.):</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0,0</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разходи по бюджета (І.1+ІІ.):</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800,8</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999,8</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1 854,4</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1 128,1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1 295,0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1 601,9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Общо разходи (І.+ІІ.+ІІІ.):</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800,8</w:t>
            </w:r>
          </w:p>
        </w:tc>
        <w:tc>
          <w:tcPr>
            <w:tcW w:w="1056"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999,8</w:t>
            </w:r>
          </w:p>
        </w:tc>
        <w:tc>
          <w:tcPr>
            <w:tcW w:w="923"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1 854,4</w:t>
            </w:r>
          </w:p>
        </w:tc>
        <w:tc>
          <w:tcPr>
            <w:tcW w:w="752"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1 128,1</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1 295,0</w:t>
            </w:r>
          </w:p>
        </w:tc>
        <w:tc>
          <w:tcPr>
            <w:tcW w:w="899" w:type="dxa"/>
            <w:tcBorders>
              <w:top w:val="nil"/>
              <w:left w:val="nil"/>
              <w:bottom w:val="single" w:sz="4" w:space="0" w:color="auto"/>
              <w:right w:val="single" w:sz="4" w:space="0" w:color="auto"/>
            </w:tcBorders>
            <w:shd w:val="clear" w:color="000000" w:fill="FFCC99"/>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1 601,9</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 </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Численост на щатния персонал</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28</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25</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31</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31</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31</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31</w:t>
            </w:r>
          </w:p>
        </w:tc>
      </w:tr>
      <w:tr w:rsidR="00B672F6" w:rsidRPr="00B672F6" w:rsidTr="00383666">
        <w:trPr>
          <w:trHeight w:val="1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center"/>
              <w:rPr>
                <w:rFonts w:ascii="Times New Roman" w:eastAsia="Times New Roman" w:hAnsi="Times New Roman" w:cs="Times New Roman"/>
                <w:b/>
                <w:bCs/>
                <w:color w:val="000000"/>
                <w:sz w:val="16"/>
                <w:szCs w:val="16"/>
                <w:lang w:val="en-US"/>
              </w:rPr>
            </w:pPr>
            <w:r w:rsidRPr="00B672F6">
              <w:rPr>
                <w:rFonts w:ascii="Times New Roman" w:eastAsia="Times New Roman" w:hAnsi="Times New Roman" w:cs="Times New Roman"/>
                <w:b/>
                <w:bCs/>
                <w:color w:val="000000"/>
                <w:sz w:val="16"/>
                <w:szCs w:val="16"/>
                <w:lang w:val="en-US"/>
              </w:rPr>
              <w:t> </w:t>
            </w:r>
          </w:p>
        </w:tc>
        <w:tc>
          <w:tcPr>
            <w:tcW w:w="4071"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Численост на извънщатния персонал</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1056"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923"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752"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672F6" w:rsidRPr="00B672F6" w:rsidRDefault="00B672F6" w:rsidP="00B672F6">
            <w:pPr>
              <w:suppressAutoHyphens w:val="0"/>
              <w:spacing w:after="0" w:line="240" w:lineRule="auto"/>
              <w:jc w:val="right"/>
              <w:rPr>
                <w:rFonts w:ascii="Times New Roman" w:eastAsia="Times New Roman" w:hAnsi="Times New Roman" w:cs="Times New Roman"/>
                <w:color w:val="000000"/>
                <w:sz w:val="16"/>
                <w:szCs w:val="16"/>
                <w:lang w:val="en-US"/>
              </w:rPr>
            </w:pPr>
            <w:r w:rsidRPr="00B672F6">
              <w:rPr>
                <w:rFonts w:ascii="Times New Roman" w:eastAsia="Times New Roman" w:hAnsi="Times New Roman" w:cs="Times New Roman"/>
                <w:color w:val="000000"/>
                <w:sz w:val="16"/>
                <w:szCs w:val="16"/>
                <w:lang w:val="en-US"/>
              </w:rPr>
              <w:t>0</w:t>
            </w:r>
          </w:p>
        </w:tc>
      </w:tr>
    </w:tbl>
    <w:p w:rsidR="00506940" w:rsidRDefault="00506940" w:rsidP="00506940">
      <w:pPr>
        <w:pStyle w:val="ListParagraph"/>
        <w:tabs>
          <w:tab w:val="left" w:pos="776"/>
          <w:tab w:val="left" w:pos="851"/>
        </w:tabs>
        <w:spacing w:after="0" w:line="240" w:lineRule="auto"/>
        <w:ind w:left="567"/>
        <w:jc w:val="both"/>
        <w:rPr>
          <w:rFonts w:ascii="Times New Roman" w:hAnsi="Times New Roman"/>
          <w:b/>
          <w:i/>
          <w:color w:val="0000CC"/>
        </w:rPr>
      </w:pPr>
    </w:p>
    <w:p w:rsidR="00426FE9" w:rsidRDefault="00D0590D" w:rsidP="004F30BC">
      <w:pPr>
        <w:pStyle w:val="ListParagraph"/>
        <w:numPr>
          <w:ilvl w:val="0"/>
          <w:numId w:val="21"/>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 xml:space="preserve"> „Фонд Флаг“</w:t>
      </w:r>
    </w:p>
    <w:p w:rsidR="004F30BC" w:rsidRPr="004F30BC" w:rsidRDefault="004F30BC" w:rsidP="004F30BC">
      <w:pPr>
        <w:numPr>
          <w:ilvl w:val="0"/>
          <w:numId w:val="99"/>
        </w:numPr>
        <w:tabs>
          <w:tab w:val="left" w:pos="851"/>
        </w:tabs>
        <w:spacing w:after="0" w:line="240" w:lineRule="auto"/>
        <w:ind w:left="0" w:firstLine="567"/>
        <w:jc w:val="both"/>
        <w:rPr>
          <w:rFonts w:ascii="Times New Roman" w:hAnsi="Times New Roman"/>
          <w:b/>
        </w:rPr>
      </w:pPr>
      <w:r w:rsidRPr="004F30BC">
        <w:rPr>
          <w:rFonts w:ascii="Times New Roman" w:hAnsi="Times New Roman"/>
          <w:b/>
        </w:rPr>
        <w:t>Обща информация за Фонд ФЛАГ ЕАД</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 xml:space="preserve">„Фонд ФЛАГ“ ЕАД  </w:t>
      </w:r>
      <w:r w:rsidRPr="004F30BC">
        <w:rPr>
          <w:rFonts w:ascii="Times New Roman" w:hAnsi="Times New Roman"/>
          <w:lang w:val="en-US"/>
        </w:rPr>
        <w:t>(</w:t>
      </w:r>
      <w:r w:rsidRPr="004F30BC">
        <w:rPr>
          <w:rFonts w:ascii="Times New Roman" w:hAnsi="Times New Roman"/>
        </w:rPr>
        <w:t>наричано по-долу Фонд ФЛАГ, Дружеството или ФЛАГ</w:t>
      </w:r>
      <w:r w:rsidRPr="004F30BC">
        <w:rPr>
          <w:rFonts w:ascii="Times New Roman" w:hAnsi="Times New Roman"/>
          <w:lang w:val="en-US"/>
        </w:rPr>
        <w:t>)</w:t>
      </w:r>
      <w:r w:rsidRPr="004F30BC">
        <w:rPr>
          <w:rFonts w:ascii="Times New Roman" w:hAnsi="Times New Roman"/>
        </w:rPr>
        <w:t xml:space="preserve"> е еднолично акционерно дружество, основано през 2007 г., като правата на държавата се упражняват от  Министъра на  регионалното развитие и благоустройството. Фонд ФЛАГ осъществява своята дейност по условията и реда на Закона за кредитните институции и  Закона за публичните предприятия. Изпълнявайки своята основна цел и мисия, дружеството осигурява инструменти за финансиране на публични инвестиции и проекти, които се изпълняват основно от  българските общини и публичните предприятия. </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През цялата си 19-годишна дейност Фонд ФЛАГ активно подкрепя реализацията на инвестиции, които допринасят за разширяване и модернизация на общинската и регионална инфраструктура, подобряване на публичните услуги и създаване на устойчиви местни общности.</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Фонд ФЛАГ е стартирал своята дейност със собствен  капитал от 15,3 млн. евро, който поетапно с увеличение на дейността и инструментите, които управлява, е увеличаван и през 2022 г. достига 71,6 млн. евро.</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 xml:space="preserve">Фондът е пример за ефективно управление на капитала и привличане на заемни средства от търговски банки и международни финансови институции, като в последните години работи на максимума на допустимия привлечен капитал. Към май 2026 г. договорените кредитни линии са в размер на 183 млн. евро.  </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Фонд ФЛАГ има изграден капацитет по отношение финансирането на инвестиционни проекти на местните власти</w:t>
      </w:r>
      <w:r w:rsidRPr="004F30BC">
        <w:rPr>
          <w:rFonts w:ascii="Times New Roman" w:hAnsi="Times New Roman"/>
          <w:lang w:val="en-US"/>
        </w:rPr>
        <w:t xml:space="preserve"> </w:t>
      </w:r>
      <w:r w:rsidRPr="004F30BC">
        <w:rPr>
          <w:rFonts w:ascii="Times New Roman" w:hAnsi="Times New Roman"/>
        </w:rPr>
        <w:t>и изпълнението на финансови инструменти. ФЛАГ е  подкрепил изпълнението на над 1700 проекта на българските общини и е предоставил финансиране за близо 1 400 млн. евро. Реализираните проекти са за повече от 4 700 млн. евро.</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 xml:space="preserve">В допълнение, от 2012 г. дружеството участва активно и в изпълнението на финансови инструменти  директно и чрез дъщерното си дружество – „Фонд за устойчиво градско развитие“ ЕАД  / ФУГР/ :  Фондове за градско развитие по инициативата </w:t>
      </w:r>
      <w:r w:rsidRPr="004F30BC">
        <w:rPr>
          <w:rFonts w:ascii="Times New Roman" w:hAnsi="Times New Roman"/>
          <w:lang w:val="en-US"/>
        </w:rPr>
        <w:t xml:space="preserve">JESSICA </w:t>
      </w:r>
      <w:r w:rsidRPr="004F30BC">
        <w:rPr>
          <w:rFonts w:ascii="Times New Roman" w:hAnsi="Times New Roman"/>
        </w:rPr>
        <w:t>по ОПРР 2007-2013 за София, Фондове за градско развитие по ОПРР 2014-2020, Финансов инструмент по приоритет „Води“ по ПОС 2020 -2027; Фондове за градско развитие по ПРР и ПКИП 2021-2027, Финансов инструмент „Кръгова икономика“ по ПКИП 2021-2027; „Инвестиционна платформа“ съвместно с ЕИБ. Фондът изгради капацитет и се утвърди като водещ в управлението на финансови инструменти, структурирани със средства на ЕС и ЕИБ.</w:t>
      </w:r>
    </w:p>
    <w:p w:rsidR="004F30BC" w:rsidRPr="004F30BC" w:rsidRDefault="004F30BC" w:rsidP="004F30BC">
      <w:pPr>
        <w:spacing w:after="0" w:line="240" w:lineRule="auto"/>
        <w:ind w:firstLine="567"/>
        <w:jc w:val="both"/>
        <w:rPr>
          <w:rFonts w:ascii="Times New Roman" w:hAnsi="Times New Roman"/>
        </w:rPr>
      </w:pPr>
      <w:r w:rsidRPr="004F30BC">
        <w:rPr>
          <w:rFonts w:ascii="Times New Roman" w:hAnsi="Times New Roman"/>
        </w:rPr>
        <w:t>С цел изпълнение на мандатите за управление на нови финансови инструменти, както и на оценените потребности на общините за успешно изпълнение на проектите по ПВУ и програмите от програмен период 2021-2027 г. е необходимо увеличение на собствения капитал и съответно  - създаване на възможност за привличане на допълнителен, чрез сключване на нови финансови споразумения с международните финансови институции и/или търговските банки.</w:t>
      </w:r>
    </w:p>
    <w:p w:rsidR="004F30BC" w:rsidRPr="008A3607" w:rsidRDefault="004F30BC" w:rsidP="004F30BC">
      <w:pPr>
        <w:spacing w:after="0" w:line="240" w:lineRule="auto"/>
        <w:ind w:firstLine="567"/>
        <w:jc w:val="both"/>
        <w:rPr>
          <w:rFonts w:ascii="Times New Roman" w:hAnsi="Times New Roman"/>
          <w:bCs/>
        </w:rPr>
      </w:pPr>
      <w:r w:rsidRPr="004F30BC">
        <w:rPr>
          <w:rFonts w:ascii="Times New Roman" w:hAnsi="Times New Roman"/>
        </w:rPr>
        <w:t xml:space="preserve">Със своята дейност Фонд ФЛАГ е доказал спазването на отлична финансова дисциплина, висока ефективност на управление на капитала, принципност и  прозрачност в дейността и спазване на високи стандарти за работа и управление. За цялата си </w:t>
      </w:r>
      <w:r w:rsidRPr="008A3607">
        <w:rPr>
          <w:rFonts w:ascii="Times New Roman" w:hAnsi="Times New Roman"/>
        </w:rPr>
        <w:t xml:space="preserve">дейност досега </w:t>
      </w:r>
      <w:r w:rsidRPr="008A3607">
        <w:rPr>
          <w:rFonts w:ascii="Times New Roman" w:hAnsi="Times New Roman"/>
          <w:bCs/>
        </w:rPr>
        <w:t>дружеството не е допуснало да има лоши кредити и загубени средства.</w:t>
      </w:r>
    </w:p>
    <w:p w:rsidR="004F30BC" w:rsidRPr="004F30BC" w:rsidRDefault="004F30BC" w:rsidP="004F30BC">
      <w:pPr>
        <w:spacing w:after="0" w:line="240" w:lineRule="auto"/>
        <w:ind w:firstLine="567"/>
        <w:jc w:val="both"/>
        <w:rPr>
          <w:rFonts w:ascii="Times New Roman" w:hAnsi="Times New Roman"/>
        </w:rPr>
      </w:pPr>
      <w:r w:rsidRPr="008A3607">
        <w:rPr>
          <w:rFonts w:ascii="Times New Roman" w:hAnsi="Times New Roman"/>
        </w:rPr>
        <w:lastRenderedPageBreak/>
        <w:t>Ежегодно Фонд ФЛАГ приключва финансовата година с положителен</w:t>
      </w:r>
      <w:r w:rsidRPr="004F30BC">
        <w:rPr>
          <w:rFonts w:ascii="Times New Roman" w:hAnsi="Times New Roman"/>
        </w:rPr>
        <w:t xml:space="preserve"> финансов резултат и изплаща дивидент на държавата, който обичайно е в размер на 100% и не позволява увеличение на капитала от реализираната печалба.</w:t>
      </w:r>
    </w:p>
    <w:p w:rsidR="004F30BC" w:rsidRPr="004F30BC" w:rsidRDefault="004F30BC" w:rsidP="004F30BC">
      <w:pPr>
        <w:numPr>
          <w:ilvl w:val="0"/>
          <w:numId w:val="99"/>
        </w:numPr>
        <w:tabs>
          <w:tab w:val="left" w:pos="851"/>
        </w:tabs>
        <w:spacing w:after="0" w:line="240" w:lineRule="auto"/>
        <w:ind w:left="0" w:firstLine="567"/>
        <w:jc w:val="both"/>
        <w:rPr>
          <w:rFonts w:ascii="Times New Roman" w:hAnsi="Times New Roman"/>
          <w:b/>
        </w:rPr>
      </w:pPr>
      <w:r w:rsidRPr="004F30BC">
        <w:rPr>
          <w:rFonts w:ascii="Times New Roman" w:hAnsi="Times New Roman"/>
          <w:b/>
        </w:rPr>
        <w:t>Обща цел на увеличението на капитала</w:t>
      </w:r>
    </w:p>
    <w:p w:rsidR="004F30BC" w:rsidRPr="008A3607" w:rsidRDefault="004F30BC" w:rsidP="004F30BC">
      <w:pPr>
        <w:spacing w:after="0" w:line="240" w:lineRule="auto"/>
        <w:ind w:firstLine="567"/>
        <w:jc w:val="both"/>
        <w:rPr>
          <w:rFonts w:ascii="Times New Roman" w:hAnsi="Times New Roman"/>
          <w:bCs/>
        </w:rPr>
      </w:pPr>
      <w:r w:rsidRPr="008A3607">
        <w:rPr>
          <w:rFonts w:ascii="Times New Roman" w:hAnsi="Times New Roman"/>
        </w:rPr>
        <w:t xml:space="preserve">Увеличението на капитала на ФЛАГ има за цел да позволи </w:t>
      </w:r>
      <w:r w:rsidRPr="008A3607">
        <w:rPr>
          <w:rFonts w:ascii="Times New Roman" w:hAnsi="Times New Roman"/>
          <w:bCs/>
        </w:rPr>
        <w:t>успешната реализация на проектите от ПВУ и програмен период 2021 -2027, предвид оставащия краткия срок за изпълнение</w:t>
      </w:r>
      <w:r w:rsidRPr="008A3607">
        <w:rPr>
          <w:rFonts w:ascii="Times New Roman" w:hAnsi="Times New Roman"/>
        </w:rPr>
        <w:t xml:space="preserve">, както и да повиши капацитета на дружеството за управление на финансови инструменти по линия на ЕС и/или национални програми. </w:t>
      </w:r>
    </w:p>
    <w:p w:rsidR="004F30BC" w:rsidRPr="008A3607" w:rsidRDefault="004F30BC" w:rsidP="004F30BC">
      <w:pPr>
        <w:spacing w:after="0" w:line="240" w:lineRule="auto"/>
        <w:ind w:firstLine="567"/>
        <w:jc w:val="both"/>
        <w:rPr>
          <w:rFonts w:ascii="Times New Roman" w:hAnsi="Times New Roman"/>
          <w:bCs/>
        </w:rPr>
      </w:pPr>
      <w:r w:rsidRPr="008A3607">
        <w:rPr>
          <w:rFonts w:ascii="Times New Roman" w:hAnsi="Times New Roman"/>
          <w:bCs/>
        </w:rPr>
        <w:t>Увеличението на капитала ще допринесе за:</w:t>
      </w:r>
    </w:p>
    <w:p w:rsidR="004F30BC" w:rsidRPr="008A3607" w:rsidRDefault="004F30BC" w:rsidP="004F30BC">
      <w:pPr>
        <w:numPr>
          <w:ilvl w:val="0"/>
          <w:numId w:val="96"/>
        </w:numPr>
        <w:spacing w:after="0" w:line="240" w:lineRule="auto"/>
        <w:ind w:left="0" w:firstLine="567"/>
        <w:jc w:val="both"/>
        <w:rPr>
          <w:rFonts w:ascii="Times New Roman" w:hAnsi="Times New Roman"/>
        </w:rPr>
      </w:pPr>
      <w:r w:rsidRPr="008A3607">
        <w:rPr>
          <w:rFonts w:ascii="Times New Roman" w:hAnsi="Times New Roman"/>
        </w:rPr>
        <w:t xml:space="preserve">Подкрепа на общините за реализация на одобрените проекти и гарантиране на успешното приключване на програмния период; </w:t>
      </w:r>
    </w:p>
    <w:p w:rsidR="004F30BC" w:rsidRPr="004F30BC" w:rsidRDefault="004F30BC" w:rsidP="004F30BC">
      <w:pPr>
        <w:numPr>
          <w:ilvl w:val="0"/>
          <w:numId w:val="96"/>
        </w:numPr>
        <w:spacing w:after="0" w:line="240" w:lineRule="auto"/>
        <w:ind w:left="0" w:firstLine="567"/>
        <w:jc w:val="both"/>
        <w:rPr>
          <w:rFonts w:ascii="Times New Roman" w:hAnsi="Times New Roman"/>
        </w:rPr>
      </w:pPr>
      <w:r w:rsidRPr="004F30BC">
        <w:rPr>
          <w:rFonts w:ascii="Times New Roman" w:hAnsi="Times New Roman"/>
        </w:rPr>
        <w:t>Създаване на  условия за по-голям лостов ефект за мобилизиране на частен ресурс (Leverage);</w:t>
      </w:r>
    </w:p>
    <w:p w:rsidR="004F30BC" w:rsidRPr="004F30BC" w:rsidRDefault="004F30BC" w:rsidP="004F30BC">
      <w:pPr>
        <w:numPr>
          <w:ilvl w:val="0"/>
          <w:numId w:val="96"/>
        </w:numPr>
        <w:spacing w:after="0" w:line="240" w:lineRule="auto"/>
        <w:ind w:left="0" w:firstLine="567"/>
        <w:jc w:val="both"/>
        <w:rPr>
          <w:rFonts w:ascii="Times New Roman" w:hAnsi="Times New Roman"/>
        </w:rPr>
      </w:pPr>
      <w:r w:rsidRPr="004F30BC">
        <w:rPr>
          <w:rFonts w:ascii="Times New Roman" w:hAnsi="Times New Roman"/>
        </w:rPr>
        <w:t>Ясен сигнал към международните финансови институции и частните инвеститори за ангажираността на държавата и споделяне на риска;</w:t>
      </w:r>
    </w:p>
    <w:p w:rsidR="004F30BC" w:rsidRPr="004F30BC" w:rsidRDefault="004F30BC" w:rsidP="004F30BC">
      <w:pPr>
        <w:numPr>
          <w:ilvl w:val="0"/>
          <w:numId w:val="96"/>
        </w:numPr>
        <w:spacing w:after="0" w:line="240" w:lineRule="auto"/>
        <w:ind w:left="0" w:firstLine="567"/>
        <w:jc w:val="both"/>
        <w:rPr>
          <w:rFonts w:ascii="Times New Roman" w:hAnsi="Times New Roman"/>
        </w:rPr>
      </w:pPr>
      <w:r w:rsidRPr="004F30BC">
        <w:rPr>
          <w:rFonts w:ascii="Times New Roman" w:hAnsi="Times New Roman"/>
        </w:rPr>
        <w:t>Подобряване на  финансовите показатели на дружеството, което е определящо при кандидатстване за кредити или гаранции от международни финансови институции, особено важно в контекста на проекти, изискващи дългосрочен ресурс;</w:t>
      </w:r>
    </w:p>
    <w:p w:rsidR="004F30BC" w:rsidRPr="004F30BC" w:rsidRDefault="004F30BC" w:rsidP="004F30BC">
      <w:pPr>
        <w:numPr>
          <w:ilvl w:val="0"/>
          <w:numId w:val="96"/>
        </w:numPr>
        <w:spacing w:after="0" w:line="240" w:lineRule="auto"/>
        <w:ind w:left="0" w:firstLine="567"/>
        <w:jc w:val="both"/>
        <w:rPr>
          <w:rFonts w:ascii="Times New Roman" w:hAnsi="Times New Roman"/>
        </w:rPr>
      </w:pPr>
      <w:r w:rsidRPr="004F30BC">
        <w:rPr>
          <w:rFonts w:ascii="Times New Roman" w:hAnsi="Times New Roman"/>
        </w:rPr>
        <w:t>по-висока финансова устойчивост и доверие у партньорите, включително Управляващи органи и международни институции (като ЕИБ, ЕБВР и др.);</w:t>
      </w:r>
    </w:p>
    <w:p w:rsidR="004F30BC" w:rsidRPr="004F30BC" w:rsidRDefault="004F30BC" w:rsidP="004F30BC">
      <w:pPr>
        <w:numPr>
          <w:ilvl w:val="0"/>
          <w:numId w:val="96"/>
        </w:numPr>
        <w:spacing w:after="0" w:line="240" w:lineRule="auto"/>
        <w:ind w:left="0" w:firstLine="567"/>
        <w:jc w:val="both"/>
        <w:rPr>
          <w:rFonts w:ascii="Times New Roman" w:hAnsi="Times New Roman"/>
        </w:rPr>
      </w:pPr>
      <w:r w:rsidRPr="004F30BC">
        <w:rPr>
          <w:rFonts w:ascii="Times New Roman" w:hAnsi="Times New Roman"/>
        </w:rPr>
        <w:t>Възможност за развитие и поемане на дългосрочни финансови ангажименти, стандартни за финансовите инструменти;</w:t>
      </w:r>
    </w:p>
    <w:p w:rsidR="004F30BC" w:rsidRPr="004F30BC" w:rsidRDefault="004F30BC" w:rsidP="004F30BC">
      <w:pPr>
        <w:numPr>
          <w:ilvl w:val="0"/>
          <w:numId w:val="96"/>
        </w:numPr>
        <w:spacing w:after="0" w:line="240" w:lineRule="auto"/>
        <w:ind w:left="0" w:firstLine="567"/>
        <w:jc w:val="both"/>
        <w:rPr>
          <w:rFonts w:ascii="Times New Roman" w:hAnsi="Times New Roman"/>
        </w:rPr>
      </w:pPr>
      <w:r w:rsidRPr="004F30BC">
        <w:rPr>
          <w:rFonts w:ascii="Times New Roman" w:hAnsi="Times New Roman"/>
        </w:rPr>
        <w:t>Увеличаване на приходите във фиска в резултат на увеличаването на капитала и направените инвестиции в отделни сектори, както и увеличаване на приходите от дивиденти от страна на Фонд ФЛАГ и ФУГР  към държавния бюджет.</w:t>
      </w:r>
    </w:p>
    <w:p w:rsidR="004F30BC" w:rsidRPr="008A3607" w:rsidRDefault="004F30BC" w:rsidP="004F30BC">
      <w:pPr>
        <w:spacing w:after="0" w:line="240" w:lineRule="auto"/>
        <w:ind w:firstLine="567"/>
        <w:jc w:val="both"/>
        <w:rPr>
          <w:rFonts w:ascii="Times New Roman" w:hAnsi="Times New Roman"/>
          <w:bCs/>
        </w:rPr>
      </w:pPr>
      <w:r w:rsidRPr="008A3607">
        <w:rPr>
          <w:rFonts w:ascii="Times New Roman" w:hAnsi="Times New Roman"/>
          <w:bCs/>
        </w:rPr>
        <w:t>Важно е да се подчертае, че увеличението на капитала на Фонд ФЛАГ:</w:t>
      </w:r>
    </w:p>
    <w:p w:rsidR="004F30BC" w:rsidRPr="008A3607" w:rsidRDefault="004F30BC" w:rsidP="004F30BC">
      <w:pPr>
        <w:numPr>
          <w:ilvl w:val="0"/>
          <w:numId w:val="100"/>
        </w:numPr>
        <w:spacing w:after="0" w:line="240" w:lineRule="auto"/>
        <w:ind w:left="0" w:firstLine="567"/>
        <w:jc w:val="both"/>
        <w:rPr>
          <w:rFonts w:ascii="Times New Roman" w:hAnsi="Times New Roman"/>
          <w:bCs/>
        </w:rPr>
      </w:pPr>
      <w:r w:rsidRPr="008A3607">
        <w:rPr>
          <w:rFonts w:ascii="Times New Roman" w:hAnsi="Times New Roman"/>
          <w:bCs/>
        </w:rPr>
        <w:t xml:space="preserve">не представлява разход, а инвестиция, която устойчиво има  възвръщаемост за собственика – Българската държава. </w:t>
      </w:r>
    </w:p>
    <w:p w:rsidR="004F30BC" w:rsidRPr="008A3607" w:rsidRDefault="004F30BC" w:rsidP="004F30BC">
      <w:pPr>
        <w:numPr>
          <w:ilvl w:val="0"/>
          <w:numId w:val="100"/>
        </w:numPr>
        <w:spacing w:after="0" w:line="240" w:lineRule="auto"/>
        <w:ind w:left="0" w:firstLine="567"/>
        <w:jc w:val="both"/>
        <w:rPr>
          <w:rFonts w:ascii="Times New Roman" w:hAnsi="Times New Roman"/>
          <w:bCs/>
        </w:rPr>
      </w:pPr>
      <w:r w:rsidRPr="008A3607">
        <w:rPr>
          <w:rFonts w:ascii="Times New Roman" w:hAnsi="Times New Roman"/>
          <w:bCs/>
        </w:rPr>
        <w:t>не се отразява на увеличение на дефицита на бюджета на държавата.</w:t>
      </w:r>
    </w:p>
    <w:p w:rsidR="004F30BC" w:rsidRPr="008A3607" w:rsidRDefault="004F30BC" w:rsidP="004F30BC">
      <w:pPr>
        <w:numPr>
          <w:ilvl w:val="0"/>
          <w:numId w:val="100"/>
        </w:numPr>
        <w:spacing w:after="0" w:line="240" w:lineRule="auto"/>
        <w:ind w:left="0" w:firstLine="567"/>
        <w:jc w:val="both"/>
        <w:rPr>
          <w:rFonts w:ascii="Times New Roman" w:hAnsi="Times New Roman"/>
          <w:bCs/>
        </w:rPr>
      </w:pPr>
      <w:r w:rsidRPr="008A3607">
        <w:rPr>
          <w:rFonts w:ascii="Times New Roman" w:hAnsi="Times New Roman"/>
          <w:bCs/>
        </w:rPr>
        <w:t xml:space="preserve">няма характер на държавна помощ </w:t>
      </w:r>
    </w:p>
    <w:p w:rsidR="004F30BC" w:rsidRPr="008A3607" w:rsidRDefault="004F30BC" w:rsidP="004F30BC">
      <w:pPr>
        <w:spacing w:after="0" w:line="240" w:lineRule="auto"/>
        <w:ind w:firstLine="567"/>
        <w:jc w:val="both"/>
        <w:rPr>
          <w:rFonts w:ascii="Times New Roman" w:hAnsi="Times New Roman"/>
        </w:rPr>
      </w:pPr>
      <w:r w:rsidRPr="008A3607">
        <w:rPr>
          <w:rFonts w:ascii="Times New Roman" w:hAnsi="Times New Roman"/>
          <w:u w:val="single"/>
        </w:rPr>
        <w:t xml:space="preserve">Индикативен разчет за средствата за увеличение на капитала </w:t>
      </w:r>
    </w:p>
    <w:p w:rsidR="004F30BC" w:rsidRPr="008A3607" w:rsidRDefault="004F30BC" w:rsidP="004F30BC">
      <w:pPr>
        <w:spacing w:after="0" w:line="240" w:lineRule="auto"/>
        <w:ind w:firstLine="567"/>
        <w:jc w:val="both"/>
        <w:rPr>
          <w:rFonts w:ascii="Times New Roman" w:hAnsi="Times New Roman"/>
          <w:bCs/>
        </w:rPr>
      </w:pPr>
      <w:r w:rsidRPr="008A3607">
        <w:rPr>
          <w:rFonts w:ascii="Times New Roman" w:hAnsi="Times New Roman"/>
        </w:rPr>
        <w:t xml:space="preserve">Настоящото увеличение на капитала с 40 млн. евро се фокусира върху няколко </w:t>
      </w:r>
      <w:r w:rsidRPr="008A3607">
        <w:rPr>
          <w:rFonts w:ascii="Times New Roman" w:hAnsi="Times New Roman"/>
          <w:bCs/>
        </w:rPr>
        <w:t>основни направления, като необходимите средства са разчетени с минимално увеличение на капитала и съответно привличане на нов допълнителен ресурс в допустимите финансови съотношения:</w:t>
      </w:r>
    </w:p>
    <w:p w:rsidR="004F30BC" w:rsidRPr="008A3607" w:rsidRDefault="004F30BC" w:rsidP="004F30BC">
      <w:pPr>
        <w:numPr>
          <w:ilvl w:val="0"/>
          <w:numId w:val="98"/>
        </w:numPr>
        <w:spacing w:after="0" w:line="240" w:lineRule="auto"/>
        <w:ind w:left="0" w:firstLine="567"/>
        <w:jc w:val="both"/>
        <w:rPr>
          <w:rFonts w:ascii="Times New Roman" w:hAnsi="Times New Roman"/>
          <w:bCs/>
        </w:rPr>
      </w:pPr>
      <w:r w:rsidRPr="008A3607">
        <w:rPr>
          <w:rFonts w:ascii="Times New Roman" w:hAnsi="Times New Roman"/>
        </w:rPr>
        <w:t>25 млн. евро</w:t>
      </w:r>
      <w:r w:rsidRPr="008A3607">
        <w:rPr>
          <w:rFonts w:ascii="Times New Roman" w:hAnsi="Times New Roman"/>
          <w:bCs/>
        </w:rPr>
        <w:t xml:space="preserve"> за успешно изпълнение на проектите на общините по ПВУ, ПРР 2021-2027 и др., включително и проекти за изпълнение на ключови цели, свързани с енергийна ефективност и оползотворяване на ресурсите;</w:t>
      </w:r>
    </w:p>
    <w:p w:rsidR="004F30BC" w:rsidRPr="008A3607" w:rsidRDefault="004F30BC" w:rsidP="004F30BC">
      <w:pPr>
        <w:numPr>
          <w:ilvl w:val="0"/>
          <w:numId w:val="98"/>
        </w:numPr>
        <w:spacing w:after="0" w:line="240" w:lineRule="auto"/>
        <w:ind w:left="0" w:firstLine="567"/>
        <w:jc w:val="both"/>
        <w:rPr>
          <w:rFonts w:ascii="Times New Roman" w:hAnsi="Times New Roman"/>
          <w:bCs/>
        </w:rPr>
      </w:pPr>
      <w:r w:rsidRPr="008A3607">
        <w:rPr>
          <w:rFonts w:ascii="Times New Roman" w:hAnsi="Times New Roman"/>
        </w:rPr>
        <w:t xml:space="preserve">10 млн. евро </w:t>
      </w:r>
      <w:r w:rsidRPr="008A3607">
        <w:rPr>
          <w:rFonts w:ascii="Times New Roman" w:hAnsi="Times New Roman"/>
          <w:bCs/>
        </w:rPr>
        <w:t xml:space="preserve">за изпълнение на мандат за управление на финансов инструмент „Води“ по ПОС 2021-2027;    </w:t>
      </w:r>
    </w:p>
    <w:p w:rsidR="004F30BC" w:rsidRPr="004F30BC" w:rsidRDefault="004F30BC" w:rsidP="004F30BC">
      <w:pPr>
        <w:numPr>
          <w:ilvl w:val="0"/>
          <w:numId w:val="97"/>
        </w:numPr>
        <w:spacing w:after="0" w:line="240" w:lineRule="auto"/>
        <w:ind w:left="0" w:firstLine="567"/>
        <w:jc w:val="both"/>
        <w:rPr>
          <w:rFonts w:ascii="Times New Roman" w:hAnsi="Times New Roman"/>
        </w:rPr>
      </w:pPr>
      <w:r w:rsidRPr="008A3607">
        <w:rPr>
          <w:rFonts w:ascii="Times New Roman" w:hAnsi="Times New Roman"/>
          <w:bCs/>
        </w:rPr>
        <w:t>5 млн. евро</w:t>
      </w:r>
      <w:r w:rsidRPr="008A3607">
        <w:rPr>
          <w:rFonts w:ascii="Times New Roman" w:hAnsi="Times New Roman"/>
        </w:rPr>
        <w:t xml:space="preserve">  за  изпълнение на мандат за управление на финансов инструмент  „Фондове за градско развитие по ПРР и ПКИП 2021-2027“, включително и чрез инвестиране на по-голям процент съфинансиране при изпълнението им, с което да се гарантират</w:t>
      </w:r>
      <w:r w:rsidRPr="004F30BC">
        <w:rPr>
          <w:rFonts w:ascii="Times New Roman" w:hAnsi="Times New Roman"/>
        </w:rPr>
        <w:t xml:space="preserve"> по-добри финансови показатели и резултати. </w:t>
      </w:r>
    </w:p>
    <w:p w:rsidR="004F30BC" w:rsidRPr="008A3607" w:rsidRDefault="004F30BC" w:rsidP="004F30BC">
      <w:pPr>
        <w:spacing w:after="0" w:line="240" w:lineRule="auto"/>
        <w:ind w:firstLine="567"/>
        <w:jc w:val="both"/>
        <w:rPr>
          <w:rFonts w:ascii="Times New Roman" w:hAnsi="Times New Roman"/>
        </w:rPr>
      </w:pPr>
      <w:r w:rsidRPr="008A3607">
        <w:rPr>
          <w:rFonts w:ascii="Times New Roman" w:hAnsi="Times New Roman"/>
        </w:rPr>
        <w:t xml:space="preserve">Общата оценка на </w:t>
      </w:r>
      <w:r w:rsidRPr="008A3607">
        <w:rPr>
          <w:rFonts w:ascii="Times New Roman" w:hAnsi="Times New Roman"/>
          <w:bCs/>
        </w:rPr>
        <w:t>необходимия допълнителен капитал за Фонд ФЛАГ се оценява на  мининум на 40 млн. евро, като се очаква това финансиране да мобилизира допълнителен капитал от около 100 млн. евро</w:t>
      </w:r>
      <w:r w:rsidRPr="008A3607">
        <w:rPr>
          <w:rFonts w:ascii="Times New Roman" w:hAnsi="Times New Roman"/>
        </w:rPr>
        <w:t xml:space="preserve">, привлечен от ЕИБ и/или търговските банки за изпълнение на горепосочените цели. </w:t>
      </w:r>
    </w:p>
    <w:p w:rsidR="004F30BC" w:rsidRPr="004F30BC" w:rsidRDefault="004F30BC" w:rsidP="004F30BC">
      <w:pPr>
        <w:spacing w:after="0" w:line="240" w:lineRule="auto"/>
        <w:ind w:firstLine="567"/>
        <w:jc w:val="both"/>
        <w:rPr>
          <w:rFonts w:ascii="Times New Roman" w:hAnsi="Times New Roman"/>
        </w:rPr>
      </w:pPr>
      <w:r w:rsidRPr="008A3607">
        <w:rPr>
          <w:rFonts w:ascii="Times New Roman" w:hAnsi="Times New Roman"/>
        </w:rPr>
        <w:t>Решение за предложение за увеличение на капитала на Фонд ФЛАГ ЕАД е взето от Съвета на директорите с Протокол №298</w:t>
      </w:r>
      <w:r w:rsidRPr="004F30BC">
        <w:rPr>
          <w:rFonts w:ascii="Times New Roman" w:hAnsi="Times New Roman"/>
        </w:rPr>
        <w:t xml:space="preserve"> от 23.09.2025 г. Предложение за увеличение на капитала е прието от Съвета на директорите  и с приемане на бизнес-програмата на Фонд ФЛАГ за 2026 г. и финансова прогноза за периода 2027- 2029 г. с Протокол №305 от 20.01.2026 г.</w:t>
      </w:r>
      <w:r w:rsidR="001F5538">
        <w:rPr>
          <w:rFonts w:ascii="Times New Roman" w:hAnsi="Times New Roman"/>
        </w:rPr>
        <w:t xml:space="preserve"> </w:t>
      </w:r>
      <w:r w:rsidRPr="004F30BC">
        <w:rPr>
          <w:rFonts w:ascii="Times New Roman" w:hAnsi="Times New Roman"/>
        </w:rPr>
        <w:t>Бизнес-програмата е одобрена с Решение на Министъра на регионалното развитие и благоустройството с Протокол №ТЗ-8 от 10.02.2026 г.</w:t>
      </w:r>
    </w:p>
    <w:p w:rsidR="00426FE9" w:rsidRDefault="00D0590D">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2100.02.01 БЮДЖЕТНА ПРОГРАМА „РЕХАБИЛИТАЦИЯ И ИЗГРАЖДАНЕ НА ПЪТНА ИНФРАСТРУКТУРА“</w:t>
      </w:r>
    </w:p>
    <w:p w:rsidR="00426FE9" w:rsidRDefault="00D0590D" w:rsidP="004F30BC">
      <w:pPr>
        <w:numPr>
          <w:ilvl w:val="0"/>
          <w:numId w:val="53"/>
        </w:numPr>
        <w:tabs>
          <w:tab w:val="left" w:pos="709"/>
          <w:tab w:val="left" w:pos="851"/>
        </w:tabs>
        <w:spacing w:after="0" w:line="240" w:lineRule="auto"/>
        <w:ind w:left="567" w:firstLine="0"/>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Цели на бюджетната програма</w:t>
      </w:r>
    </w:p>
    <w:p w:rsidR="00426FE9" w:rsidRDefault="00D0590D" w:rsidP="004F30BC">
      <w:pPr>
        <w:pStyle w:val="ListParagraph"/>
        <w:numPr>
          <w:ilvl w:val="0"/>
          <w:numId w:val="5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Поддържане и развитие на републиканската пътна инфраструктура в съответствие със съвременните изисквания на автомобилния транспорт чрез изграждане на националната мрежа от магистрали и скоростни пътища, свързването й с европейските транспортни коридори, модернизация и обновяване на републиканската пътна мрежа и осигуряване на добро експлоатационно състояние и ниво на безопасност на съществуващата пътна мрежа. Целта на програмата е да бъде осигурено високо ниво на транспортна достъпност и мобилност за територията на Република България, обвързано с ефективно проектиране, изграждане, управление, поддържане и основен ремонт на пътните инфраструктурни проекти, финансирани от фондовете на Европейския съюз;</w:t>
      </w:r>
    </w:p>
    <w:p w:rsidR="00426FE9" w:rsidRDefault="00D0590D" w:rsidP="004F30BC">
      <w:pPr>
        <w:pStyle w:val="ListParagraph"/>
        <w:numPr>
          <w:ilvl w:val="0"/>
          <w:numId w:val="54"/>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Постигането на съпоставимо с европейската практика високо ниво на транспортна достъпност и мобилност за територията на Република България е обвързано с продължаващото успешно и ефективно проектиране, изграждане, управление, поддържане и ремонт на пътните инфраструктурни проекти;</w:t>
      </w:r>
    </w:p>
    <w:p w:rsidR="00426FE9" w:rsidRDefault="00D0590D" w:rsidP="004F30BC">
      <w:pPr>
        <w:numPr>
          <w:ilvl w:val="0"/>
          <w:numId w:val="55"/>
        </w:numPr>
        <w:tabs>
          <w:tab w:val="left" w:pos="851"/>
        </w:tabs>
        <w:spacing w:after="0" w:line="240" w:lineRule="auto"/>
        <w:ind w:left="0"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Оказване на съдействие на общините за постигане на устойчива и достъпна общинска пътна мрежа; </w:t>
      </w:r>
    </w:p>
    <w:p w:rsidR="00426FE9" w:rsidRDefault="00D0590D" w:rsidP="004F30BC">
      <w:pPr>
        <w:numPr>
          <w:ilvl w:val="0"/>
          <w:numId w:val="55"/>
        </w:numPr>
        <w:tabs>
          <w:tab w:val="left" w:pos="851"/>
        </w:tabs>
        <w:spacing w:after="0" w:line="240" w:lineRule="auto"/>
        <w:ind w:left="0" w:right="46"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Осигуряване на актуална информация за състоянието на общинската пътна мрежа.</w:t>
      </w:r>
    </w:p>
    <w:p w:rsidR="00426FE9" w:rsidRDefault="00D0590D" w:rsidP="004F30BC">
      <w:pPr>
        <w:numPr>
          <w:ilvl w:val="0"/>
          <w:numId w:val="53"/>
        </w:numPr>
        <w:tabs>
          <w:tab w:val="left" w:pos="851"/>
        </w:tabs>
        <w:spacing w:after="0" w:line="240" w:lineRule="auto"/>
        <w:ind w:left="0"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Целеви стойности по показателите за изпълнение</w:t>
      </w:r>
    </w:p>
    <w:p w:rsidR="00426FE9" w:rsidRDefault="00426FE9">
      <w:pPr>
        <w:tabs>
          <w:tab w:val="left" w:pos="851"/>
        </w:tabs>
        <w:spacing w:after="0" w:line="240" w:lineRule="auto"/>
        <w:contextualSpacing/>
        <w:jc w:val="both"/>
        <w:rPr>
          <w:rFonts w:ascii="Times New Roman" w:eastAsia="Calibri" w:hAnsi="Times New Roman" w:cs="Times New Roman"/>
          <w:b/>
          <w:i/>
          <w:color w:val="0000CC"/>
          <w:sz w:val="8"/>
        </w:rPr>
      </w:pPr>
    </w:p>
    <w:tbl>
      <w:tblPr>
        <w:tblW w:w="10091" w:type="dxa"/>
        <w:tblInd w:w="-5" w:type="dxa"/>
        <w:tblLayout w:type="fixed"/>
        <w:tblCellMar>
          <w:left w:w="70" w:type="dxa"/>
          <w:right w:w="70" w:type="dxa"/>
        </w:tblCellMar>
        <w:tblLook w:val="04A0" w:firstRow="1" w:lastRow="0" w:firstColumn="1" w:lastColumn="0" w:noHBand="0" w:noVBand="1"/>
      </w:tblPr>
      <w:tblGrid>
        <w:gridCol w:w="5996"/>
        <w:gridCol w:w="1059"/>
        <w:gridCol w:w="353"/>
        <w:gridCol w:w="929"/>
        <w:gridCol w:w="877"/>
        <w:gridCol w:w="877"/>
      </w:tblGrid>
      <w:tr w:rsidR="00426FE9">
        <w:trPr>
          <w:trHeight w:val="70"/>
        </w:trPr>
        <w:tc>
          <w:tcPr>
            <w:tcW w:w="5996" w:type="dxa"/>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eastAsia="bg-BG"/>
              </w:rPr>
            </w:pPr>
            <w:r>
              <w:rPr>
                <w:rFonts w:ascii="Times New Roman" w:eastAsia="Times New Roman" w:hAnsi="Times New Roman" w:cs="Times New Roman"/>
                <w:b/>
                <w:bCs/>
                <w:color w:val="000000"/>
                <w:sz w:val="18"/>
                <w:szCs w:val="18"/>
                <w:lang w:eastAsia="bg-BG"/>
              </w:rPr>
              <w:t>ПОКАЗАТЕЛИ ЗА ИЗПЪЛНЕНИЕ</w:t>
            </w:r>
            <w:r>
              <w:rPr>
                <w:rFonts w:ascii="Times New Roman" w:eastAsia="Times New Roman" w:hAnsi="Times New Roman" w:cs="Times New Roman"/>
                <w:b/>
                <w:bCs/>
                <w:color w:val="000000"/>
                <w:sz w:val="18"/>
                <w:szCs w:val="18"/>
                <w:lang w:eastAsia="bg-BG"/>
              </w:rPr>
              <w:br/>
              <w:t>2100.02.01  Бюджетна програма „Рехабилитация и изграждане на пътна инфраструктура“</w:t>
            </w:r>
          </w:p>
        </w:tc>
        <w:tc>
          <w:tcPr>
            <w:tcW w:w="1059" w:type="dxa"/>
            <w:tcBorders>
              <w:top w:val="single" w:sz="4" w:space="0" w:color="000000"/>
              <w:bottom w:val="single" w:sz="4" w:space="0" w:color="000000"/>
            </w:tcBorders>
            <w:shd w:val="clear" w:color="000000" w:fill="FFCC99"/>
          </w:tcPr>
          <w:p w:rsidR="00426FE9" w:rsidRDefault="00426FE9">
            <w:pPr>
              <w:spacing w:after="0" w:line="240" w:lineRule="auto"/>
              <w:jc w:val="center"/>
              <w:rPr>
                <w:rFonts w:ascii="Times New Roman" w:eastAsia="Times New Roman" w:hAnsi="Times New Roman" w:cs="Times New Roman"/>
                <w:b/>
                <w:bCs/>
                <w:color w:val="000000"/>
                <w:sz w:val="18"/>
                <w:szCs w:val="18"/>
                <w:lang w:eastAsia="bg-BG"/>
              </w:rPr>
            </w:pPr>
          </w:p>
        </w:tc>
        <w:tc>
          <w:tcPr>
            <w:tcW w:w="3036" w:type="dxa"/>
            <w:gridSpan w:val="4"/>
            <w:tcBorders>
              <w:top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eastAsia="bg-BG"/>
              </w:rPr>
            </w:pPr>
            <w:r>
              <w:rPr>
                <w:rFonts w:ascii="Times New Roman" w:eastAsia="Times New Roman" w:hAnsi="Times New Roman" w:cs="Times New Roman"/>
                <w:b/>
                <w:bCs/>
                <w:color w:val="000000"/>
                <w:sz w:val="18"/>
                <w:szCs w:val="18"/>
                <w:lang w:eastAsia="bg-BG"/>
              </w:rPr>
              <w:t>Целева стойност</w:t>
            </w:r>
          </w:p>
        </w:tc>
      </w:tr>
      <w:tr w:rsidR="00426FE9">
        <w:trPr>
          <w:trHeight w:val="70"/>
        </w:trPr>
        <w:tc>
          <w:tcPr>
            <w:tcW w:w="5996"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eastAsia="bg-BG"/>
              </w:rPr>
            </w:pPr>
            <w:r>
              <w:rPr>
                <w:rFonts w:ascii="Times New Roman" w:eastAsia="Times New Roman" w:hAnsi="Times New Roman" w:cs="Times New Roman"/>
                <w:b/>
                <w:bCs/>
                <w:color w:val="000000"/>
                <w:sz w:val="18"/>
                <w:szCs w:val="18"/>
                <w:lang w:eastAsia="bg-BG"/>
              </w:rPr>
              <w:t>Показатели за изпълнение</w:t>
            </w:r>
          </w:p>
        </w:tc>
        <w:tc>
          <w:tcPr>
            <w:tcW w:w="1412" w:type="dxa"/>
            <w:gridSpan w:val="2"/>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eastAsia="bg-BG"/>
              </w:rPr>
            </w:pPr>
            <w:r>
              <w:rPr>
                <w:rFonts w:ascii="Times New Roman" w:eastAsia="Times New Roman" w:hAnsi="Times New Roman" w:cs="Times New Roman"/>
                <w:b/>
                <w:bCs/>
                <w:color w:val="000000"/>
                <w:sz w:val="18"/>
                <w:szCs w:val="18"/>
                <w:lang w:eastAsia="bg-BG"/>
              </w:rPr>
              <w:t>Мерна единица</w:t>
            </w:r>
          </w:p>
        </w:tc>
        <w:tc>
          <w:tcPr>
            <w:tcW w:w="929" w:type="dxa"/>
            <w:tcBorders>
              <w:bottom w:val="single" w:sz="4" w:space="0" w:color="000000"/>
              <w:right w:val="single" w:sz="4" w:space="0" w:color="000000"/>
            </w:tcBorders>
            <w:shd w:val="clear" w:color="000000" w:fill="FFCC99"/>
            <w:vAlign w:val="center"/>
          </w:tcPr>
          <w:p w:rsidR="00426FE9" w:rsidRDefault="00301F1D">
            <w:pPr>
              <w:spacing w:after="0" w:line="240" w:lineRule="auto"/>
              <w:jc w:val="center"/>
              <w:rPr>
                <w:rFonts w:ascii="Times New Roman" w:eastAsia="Times New Roman" w:hAnsi="Times New Roman" w:cs="Times New Roman"/>
                <w:b/>
                <w:bCs/>
                <w:i/>
                <w:iCs/>
                <w:sz w:val="18"/>
                <w:szCs w:val="18"/>
                <w:lang w:eastAsia="bg-BG"/>
              </w:rPr>
            </w:pPr>
            <w:r>
              <w:rPr>
                <w:rFonts w:ascii="Times New Roman" w:eastAsia="Times New Roman" w:hAnsi="Times New Roman" w:cs="Times New Roman"/>
                <w:b/>
                <w:bCs/>
                <w:i/>
                <w:iCs/>
                <w:sz w:val="18"/>
                <w:szCs w:val="18"/>
                <w:lang w:eastAsia="bg-BG"/>
              </w:rPr>
              <w:t>Бюджет</w:t>
            </w:r>
            <w:r w:rsidR="00D0590D">
              <w:rPr>
                <w:rFonts w:ascii="Times New Roman" w:eastAsia="Times New Roman" w:hAnsi="Times New Roman" w:cs="Times New Roman"/>
                <w:b/>
                <w:bCs/>
                <w:i/>
                <w:iCs/>
                <w:sz w:val="18"/>
                <w:szCs w:val="18"/>
                <w:lang w:eastAsia="bg-BG"/>
              </w:rPr>
              <w:t xml:space="preserve"> 2026 г.</w:t>
            </w:r>
          </w:p>
        </w:tc>
        <w:tc>
          <w:tcPr>
            <w:tcW w:w="877"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sz w:val="18"/>
                <w:szCs w:val="18"/>
                <w:lang w:eastAsia="bg-BG"/>
              </w:rPr>
            </w:pPr>
            <w:r>
              <w:rPr>
                <w:rFonts w:ascii="Times New Roman" w:eastAsia="Times New Roman" w:hAnsi="Times New Roman" w:cs="Times New Roman"/>
                <w:b/>
                <w:bCs/>
                <w:i/>
                <w:iCs/>
                <w:sz w:val="18"/>
                <w:szCs w:val="18"/>
                <w:lang w:eastAsia="bg-BG"/>
              </w:rPr>
              <w:t>Прогноза 2027 г.</w:t>
            </w:r>
          </w:p>
        </w:tc>
        <w:tc>
          <w:tcPr>
            <w:tcW w:w="877" w:type="dxa"/>
            <w:tcBorders>
              <w:top w:val="single" w:sz="4" w:space="0" w:color="000000"/>
              <w:bottom w:val="single" w:sz="4" w:space="0" w:color="000000"/>
              <w:right w:val="single" w:sz="4" w:space="0" w:color="000000"/>
            </w:tcBorders>
            <w:shd w:val="clear" w:color="000000" w:fill="FFCC99"/>
          </w:tcPr>
          <w:p w:rsidR="00426FE9" w:rsidRDefault="00D0590D">
            <w:pPr>
              <w:spacing w:after="0" w:line="240" w:lineRule="auto"/>
              <w:jc w:val="center"/>
              <w:rPr>
                <w:rFonts w:ascii="Times New Roman" w:eastAsia="Times New Roman" w:hAnsi="Times New Roman" w:cs="Times New Roman"/>
                <w:b/>
                <w:bCs/>
                <w:i/>
                <w:iCs/>
                <w:sz w:val="18"/>
                <w:szCs w:val="18"/>
                <w:lang w:eastAsia="bg-BG"/>
              </w:rPr>
            </w:pPr>
            <w:r>
              <w:rPr>
                <w:rFonts w:ascii="Times New Roman" w:eastAsia="Times New Roman" w:hAnsi="Times New Roman" w:cs="Times New Roman"/>
                <w:b/>
                <w:bCs/>
                <w:i/>
                <w:iCs/>
                <w:sz w:val="18"/>
                <w:szCs w:val="18"/>
                <w:lang w:eastAsia="bg-BG"/>
              </w:rPr>
              <w:t>Прогноза 2028 г.</w:t>
            </w:r>
          </w:p>
        </w:tc>
      </w:tr>
      <w:tr w:rsidR="00426FE9">
        <w:trPr>
          <w:trHeight w:val="162"/>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themeColor="text1"/>
                <w:sz w:val="16"/>
                <w:szCs w:val="16"/>
              </w:rPr>
              <w:t xml:space="preserve">1. Пътни отсечки от общинската пътна мрежа, включени/изменени в списъка на общинските пътища </w:t>
            </w:r>
            <w:r>
              <w:rPr>
                <w:rStyle w:val="FootnoteReference"/>
                <w:rFonts w:ascii="Times New Roman" w:hAnsi="Times New Roman"/>
                <w:b/>
                <w:color w:val="0000CC"/>
                <w:sz w:val="20"/>
                <w:szCs w:val="20"/>
              </w:rPr>
              <w:footnoteReference w:id="4"/>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бр.</w:t>
            </w:r>
          </w:p>
        </w:tc>
        <w:tc>
          <w:tcPr>
            <w:tcW w:w="929"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1</w:t>
            </w:r>
          </w:p>
        </w:tc>
      </w:tr>
      <w:tr w:rsidR="00426FE9">
        <w:trPr>
          <w:trHeight w:val="229"/>
        </w:trPr>
        <w:tc>
          <w:tcPr>
            <w:tcW w:w="5996"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sz w:val="16"/>
                <w:szCs w:val="16"/>
              </w:rPr>
              <w:t>2. Извършен основен ремонт и/или реконструкция на пътен обект</w:t>
            </w:r>
          </w:p>
        </w:tc>
        <w:tc>
          <w:tcPr>
            <w:tcW w:w="1412" w:type="dxa"/>
            <w:gridSpan w:val="2"/>
            <w:tcBorders>
              <w:left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rPr>
              <w:t>бр.</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eastAsia="Times New Roman" w:hAnsi="Times New Roman" w:cs="Times New Roman"/>
                <w:color w:val="000000"/>
                <w:sz w:val="16"/>
                <w:szCs w:val="16"/>
                <w:lang w:eastAsia="bg-BG"/>
              </w:rPr>
              <w:t>0</w:t>
            </w:r>
          </w:p>
        </w:tc>
      </w:tr>
      <w:tr w:rsidR="00426FE9">
        <w:trPr>
          <w:trHeight w:val="120"/>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3. Средна гъстота на Републиканската пътна мрежа /РПМ/</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Км/1 000 км2</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179.95</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179.95</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179.95</w:t>
            </w:r>
          </w:p>
        </w:tc>
      </w:tr>
      <w:tr w:rsidR="00426FE9">
        <w:trPr>
          <w:trHeight w:val="216"/>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4. Обща дължина на магистрална, високоскоростна пътна мрежа и пътни връзки</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Км.</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64.851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63.371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22.239</w:t>
            </w:r>
          </w:p>
        </w:tc>
      </w:tr>
      <w:tr w:rsidR="00426FE9">
        <w:trPr>
          <w:trHeight w:val="241"/>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5. Въведени в експлоатация рехабилитирани пътни участъци</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Км.</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color w:val="000000"/>
                <w:sz w:val="16"/>
                <w:szCs w:val="16"/>
                <w:lang w:val="en-US"/>
              </w:rPr>
              <w:t>213.668</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color w:val="000000"/>
                <w:sz w:val="16"/>
                <w:szCs w:val="16"/>
                <w:lang w:val="en-US"/>
              </w:rPr>
              <w:t>208.79</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sz w:val="16"/>
                <w:szCs w:val="16"/>
              </w:rPr>
            </w:pPr>
            <w:r>
              <w:rPr>
                <w:rFonts w:ascii="Times New Roman" w:hAnsi="Times New Roman" w:cs="Times New Roman"/>
                <w:color w:val="000000"/>
                <w:sz w:val="16"/>
                <w:szCs w:val="16"/>
                <w:lang w:val="en-US"/>
              </w:rPr>
              <w:t>73.273</w:t>
            </w:r>
          </w:p>
        </w:tc>
      </w:tr>
      <w:tr w:rsidR="00426FE9">
        <w:trPr>
          <w:trHeight w:val="150"/>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6. Конструктивни качества на пътни настилки</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Обследвани км.</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270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270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270</w:t>
            </w:r>
          </w:p>
        </w:tc>
      </w:tr>
      <w:tr w:rsidR="00426FE9">
        <w:trPr>
          <w:trHeight w:val="96"/>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7. Качество на строително- ремонтните работи и вложените материали</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 обследвани показатели</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3150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3150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3150</w:t>
            </w:r>
          </w:p>
        </w:tc>
      </w:tr>
      <w:tr w:rsidR="00426FE9">
        <w:trPr>
          <w:trHeight w:val="130"/>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8. Интензивност на автомобилното движение;</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Обследвани км.</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1710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1710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1710</w:t>
            </w:r>
          </w:p>
        </w:tc>
      </w:tr>
      <w:tr w:rsidR="00426FE9">
        <w:trPr>
          <w:trHeight w:val="99"/>
        </w:trPr>
        <w:tc>
          <w:tcPr>
            <w:tcW w:w="5996" w:type="dxa"/>
            <w:vMerge w:val="restart"/>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9. Повърхностни качества на пътни настилки и съоръжения;</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Обследвани км.</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2700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2700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2700</w:t>
            </w:r>
          </w:p>
        </w:tc>
      </w:tr>
      <w:tr w:rsidR="00426FE9">
        <w:trPr>
          <w:trHeight w:val="99"/>
        </w:trPr>
        <w:tc>
          <w:tcPr>
            <w:tcW w:w="5996" w:type="dxa"/>
            <w:vMerge/>
            <w:tcBorders>
              <w:left w:val="single" w:sz="4" w:space="0" w:color="000000"/>
              <w:bottom w:val="single" w:sz="4" w:space="0" w:color="000000"/>
              <w:right w:val="single" w:sz="4" w:space="0" w:color="000000"/>
            </w:tcBorders>
            <w:vAlign w:val="center"/>
          </w:tcPr>
          <w:p w:rsidR="00426FE9" w:rsidRDefault="00426FE9">
            <w:pPr>
              <w:spacing w:after="0" w:line="240" w:lineRule="auto"/>
              <w:rPr>
                <w:rFonts w:ascii="Times New Roman" w:eastAsia="Times New Roman" w:hAnsi="Times New Roman" w:cs="Times New Roman"/>
                <w:color w:val="000000"/>
                <w:sz w:val="16"/>
                <w:szCs w:val="16"/>
                <w:lang w:eastAsia="bg-BG"/>
              </w:rPr>
            </w:pP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 съоръжения</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81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81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81</w:t>
            </w:r>
          </w:p>
        </w:tc>
      </w:tr>
      <w:tr w:rsidR="00426FE9">
        <w:trPr>
          <w:trHeight w:val="99"/>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10. Подготвени предложения на нормативни  актове, свързани с дейността “Разработване и управление режимите на ползване на републиканската пътна мрежа и събиране на дължимите за това такси”</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w:t>
            </w:r>
          </w:p>
        </w:tc>
      </w:tr>
      <w:tr w:rsidR="00426FE9">
        <w:trPr>
          <w:trHeight w:val="99"/>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11. Укрепване на свлачища</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2</w:t>
            </w:r>
          </w:p>
        </w:tc>
      </w:tr>
      <w:tr w:rsidR="00426FE9">
        <w:trPr>
          <w:trHeight w:val="99"/>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12. Изготвени идейни и технически проекти за обекти от РПМ – за основен ремонт и ново строителство, в т.ч. и комплексни доклади за оценка на съответствието на инвестиционните проекти с основните изисквания към строежите</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12</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11</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sz w:val="16"/>
                <w:szCs w:val="16"/>
                <w:lang w:val="en-US"/>
              </w:rPr>
              <w:t>4</w:t>
            </w:r>
          </w:p>
        </w:tc>
      </w:tr>
      <w:tr w:rsidR="00426FE9">
        <w:trPr>
          <w:trHeight w:val="99"/>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13. Съставени АУАН и издадени електронни фишове</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17000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17000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17000</w:t>
            </w:r>
          </w:p>
        </w:tc>
      </w:tr>
      <w:tr w:rsidR="00426FE9">
        <w:trPr>
          <w:trHeight w:val="99"/>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14. Платени компенсаторни такси преди съставяне на АУАН/фиш</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Брой</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69000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69000</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69000</w:t>
            </w:r>
          </w:p>
        </w:tc>
      </w:tr>
      <w:tr w:rsidR="00426FE9">
        <w:trPr>
          <w:trHeight w:val="563"/>
        </w:trPr>
        <w:tc>
          <w:tcPr>
            <w:tcW w:w="5996"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15. Изготвени идейни и технически проекти за обекти от РПМ - за основен ремонт и ново строителство, в т.ч. и комплексни доклади за оценка на съответствието на инвестиционните проекти с основните изисквания към строежите</w:t>
            </w:r>
          </w:p>
        </w:tc>
        <w:tc>
          <w:tcPr>
            <w:tcW w:w="141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Брой</w:t>
            </w:r>
          </w:p>
        </w:tc>
        <w:tc>
          <w:tcPr>
            <w:tcW w:w="929"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12-КДОС</w:t>
            </w:r>
          </w:p>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12-ТП</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6-КДОС</w:t>
            </w:r>
          </w:p>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6-ТП</w:t>
            </w:r>
          </w:p>
        </w:tc>
        <w:tc>
          <w:tcPr>
            <w:tcW w:w="87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1-КДОС</w:t>
            </w:r>
          </w:p>
          <w:p w:rsidR="00426FE9" w:rsidRDefault="00D0590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1-ТП</w:t>
            </w:r>
          </w:p>
        </w:tc>
      </w:tr>
    </w:tbl>
    <w:p w:rsidR="00426FE9" w:rsidRDefault="00D0590D">
      <w:pPr>
        <w:tabs>
          <w:tab w:val="left" w:pos="851"/>
        </w:tabs>
        <w:spacing w:after="0" w:line="240" w:lineRule="auto"/>
        <w:ind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Описание на показателите</w:t>
      </w:r>
    </w:p>
    <w:p w:rsidR="00426FE9" w:rsidRDefault="00D0590D" w:rsidP="004F30BC">
      <w:pPr>
        <w:pStyle w:val="ListParagraph"/>
        <w:numPr>
          <w:ilvl w:val="0"/>
          <w:numId w:val="44"/>
        </w:numPr>
        <w:tabs>
          <w:tab w:val="left" w:pos="851"/>
        </w:tabs>
        <w:spacing w:after="0" w:line="240" w:lineRule="auto"/>
        <w:ind w:left="0" w:firstLine="567"/>
        <w:jc w:val="both"/>
        <w:rPr>
          <w:rFonts w:ascii="Times New Roman" w:hAnsi="Times New Roman"/>
          <w:color w:val="000000" w:themeColor="text1"/>
        </w:rPr>
      </w:pPr>
      <w:r>
        <w:rPr>
          <w:rFonts w:ascii="Times New Roman" w:hAnsi="Times New Roman"/>
          <w:color w:val="000000" w:themeColor="text1"/>
        </w:rPr>
        <w:t>Показател „Пътни отсечки от общинската пътна мрежа, включени/изменени в списъка на общинските пътища“ - стойността на показателя е на база одобрени пътни трасета с Решение на Министерския съвет, които са изменени или включени в списъка на общинските пътища.</w:t>
      </w:r>
    </w:p>
    <w:p w:rsidR="00426FE9" w:rsidRDefault="00D0590D" w:rsidP="004F30BC">
      <w:pPr>
        <w:pStyle w:val="ListParagraph"/>
        <w:numPr>
          <w:ilvl w:val="0"/>
          <w:numId w:val="44"/>
        </w:numPr>
        <w:tabs>
          <w:tab w:val="left" w:pos="851"/>
        </w:tabs>
        <w:spacing w:after="0" w:line="240" w:lineRule="auto"/>
        <w:ind w:left="0" w:firstLine="567"/>
        <w:jc w:val="both"/>
        <w:rPr>
          <w:rFonts w:ascii="Times New Roman" w:hAnsi="Times New Roman"/>
          <w:color w:val="000000" w:themeColor="text1"/>
        </w:rPr>
      </w:pPr>
      <w:r>
        <w:rPr>
          <w:rFonts w:ascii="Times New Roman" w:hAnsi="Times New Roman"/>
          <w:color w:val="000000" w:themeColor="text1"/>
        </w:rPr>
        <w:t xml:space="preserve">Показател „Извършен основен ремонт и/или реконструкция на пътен обект“ - целевата стойност за изпълнение на показателя е посочен за годината, в която е завършен пътния обект и е въведен в експлоатация с Разрешение за ползване.  </w:t>
      </w:r>
    </w:p>
    <w:p w:rsidR="00426FE9" w:rsidRDefault="00D0590D" w:rsidP="004F30BC">
      <w:pPr>
        <w:pStyle w:val="ListParagraph"/>
        <w:numPr>
          <w:ilvl w:val="0"/>
          <w:numId w:val="53"/>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 xml:space="preserve">Външни фактори, които могат да окажат въздействие върху постигането на целите на програмата </w:t>
      </w:r>
    </w:p>
    <w:p w:rsidR="00426FE9" w:rsidRDefault="00D0590D" w:rsidP="004F30BC">
      <w:pPr>
        <w:pStyle w:val="ListParagraph"/>
        <w:numPr>
          <w:ilvl w:val="0"/>
          <w:numId w:val="56"/>
        </w:numPr>
        <w:tabs>
          <w:tab w:val="left" w:pos="851"/>
        </w:tabs>
        <w:spacing w:before="120" w:after="120" w:line="240" w:lineRule="auto"/>
        <w:ind w:left="0" w:right="46" w:firstLine="567"/>
        <w:jc w:val="both"/>
        <w:rPr>
          <w:rFonts w:ascii="Times New Roman" w:hAnsi="Times New Roman"/>
          <w:color w:val="000000" w:themeColor="text1"/>
        </w:rPr>
      </w:pPr>
      <w:r>
        <w:rPr>
          <w:rFonts w:ascii="Times New Roman" w:hAnsi="Times New Roman"/>
          <w:color w:val="000000" w:themeColor="text1"/>
        </w:rPr>
        <w:t xml:space="preserve">Възникване на проблеми с осигуряване на необходимия финансов ресурс;  </w:t>
      </w:r>
    </w:p>
    <w:p w:rsidR="00426FE9" w:rsidRDefault="00D0590D" w:rsidP="004F30BC">
      <w:pPr>
        <w:pStyle w:val="ListParagraph"/>
        <w:numPr>
          <w:ilvl w:val="0"/>
          <w:numId w:val="56"/>
        </w:numPr>
        <w:tabs>
          <w:tab w:val="left" w:pos="851"/>
        </w:tabs>
        <w:spacing w:before="120" w:after="120" w:line="240" w:lineRule="auto"/>
        <w:ind w:left="0" w:right="46" w:firstLine="567"/>
        <w:jc w:val="both"/>
        <w:rPr>
          <w:rFonts w:ascii="Times New Roman" w:hAnsi="Times New Roman"/>
          <w:color w:val="000000" w:themeColor="text1"/>
        </w:rPr>
      </w:pPr>
      <w:r>
        <w:rPr>
          <w:rFonts w:ascii="Times New Roman" w:hAnsi="Times New Roman"/>
          <w:color w:val="000000" w:themeColor="text1"/>
        </w:rPr>
        <w:t xml:space="preserve">Форсмажорни събития при изпълнение на строително-монтажните работи; </w:t>
      </w:r>
    </w:p>
    <w:p w:rsidR="00426FE9" w:rsidRDefault="00D0590D" w:rsidP="004F30BC">
      <w:pPr>
        <w:pStyle w:val="ListParagraph"/>
        <w:numPr>
          <w:ilvl w:val="0"/>
          <w:numId w:val="56"/>
        </w:numPr>
        <w:tabs>
          <w:tab w:val="left" w:pos="851"/>
        </w:tabs>
        <w:spacing w:before="120" w:after="120" w:line="240" w:lineRule="auto"/>
        <w:ind w:left="0" w:right="46" w:firstLine="567"/>
        <w:jc w:val="both"/>
        <w:rPr>
          <w:rFonts w:ascii="Times New Roman" w:hAnsi="Times New Roman"/>
          <w:color w:val="000000" w:themeColor="text1"/>
        </w:rPr>
      </w:pPr>
      <w:r>
        <w:rPr>
          <w:rFonts w:ascii="Times New Roman" w:hAnsi="Times New Roman"/>
          <w:color w:val="000000" w:themeColor="text1"/>
        </w:rPr>
        <w:t xml:space="preserve">Отказ от изпълнение на договор; </w:t>
      </w:r>
    </w:p>
    <w:p w:rsidR="00426FE9" w:rsidRDefault="00D0590D" w:rsidP="004F30BC">
      <w:pPr>
        <w:pStyle w:val="ListParagraph"/>
        <w:numPr>
          <w:ilvl w:val="0"/>
          <w:numId w:val="56"/>
        </w:numPr>
        <w:tabs>
          <w:tab w:val="left" w:pos="851"/>
        </w:tabs>
        <w:spacing w:before="120" w:after="120" w:line="240" w:lineRule="auto"/>
        <w:ind w:left="0" w:right="46" w:firstLine="567"/>
        <w:jc w:val="both"/>
        <w:rPr>
          <w:rFonts w:ascii="Times New Roman" w:hAnsi="Times New Roman"/>
          <w:color w:val="000000" w:themeColor="text1"/>
        </w:rPr>
      </w:pPr>
      <w:r>
        <w:rPr>
          <w:rFonts w:ascii="Times New Roman" w:hAnsi="Times New Roman"/>
          <w:color w:val="000000" w:themeColor="text1"/>
        </w:rPr>
        <w:lastRenderedPageBreak/>
        <w:t>Забавяне при провеждане на процедури по ЗОП от страна на общинските администрации, съответно обжалване на проведени от тях процедури по ЗОП;</w:t>
      </w:r>
    </w:p>
    <w:p w:rsidR="00426FE9" w:rsidRDefault="00D0590D" w:rsidP="004F30BC">
      <w:pPr>
        <w:pStyle w:val="ListParagraph"/>
        <w:numPr>
          <w:ilvl w:val="0"/>
          <w:numId w:val="56"/>
        </w:numPr>
        <w:tabs>
          <w:tab w:val="left" w:pos="851"/>
        </w:tabs>
        <w:spacing w:after="0" w:line="240" w:lineRule="auto"/>
        <w:ind w:left="0" w:right="46" w:firstLine="567"/>
        <w:jc w:val="both"/>
        <w:rPr>
          <w:rFonts w:ascii="Times New Roman" w:hAnsi="Times New Roman"/>
          <w:color w:val="000000" w:themeColor="text1"/>
        </w:rPr>
      </w:pPr>
      <w:r>
        <w:rPr>
          <w:rFonts w:ascii="Times New Roman" w:hAnsi="Times New Roman"/>
          <w:color w:val="000000" w:themeColor="text1"/>
        </w:rPr>
        <w:t>Липса на предложения от общинските администрации за включване на нови пътни трасета в списъка на общинските пътища.</w:t>
      </w:r>
    </w:p>
    <w:p w:rsidR="00426FE9" w:rsidRDefault="00D0590D" w:rsidP="004F30BC">
      <w:pPr>
        <w:numPr>
          <w:ilvl w:val="0"/>
          <w:numId w:val="53"/>
        </w:numPr>
        <w:tabs>
          <w:tab w:val="left" w:pos="851"/>
        </w:tabs>
        <w:spacing w:after="0" w:line="240" w:lineRule="auto"/>
        <w:ind w:left="0"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Информация за наличността и качеството на данните</w:t>
      </w:r>
    </w:p>
    <w:p w:rsidR="00426FE9" w:rsidRDefault="00D0590D" w:rsidP="004F30BC">
      <w:pPr>
        <w:numPr>
          <w:ilvl w:val="0"/>
          <w:numId w:val="57"/>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За подготовка на прогнозата са ползвани база данни на АПИ, както и данните, включени в указанията за подготовка на тригодишната бюджетна прогноза.;</w:t>
      </w:r>
    </w:p>
    <w:p w:rsidR="00426FE9" w:rsidRDefault="00D0590D" w:rsidP="004F30BC">
      <w:pPr>
        <w:numPr>
          <w:ilvl w:val="0"/>
          <w:numId w:val="57"/>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НИХМ и НАИМ към БАН;</w:t>
      </w:r>
    </w:p>
    <w:p w:rsidR="00426FE9" w:rsidRDefault="00D0590D" w:rsidP="004F30BC">
      <w:pPr>
        <w:numPr>
          <w:ilvl w:val="0"/>
          <w:numId w:val="57"/>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Договорите за проектни и предпроектни проучвания и разработки;</w:t>
      </w:r>
    </w:p>
    <w:p w:rsidR="00426FE9" w:rsidRDefault="00D0590D" w:rsidP="004F30BC">
      <w:pPr>
        <w:numPr>
          <w:ilvl w:val="0"/>
          <w:numId w:val="57"/>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Националния статистически институт; Евростат и др.;</w:t>
      </w:r>
    </w:p>
    <w:p w:rsidR="00426FE9" w:rsidRDefault="00D0590D" w:rsidP="004F30BC">
      <w:pPr>
        <w:numPr>
          <w:ilvl w:val="0"/>
          <w:numId w:val="57"/>
        </w:numPr>
        <w:tabs>
          <w:tab w:val="left" w:pos="851"/>
        </w:tabs>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Дирекция „ВиК и благоустройствени дейности“.</w:t>
      </w:r>
    </w:p>
    <w:p w:rsidR="00426FE9" w:rsidRDefault="00D0590D" w:rsidP="004F30BC">
      <w:pPr>
        <w:numPr>
          <w:ilvl w:val="0"/>
          <w:numId w:val="53"/>
        </w:numPr>
        <w:tabs>
          <w:tab w:val="left" w:pos="851"/>
        </w:tabs>
        <w:spacing w:after="0" w:line="240" w:lineRule="auto"/>
        <w:ind w:left="0"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Предоставяни по програмата продукти/услуги</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Освен представените вече по програмата продукти и услуги, АПИ извършва ведомствени разходи /капиталови и текущи/, свързани основно с персонал, издръжка /сгради и оборудване/, капиталови разходи за хардуер и софтуер, копирни машини, факс апарати, автомобилни везни, транспортни средства, както и специализирана апаратура за Института по пътища и мостове.</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Предоставяните чрез програмата продукти и услуги са насочени към всички стопански субекти и граждани, ползватели на републиканската пътна мрежа, както национални, така и чуждестранни.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 програма “Рехабилитация и изграждане на пътна инфраструктура” се предоставят три вида продукти/услуги: </w:t>
      </w:r>
    </w:p>
    <w:p w:rsidR="00426FE9" w:rsidRDefault="00D0590D" w:rsidP="004F30BC">
      <w:pPr>
        <w:pStyle w:val="ListParagraph"/>
        <w:numPr>
          <w:ilvl w:val="0"/>
          <w:numId w:val="58"/>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Продукт/услуга: Разработване и управление на програми за поддържане  и развитие на републиканската пътна мрежа;</w:t>
      </w:r>
    </w:p>
    <w:p w:rsidR="00426FE9" w:rsidRDefault="00D0590D" w:rsidP="004F30BC">
      <w:pPr>
        <w:pStyle w:val="ListParagraph"/>
        <w:numPr>
          <w:ilvl w:val="0"/>
          <w:numId w:val="58"/>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Продукт/услуга: Разработване и управление режимите на ползване на републиканската пътна мрежа и събиране на дължимите за това такси;</w:t>
      </w:r>
    </w:p>
    <w:p w:rsidR="00426FE9" w:rsidRDefault="00D0590D" w:rsidP="004F30BC">
      <w:pPr>
        <w:pStyle w:val="ListParagraph"/>
        <w:numPr>
          <w:ilvl w:val="0"/>
          <w:numId w:val="58"/>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Продукт/услуга: Научно-изследователска, нормативна и приложна дейност в областта на пътната инфраструктура.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Други продукт/услуги свързани с дейността по програмата са:</w:t>
      </w:r>
    </w:p>
    <w:p w:rsidR="00426FE9" w:rsidRDefault="00D0590D" w:rsidP="004F30BC">
      <w:pPr>
        <w:pStyle w:val="ListParagraph"/>
        <w:numPr>
          <w:ilvl w:val="0"/>
          <w:numId w:val="59"/>
        </w:numPr>
        <w:tabs>
          <w:tab w:val="left" w:pos="851"/>
        </w:tabs>
        <w:spacing w:after="0" w:line="240" w:lineRule="auto"/>
        <w:ind w:left="0" w:firstLine="567"/>
        <w:jc w:val="both"/>
        <w:rPr>
          <w:rFonts w:ascii="Times New Roman" w:eastAsia="Times New Roman" w:hAnsi="Times New Roman"/>
          <w:color w:val="000000"/>
          <w:lang w:eastAsia="bg-BG"/>
        </w:rPr>
      </w:pPr>
      <w:r>
        <w:rPr>
          <w:rFonts w:ascii="Times New Roman" w:eastAsia="Times New Roman" w:hAnsi="Times New Roman"/>
          <w:color w:val="000000"/>
          <w:lang w:eastAsia="bg-BG"/>
        </w:rPr>
        <w:t>Продукт/услуга: Нормативна и приложна дейност в областта на пътното дело, Актуализиране на списъка на общинските пътища в Република България.</w:t>
      </w:r>
    </w:p>
    <w:p w:rsidR="00426FE9" w:rsidRDefault="00D0590D">
      <w:pPr>
        <w:pStyle w:val="ListParagraph"/>
        <w:tabs>
          <w:tab w:val="left" w:pos="851"/>
        </w:tabs>
        <w:spacing w:before="120" w:after="120" w:line="240" w:lineRule="auto"/>
        <w:ind w:left="0" w:firstLine="567"/>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Дейностите включват разглеждане на предложения от общинските администрации за включване на нови пътни участъци в списъка на общинските пътища или изменения на вече утвърдени пътища. През периода 2026-2028 г. са предвидени в списъка на общинските пътища да бъдат включени и/или изменени 3 бр. пътни отсечки въз основа на решения на Министерския съвет. Предвид непрекъсващия характер на постъпващата информация от общинските администрации, както и факта, че продукт/услугата е с постоянен характер, дейностите ще продължат и през периода 2026-2028 г.  </w:t>
      </w:r>
    </w:p>
    <w:p w:rsidR="00426FE9" w:rsidRDefault="00D0590D" w:rsidP="004F30BC">
      <w:pPr>
        <w:pStyle w:val="ListParagraph"/>
        <w:numPr>
          <w:ilvl w:val="0"/>
          <w:numId w:val="59"/>
        </w:numPr>
        <w:tabs>
          <w:tab w:val="left" w:pos="851"/>
        </w:tabs>
        <w:spacing w:before="120" w:after="120" w:line="240" w:lineRule="auto"/>
        <w:ind w:left="0" w:firstLine="567"/>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Продукт/услуга: Инфраструктурни проекти </w:t>
      </w:r>
    </w:p>
    <w:p w:rsidR="00426FE9" w:rsidRDefault="00D0590D">
      <w:pPr>
        <w:pStyle w:val="ListParagraph"/>
        <w:spacing w:line="240" w:lineRule="auto"/>
        <w:ind w:left="0" w:firstLine="567"/>
        <w:jc w:val="both"/>
        <w:rPr>
          <w:rFonts w:ascii="Times New Roman" w:eastAsia="Times New Roman" w:hAnsi="Times New Roman"/>
          <w:color w:val="000000"/>
          <w:lang w:eastAsia="bg-BG"/>
        </w:rPr>
      </w:pPr>
      <w:r>
        <w:rPr>
          <w:rFonts w:ascii="Times New Roman" w:eastAsia="Times New Roman" w:hAnsi="Times New Roman"/>
          <w:color w:val="000000"/>
          <w:lang w:eastAsia="bg-BG"/>
        </w:rPr>
        <w:t>През периода при наличие на осигурено финансиране ще бъдат подпомогнати чрез споразумения за трансфер на средства обекти от общинската пътна мрежа.</w:t>
      </w:r>
    </w:p>
    <w:p w:rsidR="00426FE9" w:rsidRDefault="00D0590D" w:rsidP="004F30BC">
      <w:pPr>
        <w:pStyle w:val="ListParagraph"/>
        <w:numPr>
          <w:ilvl w:val="0"/>
          <w:numId w:val="59"/>
        </w:numPr>
        <w:tabs>
          <w:tab w:val="left" w:pos="851"/>
        </w:tabs>
        <w:spacing w:after="0" w:line="240" w:lineRule="auto"/>
        <w:ind w:left="0" w:firstLine="567"/>
        <w:jc w:val="both"/>
        <w:rPr>
          <w:rFonts w:ascii="Times New Roman" w:eastAsia="Times New Roman" w:hAnsi="Times New Roman"/>
          <w:color w:val="000000"/>
          <w:lang w:eastAsia="bg-BG"/>
        </w:rPr>
      </w:pPr>
      <w:r>
        <w:rPr>
          <w:rFonts w:ascii="Times New Roman" w:eastAsia="Times New Roman" w:hAnsi="Times New Roman"/>
          <w:color w:val="000000"/>
          <w:lang w:eastAsia="bg-BG"/>
        </w:rPr>
        <w:t>Продукт/услуга: Поддържане/актуализация на база данни за състоянието на общинските пътища и съоръженията към тях</w:t>
      </w:r>
    </w:p>
    <w:p w:rsidR="00426FE9" w:rsidRDefault="00D0590D">
      <w:pPr>
        <w:tabs>
          <w:tab w:val="left" w:pos="851"/>
        </w:tabs>
        <w:spacing w:after="0" w:line="240" w:lineRule="auto"/>
        <w:ind w:firstLine="567"/>
        <w:jc w:val="both"/>
        <w:rPr>
          <w:rFonts w:ascii="Times New Roman" w:eastAsia="Calibri" w:hAnsi="Times New Roman"/>
          <w:lang w:val="en-US"/>
        </w:rPr>
      </w:pPr>
      <w:r>
        <w:rPr>
          <w:rFonts w:ascii="Times New Roman" w:eastAsia="Times New Roman" w:hAnsi="Times New Roman"/>
          <w:color w:val="000000"/>
          <w:lang w:eastAsia="bg-BG"/>
        </w:rPr>
        <w:t xml:space="preserve">През периода ще продължат започналите на предходен етап, дейности по актуализиране/допълване на информацията, предоставяна от общинските администрации за състоянието на утвърдените общински пътища и съоръженията към тях </w:t>
      </w:r>
      <w:r>
        <w:rPr>
          <w:rFonts w:ascii="Times New Roman" w:eastAsia="Times New Roman" w:hAnsi="Times New Roman"/>
          <w:color w:val="000000"/>
          <w:lang w:val="en-US" w:eastAsia="bg-BG"/>
        </w:rPr>
        <w:t>(</w:t>
      </w:r>
      <w:r>
        <w:rPr>
          <w:rFonts w:ascii="Times New Roman" w:eastAsia="Times New Roman" w:hAnsi="Times New Roman"/>
          <w:color w:val="000000"/>
          <w:lang w:eastAsia="bg-BG"/>
        </w:rPr>
        <w:t>съгласно Решение №</w:t>
      </w:r>
      <w:r>
        <w:rPr>
          <w:rFonts w:ascii="Times New Roman" w:eastAsia="Times New Roman" w:hAnsi="Times New Roman"/>
          <w:color w:val="000000"/>
          <w:lang w:val="en-US" w:eastAsia="bg-BG"/>
        </w:rPr>
        <w:t xml:space="preserve"> </w:t>
      </w:r>
      <w:r>
        <w:rPr>
          <w:rFonts w:ascii="Times New Roman" w:eastAsia="Times New Roman" w:hAnsi="Times New Roman"/>
          <w:color w:val="000000"/>
          <w:lang w:eastAsia="bg-BG"/>
        </w:rPr>
        <w:t>236/2007 г. на Министерския съвет за утвърждаване на списък на общинските пътища и последващи негови изменения и допълнения</w:t>
      </w:r>
      <w:r>
        <w:rPr>
          <w:rFonts w:ascii="Times New Roman" w:eastAsia="Times New Roman" w:hAnsi="Times New Roman"/>
          <w:color w:val="000000"/>
          <w:lang w:val="en-US" w:eastAsia="bg-BG"/>
        </w:rPr>
        <w:t>)</w:t>
      </w:r>
      <w:r>
        <w:rPr>
          <w:rFonts w:ascii="Times New Roman" w:eastAsia="Times New Roman" w:hAnsi="Times New Roman"/>
          <w:color w:val="000000"/>
          <w:lang w:eastAsia="bg-BG"/>
        </w:rPr>
        <w:t>, включваща наименование, дължина, информация за експлоатационното състояние на пътното трасе и съоръжения/та в неговия обхват, проектна готовност и засегнато население. Информацията е основа за последващи инвестиционни инициативи на общинските администрации за развитието на общинската пътна мрежа и база за сравнение при анализиране на постъпилите искания от общините за последваща приоритизация за евентуално бъдещо финансово подпомагане.</w:t>
      </w:r>
    </w:p>
    <w:p w:rsidR="00426FE9" w:rsidRDefault="00D0590D" w:rsidP="004F30BC">
      <w:pPr>
        <w:pStyle w:val="ListParagraph"/>
        <w:numPr>
          <w:ilvl w:val="0"/>
          <w:numId w:val="58"/>
        </w:numPr>
        <w:tabs>
          <w:tab w:val="left" w:pos="851"/>
        </w:tabs>
        <w:spacing w:after="0" w:line="240" w:lineRule="auto"/>
        <w:ind w:left="0" w:firstLine="567"/>
        <w:jc w:val="both"/>
        <w:rPr>
          <w:rFonts w:ascii="Times New Roman" w:hAnsi="Times New Roman"/>
          <w:lang w:val="en-US"/>
        </w:rPr>
      </w:pPr>
      <w:r>
        <w:rPr>
          <w:rFonts w:ascii="Times New Roman" w:hAnsi="Times New Roman"/>
          <w:lang w:val="en-US"/>
        </w:rPr>
        <w:t xml:space="preserve">Продукт/ услуга: Управление на процесите и свързаните с тях дейности по опериране на електронната система за събиране на пътни такси; </w:t>
      </w:r>
    </w:p>
    <w:p w:rsidR="00426FE9" w:rsidRDefault="00D0590D" w:rsidP="004F30BC">
      <w:pPr>
        <w:pStyle w:val="ListParagraph"/>
        <w:numPr>
          <w:ilvl w:val="0"/>
          <w:numId w:val="58"/>
        </w:numPr>
        <w:tabs>
          <w:tab w:val="left" w:pos="851"/>
        </w:tabs>
        <w:spacing w:after="0" w:line="240" w:lineRule="auto"/>
        <w:ind w:left="0" w:firstLine="567"/>
        <w:jc w:val="both"/>
        <w:rPr>
          <w:rFonts w:ascii="Times New Roman" w:hAnsi="Times New Roman"/>
          <w:lang w:val="en-US"/>
        </w:rPr>
      </w:pPr>
      <w:r>
        <w:rPr>
          <w:rFonts w:ascii="Times New Roman" w:hAnsi="Times New Roman"/>
          <w:lang w:val="en-US"/>
        </w:rPr>
        <w:t xml:space="preserve">Продукт/услуга: Осигуряване на дейността по събиране на такси за ползване на платената пътна мрежа по време – винетни такси и такси за изминато разстояние – ТОЛ такси, по републиканските пътища </w:t>
      </w:r>
      <w:r>
        <w:rPr>
          <w:rFonts w:ascii="Times New Roman" w:hAnsi="Times New Roman"/>
          <w:lang w:val="en-US"/>
        </w:rPr>
        <w:lastRenderedPageBreak/>
        <w:t>в обхвата, определен по чл. 10, ал. 3 от Закона за пътищата, както и на такси за преминаване по отделни републикански пътища и съоръжения;</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 услуга: Качествено обслужване и максимална удовлетвореност на ползвателите на платената пътна мрежа;</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 услуга: Управление на процесите по сключване на договори с доставчици на услуги при еднакви общи условия и изпълнението им;</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 услуга: Осъществяване на ефективен контрол на движещите се по платената пътна мрежа ППС с българска и чуждестранна регистрация за заплатена пътна такса (винетна или тол);</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 услуга: Участие в дейностите по устойчиво развитие на политиката по събиране на пътни такси;</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 услуга: Осигуряване на публичност и прозрачност на дейността на НТУ.</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Продукт/услуга: Администрира приходите, които са постъпили от пътните такси по чл. 10, ал. 1 и 2 от Закона за пътищата.</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lang w:val="en-US"/>
        </w:rPr>
      </w:pPr>
      <w:r>
        <w:rPr>
          <w:rFonts w:ascii="Times New Roman" w:hAnsi="Times New Roman"/>
          <w:lang w:val="en-US"/>
        </w:rPr>
        <w:t>Продукт/услуга: Организиране и контролиране на дейностите, свързани с установяване на ползване на платената пътна мрежа в нарушение на Закона за пътищата и Закона за движението по пътищата.</w:t>
      </w:r>
    </w:p>
    <w:p w:rsidR="00426FE9" w:rsidRDefault="00D0590D" w:rsidP="004F30BC">
      <w:pPr>
        <w:pStyle w:val="ListParagraph"/>
        <w:numPr>
          <w:ilvl w:val="0"/>
          <w:numId w:val="58"/>
        </w:numPr>
        <w:tabs>
          <w:tab w:val="left" w:pos="851"/>
        </w:tabs>
        <w:spacing w:before="120" w:after="120" w:line="240" w:lineRule="auto"/>
        <w:ind w:left="0" w:firstLine="567"/>
        <w:jc w:val="both"/>
        <w:rPr>
          <w:rFonts w:ascii="Times New Roman" w:hAnsi="Times New Roman"/>
        </w:rPr>
      </w:pPr>
      <w:r>
        <w:rPr>
          <w:rFonts w:ascii="Times New Roman" w:hAnsi="Times New Roman"/>
          <w:lang w:val="en-US"/>
        </w:rPr>
        <w:t>Продукт/услуга: Осъществяване на комуникация с останалите органи за контрол и надзор по Закона за движението по пътищата относно санкциониране на административните нарушения във връзка с ползването на платената пътна мрежа.</w:t>
      </w:r>
    </w:p>
    <w:p w:rsidR="00426FE9" w:rsidRDefault="00D0590D" w:rsidP="004F30BC">
      <w:pPr>
        <w:pStyle w:val="ListParagraph"/>
        <w:numPr>
          <w:ilvl w:val="0"/>
          <w:numId w:val="53"/>
        </w:numPr>
        <w:tabs>
          <w:tab w:val="left" w:pos="851"/>
        </w:tabs>
        <w:spacing w:after="0" w:line="240" w:lineRule="auto"/>
        <w:ind w:right="46" w:hanging="77"/>
        <w:jc w:val="both"/>
        <w:rPr>
          <w:rFonts w:ascii="Times New Roman" w:hAnsi="Times New Roman"/>
          <w:b/>
          <w:i/>
          <w:color w:val="0000CC"/>
        </w:rPr>
      </w:pPr>
      <w:r>
        <w:rPr>
          <w:rFonts w:ascii="Times New Roman" w:hAnsi="Times New Roman"/>
          <w:b/>
          <w:i/>
          <w:color w:val="0000CC"/>
        </w:rPr>
        <w:t>Организационни структури, участващи в програмата</w:t>
      </w:r>
    </w:p>
    <w:p w:rsidR="00426FE9" w:rsidRDefault="00D0590D">
      <w:pPr>
        <w:spacing w:after="0" w:line="240" w:lineRule="auto"/>
        <w:ind w:right="46" w:firstLine="567"/>
        <w:jc w:val="both"/>
        <w:rPr>
          <w:rFonts w:ascii="Times New Roman" w:hAnsi="Times New Roman" w:cs="Times New Roman"/>
        </w:rPr>
      </w:pPr>
      <w:r>
        <w:rPr>
          <w:rFonts w:ascii="Times New Roman" w:hAnsi="Times New Roman" w:cs="Times New Roman"/>
        </w:rPr>
        <w:t>От страна на МРРБ участват  дирекция  „Водоснабдяване и канализаци и благоустройствени дейности”,   дирекция „Правна”, дирекция „Финансово –стопански дейности“; ДНСК, Общински/областни администрации, АПИ.</w:t>
      </w:r>
    </w:p>
    <w:p w:rsidR="00426FE9" w:rsidRDefault="00D0590D" w:rsidP="004F30BC">
      <w:pPr>
        <w:numPr>
          <w:ilvl w:val="0"/>
          <w:numId w:val="53"/>
        </w:numPr>
        <w:tabs>
          <w:tab w:val="left" w:pos="-6237"/>
          <w:tab w:val="left" w:pos="851"/>
        </w:tabs>
        <w:spacing w:after="0" w:line="240" w:lineRule="auto"/>
        <w:ind w:left="567" w:firstLine="0"/>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Отговорност за изпълнението на програмата</w:t>
      </w:r>
    </w:p>
    <w:p w:rsidR="00426FE9" w:rsidRDefault="00D0590D" w:rsidP="004F30BC">
      <w:pPr>
        <w:pStyle w:val="ListParagraph"/>
        <w:numPr>
          <w:ilvl w:val="0"/>
          <w:numId w:val="60"/>
        </w:numPr>
        <w:tabs>
          <w:tab w:val="left" w:pos="851"/>
        </w:tabs>
        <w:spacing w:after="0" w:line="240" w:lineRule="auto"/>
        <w:ind w:left="0" w:right="46" w:firstLine="567"/>
        <w:jc w:val="both"/>
        <w:rPr>
          <w:rFonts w:ascii="Times New Roman" w:eastAsia="Times New Roman" w:hAnsi="Times New Roman"/>
          <w:bCs/>
          <w:color w:val="000000" w:themeColor="text1"/>
          <w:lang w:eastAsia="bg-BG"/>
        </w:rPr>
      </w:pPr>
      <w:r>
        <w:rPr>
          <w:rFonts w:ascii="Times New Roman" w:eastAsia="Times New Roman" w:hAnsi="Times New Roman"/>
          <w:bCs/>
          <w:color w:val="000000" w:themeColor="text1"/>
          <w:lang w:eastAsia="bg-BG"/>
        </w:rPr>
        <w:t>АПИ се ръководи от Управителен съвет, който се състои от председател и двама членове. Административното ръководство на агенцията се осъществява от главен секретар в съответствие с решенията на управителния съвет. Главният секретар е на пряко подчинение на председателя на управителния съвет на агенцията;</w:t>
      </w:r>
    </w:p>
    <w:p w:rsidR="00426FE9" w:rsidRDefault="00D0590D" w:rsidP="004F30BC">
      <w:pPr>
        <w:pStyle w:val="ListParagraph"/>
        <w:numPr>
          <w:ilvl w:val="0"/>
          <w:numId w:val="60"/>
        </w:numPr>
        <w:tabs>
          <w:tab w:val="left" w:pos="851"/>
        </w:tabs>
        <w:spacing w:after="0" w:line="240" w:lineRule="auto"/>
        <w:ind w:left="0" w:right="46" w:firstLine="567"/>
        <w:jc w:val="both"/>
        <w:rPr>
          <w:rFonts w:ascii="Times New Roman" w:eastAsia="Times New Roman" w:hAnsi="Times New Roman"/>
          <w:bCs/>
          <w:color w:val="000000" w:themeColor="text1"/>
          <w:lang w:eastAsia="bg-BG"/>
        </w:rPr>
      </w:pPr>
      <w:r>
        <w:rPr>
          <w:rFonts w:ascii="Times New Roman" w:eastAsia="Times New Roman" w:hAnsi="Times New Roman"/>
          <w:lang w:eastAsia="bg-BG"/>
        </w:rPr>
        <w:t>Дирекция „Водоснабдяване и канализация и благоустройствени дейности” към МРРБ участва при избора на проекти и изпълнява контрол на техническото и финансово изпълнение на обектите. Организира актуализиране/допълване на база данни за състоянието на общинската пътна мрежа и състоянието ѝ;</w:t>
      </w:r>
    </w:p>
    <w:p w:rsidR="00426FE9" w:rsidRDefault="00D0590D" w:rsidP="004F30BC">
      <w:pPr>
        <w:pStyle w:val="ListParagraph"/>
        <w:numPr>
          <w:ilvl w:val="0"/>
          <w:numId w:val="61"/>
        </w:numPr>
        <w:tabs>
          <w:tab w:val="left" w:pos="851"/>
        </w:tabs>
        <w:spacing w:after="0" w:line="240" w:lineRule="auto"/>
        <w:ind w:left="0" w:right="46" w:firstLine="567"/>
        <w:jc w:val="both"/>
        <w:rPr>
          <w:rFonts w:ascii="Times New Roman" w:eastAsia="Times New Roman" w:hAnsi="Times New Roman"/>
          <w:b/>
          <w:bCs/>
          <w:i/>
          <w:color w:val="000000" w:themeColor="text1"/>
          <w:lang w:eastAsia="bg-BG"/>
        </w:rPr>
      </w:pPr>
      <w:r>
        <w:rPr>
          <w:rFonts w:ascii="Times New Roman" w:eastAsia="Times New Roman" w:hAnsi="Times New Roman"/>
          <w:lang w:eastAsia="bg-BG"/>
        </w:rPr>
        <w:t>ДНСК, Областните и Общинските администрации - функциите им в инвестиционния процес са регламентирани по ЗУТ и подзаконовите  нормативни документи към него.</w:t>
      </w:r>
    </w:p>
    <w:p w:rsidR="00426FE9" w:rsidRDefault="00D0590D" w:rsidP="004F30BC">
      <w:pPr>
        <w:pStyle w:val="ListParagraph"/>
        <w:numPr>
          <w:ilvl w:val="0"/>
          <w:numId w:val="61"/>
        </w:numPr>
        <w:tabs>
          <w:tab w:val="left" w:pos="851"/>
        </w:tabs>
        <w:spacing w:after="0" w:line="240" w:lineRule="auto"/>
        <w:ind w:left="0" w:right="46" w:firstLine="567"/>
        <w:jc w:val="both"/>
        <w:rPr>
          <w:rFonts w:ascii="Times New Roman" w:eastAsia="Times New Roman" w:hAnsi="Times New Roman"/>
          <w:b/>
          <w:bCs/>
          <w:i/>
          <w:color w:val="000000" w:themeColor="text1"/>
          <w:lang w:eastAsia="bg-BG"/>
        </w:rPr>
      </w:pPr>
      <w:r>
        <w:rPr>
          <w:rFonts w:ascii="Times New Roman" w:eastAsia="Times New Roman" w:hAnsi="Times New Roman"/>
          <w:lang w:eastAsia="bg-BG"/>
        </w:rPr>
        <w:t>Други организации, непряко свързани по дейностите (при необходимост).</w:t>
      </w:r>
    </w:p>
    <w:p w:rsidR="00426FE9" w:rsidRDefault="00D0590D">
      <w:pPr>
        <w:tabs>
          <w:tab w:val="left" w:pos="851"/>
        </w:tabs>
        <w:spacing w:after="0" w:line="240" w:lineRule="auto"/>
        <w:ind w:firstLine="567"/>
        <w:jc w:val="both"/>
        <w:rPr>
          <w:rFonts w:ascii="Times New Roman" w:hAnsi="Times New Roman"/>
        </w:rPr>
      </w:pPr>
      <w:r>
        <w:rPr>
          <w:rFonts w:ascii="Times New Roman" w:eastAsia="Times New Roman" w:hAnsi="Times New Roman"/>
          <w:bCs/>
          <w:color w:val="000000" w:themeColor="text1"/>
          <w:lang w:eastAsia="bg-BG"/>
        </w:rPr>
        <w:t>Изпълнението на програмата се координира от министъра, ресорния заместник-министър,</w:t>
      </w:r>
      <w:r>
        <w:rPr>
          <w:rFonts w:ascii="Times New Roman" w:hAnsi="Times New Roman"/>
        </w:rPr>
        <w:t xml:space="preserve"> АПИ и дирекция „Водоснабдяване и канализация и благоустройствени дейности”.</w:t>
      </w:r>
    </w:p>
    <w:p w:rsidR="00426FE9" w:rsidRDefault="00D0590D" w:rsidP="004F30BC">
      <w:pPr>
        <w:numPr>
          <w:ilvl w:val="0"/>
          <w:numId w:val="53"/>
        </w:numPr>
        <w:tabs>
          <w:tab w:val="left" w:pos="851"/>
        </w:tabs>
        <w:spacing w:after="0" w:line="240" w:lineRule="auto"/>
        <w:ind w:hanging="7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Бюджетна прогноза по ведомствени и администрирани параграфи по програми</w:t>
      </w:r>
    </w:p>
    <w:tbl>
      <w:tblPr>
        <w:tblW w:w="10485" w:type="dxa"/>
        <w:tblLook w:val="04A0" w:firstRow="1" w:lastRow="0" w:firstColumn="1" w:lastColumn="0" w:noHBand="0" w:noVBand="1"/>
      </w:tblPr>
      <w:tblGrid>
        <w:gridCol w:w="443"/>
        <w:gridCol w:w="3805"/>
        <w:gridCol w:w="1056"/>
        <w:gridCol w:w="1056"/>
        <w:gridCol w:w="1006"/>
        <w:gridCol w:w="993"/>
        <w:gridCol w:w="992"/>
        <w:gridCol w:w="1134"/>
      </w:tblGrid>
      <w:tr w:rsidR="00077CCE" w:rsidRPr="00077CCE" w:rsidTr="00BA5C65">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w:t>
            </w:r>
          </w:p>
        </w:tc>
        <w:tc>
          <w:tcPr>
            <w:tcW w:w="3805" w:type="dxa"/>
            <w:tcBorders>
              <w:top w:val="single" w:sz="4" w:space="0" w:color="auto"/>
              <w:left w:val="nil"/>
              <w:bottom w:val="single" w:sz="4" w:space="0" w:color="auto"/>
              <w:right w:val="single" w:sz="4" w:space="0" w:color="auto"/>
            </w:tcBorders>
            <w:shd w:val="clear" w:color="000000" w:fill="FFCC99"/>
            <w:noWrap/>
            <w:vAlign w:val="bottom"/>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2100.02.01 Бюджетна програма „Рехабилитация и изграждане на пътна инфраструктура” (хил. евро)</w:t>
            </w:r>
          </w:p>
        </w:tc>
        <w:tc>
          <w:tcPr>
            <w:tcW w:w="1056" w:type="dxa"/>
            <w:tcBorders>
              <w:top w:val="single" w:sz="4" w:space="0" w:color="auto"/>
              <w:left w:val="nil"/>
              <w:bottom w:val="single" w:sz="4" w:space="0" w:color="auto"/>
              <w:right w:val="single" w:sz="4" w:space="0" w:color="auto"/>
            </w:tcBorders>
            <w:shd w:val="clear" w:color="000000" w:fill="FFCC99"/>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Отчет 2023 г.</w:t>
            </w:r>
          </w:p>
        </w:tc>
        <w:tc>
          <w:tcPr>
            <w:tcW w:w="1056" w:type="dxa"/>
            <w:tcBorders>
              <w:top w:val="single" w:sz="4" w:space="0" w:color="auto"/>
              <w:left w:val="nil"/>
              <w:bottom w:val="single" w:sz="4" w:space="0" w:color="auto"/>
              <w:right w:val="single" w:sz="4" w:space="0" w:color="auto"/>
            </w:tcBorders>
            <w:shd w:val="clear" w:color="000000" w:fill="FFCC99"/>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Отчет 2024 г.</w:t>
            </w:r>
          </w:p>
        </w:tc>
        <w:tc>
          <w:tcPr>
            <w:tcW w:w="1006" w:type="dxa"/>
            <w:tcBorders>
              <w:top w:val="single" w:sz="4" w:space="0" w:color="auto"/>
              <w:left w:val="nil"/>
              <w:bottom w:val="single" w:sz="4" w:space="0" w:color="auto"/>
              <w:right w:val="single" w:sz="4" w:space="0" w:color="auto"/>
            </w:tcBorders>
            <w:shd w:val="clear" w:color="000000" w:fill="FFCC99"/>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Закон 2025 г.</w:t>
            </w:r>
          </w:p>
        </w:tc>
        <w:tc>
          <w:tcPr>
            <w:tcW w:w="993" w:type="dxa"/>
            <w:tcBorders>
              <w:top w:val="single" w:sz="4" w:space="0" w:color="auto"/>
              <w:left w:val="nil"/>
              <w:bottom w:val="single" w:sz="4" w:space="0" w:color="auto"/>
              <w:right w:val="single" w:sz="4" w:space="0" w:color="auto"/>
            </w:tcBorders>
            <w:shd w:val="clear" w:color="000000" w:fill="FFCC99"/>
            <w:vAlign w:val="center"/>
            <w:hideMark/>
          </w:tcPr>
          <w:p w:rsidR="00077CCE" w:rsidRPr="00077CCE" w:rsidRDefault="008912AD"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Бюджет </w:t>
            </w:r>
            <w:r w:rsidR="00077CCE" w:rsidRPr="00077CCE">
              <w:rPr>
                <w:rFonts w:ascii="Times New Roman" w:eastAsia="Times New Roman" w:hAnsi="Times New Roman" w:cs="Times New Roman"/>
                <w:b/>
                <w:bCs/>
                <w:color w:val="000000"/>
                <w:sz w:val="16"/>
                <w:szCs w:val="16"/>
                <w:lang w:val="en-US"/>
              </w:rPr>
              <w:t>2026 г.</w:t>
            </w:r>
          </w:p>
        </w:tc>
        <w:tc>
          <w:tcPr>
            <w:tcW w:w="992" w:type="dxa"/>
            <w:tcBorders>
              <w:top w:val="single" w:sz="4" w:space="0" w:color="auto"/>
              <w:left w:val="nil"/>
              <w:bottom w:val="single" w:sz="4" w:space="0" w:color="auto"/>
              <w:right w:val="single" w:sz="4" w:space="0" w:color="auto"/>
            </w:tcBorders>
            <w:shd w:val="clear" w:color="000000" w:fill="FFCC99"/>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Прогноза 2027 г.</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Прогноза 2028 г.</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i/>
                <w:iCs/>
                <w:color w:val="000000"/>
                <w:sz w:val="16"/>
                <w:szCs w:val="16"/>
                <w:lang w:val="en-US"/>
              </w:rPr>
            </w:pPr>
            <w:r w:rsidRPr="00077CCE">
              <w:rPr>
                <w:rFonts w:ascii="Times New Roman" w:eastAsia="Times New Roman" w:hAnsi="Times New Roman" w:cs="Times New Roman"/>
                <w:b/>
                <w:bCs/>
                <w:i/>
                <w:i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2</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w:t>
            </w:r>
          </w:p>
        </w:tc>
        <w:tc>
          <w:tcPr>
            <w:tcW w:w="1006"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4</w:t>
            </w:r>
          </w:p>
        </w:tc>
        <w:tc>
          <w:tcPr>
            <w:tcW w:w="993"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5</w:t>
            </w:r>
          </w:p>
        </w:tc>
        <w:tc>
          <w:tcPr>
            <w:tcW w:w="992"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6</w:t>
            </w:r>
          </w:p>
        </w:tc>
        <w:tc>
          <w:tcPr>
            <w:tcW w:w="1134"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jc w:val="center"/>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7</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І.</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Общо ведомствени разходи:</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101 561,9</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104 969,5</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133 222,5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193 988,0</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207 309,2</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159 759,7</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Персонал</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34 187,6</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42 185,3</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41 625,5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43 250,3</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40 304,9</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40 304,9</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Издръжка</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57 657,1</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62 595,9</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64 294,5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97 138,3</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97 140,3</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97 140,3</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Капиталови разходи</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9 717,2</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188,3</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27 302,5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53 599,4</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69 864,0</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22 314,5</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Ведомствени разходи по бюджета на ПРБ:</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101 561,9</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104 969,5</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133 222,5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193 988,0</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207 309,2</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159 759,7</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Персонал</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34 187,6</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42 185,3</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41 625,5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43 250,3</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40 304,9</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40 304,9</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Издръжка</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57 657,1</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62 595,9</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64 294,5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97 138,3</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97 140,3</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97 140,3</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Капиталови разходи</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9 717,2</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188,3</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27 302,5</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53 599,4</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69 864,0</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22 314,5</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2</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i/>
                <w:iCs/>
                <w:color w:val="000000"/>
                <w:sz w:val="16"/>
                <w:szCs w:val="16"/>
                <w:lang w:val="en-US"/>
              </w:rPr>
            </w:pPr>
            <w:r w:rsidRPr="00077CCE">
              <w:rPr>
                <w:rFonts w:ascii="Times New Roman" w:eastAsia="Times New Roman" w:hAnsi="Times New Roman" w:cs="Times New Roman"/>
                <w:b/>
                <w:bCs/>
                <w:i/>
                <w:i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i/>
                <w:iCs/>
                <w:color w:val="000000"/>
                <w:sz w:val="16"/>
                <w:szCs w:val="16"/>
                <w:lang w:val="en-US"/>
              </w:rPr>
            </w:pPr>
            <w:r w:rsidRPr="00077CCE">
              <w:rPr>
                <w:rFonts w:ascii="Times New Roman" w:eastAsia="Times New Roman" w:hAnsi="Times New Roman" w:cs="Times New Roman"/>
                <w:b/>
                <w:bCs/>
                <w:i/>
                <w:i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i/>
                <w:iCs/>
                <w:color w:val="000000"/>
                <w:sz w:val="16"/>
                <w:szCs w:val="16"/>
                <w:lang w:val="en-US"/>
              </w:rPr>
            </w:pPr>
            <w:r w:rsidRPr="00077CCE">
              <w:rPr>
                <w:rFonts w:ascii="Times New Roman" w:eastAsia="Times New Roman" w:hAnsi="Times New Roman" w:cs="Times New Roman"/>
                <w:b/>
                <w:bCs/>
                <w:i/>
                <w:iCs/>
                <w:color w:val="000000"/>
                <w:sz w:val="16"/>
                <w:szCs w:val="16"/>
                <w:lang w:val="en-US"/>
              </w:rPr>
              <w:t> </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ІІ.</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979 707,0</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1 029 766,6</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855 030,3</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768 585,5</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811 694,5</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864 792,8</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Текущи разходи</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611 142,7</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674 151,5</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348 026,2</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450 193,1</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509 566,6</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515 115,4</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lastRenderedPageBreak/>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Текущ ремонт и поддръжка на републиканската пътна мрежа</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604 577,7</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642 873,9</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348 026,2</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450 193,1</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509 566,6</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515 115,4</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Субсидии и други текущи трансфери за нефинансови предприятия</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25 564,6</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Лихви по външни заеми</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6 565,0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5 713,0</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xml:space="preserve">Капиталови разходи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368 564,3</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355 615,1</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507 004,1</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318 392,4</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302 127,9</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349 677,4</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Рехабилитация и реконструкция на общински пътища</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Изграждане и основен ремонт на републиканската пътна мрежа</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360 979,2</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347 926,2</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490 230,7</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310 668,4</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294 403,9</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349 622,8</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Ограничено вещно право (преминаване, прокарване) на теренно ползване (сервитутни права)</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249,0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78,5</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54,2</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54,6</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54,6</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54,6</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xml:space="preserve">Обезщетения на собственици на земя за дейности по републиканската пътна мрежа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7 336,1</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7 610,4</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16 719,2</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7 669,4</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7 669,4</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0,0</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ІІІ.</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0,0</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22 316,8</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19 367,3</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18 848,5</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18 397,4</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ДИЗ лихви</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4 978,3</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4 474,0</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4 022,8</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3 571,7</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ДИЗ погашения</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17 249,7</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14 825,7</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14 825,7</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14 825,7</w:t>
            </w:r>
          </w:p>
        </w:tc>
      </w:tr>
      <w:tr w:rsidR="00077CCE" w:rsidRPr="00077CCE" w:rsidTr="00BA5C65">
        <w:trPr>
          <w:trHeight w:val="170"/>
        </w:trPr>
        <w:tc>
          <w:tcPr>
            <w:tcW w:w="443" w:type="dxa"/>
            <w:tcBorders>
              <w:top w:val="nil"/>
              <w:left w:val="single" w:sz="4" w:space="0" w:color="auto"/>
              <w:bottom w:val="single" w:sz="4" w:space="0" w:color="auto"/>
              <w:right w:val="nil"/>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single" w:sz="4" w:space="0" w:color="auto"/>
              <w:bottom w:val="single" w:sz="4" w:space="0" w:color="auto"/>
              <w:right w:val="single" w:sz="4" w:space="0" w:color="auto"/>
            </w:tcBorders>
            <w:shd w:val="clear" w:color="auto" w:fill="auto"/>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i/>
                <w:iCs/>
                <w:color w:val="000000"/>
                <w:sz w:val="16"/>
                <w:szCs w:val="16"/>
                <w:lang w:val="en-US"/>
              </w:rPr>
            </w:pPr>
            <w:r w:rsidRPr="00077CCE">
              <w:rPr>
                <w:rFonts w:ascii="Times New Roman" w:eastAsia="Times New Roman" w:hAnsi="Times New Roman" w:cs="Times New Roman"/>
                <w:i/>
                <w:iCs/>
                <w:color w:val="000000"/>
                <w:sz w:val="16"/>
                <w:szCs w:val="16"/>
                <w:lang w:val="en-US"/>
              </w:rPr>
              <w:t>Програма за Механизъм за свързване на Европа</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056" w:type="dxa"/>
            <w:tcBorders>
              <w:top w:val="nil"/>
              <w:left w:val="nil"/>
              <w:bottom w:val="single" w:sz="4" w:space="0" w:color="auto"/>
              <w:right w:val="single" w:sz="4" w:space="0" w:color="auto"/>
            </w:tcBorders>
            <w:shd w:val="clear" w:color="000000" w:fill="FFFFFF"/>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88,8</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67,6</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0,0</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Общо администрирани разходи (ІІ.+ІІІ.):</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979 707,0</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1 029 766,6</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877 347,1</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787 952,8</w:t>
            </w:r>
          </w:p>
        </w:tc>
        <w:tc>
          <w:tcPr>
            <w:tcW w:w="992"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830 543,0</w:t>
            </w:r>
          </w:p>
        </w:tc>
        <w:tc>
          <w:tcPr>
            <w:tcW w:w="1134"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883 190,2</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Общо разходи по бюджета (І.1+ІІ.):</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1 081 268,9</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1 134 736,1</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988 252,8</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962 573,5</w:t>
            </w:r>
          </w:p>
        </w:tc>
        <w:tc>
          <w:tcPr>
            <w:tcW w:w="992" w:type="dxa"/>
            <w:tcBorders>
              <w:top w:val="nil"/>
              <w:left w:val="nil"/>
              <w:bottom w:val="single" w:sz="4" w:space="0" w:color="auto"/>
              <w:right w:val="single" w:sz="4" w:space="0" w:color="auto"/>
            </w:tcBorders>
            <w:shd w:val="clear" w:color="000000" w:fill="FFCC99"/>
            <w:noWrap/>
            <w:vAlign w:val="center"/>
          </w:tcPr>
          <w:p w:rsidR="00077CCE" w:rsidRPr="00077CCE" w:rsidRDefault="00BA5C65"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1 019 003,7</w:t>
            </w:r>
          </w:p>
        </w:tc>
        <w:tc>
          <w:tcPr>
            <w:tcW w:w="1134" w:type="dxa"/>
            <w:tcBorders>
              <w:top w:val="nil"/>
              <w:left w:val="nil"/>
              <w:bottom w:val="single" w:sz="4" w:space="0" w:color="auto"/>
              <w:right w:val="single" w:sz="4" w:space="0" w:color="auto"/>
            </w:tcBorders>
            <w:shd w:val="clear" w:color="000000" w:fill="FFCC99"/>
            <w:noWrap/>
            <w:vAlign w:val="center"/>
          </w:tcPr>
          <w:p w:rsidR="00077CCE" w:rsidRPr="00077CCE" w:rsidRDefault="00BA5C65"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1 024 552,5</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134" w:type="dxa"/>
            <w:tcBorders>
              <w:top w:val="nil"/>
              <w:left w:val="nil"/>
              <w:bottom w:val="single" w:sz="4" w:space="0" w:color="auto"/>
              <w:right w:val="single" w:sz="4" w:space="0" w:color="auto"/>
            </w:tcBorders>
            <w:shd w:val="clear" w:color="auto" w:fill="auto"/>
            <w:noWrap/>
            <w:vAlign w:val="center"/>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Общо разходи (І.+ІІ.+ІІІ.):</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1 081 268,9</w:t>
            </w:r>
          </w:p>
        </w:tc>
        <w:tc>
          <w:tcPr>
            <w:tcW w:w="105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1 134 736,1</w:t>
            </w:r>
          </w:p>
        </w:tc>
        <w:tc>
          <w:tcPr>
            <w:tcW w:w="1006"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1 010 569,6</w:t>
            </w:r>
          </w:p>
        </w:tc>
        <w:tc>
          <w:tcPr>
            <w:tcW w:w="993" w:type="dxa"/>
            <w:tcBorders>
              <w:top w:val="nil"/>
              <w:left w:val="nil"/>
              <w:bottom w:val="single" w:sz="4" w:space="0" w:color="auto"/>
              <w:right w:val="single" w:sz="4" w:space="0" w:color="auto"/>
            </w:tcBorders>
            <w:shd w:val="clear" w:color="000000" w:fill="FFCC99"/>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981 940,8</w:t>
            </w:r>
          </w:p>
        </w:tc>
        <w:tc>
          <w:tcPr>
            <w:tcW w:w="992" w:type="dxa"/>
            <w:tcBorders>
              <w:top w:val="nil"/>
              <w:left w:val="nil"/>
              <w:bottom w:val="single" w:sz="4" w:space="0" w:color="auto"/>
              <w:right w:val="single" w:sz="4" w:space="0" w:color="auto"/>
            </w:tcBorders>
            <w:shd w:val="clear" w:color="000000" w:fill="FFCC99"/>
            <w:noWrap/>
            <w:vAlign w:val="center"/>
          </w:tcPr>
          <w:p w:rsidR="00077CCE" w:rsidRPr="00077CCE" w:rsidRDefault="00BA5C65"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1 037 852,2</w:t>
            </w:r>
          </w:p>
        </w:tc>
        <w:tc>
          <w:tcPr>
            <w:tcW w:w="1134" w:type="dxa"/>
            <w:tcBorders>
              <w:top w:val="nil"/>
              <w:left w:val="nil"/>
              <w:bottom w:val="single" w:sz="4" w:space="0" w:color="auto"/>
              <w:right w:val="single" w:sz="4" w:space="0" w:color="auto"/>
            </w:tcBorders>
            <w:shd w:val="clear" w:color="000000" w:fill="FFCC99"/>
            <w:noWrap/>
            <w:vAlign w:val="center"/>
          </w:tcPr>
          <w:p w:rsidR="00077CCE" w:rsidRPr="00077CCE" w:rsidRDefault="00BA5C65" w:rsidP="00077CCE">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1 042 949,9</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 </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Численост на щатния персонал</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2 215</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2 115</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2 417</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2 411</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2 411</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2 411</w:t>
            </w:r>
          </w:p>
        </w:tc>
      </w:tr>
      <w:tr w:rsidR="00077CCE" w:rsidRPr="00077CCE"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both"/>
              <w:rPr>
                <w:rFonts w:ascii="Times New Roman" w:eastAsia="Times New Roman" w:hAnsi="Times New Roman" w:cs="Times New Roman"/>
                <w:b/>
                <w:bCs/>
                <w:color w:val="000000"/>
                <w:sz w:val="16"/>
                <w:szCs w:val="16"/>
                <w:lang w:val="en-US"/>
              </w:rPr>
            </w:pPr>
            <w:r w:rsidRPr="00077CCE">
              <w:rPr>
                <w:rFonts w:ascii="Times New Roman" w:eastAsia="Times New Roman" w:hAnsi="Times New Roman" w:cs="Times New Roman"/>
                <w:b/>
                <w:bCs/>
                <w:color w:val="000000"/>
                <w:sz w:val="16"/>
                <w:szCs w:val="16"/>
                <w:lang w:val="en-US"/>
              </w:rPr>
              <w:t> </w:t>
            </w:r>
          </w:p>
        </w:tc>
        <w:tc>
          <w:tcPr>
            <w:tcW w:w="3805"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Численост на извънщатния персонал</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w:t>
            </w:r>
          </w:p>
        </w:tc>
        <w:tc>
          <w:tcPr>
            <w:tcW w:w="105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w:t>
            </w:r>
          </w:p>
        </w:tc>
        <w:tc>
          <w:tcPr>
            <w:tcW w:w="1006"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w:t>
            </w:r>
          </w:p>
        </w:tc>
        <w:tc>
          <w:tcPr>
            <w:tcW w:w="993"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w:t>
            </w:r>
          </w:p>
        </w:tc>
        <w:tc>
          <w:tcPr>
            <w:tcW w:w="992"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w:t>
            </w:r>
          </w:p>
        </w:tc>
        <w:tc>
          <w:tcPr>
            <w:tcW w:w="1134" w:type="dxa"/>
            <w:tcBorders>
              <w:top w:val="nil"/>
              <w:left w:val="nil"/>
              <w:bottom w:val="single" w:sz="4" w:space="0" w:color="auto"/>
              <w:right w:val="single" w:sz="4" w:space="0" w:color="auto"/>
            </w:tcBorders>
            <w:shd w:val="clear" w:color="auto" w:fill="auto"/>
            <w:noWrap/>
            <w:vAlign w:val="center"/>
            <w:hideMark/>
          </w:tcPr>
          <w:p w:rsidR="00077CCE" w:rsidRPr="00077CCE" w:rsidRDefault="00077CCE" w:rsidP="00077CCE">
            <w:pPr>
              <w:suppressAutoHyphens w:val="0"/>
              <w:spacing w:after="0" w:line="240" w:lineRule="auto"/>
              <w:jc w:val="right"/>
              <w:rPr>
                <w:rFonts w:ascii="Times New Roman" w:eastAsia="Times New Roman" w:hAnsi="Times New Roman" w:cs="Times New Roman"/>
                <w:color w:val="000000"/>
                <w:sz w:val="16"/>
                <w:szCs w:val="16"/>
                <w:lang w:val="en-US"/>
              </w:rPr>
            </w:pPr>
            <w:r w:rsidRPr="00077CCE">
              <w:rPr>
                <w:rFonts w:ascii="Times New Roman" w:eastAsia="Times New Roman" w:hAnsi="Times New Roman" w:cs="Times New Roman"/>
                <w:color w:val="000000"/>
                <w:sz w:val="16"/>
                <w:szCs w:val="16"/>
                <w:lang w:val="en-US"/>
              </w:rPr>
              <w:t>0</w:t>
            </w:r>
          </w:p>
        </w:tc>
      </w:tr>
    </w:tbl>
    <w:p w:rsidR="002B45B5" w:rsidRDefault="002B45B5" w:rsidP="002B45B5">
      <w:pPr>
        <w:tabs>
          <w:tab w:val="left" w:pos="0"/>
          <w:tab w:val="left" w:pos="851"/>
        </w:tabs>
        <w:spacing w:after="0" w:line="240" w:lineRule="auto"/>
        <w:contextualSpacing/>
        <w:jc w:val="both"/>
        <w:rPr>
          <w:rFonts w:ascii="Times New Roman" w:eastAsia="Calibri" w:hAnsi="Times New Roman" w:cs="Times New Roman"/>
          <w:b/>
          <w:i/>
          <w:color w:val="0000CC"/>
        </w:rPr>
      </w:pPr>
    </w:p>
    <w:p w:rsidR="00426FE9" w:rsidRDefault="00D0590D">
      <w:pPr>
        <w:tabs>
          <w:tab w:val="left" w:pos="851"/>
        </w:tabs>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2100.02.02. БЮДЖЕТНА ПРОГРАМА „УСТРОЙСТВО НА ТЕРИТОРИЯТА, БЛАГОУСТРОЙСТВО, ГЕОЗАЩИТА, ВОДОСНАБДЯВАНЕ И КАНАЛИЗАЦИЯ“</w:t>
      </w:r>
    </w:p>
    <w:p w:rsidR="00426FE9" w:rsidRDefault="00D0590D" w:rsidP="004F30BC">
      <w:pPr>
        <w:pStyle w:val="ListParagraph"/>
        <w:numPr>
          <w:ilvl w:val="3"/>
          <w:numId w:val="62"/>
        </w:numPr>
        <w:tabs>
          <w:tab w:val="left" w:pos="851"/>
        </w:tabs>
        <w:spacing w:after="0" w:line="240" w:lineRule="auto"/>
        <w:ind w:left="567" w:hanging="2518"/>
        <w:jc w:val="both"/>
        <w:rPr>
          <w:rFonts w:ascii="Times New Roman" w:hAnsi="Times New Roman"/>
          <w:b/>
          <w:i/>
          <w:color w:val="0000CC"/>
          <w:lang w:val="es-ES"/>
        </w:rPr>
      </w:pPr>
      <w:r>
        <w:rPr>
          <w:rFonts w:ascii="Times New Roman" w:hAnsi="Times New Roman"/>
          <w:b/>
          <w:i/>
          <w:color w:val="0000CC"/>
          <w:lang w:val="en-US"/>
        </w:rPr>
        <w:t>1</w:t>
      </w:r>
      <w:r>
        <w:rPr>
          <w:rFonts w:ascii="Times New Roman" w:hAnsi="Times New Roman"/>
          <w:b/>
          <w:i/>
          <w:color w:val="0000CC"/>
        </w:rPr>
        <w:t>. Цели на бюджетната програма</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eastAsia="Calibri" w:hAnsi="Times New Roman" w:cs="Times New Roman"/>
          <w:color w:val="000000" w:themeColor="text1"/>
        </w:rPr>
        <w:t>Осъществяване на дейности за регистриране и мониторинг на свлачищни райони, превантивни геозащитни мерки и дейности в регистрирани свлачищни райони и геозащитни мерки и дейности за ограничаване на свлачищата на територията на Република България, абразионните процеси по Черноморското крайбрежие и ерозионните процеси по Дунавското крайбрежие;</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eastAsia="Calibri" w:hAnsi="Times New Roman" w:cs="Times New Roman"/>
          <w:color w:val="000000" w:themeColor="text1"/>
        </w:rPr>
        <w:t>Предварителен к</w:t>
      </w:r>
      <w:r>
        <w:rPr>
          <w:rFonts w:ascii="Times New Roman" w:eastAsia="Calibri" w:hAnsi="Times New Roman" w:cs="Times New Roman"/>
          <w:bCs/>
          <w:color w:val="000000" w:themeColor="text1"/>
        </w:rPr>
        <w:t>онтрол на инвестиционни намерения в свлачищни райони;</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eastAsia="Calibri" w:hAnsi="Times New Roman" w:cs="Times New Roman"/>
          <w:bCs/>
          <w:color w:val="000000" w:themeColor="text1"/>
        </w:rPr>
        <w:t xml:space="preserve">Изпълнение на проекти </w:t>
      </w:r>
      <w:r>
        <w:rPr>
          <w:rFonts w:ascii="Times New Roman" w:hAnsi="Times New Roman" w:cs="Times New Roman"/>
          <w:color w:val="000000" w:themeColor="text1"/>
        </w:rPr>
        <w:t>за развита и модернизирана жизнена среда;</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hAnsi="Times New Roman" w:cs="Times New Roman"/>
        </w:rPr>
        <w:t>МРРБ провежда държавната политика в отрасъл ВиК, като целта е да се постигне финансово, технически и  екологично устойчив ВиК отрасъл, който предоставя ВиК услуги с високо качество на социално поносими цени, в съответствие с националното законодателство и европейските директиви в областта на водоснабдяването, отвеждането и пречистването на водите. Отдел „Водоснабдяване и канализация“ в дирекция „Водоснабдяване и канализация и благоустройствени дейности“, изпълнява дейности за реализация на инвестиционни проекти в областта на водоснабдяването и канализацията; планиране развитието на ВиК инфраструктурата; дейности, свързани със стратегическото управление на отрасъла. Целите на програмата за отрасъл „ВиК“ се постигат чрез изпълнение на проекти и дейности в областта на водоснабдяването и канализацията, свързани с планиране, развитие и изграждане/реконструкция на ВиК инфраструктурата, както и със стратегическото управление на отрасъла;</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hAnsi="Times New Roman" w:cs="Times New Roman"/>
          <w:bCs/>
        </w:rPr>
        <w:t>Програмата цели да се осигури и поддържа устройството на територията, с което да се създадат благоприятни условия за устойчиво и балансирано икономическо развитие, за създаване, ползване и опазване на хармонична и достъпна среда за живеене, труд и отдих, за опазване на околната среда и на териториите с обекти на културно-историческото наследство;</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hAnsi="Times New Roman" w:cs="Times New Roman"/>
        </w:rPr>
        <w:t>С програмата се цели да се създадат необходимите предпоставки за осъществяването на държавната политика по административно-териториално устройство и устройство на територията, както и да се подпомогнат общинските съвети, кметовете на общини и областните управители при изпълнение на функциите и задачите им, свързани с административно-териториалното устройство, съгласно изискванията на Закона за административно-териториалното устройство на Република България, и по устройство на територията, определени в Закона за устройство на територията;</w:t>
      </w:r>
    </w:p>
    <w:p w:rsidR="00426FE9" w:rsidRDefault="00D0590D" w:rsidP="004F30BC">
      <w:pPr>
        <w:numPr>
          <w:ilvl w:val="0"/>
          <w:numId w:val="63"/>
        </w:numPr>
        <w:tabs>
          <w:tab w:val="left" w:pos="851"/>
        </w:tabs>
        <w:spacing w:after="0" w:line="240" w:lineRule="auto"/>
        <w:ind w:left="0" w:right="46" w:firstLine="567"/>
        <w:jc w:val="both"/>
        <w:rPr>
          <w:rFonts w:ascii="Times New Roman" w:eastAsia="Calibri" w:hAnsi="Times New Roman" w:cs="Times New Roman"/>
          <w:strike/>
          <w:color w:val="000000" w:themeColor="text1"/>
        </w:rPr>
      </w:pPr>
      <w:r>
        <w:rPr>
          <w:rFonts w:ascii="Times New Roman" w:hAnsi="Times New Roman" w:cs="Times New Roman"/>
          <w:bCs/>
        </w:rPr>
        <w:lastRenderedPageBreak/>
        <w:t>Основните мерки и дейности включени в програмата са свързани с о</w:t>
      </w:r>
      <w:r>
        <w:rPr>
          <w:rFonts w:ascii="Times New Roman" w:hAnsi="Times New Roman" w:cs="Times New Roman"/>
        </w:rPr>
        <w:t xml:space="preserve">сигуряване на устойчиво устройствено планиране на територията, свързано с изпълнението на §123 от ПЗР на ЗИД на Закона за устройство на територията /обн. - ДВ, БР. 82 от 2012 г., в сила от 26.11.2012 г./, интегрирано планиране и устройство на територии със специфични характеристики, в т.ч. </w:t>
      </w:r>
      <w:r>
        <w:rPr>
          <w:rFonts w:ascii="Times New Roman" w:hAnsi="Times New Roman" w:cs="Times New Roman"/>
          <w:lang w:val="ru-RU"/>
        </w:rPr>
        <w:t xml:space="preserve">територията на общините на Черноморското крайбрежие в съответствие с изискванията на Закона за </w:t>
      </w:r>
      <w:r>
        <w:rPr>
          <w:rFonts w:ascii="Times New Roman" w:hAnsi="Times New Roman" w:cs="Times New Roman"/>
        </w:rPr>
        <w:t>устройството на Черноморското крайбрежие</w:t>
      </w:r>
      <w:r>
        <w:rPr>
          <w:rFonts w:ascii="Times New Roman" w:hAnsi="Times New Roman" w:cs="Times New Roman"/>
          <w:lang w:val="ru-RU"/>
        </w:rPr>
        <w:t xml:space="preserve"> /</w:t>
      </w:r>
      <w:r>
        <w:rPr>
          <w:rFonts w:ascii="Times New Roman" w:hAnsi="Times New Roman" w:cs="Times New Roman"/>
        </w:rPr>
        <w:t>ЗУЧК/ и създаване на устройствена основа и разрешаване изграждането на обекти с национално значение и обекти на транспортната инфраструктура;</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Създаване на кадастрална карта и кадастрални регистри, гарантиращи собствеността на гражданите;</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Обслужване с кадастрална информация от едно място за всички имоти – в урбанизирана, земеделска, горска и др. вид територии;</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Обновяване на специализираните карти и регистри на обектите по чл. 6, ал. 4, т. 1, 3, 4 и 5 от ЗУЧК, гарантиращи актуални данни, необходими за инвестиционно проектиране и контролиране на дейностите по Черноморското крайбрежие; </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Увеличаване на потребителите, ползващи данни от регистрите на национално ниво във връзка с осигуряване на информационно и административно обслужване;</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Ефективно администриране на кадастралната информация и осигуряване на страната с геопространствени данни в контекста на обвързването на първичните регистри и електронното управление;</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Осъвременяване на геодезическата основа на страната (Държавна нивелачна мрежа и мрежа от мареографни станции, Държавна гравиметрична мрежа, геодезически мрежи с местно предназначение);</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Създаване и поддържане на топографска база данни и единен цифров модел (ЕЦМ) на едромащабната топографска карта (ЕТК) на страната като ос¬нова на геоинформационната система и осигуряване на геопространствени данни и данни за топонимията на българските географски имена за нуждите на всички потребители;</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Поддържане на електронния регистър на географските наименования в Република България, както и обезпечаване на транскрипцията на чуждите географски имена;</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Поддържане на регистри на лицата, правоспособни да извършват дейности по кадастър, по геодезия и по картография;</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Привеждане на наличните в АГКК данни във формата определен в директивата INSPIRE и закона за достъп до пространствени данни, достъпен за всички потребители на сраната и Европейския съюз;</w:t>
      </w:r>
    </w:p>
    <w:p w:rsidR="00426FE9" w:rsidRDefault="00D0590D" w:rsidP="004F30BC">
      <w:pPr>
        <w:numPr>
          <w:ilvl w:val="2"/>
          <w:numId w:val="64"/>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Хармонизиране на организацията на геодезическата и картографската дейност с европейските норми. </w:t>
      </w:r>
    </w:p>
    <w:p w:rsidR="00426FE9" w:rsidRDefault="00D0590D" w:rsidP="004F30BC">
      <w:pPr>
        <w:pStyle w:val="ListParagraph"/>
        <w:numPr>
          <w:ilvl w:val="0"/>
          <w:numId w:val="65"/>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Целеви стойности по показателите за изпълнение</w:t>
      </w:r>
    </w:p>
    <w:p w:rsidR="00CA1C8B" w:rsidRDefault="00CA1C8B" w:rsidP="00CA1C8B">
      <w:pPr>
        <w:tabs>
          <w:tab w:val="left" w:pos="851"/>
        </w:tabs>
        <w:spacing w:after="0" w:line="240" w:lineRule="auto"/>
        <w:jc w:val="both"/>
        <w:rPr>
          <w:rFonts w:ascii="Times New Roman" w:hAnsi="Times New Roman"/>
          <w:b/>
          <w:i/>
          <w:color w:val="0000CC"/>
        </w:rPr>
      </w:pPr>
    </w:p>
    <w:tbl>
      <w:tblPr>
        <w:tblW w:w="10097" w:type="dxa"/>
        <w:tblInd w:w="-5" w:type="dxa"/>
        <w:tblLook w:val="04A0" w:firstRow="1" w:lastRow="0" w:firstColumn="1" w:lastColumn="0" w:noHBand="0" w:noVBand="1"/>
      </w:tblPr>
      <w:tblGrid>
        <w:gridCol w:w="6379"/>
        <w:gridCol w:w="711"/>
        <w:gridCol w:w="1023"/>
        <w:gridCol w:w="992"/>
        <w:gridCol w:w="992"/>
      </w:tblGrid>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b/>
                <w:bCs/>
                <w:color w:val="000000"/>
                <w:sz w:val="16"/>
                <w:szCs w:val="16"/>
                <w:lang w:val="en-US"/>
              </w:rPr>
            </w:pPr>
            <w:r w:rsidRPr="00CA1C8B">
              <w:rPr>
                <w:rFonts w:ascii="Times New Roman" w:eastAsia="Times New Roman" w:hAnsi="Times New Roman" w:cs="Times New Roman"/>
                <w:b/>
                <w:bCs/>
                <w:color w:val="000000"/>
                <w:sz w:val="16"/>
                <w:szCs w:val="16"/>
              </w:rPr>
              <w:t>ПОКАЗАТЕЛИ ЗА ИЗПЪЛНЕНИЕ</w:t>
            </w:r>
          </w:p>
        </w:tc>
        <w:tc>
          <w:tcPr>
            <w:tcW w:w="711" w:type="dxa"/>
            <w:vMerge w:val="restart"/>
            <w:tcBorders>
              <w:top w:val="single" w:sz="4" w:space="0" w:color="auto"/>
              <w:left w:val="single" w:sz="4" w:space="0" w:color="auto"/>
              <w:bottom w:val="single" w:sz="4" w:space="0" w:color="000000"/>
              <w:right w:val="single" w:sz="4" w:space="0" w:color="auto"/>
            </w:tcBorders>
            <w:shd w:val="clear" w:color="000000" w:fill="FFCC99"/>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b/>
                <w:bCs/>
                <w:color w:val="000000"/>
                <w:sz w:val="16"/>
                <w:szCs w:val="16"/>
                <w:lang w:val="en-US"/>
              </w:rPr>
            </w:pPr>
            <w:r w:rsidRPr="00CA1C8B">
              <w:rPr>
                <w:rFonts w:ascii="Times New Roman" w:eastAsia="Times New Roman" w:hAnsi="Times New Roman" w:cs="Times New Roman"/>
                <w:b/>
                <w:bCs/>
                <w:color w:val="000000"/>
                <w:sz w:val="16"/>
                <w:szCs w:val="16"/>
              </w:rPr>
              <w:t>Мерна единица</w:t>
            </w:r>
          </w:p>
        </w:tc>
        <w:tc>
          <w:tcPr>
            <w:tcW w:w="3007" w:type="dxa"/>
            <w:gridSpan w:val="3"/>
            <w:vMerge w:val="restart"/>
            <w:tcBorders>
              <w:top w:val="single" w:sz="4" w:space="0" w:color="auto"/>
              <w:left w:val="single" w:sz="4" w:space="0" w:color="auto"/>
              <w:bottom w:val="single" w:sz="4" w:space="0" w:color="000000"/>
              <w:right w:val="single" w:sz="4" w:space="0" w:color="000000"/>
            </w:tcBorders>
            <w:shd w:val="clear" w:color="000000" w:fill="FFCC99"/>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b/>
                <w:bCs/>
                <w:color w:val="000000"/>
                <w:sz w:val="16"/>
                <w:szCs w:val="16"/>
                <w:lang w:val="en-US"/>
              </w:rPr>
            </w:pPr>
            <w:r w:rsidRPr="00CA1C8B">
              <w:rPr>
                <w:rFonts w:ascii="Times New Roman" w:eastAsia="Times New Roman" w:hAnsi="Times New Roman" w:cs="Times New Roman"/>
                <w:b/>
                <w:bCs/>
                <w:color w:val="000000"/>
                <w:sz w:val="16"/>
                <w:szCs w:val="16"/>
              </w:rPr>
              <w:t>Целева стойност</w:t>
            </w:r>
          </w:p>
        </w:tc>
      </w:tr>
      <w:tr w:rsidR="00CA1C8B" w:rsidRPr="00CA1C8B" w:rsidTr="00A705B7">
        <w:trPr>
          <w:trHeight w:val="569"/>
        </w:trPr>
        <w:tc>
          <w:tcPr>
            <w:tcW w:w="6379"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b/>
                <w:bCs/>
                <w:color w:val="000000"/>
                <w:sz w:val="16"/>
                <w:szCs w:val="16"/>
                <w:lang w:val="en-US"/>
              </w:rPr>
            </w:pPr>
            <w:r w:rsidRPr="00CA1C8B">
              <w:rPr>
                <w:rFonts w:ascii="Times New Roman" w:eastAsia="Times New Roman" w:hAnsi="Times New Roman" w:cs="Times New Roman"/>
                <w:b/>
                <w:bCs/>
                <w:color w:val="000000"/>
                <w:sz w:val="16"/>
                <w:szCs w:val="16"/>
              </w:rPr>
              <w:t>2100.02.02 Бюджетна програма „Устройство на територията, благоустройство, геозащита, водоснабдяване и канализация“</w:t>
            </w:r>
          </w:p>
        </w:tc>
        <w:tc>
          <w:tcPr>
            <w:tcW w:w="711" w:type="dxa"/>
            <w:vMerge/>
            <w:tcBorders>
              <w:top w:val="single" w:sz="4" w:space="0" w:color="auto"/>
              <w:left w:val="single" w:sz="4" w:space="0" w:color="auto"/>
              <w:bottom w:val="single" w:sz="4" w:space="0" w:color="000000"/>
              <w:right w:val="single" w:sz="4" w:space="0" w:color="auto"/>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b/>
                <w:bCs/>
                <w:color w:val="000000"/>
                <w:sz w:val="16"/>
                <w:szCs w:val="16"/>
                <w:lang w:val="en-US"/>
              </w:rPr>
            </w:pPr>
          </w:p>
        </w:tc>
        <w:tc>
          <w:tcPr>
            <w:tcW w:w="3007" w:type="dxa"/>
            <w:gridSpan w:val="3"/>
            <w:vMerge/>
            <w:tcBorders>
              <w:top w:val="single" w:sz="4" w:space="0" w:color="auto"/>
              <w:left w:val="single" w:sz="4" w:space="0" w:color="auto"/>
              <w:bottom w:val="single" w:sz="4" w:space="0" w:color="000000"/>
              <w:right w:val="single" w:sz="4" w:space="0" w:color="000000"/>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b/>
                <w:bCs/>
                <w:color w:val="000000"/>
                <w:sz w:val="16"/>
                <w:szCs w:val="16"/>
                <w:lang w:val="en-US"/>
              </w:rPr>
            </w:pP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b/>
                <w:bCs/>
                <w:color w:val="000000"/>
                <w:sz w:val="16"/>
                <w:szCs w:val="16"/>
                <w:lang w:val="en-US"/>
              </w:rPr>
            </w:pPr>
            <w:r w:rsidRPr="00CA1C8B">
              <w:rPr>
                <w:rFonts w:ascii="Times New Roman" w:eastAsia="Times New Roman" w:hAnsi="Times New Roman" w:cs="Times New Roman"/>
                <w:b/>
                <w:bCs/>
                <w:color w:val="000000"/>
                <w:sz w:val="16"/>
                <w:szCs w:val="16"/>
              </w:rPr>
              <w:t>Показатели за изпълнение</w:t>
            </w:r>
          </w:p>
        </w:tc>
        <w:tc>
          <w:tcPr>
            <w:tcW w:w="711" w:type="dxa"/>
            <w:vMerge/>
            <w:tcBorders>
              <w:top w:val="single" w:sz="4" w:space="0" w:color="auto"/>
              <w:left w:val="single" w:sz="4" w:space="0" w:color="auto"/>
              <w:bottom w:val="single" w:sz="4" w:space="0" w:color="000000"/>
              <w:right w:val="single" w:sz="4" w:space="0" w:color="auto"/>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b/>
                <w:bCs/>
                <w:color w:val="000000"/>
                <w:sz w:val="16"/>
                <w:szCs w:val="16"/>
                <w:lang w:val="en-US"/>
              </w:rPr>
            </w:pPr>
          </w:p>
        </w:tc>
        <w:tc>
          <w:tcPr>
            <w:tcW w:w="1023" w:type="dxa"/>
            <w:tcBorders>
              <w:top w:val="single" w:sz="4" w:space="0" w:color="auto"/>
              <w:left w:val="nil"/>
              <w:bottom w:val="single" w:sz="4" w:space="0" w:color="auto"/>
              <w:right w:val="single" w:sz="4" w:space="0" w:color="auto"/>
            </w:tcBorders>
            <w:shd w:val="clear" w:color="000000" w:fill="FFCC99"/>
            <w:vAlign w:val="center"/>
            <w:hideMark/>
          </w:tcPr>
          <w:p w:rsidR="00CA1C8B" w:rsidRPr="00CA1C8B" w:rsidRDefault="00DC0179" w:rsidP="00CA1C8B">
            <w:pPr>
              <w:suppressAutoHyphens w:val="0"/>
              <w:spacing w:after="0" w:line="240" w:lineRule="auto"/>
              <w:jc w:val="center"/>
              <w:rPr>
                <w:rFonts w:ascii="Times New Roman" w:eastAsia="Times New Roman" w:hAnsi="Times New Roman" w:cs="Times New Roman"/>
                <w:b/>
                <w:bCs/>
                <w:i/>
                <w:iCs/>
                <w:color w:val="000000"/>
                <w:sz w:val="16"/>
                <w:szCs w:val="16"/>
                <w:lang w:val="en-US"/>
              </w:rPr>
            </w:pPr>
            <w:r>
              <w:rPr>
                <w:rFonts w:ascii="Times New Roman" w:eastAsia="Times New Roman" w:hAnsi="Times New Roman" w:cs="Times New Roman"/>
                <w:b/>
                <w:bCs/>
                <w:i/>
                <w:iCs/>
                <w:color w:val="000000"/>
                <w:sz w:val="16"/>
                <w:szCs w:val="16"/>
              </w:rPr>
              <w:t xml:space="preserve">Бюджет </w:t>
            </w:r>
            <w:r w:rsidR="00CA1C8B" w:rsidRPr="00CA1C8B">
              <w:rPr>
                <w:rFonts w:ascii="Times New Roman" w:eastAsia="Times New Roman" w:hAnsi="Times New Roman" w:cs="Times New Roman"/>
                <w:b/>
                <w:bCs/>
                <w:i/>
                <w:iCs/>
                <w:color w:val="000000"/>
                <w:sz w:val="16"/>
                <w:szCs w:val="16"/>
              </w:rPr>
              <w:t>2026 г.</w:t>
            </w:r>
          </w:p>
        </w:tc>
        <w:tc>
          <w:tcPr>
            <w:tcW w:w="992" w:type="dxa"/>
            <w:tcBorders>
              <w:top w:val="single" w:sz="4" w:space="0" w:color="auto"/>
              <w:left w:val="nil"/>
              <w:bottom w:val="single" w:sz="4" w:space="0" w:color="auto"/>
              <w:right w:val="single" w:sz="4" w:space="0" w:color="auto"/>
            </w:tcBorders>
            <w:shd w:val="clear" w:color="000000" w:fill="FFCC99"/>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CA1C8B">
              <w:rPr>
                <w:rFonts w:ascii="Times New Roman" w:eastAsia="Times New Roman" w:hAnsi="Times New Roman" w:cs="Times New Roman"/>
                <w:b/>
                <w:bCs/>
                <w:i/>
                <w:iCs/>
                <w:color w:val="000000"/>
                <w:sz w:val="16"/>
                <w:szCs w:val="16"/>
              </w:rPr>
              <w:t>Прогноза 2027 г.</w:t>
            </w:r>
          </w:p>
        </w:tc>
        <w:tc>
          <w:tcPr>
            <w:tcW w:w="992" w:type="dxa"/>
            <w:tcBorders>
              <w:top w:val="nil"/>
              <w:left w:val="nil"/>
              <w:bottom w:val="single" w:sz="4" w:space="0" w:color="auto"/>
              <w:right w:val="single" w:sz="4" w:space="0" w:color="auto"/>
            </w:tcBorders>
            <w:shd w:val="clear" w:color="000000" w:fill="FFCC99"/>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CA1C8B">
              <w:rPr>
                <w:rFonts w:ascii="Times New Roman" w:eastAsia="Times New Roman" w:hAnsi="Times New Roman" w:cs="Times New Roman"/>
                <w:b/>
                <w:bCs/>
                <w:i/>
                <w:iCs/>
                <w:color w:val="000000"/>
                <w:sz w:val="16"/>
                <w:szCs w:val="16"/>
              </w:rPr>
              <w:t>Прогноза 2028 г.</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 xml:space="preserve"> 1.Мониторинг на регистрирани свлачищни райони</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5050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5050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5050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 xml:space="preserve">2. Проекто-проучвателни работи </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11</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3. Завършен геозащитен обект/етап</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4. Инженерно-геоложки становища/участия в комисии и др. по въпроси, свързани с геозащитната дейност</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съгласно постъпили искания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съгласно постъпили искания</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съгласно постъпили искания</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5. Становища по преписки за инвестиционни намерения за строителство в свлачищни райони</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съгласно постъпили искания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съгласно постъпили искания</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themeColor="text1"/>
                <w:sz w:val="16"/>
                <w:szCs w:val="16"/>
              </w:rPr>
              <w:t>съгласно постъпили искания</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6. Изготвени: доклад от обследване / Технически паспорт/ ПИП / ПУП / Инвестиционен проект</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iCs/>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4</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2</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 Физически напредък на обект:</w:t>
            </w:r>
          </w:p>
        </w:tc>
        <w:tc>
          <w:tcPr>
            <w:tcW w:w="711" w:type="dxa"/>
            <w:vMerge w:val="restart"/>
            <w:tcBorders>
              <w:top w:val="nil"/>
              <w:left w:val="single" w:sz="4" w:space="0" w:color="auto"/>
              <w:bottom w:val="single" w:sz="4" w:space="0" w:color="000000"/>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 </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7.1. Изграждане на язовир Луда Яна и ПСПВ</w:t>
            </w:r>
          </w:p>
        </w:tc>
        <w:tc>
          <w:tcPr>
            <w:tcW w:w="711" w:type="dxa"/>
            <w:vMerge/>
            <w:tcBorders>
              <w:top w:val="nil"/>
              <w:left w:val="single" w:sz="4" w:space="0" w:color="auto"/>
              <w:bottom w:val="single" w:sz="4" w:space="0" w:color="000000"/>
              <w:right w:val="single" w:sz="4" w:space="0" w:color="auto"/>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100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 </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7.2. Обследване, проектиране, СМР, АН и СН на ПСПВ Сливен</w:t>
            </w:r>
          </w:p>
        </w:tc>
        <w:tc>
          <w:tcPr>
            <w:tcW w:w="711" w:type="dxa"/>
            <w:vMerge/>
            <w:tcBorders>
              <w:top w:val="nil"/>
              <w:left w:val="single" w:sz="4" w:space="0" w:color="auto"/>
              <w:bottom w:val="single" w:sz="4" w:space="0" w:color="000000"/>
              <w:right w:val="single" w:sz="4" w:space="0" w:color="auto"/>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75</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100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7.3. Реконструкция на довеждащ водопровод до ПСПВ "Стоките" и източен водопроводен клон за питейна вода. Подобект: Източен водопровод до ПСПВ "Стоките" - ЕТАП 2, Водопровод от т.1 до т.293</w:t>
            </w:r>
          </w:p>
        </w:tc>
        <w:tc>
          <w:tcPr>
            <w:tcW w:w="711" w:type="dxa"/>
            <w:vMerge/>
            <w:tcBorders>
              <w:top w:val="nil"/>
              <w:left w:val="single" w:sz="4" w:space="0" w:color="auto"/>
              <w:bottom w:val="single" w:sz="4" w:space="0" w:color="000000"/>
              <w:right w:val="single" w:sz="4" w:space="0" w:color="auto"/>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59</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100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7.4. Увеличаване на капацитета на водоснабдителна система Девненски извори</w:t>
            </w:r>
          </w:p>
        </w:tc>
        <w:tc>
          <w:tcPr>
            <w:tcW w:w="711" w:type="dxa"/>
            <w:vMerge/>
            <w:tcBorders>
              <w:top w:val="nil"/>
              <w:left w:val="single" w:sz="4" w:space="0" w:color="auto"/>
              <w:bottom w:val="single" w:sz="4" w:space="0" w:color="000000"/>
              <w:right w:val="single" w:sz="4" w:space="0" w:color="auto"/>
            </w:tcBorders>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8. Извършена рехабилитация на улична мрежа/завършен благоустройствен обект</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lastRenderedPageBreak/>
              <w:t xml:space="preserve">9.Финансово подпомагане на общини при изработване на проекти на общи устройствени планове. </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17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5</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5</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 xml:space="preserve">10.Разработване на методически указания по прилагането на действащата нормативна уредба в областта на устройството на територията </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50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50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11.Оказване на методическа помощ в дейността на общинските и областните експертни съвети по устройство на територията и на други междуведомствени експертни съвети, работни групи и др.</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90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90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90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12.Издадени разрешения за изработване на проекти за общи и подробни устройствени планове</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13.Издадени заповеди за одобряване на общи и подробни устройствени планове</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30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14.Одобрени инвестиционни проекти</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15.Издадени разрешения за строеж</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70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16.Регистрирани технически паспорти</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40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40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40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17.Отговори на постъпили запитвания, жалби и писма на физически и юридически лица</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бр.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2000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2000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lang w:val="en-US"/>
              </w:rPr>
              <w:t>2000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 xml:space="preserve">18. Създаване на цифрови кадастрална карта и кадастрални регистри </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бр. населени места</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200</w:t>
            </w:r>
          </w:p>
        </w:tc>
      </w:tr>
      <w:tr w:rsidR="00CA1C8B" w:rsidRPr="00CA1C8B" w:rsidTr="00CA1C8B">
        <w:trPr>
          <w:trHeight w:val="323"/>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19. Преизмерване на ДНМ (нивелация I – около 5500 км)</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км</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743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861</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0</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20. Мареографни измервания</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бр. станции</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3</w:t>
            </w:r>
          </w:p>
        </w:tc>
      </w:tr>
      <w:tr w:rsidR="00CA1C8B" w:rsidRPr="00CA1C8B" w:rsidTr="00CA1C8B">
        <w:trPr>
          <w:trHeight w:val="170"/>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21.Контрол на координатите на базовите станции на инфраструктурните ГНСС мрежи</w:t>
            </w:r>
          </w:p>
        </w:tc>
        <w:tc>
          <w:tcPr>
            <w:tcW w:w="711"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бр. мрежи</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4</w:t>
            </w:r>
          </w:p>
        </w:tc>
        <w:tc>
          <w:tcPr>
            <w:tcW w:w="992" w:type="dxa"/>
            <w:tcBorders>
              <w:top w:val="nil"/>
              <w:left w:val="nil"/>
              <w:bottom w:val="single" w:sz="4" w:space="0" w:color="auto"/>
              <w:right w:val="single" w:sz="4" w:space="0" w:color="auto"/>
            </w:tcBorders>
            <w:shd w:val="clear" w:color="auto" w:fill="auto"/>
            <w:vAlign w:val="center"/>
            <w:hideMark/>
          </w:tcPr>
          <w:p w:rsidR="00CA1C8B" w:rsidRPr="00CA1C8B" w:rsidRDefault="00CA1C8B" w:rsidP="00CA1C8B">
            <w:pPr>
              <w:suppressAutoHyphens w:val="0"/>
              <w:spacing w:after="0" w:line="240" w:lineRule="auto"/>
              <w:jc w:val="center"/>
              <w:rPr>
                <w:rFonts w:ascii="Times New Roman" w:eastAsia="Times New Roman" w:hAnsi="Times New Roman" w:cs="Times New Roman"/>
                <w:color w:val="000000"/>
                <w:sz w:val="16"/>
                <w:szCs w:val="16"/>
                <w:lang w:val="en-US"/>
              </w:rPr>
            </w:pPr>
            <w:r w:rsidRPr="00CA1C8B">
              <w:rPr>
                <w:rFonts w:ascii="Times New Roman" w:eastAsia="Times New Roman" w:hAnsi="Times New Roman" w:cs="Times New Roman"/>
                <w:color w:val="000000"/>
                <w:sz w:val="16"/>
                <w:szCs w:val="16"/>
              </w:rPr>
              <w:t>4</w:t>
            </w:r>
          </w:p>
        </w:tc>
      </w:tr>
    </w:tbl>
    <w:p w:rsidR="00426FE9" w:rsidRDefault="00D0590D">
      <w:pPr>
        <w:spacing w:after="0" w:line="240" w:lineRule="auto"/>
        <w:ind w:firstLine="567"/>
        <w:jc w:val="both"/>
        <w:rPr>
          <w:rFonts w:ascii="Times New Roman" w:eastAsia="Calibri" w:hAnsi="Times New Roman" w:cs="Times New Roman"/>
          <w:b/>
          <w:i/>
          <w:color w:val="0000CC"/>
        </w:rPr>
      </w:pPr>
      <w:r>
        <w:rPr>
          <w:rFonts w:ascii="Times New Roman" w:eastAsia="Calibri" w:hAnsi="Times New Roman" w:cs="Times New Roman"/>
          <w:b/>
          <w:i/>
          <w:color w:val="0000CC"/>
        </w:rPr>
        <w:t>Описание на показателите за изпълнение</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Показател „Мониторинг на свлачищните райони“ е с мерна единица - брой изследвания и отчита извършени геодезически измервания, хидрогеоложки измервания, инклинометрични измервания, промерни измервания, мониторинг на изградени дренажни съоръжения и други изследвания;</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Показател „Проекто-проучвателни работи“ се измерва в брой;</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Показател „Завършен геозащитен обект/етап“ се измерва в брой завършен/и геозащитен/ни обект/и, въведен/и в експлоатация с разрешение за ползване;</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Показател „Инженерно-геоложки становища/участия в комисии и др. по въпроси, свързани с геозащитната дейности” включват огледи, становища, участие в комисии по въпроси, свързани с геозащитната дейност и др. Отчитат се в брой;</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Показател „Становища по преписки за инвестиционни намерения за строителство в свлачищни райони” се отчитат в брой;</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Показателите за изпълнение на частта от програмата, свързани с благоустройствени проекти за подобряване на жизнената среда (улична мрежа), се отчитат в брой завършен благоустройствен обект и въведен в експлоатация с Разрешение за ползване или удостоверение за въвеждане в експлоатация; </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Показателите за изпълнение на частта от програмата, свързани с изграждане и/или реконструкция на язовири/прилежащи съоръжения, се отчитат в брой завършен обект и въведен в експлоатация с Разрешение за ползване; </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Показател „Изготвени: доклад от обследване /Технически паспорт/ ПИП / ПУП / Инвестиционен проект“ е количествен с мерна единица - брой изготвени документи; </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Показател „Физически напредък на обекта“ е процентно измерение на физическото изпълнение на обекта към съответната година;</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Показателите за изпълнение представляват основните дейности на АГКК, заложени в Закона за кадастъра и имотния регистър и Закона за геодезията и картографията. </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Данните по показател за изпълнение „Създаване на цифрови кадастрална карта и кадастрални регистри“ са изготвени като прогноза, основана на база предишни периоди и планирани обекти за възлагане на създаване на КККР. </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Данните по показатели за изпълнение „Преизмерване на ДНМ“, „Създаване на единен цифров модел за едромащабна топографска карта на Р България“ и „Мареографни измервания“ са свързани със създаване на единна геодезическа и топографска основа съгласно отговорностите на АГКК, възложени по Закона за геодезията и картографията. </w:t>
      </w:r>
    </w:p>
    <w:p w:rsidR="00426FE9" w:rsidRDefault="00D0590D" w:rsidP="004F30BC">
      <w:pPr>
        <w:numPr>
          <w:ilvl w:val="0"/>
          <w:numId w:val="66"/>
        </w:numPr>
        <w:tabs>
          <w:tab w:val="left" w:pos="851"/>
        </w:tabs>
        <w:spacing w:after="0" w:line="240" w:lineRule="auto"/>
        <w:ind w:left="0" w:right="46" w:firstLine="567"/>
        <w:contextualSpacing/>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Данните по показател за изпълнение „Контрол на координатите на базовите станции на инфраструктурните ГНСС мрежи“ са свързани със задълженията на АГКК, съгласно Инструкция № РД-02-20-25 от 20 септември 2011 г. за определяне на геодезически точки с помощта на Глобални </w:t>
      </w:r>
      <w:r>
        <w:rPr>
          <w:rFonts w:ascii="Times New Roman" w:eastAsia="Times New Roman" w:hAnsi="Times New Roman" w:cs="Times New Roman"/>
          <w:color w:val="000000"/>
          <w:lang w:eastAsia="bg-BG"/>
        </w:rPr>
        <w:lastRenderedPageBreak/>
        <w:t>навигационни спътникови системи (ГНСС), за осъществяване на контрол на координатите на базовите станции на инфраструктурните ГНСС мрежи, получили удостоверение за оценка на съответствие от АГКК.</w:t>
      </w:r>
    </w:p>
    <w:p w:rsidR="00426FE9" w:rsidRDefault="00D0590D" w:rsidP="004F30BC">
      <w:pPr>
        <w:pStyle w:val="ListParagraph"/>
        <w:numPr>
          <w:ilvl w:val="0"/>
          <w:numId w:val="65"/>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Външни фактори, които могат да окажат въздействие върху постигането на целите на програмата</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 xml:space="preserve">Взаимодействието с областните и общинските администрация, с другите централни и териториални администрации на изпълнителната власт, с контролните органи, с експлоатационните дружества и с възложителите – физически и юридически лица; </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Форсмажорни обстоятелства, в т. ч. обилни валежи, разрастване на свлачищни процеси;</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Неосигурено в достатъчен размер финансиране;</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Форсмажорни събития при изпълнение на строително-монтажните работи;</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Забавяне при провеждане на процедури по ЗОП, в т.ч. от страна на общинските администрации, съответно обжалване на проведени процедури по ЗОП;</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Недостатъчен административен капацитет;</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Отказ от изпълнение на договор;</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Забавяне на процедури провеждани по ЗУТ;</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Затруднена доставка на строителни материали и продукти, необходими за изпълнение на част от обектите;</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Прекомерно увеличаване на цените на строителните материали и продуктите;</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bCs/>
          <w:color w:val="000000" w:themeColor="text1"/>
        </w:rPr>
      </w:pPr>
      <w:r>
        <w:rPr>
          <w:rFonts w:ascii="Times New Roman" w:hAnsi="Times New Roman"/>
          <w:bCs/>
          <w:color w:val="000000" w:themeColor="text1"/>
        </w:rPr>
        <w:t>Форсмажорни, епидемиологични или други обстоятелства, които към момента не могат да бъдат предвидени.</w:t>
      </w:r>
    </w:p>
    <w:p w:rsidR="00426FE9" w:rsidRDefault="00D0590D" w:rsidP="004F30BC">
      <w:pPr>
        <w:pStyle w:val="ListParagraph"/>
        <w:numPr>
          <w:ilvl w:val="0"/>
          <w:numId w:val="67"/>
        </w:numPr>
        <w:tabs>
          <w:tab w:val="left" w:pos="851"/>
        </w:tabs>
        <w:spacing w:after="0" w:line="240" w:lineRule="auto"/>
        <w:ind w:left="0" w:right="45" w:firstLine="567"/>
        <w:jc w:val="both"/>
        <w:rPr>
          <w:rFonts w:ascii="Times New Roman" w:hAnsi="Times New Roman"/>
        </w:rPr>
      </w:pPr>
      <w:r>
        <w:rPr>
          <w:rFonts w:ascii="Times New Roman" w:hAnsi="Times New Roman"/>
        </w:rPr>
        <w:t>Недостатъчен финансов ресурс за постигане на целите на програмата.</w:t>
      </w:r>
    </w:p>
    <w:p w:rsidR="00426FE9" w:rsidRDefault="00D0590D">
      <w:pPr>
        <w:pStyle w:val="ListParagraph"/>
        <w:tabs>
          <w:tab w:val="left" w:pos="851"/>
        </w:tabs>
        <w:spacing w:after="0" w:line="240" w:lineRule="auto"/>
        <w:ind w:left="0" w:right="45" w:firstLine="567"/>
        <w:jc w:val="both"/>
        <w:rPr>
          <w:rFonts w:ascii="Times New Roman" w:hAnsi="Times New Roman"/>
        </w:rPr>
      </w:pPr>
      <w:r>
        <w:rPr>
          <w:rFonts w:ascii="Times New Roman" w:hAnsi="Times New Roman"/>
        </w:rPr>
        <w:t>Предвидените средства за дейности по програмата ще се осигуряват чрез субсидия от бюджета на Министерство на регионалното развитие и благоустройството. В случай, че някой от източниците не бъде осигурен или размерът на необходимите средства е намален, изпълнението на целевите стойности ще бъде възпрепятствано. Възможни бюджетни ограничения също могат да попречат на успешното реализиране на заложените цели в програмата.</w:t>
      </w:r>
    </w:p>
    <w:p w:rsidR="000B3757" w:rsidRPr="000B3757" w:rsidRDefault="000B3757" w:rsidP="004F30BC">
      <w:pPr>
        <w:pStyle w:val="ListParagraph"/>
        <w:numPr>
          <w:ilvl w:val="0"/>
          <w:numId w:val="67"/>
        </w:numPr>
        <w:tabs>
          <w:tab w:val="clear" w:pos="0"/>
          <w:tab w:val="left" w:pos="851"/>
        </w:tabs>
        <w:ind w:left="0" w:firstLine="567"/>
        <w:rPr>
          <w:rFonts w:ascii="Times New Roman" w:hAnsi="Times New Roman"/>
        </w:rPr>
      </w:pPr>
      <w:r w:rsidRPr="000B3757">
        <w:rPr>
          <w:rFonts w:ascii="Times New Roman" w:hAnsi="Times New Roman"/>
        </w:rPr>
        <w:t>Забавяне приемането на нормативни актове, които трябва да подпомогнат постигането на целите.</w:t>
      </w:r>
    </w:p>
    <w:p w:rsidR="00426FE9" w:rsidRDefault="000B3757" w:rsidP="004F30BC">
      <w:pPr>
        <w:pStyle w:val="ListParagraph"/>
        <w:numPr>
          <w:ilvl w:val="0"/>
          <w:numId w:val="67"/>
        </w:numPr>
        <w:tabs>
          <w:tab w:val="left" w:pos="851"/>
        </w:tabs>
        <w:spacing w:after="0" w:line="240" w:lineRule="auto"/>
        <w:ind w:left="0" w:right="45" w:firstLine="567"/>
        <w:jc w:val="both"/>
        <w:rPr>
          <w:rFonts w:ascii="Times New Roman" w:hAnsi="Times New Roman"/>
        </w:rPr>
      </w:pPr>
      <w:r>
        <w:rPr>
          <w:rFonts w:ascii="Times New Roman" w:hAnsi="Times New Roman"/>
        </w:rPr>
        <w:t>По отношение на дейностите на АГКК</w:t>
      </w:r>
    </w:p>
    <w:p w:rsidR="000B3757" w:rsidRPr="000B3757" w:rsidRDefault="000B3757" w:rsidP="000B3757">
      <w:pPr>
        <w:shd w:val="clear" w:color="auto" w:fill="FFFFFF"/>
        <w:spacing w:after="0"/>
        <w:ind w:firstLine="567"/>
        <w:jc w:val="both"/>
        <w:rPr>
          <w:rFonts w:ascii="Times New Roman" w:hAnsi="Times New Roman" w:cs="Times New Roman"/>
          <w:color w:val="222222"/>
        </w:rPr>
      </w:pPr>
      <w:r w:rsidRPr="000B3757">
        <w:rPr>
          <w:rFonts w:ascii="Times New Roman" w:hAnsi="Times New Roman" w:cs="Times New Roman"/>
          <w:color w:val="222222"/>
        </w:rPr>
        <w:t xml:space="preserve">Съгласно указанията бюджетът за 2026 г. следва да се разработва при ограничение - общото ниво на разходите да не надвишава 90 на сто от разходите по ЗДБРБ за 2025 г., като е предвидено и намаляване с 10 на сто, считано от 1 септември 2026 г., на разходите за заплати и възнаграждения на персонала и свързаните с тях осигурителни вноски. В същите указания е посочено, че при разработването на разчетите </w:t>
      </w:r>
      <w:r w:rsidRPr="000B3757">
        <w:rPr>
          <w:rFonts w:ascii="Times New Roman" w:hAnsi="Times New Roman" w:cs="Times New Roman"/>
          <w:b/>
          <w:color w:val="222222"/>
        </w:rPr>
        <w:t>следва да се отчитат настъпилите промени в нормативната уредба, новите функции и дейности</w:t>
      </w:r>
      <w:r w:rsidRPr="000B3757">
        <w:rPr>
          <w:rFonts w:ascii="Times New Roman" w:hAnsi="Times New Roman" w:cs="Times New Roman"/>
          <w:color w:val="222222"/>
        </w:rPr>
        <w:t xml:space="preserve">, натуралните и стойностните показатели, както и възможностите за реализиране на икономии с траен характер само при запазване на устойчивото изпълнение на публичните политики. </w:t>
      </w:r>
      <w:r>
        <w:rPr>
          <w:rFonts w:ascii="Times New Roman" w:hAnsi="Times New Roman" w:cs="Times New Roman"/>
          <w:color w:val="222222"/>
        </w:rPr>
        <w:t xml:space="preserve">В този контекст, следва да се подчертае, че </w:t>
      </w:r>
      <w:r w:rsidRPr="000B3757">
        <w:rPr>
          <w:rFonts w:ascii="Times New Roman" w:hAnsi="Times New Roman" w:cs="Times New Roman"/>
          <w:b/>
          <w:color w:val="222222"/>
        </w:rPr>
        <w:t>АГКК не е администрация с отпаднала или намаляваща функционална натовареност.</w:t>
      </w:r>
      <w:r w:rsidRPr="000B3757">
        <w:rPr>
          <w:rFonts w:ascii="Times New Roman" w:hAnsi="Times New Roman" w:cs="Times New Roman"/>
          <w:color w:val="222222"/>
        </w:rPr>
        <w:t xml:space="preserve"> Напротив — през последните години </w:t>
      </w:r>
      <w:r w:rsidRPr="000B3757">
        <w:rPr>
          <w:rFonts w:ascii="Times New Roman" w:hAnsi="Times New Roman" w:cs="Times New Roman"/>
          <w:b/>
          <w:color w:val="222222"/>
        </w:rPr>
        <w:t>функциите на Агенцията се разширяват, обемът на електронните услуги нараства, изискванията към сигурността на информационните системи се повишават, а кадастралните данни придобиват все по-голямо значение за държавното управление, инвестиционния процес, устройственото планиране,  оборотът с недвижимите имоти, електронното управление и националната сигурност</w:t>
      </w:r>
      <w:r w:rsidRPr="000B3757">
        <w:rPr>
          <w:rFonts w:ascii="Times New Roman" w:hAnsi="Times New Roman" w:cs="Times New Roman"/>
          <w:color w:val="222222"/>
        </w:rPr>
        <w:t>.</w:t>
      </w:r>
    </w:p>
    <w:p w:rsidR="000B3757" w:rsidRPr="000B3757" w:rsidRDefault="000B3757" w:rsidP="000B3757">
      <w:pPr>
        <w:shd w:val="clear" w:color="auto" w:fill="FFFFFF"/>
        <w:spacing w:after="0" w:line="240" w:lineRule="auto"/>
        <w:ind w:firstLine="567"/>
        <w:jc w:val="both"/>
        <w:rPr>
          <w:rFonts w:ascii="Times New Roman" w:hAnsi="Times New Roman" w:cs="Times New Roman"/>
          <w:color w:val="222222"/>
        </w:rPr>
      </w:pPr>
      <w:r w:rsidRPr="000B3757">
        <w:rPr>
          <w:rFonts w:ascii="Times New Roman" w:hAnsi="Times New Roman" w:cs="Times New Roman"/>
          <w:color w:val="222222"/>
        </w:rPr>
        <w:t xml:space="preserve">АГКК е държавен орган със специализирани функции от национално значение, който поддържа кадастралната карта и кадастралните регистри, осигурява достъп до кадастрални данни, предоставя административни и електронни услуги, поддържа национална кадастрално-административна информационна система, обслужва граждани, бизнес, общини, нотариуси, частни съдебни изпълнители, съдилища, държавни органи и други институции. Дейността, структурата, организацията на работа и съставът на АГКК и службите по геодезия, картография и кадастър се определят с устройствен правилник, приет от Министерския съвет по предложение на министъра на регионалното развитие и благоустройството, съгласно чл. 15 от ЗКИР. </w:t>
      </w:r>
    </w:p>
    <w:p w:rsidR="000B3757" w:rsidRPr="000B3757" w:rsidRDefault="000B3757" w:rsidP="000B3757">
      <w:pPr>
        <w:shd w:val="clear" w:color="auto" w:fill="FFFFFF"/>
        <w:spacing w:after="0" w:line="240" w:lineRule="auto"/>
        <w:ind w:firstLine="567"/>
        <w:jc w:val="both"/>
        <w:rPr>
          <w:rFonts w:ascii="Times New Roman" w:hAnsi="Times New Roman" w:cs="Times New Roman"/>
          <w:color w:val="222222"/>
        </w:rPr>
      </w:pPr>
      <w:r w:rsidRPr="000B3757">
        <w:rPr>
          <w:rFonts w:ascii="Times New Roman" w:hAnsi="Times New Roman" w:cs="Times New Roman"/>
          <w:color w:val="222222"/>
        </w:rPr>
        <w:lastRenderedPageBreak/>
        <w:t xml:space="preserve">След последните изменения в нормативната уредба, включително в Закона за кадастъра и имотния регистър, </w:t>
      </w:r>
      <w:r w:rsidRPr="000B3757">
        <w:rPr>
          <w:rFonts w:ascii="Times New Roman" w:hAnsi="Times New Roman" w:cs="Times New Roman"/>
          <w:b/>
          <w:color w:val="222222"/>
        </w:rPr>
        <w:t>очакванията към АГКК нарастват както по отношение на бързината и качеството на административното обслужване, така и по отношение на правната сигурност, оперативната съвместимост, електронния обмен на данни, контрола върху достъпа до информация и защитата на личните данни.</w:t>
      </w:r>
      <w:r w:rsidRPr="000B3757">
        <w:rPr>
          <w:rFonts w:ascii="Times New Roman" w:hAnsi="Times New Roman" w:cs="Times New Roman"/>
          <w:color w:val="222222"/>
        </w:rPr>
        <w:t xml:space="preserve"> Устройственият правилник на АГКК също очертава Агенцията като специализирана администрация със сложна териториална структура и специфична експертна дейност, която не може да бъде изпълнявана от персонал без необходимите специализирани експертни познания. </w:t>
      </w:r>
    </w:p>
    <w:p w:rsidR="000B3757" w:rsidRPr="000B3757" w:rsidRDefault="000B3757" w:rsidP="000B3757">
      <w:pPr>
        <w:shd w:val="clear" w:color="auto" w:fill="FFFFFF"/>
        <w:spacing w:after="0" w:line="240" w:lineRule="auto"/>
        <w:ind w:firstLine="567"/>
        <w:jc w:val="both"/>
        <w:rPr>
          <w:rFonts w:ascii="Times New Roman" w:hAnsi="Times New Roman" w:cs="Times New Roman"/>
          <w:b/>
          <w:color w:val="222222"/>
        </w:rPr>
      </w:pPr>
      <w:r w:rsidRPr="000B3757">
        <w:rPr>
          <w:rFonts w:ascii="Times New Roman" w:hAnsi="Times New Roman" w:cs="Times New Roman"/>
          <w:color w:val="222222"/>
        </w:rPr>
        <w:t xml:space="preserve">Във връзка с това намаляването на разходите за персонал в АГКК </w:t>
      </w:r>
      <w:r w:rsidRPr="000B3757">
        <w:rPr>
          <w:rFonts w:ascii="Times New Roman" w:hAnsi="Times New Roman" w:cs="Times New Roman"/>
          <w:b/>
          <w:color w:val="222222"/>
        </w:rPr>
        <w:t>не би представлявало обикновена бюджетна икономия, а би създало реален риск за изпълнението на законово възложени функции.</w:t>
      </w:r>
      <w:r w:rsidRPr="000B3757">
        <w:rPr>
          <w:rFonts w:ascii="Times New Roman" w:hAnsi="Times New Roman" w:cs="Times New Roman"/>
          <w:color w:val="222222"/>
        </w:rPr>
        <w:t xml:space="preserve"> Кадастърът е основа за правната сигурност на собствеността, за инвестиционния процес, за строителството, за устройственото планиране, за данъчното облагане, за инфраструктурните проекти, за съдебни и нотариални производства, за административни услуги и за електронното управление. </w:t>
      </w:r>
      <w:r w:rsidRPr="000B3757">
        <w:rPr>
          <w:rFonts w:ascii="Times New Roman" w:hAnsi="Times New Roman" w:cs="Times New Roman"/>
          <w:b/>
          <w:color w:val="222222"/>
        </w:rPr>
        <w:t>Всяко отслабване на институционалния капацитет на АГКК би имало отражение не само върху вътрешната организация на Агенцията, но и върху широк кръг обществени, икономически и административни процеси.</w:t>
      </w:r>
    </w:p>
    <w:p w:rsidR="000B3757" w:rsidRPr="000B3757" w:rsidRDefault="000B3757" w:rsidP="000B3757">
      <w:pPr>
        <w:shd w:val="clear" w:color="auto" w:fill="FFFFFF"/>
        <w:spacing w:after="0" w:line="240" w:lineRule="auto"/>
        <w:ind w:firstLine="567"/>
        <w:jc w:val="both"/>
        <w:rPr>
          <w:rFonts w:ascii="Times New Roman" w:hAnsi="Times New Roman" w:cs="Times New Roman"/>
          <w:b/>
          <w:color w:val="222222"/>
        </w:rPr>
      </w:pPr>
      <w:r w:rsidRPr="000B3757">
        <w:rPr>
          <w:rFonts w:ascii="Times New Roman" w:hAnsi="Times New Roman" w:cs="Times New Roman"/>
          <w:color w:val="222222"/>
        </w:rPr>
        <w:t xml:space="preserve">Особено важно е да се отчете, че </w:t>
      </w:r>
      <w:r w:rsidRPr="000B3757">
        <w:rPr>
          <w:rFonts w:ascii="Times New Roman" w:hAnsi="Times New Roman" w:cs="Times New Roman"/>
          <w:b/>
          <w:color w:val="222222"/>
        </w:rPr>
        <w:t>персоналът на АГКК е високоспециализиран</w:t>
      </w:r>
      <w:r w:rsidRPr="000B3757">
        <w:rPr>
          <w:rFonts w:ascii="Times New Roman" w:hAnsi="Times New Roman" w:cs="Times New Roman"/>
          <w:color w:val="222222"/>
        </w:rPr>
        <w:t xml:space="preserve">. Дейността изисква едновременно познаване на геодезия, кадастър, картография, вещно право, административно производство, устройство на територията, информационни системи, киберсигурност, електронно управление, защита на личните данни и работа със специализирани регистри. </w:t>
      </w:r>
      <w:r w:rsidRPr="000B3757">
        <w:rPr>
          <w:rFonts w:ascii="Times New Roman" w:hAnsi="Times New Roman" w:cs="Times New Roman"/>
          <w:b/>
          <w:color w:val="222222"/>
        </w:rPr>
        <w:t>Това са знания и умения, които не могат да бъдат придобити краткосрочно и не могат лесно да бъдат заместени чрез бързо назначаване на нови служители.</w:t>
      </w:r>
    </w:p>
    <w:p w:rsidR="000B3757" w:rsidRPr="000B3757" w:rsidRDefault="000B3757" w:rsidP="000B3757">
      <w:pPr>
        <w:shd w:val="clear" w:color="auto" w:fill="FFFFFF"/>
        <w:spacing w:after="0" w:line="240" w:lineRule="auto"/>
        <w:ind w:firstLine="567"/>
        <w:jc w:val="both"/>
        <w:rPr>
          <w:rFonts w:ascii="Times New Roman" w:hAnsi="Times New Roman" w:cs="Times New Roman"/>
          <w:color w:val="222222"/>
        </w:rPr>
      </w:pPr>
      <w:r w:rsidRPr="000B3757">
        <w:rPr>
          <w:rFonts w:ascii="Times New Roman" w:hAnsi="Times New Roman" w:cs="Times New Roman"/>
          <w:color w:val="222222"/>
        </w:rPr>
        <w:t>На практика намирането, назначаването и задържането на специалисти в тази материя е изключително трудно. Пазарът на труда предлага ограничен брой експерти с необходимата комбинация от техническа, правна и административна компетентност. Геодезистите, IT специалистите, експертите по информационна сигурност и юристите със специализация в кадастъра и вещното право са търсени както в частния сектор, така и от други публични структури. При неконкурентни възнаграждения и липса на перспектива за развитие рискът от напускане на вече обучени служители е съществен.</w:t>
      </w:r>
    </w:p>
    <w:p w:rsidR="000B3757" w:rsidRPr="000B3757" w:rsidRDefault="000B3757" w:rsidP="000B3757">
      <w:pPr>
        <w:shd w:val="clear" w:color="auto" w:fill="FFFFFF"/>
        <w:spacing w:after="0" w:line="240" w:lineRule="auto"/>
        <w:ind w:firstLine="567"/>
        <w:jc w:val="both"/>
        <w:rPr>
          <w:rFonts w:ascii="Times New Roman" w:hAnsi="Times New Roman" w:cs="Times New Roman"/>
          <w:color w:val="222222"/>
        </w:rPr>
      </w:pPr>
      <w:r w:rsidRPr="000B3757">
        <w:rPr>
          <w:rFonts w:ascii="Times New Roman" w:hAnsi="Times New Roman" w:cs="Times New Roman"/>
          <w:color w:val="222222"/>
        </w:rPr>
        <w:t>Загубата на обучен служител в АГКК не е само кадрови проблем. Тя означава загуба на институционална памет, натрупан практически опит, познаване на сложни производства, специфични казуси, съдебна практика, вътрешни процеси, информационни системи и междуинституционални механизми. Замяната на такъв служител изисква продължителен период на обучение, вътрешно наставничество и реална работа по преписки, което в условията на вече висока натовареност допълнително затруднява администрацията.</w:t>
      </w:r>
    </w:p>
    <w:p w:rsidR="000B3757" w:rsidRPr="000B3757" w:rsidRDefault="000B3757" w:rsidP="000B3757">
      <w:pPr>
        <w:shd w:val="clear" w:color="auto" w:fill="FFFFFF"/>
        <w:spacing w:after="0" w:line="240" w:lineRule="auto"/>
        <w:ind w:firstLine="567"/>
        <w:jc w:val="both"/>
        <w:rPr>
          <w:rFonts w:ascii="Times New Roman" w:hAnsi="Times New Roman" w:cs="Times New Roman"/>
          <w:b/>
          <w:color w:val="222222"/>
        </w:rPr>
      </w:pPr>
      <w:r w:rsidRPr="000B3757">
        <w:rPr>
          <w:rFonts w:ascii="Times New Roman" w:hAnsi="Times New Roman" w:cs="Times New Roman"/>
          <w:color w:val="222222"/>
        </w:rPr>
        <w:t xml:space="preserve">От финансова гледна точка </w:t>
      </w:r>
      <w:r w:rsidRPr="000B3757">
        <w:rPr>
          <w:rFonts w:ascii="Times New Roman" w:hAnsi="Times New Roman" w:cs="Times New Roman"/>
          <w:b/>
          <w:color w:val="222222"/>
        </w:rPr>
        <w:t>съкращаването на персонал или намаляването на разходите за възнаграждения може да създаде привидна краткосрочна икономия, но да доведе до значително по-високи косвени разходи за държавата.</w:t>
      </w:r>
      <w:r w:rsidRPr="000B3757">
        <w:rPr>
          <w:rFonts w:ascii="Times New Roman" w:hAnsi="Times New Roman" w:cs="Times New Roman"/>
          <w:color w:val="222222"/>
        </w:rPr>
        <w:t xml:space="preserve"> Такива разходи могат да възникнат под формата на забавени административни услуги, увеличен брой жалби и съдебни производства, риск от просрочени срокове, необходимост от възлагане на дейности на външни изпълнители, понижен контрол върху качеството на данните, затруднено поддържане на информационната система </w:t>
      </w:r>
      <w:r w:rsidRPr="000B3757">
        <w:rPr>
          <w:rFonts w:ascii="Times New Roman" w:hAnsi="Times New Roman" w:cs="Times New Roman"/>
          <w:b/>
          <w:color w:val="222222"/>
        </w:rPr>
        <w:t>и повишен риск от инциденти, включително в областта на киберсигурността.</w:t>
      </w:r>
    </w:p>
    <w:p w:rsidR="000B3757" w:rsidRPr="000B3757" w:rsidRDefault="000B3757" w:rsidP="000B3757">
      <w:pPr>
        <w:shd w:val="clear" w:color="auto" w:fill="FFFFFF"/>
        <w:spacing w:after="0" w:line="240" w:lineRule="auto"/>
        <w:ind w:firstLine="567"/>
        <w:jc w:val="both"/>
        <w:rPr>
          <w:rFonts w:ascii="Times New Roman" w:hAnsi="Times New Roman" w:cs="Times New Roman"/>
          <w:color w:val="222222"/>
        </w:rPr>
      </w:pPr>
      <w:r w:rsidRPr="000B3757">
        <w:rPr>
          <w:rFonts w:ascii="Times New Roman" w:hAnsi="Times New Roman" w:cs="Times New Roman"/>
          <w:color w:val="222222"/>
        </w:rPr>
        <w:t xml:space="preserve">Следва да се отчете и че част от дейностите на АГКК са свързани с поддържане на информационната система и предоставяне на електронни услуги, които се използват ежедневно от граждани, бизнес – в това число и правоспособни лица по кадастър, както и институции. В условията на цифровизация, нарастващ електронен достъп и повишени изисквания за информационна сигурност е необходимо не намаляване, а укрепване на IT и експертния капацитет на Агенцията. </w:t>
      </w:r>
      <w:r w:rsidRPr="000B3757">
        <w:rPr>
          <w:rFonts w:ascii="Times New Roman" w:hAnsi="Times New Roman" w:cs="Times New Roman"/>
          <w:b/>
          <w:color w:val="222222"/>
        </w:rPr>
        <w:t>Поддържането на такава система не може да се разглежда като обикновена административна дейност, а като дейност по осигуряване на непрекъсваемост, надеждност, сигурност и устойчивост на ключова държавна информационна инфраструктура</w:t>
      </w:r>
      <w:r w:rsidRPr="000B3757">
        <w:rPr>
          <w:rFonts w:ascii="Times New Roman" w:hAnsi="Times New Roman" w:cs="Times New Roman"/>
          <w:color w:val="222222"/>
        </w:rPr>
        <w:t>.</w:t>
      </w:r>
    </w:p>
    <w:p w:rsidR="000B3757" w:rsidRPr="000B3757" w:rsidRDefault="000B3757" w:rsidP="000B3757">
      <w:pPr>
        <w:shd w:val="clear" w:color="auto" w:fill="FFFFFF"/>
        <w:spacing w:after="0" w:line="240" w:lineRule="auto"/>
        <w:ind w:firstLine="567"/>
        <w:jc w:val="both"/>
        <w:rPr>
          <w:rFonts w:ascii="Times New Roman" w:hAnsi="Times New Roman" w:cs="Times New Roman"/>
          <w:b/>
          <w:color w:val="222222"/>
        </w:rPr>
      </w:pPr>
      <w:r w:rsidRPr="000B3757">
        <w:rPr>
          <w:rFonts w:ascii="Times New Roman" w:hAnsi="Times New Roman" w:cs="Times New Roman"/>
          <w:color w:val="222222"/>
        </w:rPr>
        <w:t xml:space="preserve">В този смисъл човешкият ресурс на АГКК е пряко свързан с финансовата дисциплина и доброто управление. Достатъчният, обучен и мотивиран персонал намалява риска от грешки, забавяния, съдебни спорове, обезщетения, неефективни възлагания и бъдещи извънредни разходи. </w:t>
      </w:r>
      <w:r w:rsidRPr="000B3757">
        <w:rPr>
          <w:rFonts w:ascii="Times New Roman" w:hAnsi="Times New Roman" w:cs="Times New Roman"/>
          <w:b/>
          <w:color w:val="222222"/>
        </w:rPr>
        <w:t>Недостатъчният персонал, обратно, води до натрупване на напрежение, забавяне на процесите, формално изпълнение, по-висок риск от пропуски и необходимост от по-скъпи решения.</w:t>
      </w:r>
    </w:p>
    <w:p w:rsidR="000B3757" w:rsidRDefault="000B3757" w:rsidP="000B3757">
      <w:pPr>
        <w:shd w:val="clear" w:color="auto" w:fill="FFFFFF"/>
        <w:spacing w:after="0" w:line="240" w:lineRule="auto"/>
        <w:ind w:firstLine="567"/>
        <w:jc w:val="both"/>
        <w:rPr>
          <w:rFonts w:ascii="Times New Roman" w:hAnsi="Times New Roman" w:cs="Times New Roman"/>
          <w:color w:val="222222"/>
        </w:rPr>
      </w:pPr>
      <w:r w:rsidRPr="000B3757">
        <w:rPr>
          <w:rFonts w:ascii="Times New Roman" w:hAnsi="Times New Roman" w:cs="Times New Roman"/>
          <w:color w:val="222222"/>
        </w:rPr>
        <w:lastRenderedPageBreak/>
        <w:t>В рамките на международните участия на АГКК през изминалата година е събрана информация по отношение и на щатния състав на някои участниците - Кипър разполага с около 1100 служители, Швеция — с около 2100 служители, а Сърбия — с над 3000 служители, включително над 400 юристи и над 800 инженери. На този фон АГКК изпълнява съпоставими по обществена значимост функции с приблизително 420 служители.</w:t>
      </w:r>
    </w:p>
    <w:p w:rsidR="003A2796" w:rsidRPr="003A2796" w:rsidRDefault="003A2796" w:rsidP="003A2796">
      <w:pPr>
        <w:shd w:val="clear" w:color="auto" w:fill="FFFFFF"/>
        <w:spacing w:after="0" w:line="240" w:lineRule="auto"/>
        <w:ind w:firstLine="567"/>
        <w:jc w:val="both"/>
        <w:rPr>
          <w:rFonts w:ascii="Times New Roman" w:hAnsi="Times New Roman" w:cs="Times New Roman"/>
          <w:b/>
          <w:bCs/>
          <w:color w:val="222222"/>
          <w:lang w:val="en-US"/>
        </w:rPr>
      </w:pPr>
      <w:r w:rsidRPr="003A2796">
        <w:rPr>
          <w:rFonts w:ascii="Times New Roman" w:hAnsi="Times New Roman" w:cs="Times New Roman"/>
          <w:b/>
          <w:bCs/>
          <w:color w:val="222222"/>
        </w:rPr>
        <w:t>Сравнителна таблица между кадастралните системи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България, Румъния, Сърбия, Северна Македония, Гърция и Люксембург</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p>
    <w:tbl>
      <w:tblPr>
        <w:tblStyle w:val="TableGrid"/>
        <w:tblW w:w="0" w:type="auto"/>
        <w:tblLook w:val="04A0" w:firstRow="1" w:lastRow="0" w:firstColumn="1" w:lastColumn="0" w:noHBand="0" w:noVBand="1"/>
      </w:tblPr>
      <w:tblGrid>
        <w:gridCol w:w="2161"/>
        <w:gridCol w:w="1377"/>
        <w:gridCol w:w="1276"/>
        <w:gridCol w:w="1277"/>
        <w:gridCol w:w="1275"/>
        <w:gridCol w:w="1242"/>
        <w:gridCol w:w="1433"/>
      </w:tblGrid>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Показател</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center"/>
              <w:rPr>
                <w:rFonts w:ascii="Times New Roman" w:hAnsi="Times New Roman" w:cs="Times New Roman"/>
                <w:color w:val="222222"/>
              </w:rPr>
            </w:pPr>
            <w:r w:rsidRPr="003A2796">
              <w:rPr>
                <w:rFonts w:ascii="Times New Roman" w:hAnsi="Times New Roman" w:cs="Times New Roman"/>
                <w:color w:val="222222"/>
              </w:rPr>
              <w:t>България</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center"/>
              <w:rPr>
                <w:rFonts w:ascii="Times New Roman" w:hAnsi="Times New Roman" w:cs="Times New Roman"/>
                <w:color w:val="222222"/>
              </w:rPr>
            </w:pPr>
            <w:r w:rsidRPr="003A2796">
              <w:rPr>
                <w:rFonts w:ascii="Times New Roman" w:hAnsi="Times New Roman" w:cs="Times New Roman"/>
                <w:color w:val="222222"/>
              </w:rPr>
              <w:t>Румъния</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center"/>
              <w:rPr>
                <w:rFonts w:ascii="Times New Roman" w:hAnsi="Times New Roman" w:cs="Times New Roman"/>
                <w:color w:val="222222"/>
              </w:rPr>
            </w:pPr>
            <w:r w:rsidRPr="003A2796">
              <w:rPr>
                <w:rFonts w:ascii="Times New Roman" w:hAnsi="Times New Roman" w:cs="Times New Roman"/>
                <w:color w:val="222222"/>
              </w:rPr>
              <w:t>Сърбия</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center"/>
              <w:rPr>
                <w:rFonts w:ascii="Times New Roman" w:hAnsi="Times New Roman" w:cs="Times New Roman"/>
                <w:color w:val="222222"/>
              </w:rPr>
            </w:pPr>
            <w:r w:rsidRPr="003A2796">
              <w:rPr>
                <w:rFonts w:ascii="Times New Roman" w:hAnsi="Times New Roman" w:cs="Times New Roman"/>
                <w:color w:val="222222"/>
              </w:rPr>
              <w:t>Северна Македония</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center"/>
              <w:rPr>
                <w:rFonts w:ascii="Times New Roman" w:hAnsi="Times New Roman" w:cs="Times New Roman"/>
                <w:color w:val="222222"/>
              </w:rPr>
            </w:pPr>
            <w:r w:rsidRPr="003A2796">
              <w:rPr>
                <w:rFonts w:ascii="Times New Roman" w:hAnsi="Times New Roman" w:cs="Times New Roman"/>
                <w:color w:val="222222"/>
              </w:rPr>
              <w:t>Гърция</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center"/>
              <w:rPr>
                <w:rFonts w:ascii="Times New Roman" w:hAnsi="Times New Roman" w:cs="Times New Roman"/>
                <w:color w:val="222222"/>
              </w:rPr>
            </w:pPr>
            <w:r w:rsidRPr="003A2796">
              <w:rPr>
                <w:rFonts w:ascii="Times New Roman" w:hAnsi="Times New Roman" w:cs="Times New Roman"/>
                <w:color w:val="222222"/>
              </w:rPr>
              <w:t>Люксембург</w:t>
            </w:r>
          </w:p>
        </w:tc>
      </w:tr>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Площ (кв.км)</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111 000</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238 400</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88 400</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25 700</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131 900</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2 586</w:t>
            </w:r>
          </w:p>
        </w:tc>
      </w:tr>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Население</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~6.4 млн.</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~19 млн.</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~6.6 млн.</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~1.8 млн.</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~10.3 млн.</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~680 хил.</w:t>
            </w:r>
          </w:p>
        </w:tc>
      </w:tr>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Административно деление</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28 области / 265 общини</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41 региона + Букурещ</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29 области</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8 региона/  80 общини</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13 региона</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 xml:space="preserve"> 100 общини</w:t>
            </w:r>
          </w:p>
        </w:tc>
      </w:tr>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Кадастрално покритие</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~98%</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~75–80%</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~60-70%</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~100%</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~55–60%</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~100%</w:t>
            </w:r>
          </w:p>
        </w:tc>
      </w:tr>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Годишни услуги</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~3.5 млн.</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~20+ млн.</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 млн.</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~500 хил.</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~1.5 млн.</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~200 хил.</w:t>
            </w:r>
          </w:p>
        </w:tc>
      </w:tr>
      <w:tr w:rsidR="003A2796" w:rsidRPr="003A2796" w:rsidTr="003A2796">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ind w:firstLine="22"/>
              <w:jc w:val="both"/>
              <w:rPr>
                <w:rFonts w:ascii="Times New Roman" w:hAnsi="Times New Roman" w:cs="Times New Roman"/>
                <w:color w:val="222222"/>
              </w:rPr>
            </w:pPr>
            <w:r w:rsidRPr="003A2796">
              <w:rPr>
                <w:rFonts w:ascii="Times New Roman" w:hAnsi="Times New Roman" w:cs="Times New Roman"/>
                <w:color w:val="222222"/>
              </w:rPr>
              <w:t>Ниво на дигитализация</w:t>
            </w:r>
          </w:p>
        </w:tc>
        <w:tc>
          <w:tcPr>
            <w:tcW w:w="13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Високо</w:t>
            </w:r>
          </w:p>
        </w:tc>
        <w:tc>
          <w:tcPr>
            <w:tcW w:w="1276"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Средно към високо</w:t>
            </w:r>
          </w:p>
        </w:tc>
        <w:tc>
          <w:tcPr>
            <w:tcW w:w="1277"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Средно</w:t>
            </w:r>
          </w:p>
        </w:tc>
        <w:tc>
          <w:tcPr>
            <w:tcW w:w="1275"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Високо</w:t>
            </w:r>
          </w:p>
        </w:tc>
        <w:tc>
          <w:tcPr>
            <w:tcW w:w="1242" w:type="dxa"/>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Средно</w:t>
            </w:r>
          </w:p>
        </w:tc>
        <w:tc>
          <w:tcPr>
            <w:tcW w:w="0" w:type="auto"/>
            <w:tcBorders>
              <w:top w:val="single" w:sz="4" w:space="0" w:color="auto"/>
              <w:left w:val="single" w:sz="4" w:space="0" w:color="auto"/>
              <w:bottom w:val="single" w:sz="4" w:space="0" w:color="auto"/>
              <w:right w:val="single" w:sz="4" w:space="0" w:color="auto"/>
            </w:tcBorders>
            <w:hideMark/>
          </w:tcPr>
          <w:p w:rsidR="003A2796" w:rsidRPr="003A2796" w:rsidRDefault="003A2796" w:rsidP="003A2796">
            <w:pPr>
              <w:shd w:val="clear" w:color="auto" w:fill="FFFFFF"/>
              <w:spacing w:after="0" w:line="240" w:lineRule="auto"/>
              <w:jc w:val="both"/>
              <w:rPr>
                <w:rFonts w:ascii="Times New Roman" w:hAnsi="Times New Roman" w:cs="Times New Roman"/>
                <w:color w:val="222222"/>
              </w:rPr>
            </w:pPr>
            <w:r w:rsidRPr="003A2796">
              <w:rPr>
                <w:rFonts w:ascii="Times New Roman" w:hAnsi="Times New Roman" w:cs="Times New Roman"/>
                <w:color w:val="222222"/>
              </w:rPr>
              <w:t>Много високо</w:t>
            </w:r>
          </w:p>
        </w:tc>
      </w:tr>
    </w:tbl>
    <w:p w:rsidR="003A2796" w:rsidRPr="003A2796" w:rsidRDefault="003A2796" w:rsidP="003A2796">
      <w:pPr>
        <w:shd w:val="clear" w:color="auto" w:fill="FFFFFF"/>
        <w:spacing w:after="0" w:line="240" w:lineRule="auto"/>
        <w:ind w:firstLine="567"/>
        <w:jc w:val="both"/>
        <w:rPr>
          <w:rFonts w:ascii="Times New Roman" w:hAnsi="Times New Roman" w:cs="Times New Roman"/>
          <w:b/>
          <w:bCs/>
          <w:color w:val="222222"/>
          <w:lang w:val="en-US"/>
        </w:rPr>
      </w:pPr>
      <w:r w:rsidRPr="003A2796">
        <w:rPr>
          <w:rFonts w:ascii="Times New Roman" w:hAnsi="Times New Roman" w:cs="Times New Roman"/>
          <w:b/>
          <w:bCs/>
          <w:color w:val="222222"/>
        </w:rPr>
        <w:t>Основни изводи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България е сред държавите с най-високо кадастрално покритие на Балканите.</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Северна Македония и Люксембург практически са завършили националните си кадастрални системи.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Румъния обработва най-голям административен и сервизен обем.</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Гърция все още се намира в процес на активно създаване на кадастър.</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След сравнителната таблица е подходящо да се посочи и приблизителният щатен състав стоящ зад реализирането на изложените по-горе показатели:</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rPr>
      </w:pPr>
      <w:r w:rsidRPr="003A2796">
        <w:rPr>
          <w:rFonts w:ascii="Times New Roman" w:hAnsi="Times New Roman" w:cs="Times New Roman"/>
          <w:b/>
          <w:color w:val="222222"/>
        </w:rPr>
        <w:t>България – 425 щатни бройки;</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rPr>
      </w:pPr>
      <w:r w:rsidRPr="003A2796">
        <w:rPr>
          <w:rFonts w:ascii="Times New Roman" w:hAnsi="Times New Roman" w:cs="Times New Roman"/>
          <w:b/>
          <w:color w:val="222222"/>
        </w:rPr>
        <w:t>Румъния – прибл. 3000 щатни бройки;</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rPr>
      </w:pPr>
      <w:r w:rsidRPr="003A2796">
        <w:rPr>
          <w:rFonts w:ascii="Times New Roman" w:hAnsi="Times New Roman" w:cs="Times New Roman"/>
          <w:b/>
          <w:color w:val="222222"/>
        </w:rPr>
        <w:t>Сърбия - прибл. 3000 щатни бройки;</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rPr>
      </w:pPr>
      <w:r w:rsidRPr="003A2796">
        <w:rPr>
          <w:rFonts w:ascii="Times New Roman" w:hAnsi="Times New Roman" w:cs="Times New Roman"/>
          <w:b/>
          <w:color w:val="222222"/>
        </w:rPr>
        <w:t>Северна Македония – прибл. 900 щатни бройки;</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rPr>
      </w:pPr>
      <w:r w:rsidRPr="003A2796">
        <w:rPr>
          <w:rFonts w:ascii="Times New Roman" w:hAnsi="Times New Roman" w:cs="Times New Roman"/>
          <w:b/>
          <w:color w:val="222222"/>
        </w:rPr>
        <w:t>Гърция – прибл. 4000 щатни бройки;</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u w:val="single"/>
        </w:rPr>
      </w:pPr>
      <w:r w:rsidRPr="003A2796">
        <w:rPr>
          <w:rFonts w:ascii="Times New Roman" w:hAnsi="Times New Roman" w:cs="Times New Roman"/>
          <w:color w:val="222222"/>
        </w:rPr>
        <w:t xml:space="preserve">Разбира се, държавите имат различен мащаб, различна институционална структура и различно разпределение на функциите между отделните органи. Въпреки това сравнението е показателно: </w:t>
      </w:r>
      <w:r w:rsidRPr="003A2796">
        <w:rPr>
          <w:rFonts w:ascii="Times New Roman" w:hAnsi="Times New Roman" w:cs="Times New Roman"/>
          <w:b/>
          <w:color w:val="222222"/>
        </w:rPr>
        <w:t xml:space="preserve">съвременният кадастър вече не се възприема единствено като карта и регистър, а като стратегическа инфраструктура за управление на пространствена информация, правна сигурност, инвестиции, риск, устройство на територията, публични услуги и цифрово управление. </w:t>
      </w:r>
      <w:r w:rsidRPr="003A2796">
        <w:rPr>
          <w:rFonts w:ascii="Times New Roman" w:hAnsi="Times New Roman" w:cs="Times New Roman"/>
          <w:b/>
          <w:color w:val="222222"/>
          <w:u w:val="single"/>
        </w:rPr>
        <w:t>Именно поради това кадровото обезпечаване на АГКК следва да бъде разглеждано не като разход, който подлежи на механично съкращаване, а като инвестиция в устойчивостта на държавната администрация.</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Особено показателен е изводът от представените европейски и регионални модели, че дигитализацията сама по себе си не намалява автоматично необходимостта от експерти. Напротив - колкото по-дигитализирана и интегрирана става една система, толкова по-голяма е необходимостта от специалисти, които да я поддържат, развиват, защитават, анализират данните, осигуряват нормативна съвместимост, контролират качеството и гарантират законосъобразността на административните процеси.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Във връзка с това намаляването на персонала на АГКК би било в противоречие с реалната посока на развитие на кадастъра в Европа. Вместо да се съкращава експертният капацитет, следва да се предприемат действия за неговото запазване и постепенно укрепване, особено в следните направления:</w:t>
      </w:r>
    </w:p>
    <w:p w:rsidR="003A2796" w:rsidRPr="003A2796" w:rsidRDefault="003A2796" w:rsidP="004F30BC">
      <w:pPr>
        <w:numPr>
          <w:ilvl w:val="0"/>
          <w:numId w:val="95"/>
        </w:numPr>
        <w:shd w:val="clear" w:color="auto" w:fill="FFFFFF"/>
        <w:spacing w:after="0" w:line="240" w:lineRule="auto"/>
        <w:ind w:left="0" w:firstLine="567"/>
        <w:jc w:val="both"/>
        <w:rPr>
          <w:rFonts w:ascii="Times New Roman" w:hAnsi="Times New Roman" w:cs="Times New Roman"/>
          <w:color w:val="222222"/>
        </w:rPr>
      </w:pPr>
      <w:r w:rsidRPr="003A2796">
        <w:rPr>
          <w:rFonts w:ascii="Times New Roman" w:hAnsi="Times New Roman" w:cs="Times New Roman"/>
          <w:color w:val="222222"/>
        </w:rPr>
        <w:t>правен капацитет за методическо ръководство, уеднаквяване на практиката на СГКК, процесуално представителство, изготвяне на становища, договори и предложения за нормативни промени;</w:t>
      </w:r>
    </w:p>
    <w:p w:rsidR="003A2796" w:rsidRPr="003A2796" w:rsidRDefault="003A2796" w:rsidP="004F30BC">
      <w:pPr>
        <w:numPr>
          <w:ilvl w:val="0"/>
          <w:numId w:val="95"/>
        </w:numPr>
        <w:shd w:val="clear" w:color="auto" w:fill="FFFFFF"/>
        <w:spacing w:after="0" w:line="240" w:lineRule="auto"/>
        <w:ind w:left="0" w:firstLine="567"/>
        <w:jc w:val="both"/>
        <w:rPr>
          <w:rFonts w:ascii="Times New Roman" w:hAnsi="Times New Roman" w:cs="Times New Roman"/>
          <w:color w:val="222222"/>
        </w:rPr>
      </w:pPr>
      <w:r w:rsidRPr="003A2796">
        <w:rPr>
          <w:rFonts w:ascii="Times New Roman" w:hAnsi="Times New Roman" w:cs="Times New Roman"/>
          <w:color w:val="222222"/>
        </w:rPr>
        <w:t>геодезически и кадастрален капацитет за поддържане на кадастралната карта и кадастралните регистри, контрол на качеството на данните, приемане на проекти и решаване на сложни казуси;</w:t>
      </w:r>
    </w:p>
    <w:p w:rsidR="003A2796" w:rsidRPr="003A2796" w:rsidRDefault="003A2796" w:rsidP="004F30BC">
      <w:pPr>
        <w:numPr>
          <w:ilvl w:val="0"/>
          <w:numId w:val="95"/>
        </w:numPr>
        <w:shd w:val="clear" w:color="auto" w:fill="FFFFFF"/>
        <w:spacing w:after="0" w:line="240" w:lineRule="auto"/>
        <w:ind w:left="0" w:firstLine="567"/>
        <w:jc w:val="both"/>
        <w:rPr>
          <w:rFonts w:ascii="Times New Roman" w:hAnsi="Times New Roman" w:cs="Times New Roman"/>
          <w:color w:val="222222"/>
        </w:rPr>
      </w:pPr>
      <w:r w:rsidRPr="003A2796">
        <w:rPr>
          <w:rFonts w:ascii="Times New Roman" w:hAnsi="Times New Roman" w:cs="Times New Roman"/>
          <w:color w:val="222222"/>
        </w:rPr>
        <w:t>IT капацитет за поддръжка, развитие, интеграция и непрекъсваемост на кадастрално-административната информационна система;</w:t>
      </w:r>
    </w:p>
    <w:p w:rsidR="003A2796" w:rsidRPr="003A2796" w:rsidRDefault="003A2796" w:rsidP="004F30BC">
      <w:pPr>
        <w:numPr>
          <w:ilvl w:val="0"/>
          <w:numId w:val="95"/>
        </w:numPr>
        <w:shd w:val="clear" w:color="auto" w:fill="FFFFFF"/>
        <w:spacing w:after="0" w:line="240" w:lineRule="auto"/>
        <w:ind w:left="0" w:firstLine="567"/>
        <w:jc w:val="both"/>
        <w:rPr>
          <w:rFonts w:ascii="Times New Roman" w:hAnsi="Times New Roman" w:cs="Times New Roman"/>
          <w:color w:val="222222"/>
        </w:rPr>
      </w:pPr>
      <w:r w:rsidRPr="003A2796">
        <w:rPr>
          <w:rFonts w:ascii="Times New Roman" w:hAnsi="Times New Roman" w:cs="Times New Roman"/>
          <w:color w:val="222222"/>
        </w:rPr>
        <w:lastRenderedPageBreak/>
        <w:t>капацитет по киберсигурност за мониторинг, превенция, реакция при инциденти и изпълнение на нарастващите изисквания за защита на информационните системи;</w:t>
      </w:r>
    </w:p>
    <w:p w:rsidR="003A2796" w:rsidRPr="003A2796" w:rsidRDefault="003A2796" w:rsidP="004F30BC">
      <w:pPr>
        <w:numPr>
          <w:ilvl w:val="0"/>
          <w:numId w:val="95"/>
        </w:numPr>
        <w:shd w:val="clear" w:color="auto" w:fill="FFFFFF"/>
        <w:spacing w:after="0" w:line="240" w:lineRule="auto"/>
        <w:ind w:left="0" w:firstLine="567"/>
        <w:jc w:val="both"/>
        <w:rPr>
          <w:rFonts w:ascii="Times New Roman" w:hAnsi="Times New Roman" w:cs="Times New Roman"/>
          <w:color w:val="222222"/>
        </w:rPr>
      </w:pPr>
      <w:r w:rsidRPr="003A2796">
        <w:rPr>
          <w:rFonts w:ascii="Times New Roman" w:hAnsi="Times New Roman" w:cs="Times New Roman"/>
          <w:color w:val="222222"/>
        </w:rPr>
        <w:t>аналитичен капацитет за развитие на кадастъра като инструмент за пространствено управление, интеграция с други регистри и използване на геопространствени данни за публични политики.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Отделно следва да се подчертае, че АГКК обслужва 28 служби по геодезия, картография и кадастър в страната, които работят с граждани, общини, правоспособни лица по кадастър и други институции. Всяко намаляване на персонала в централната администрация или териториалните звена би довело до затруднения в административното обслужване, увеличаване на сроковете, нарастване на напрежението сред гражданите и бизнеса и риск от нееднаква практика по прилагането на закона.</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Не следва да се подценява и фактът, че АГКК изпълнява функции, които са пряко свързани с приходите и икономическата активност в държавата. Кадастралната информация е необходима за сделки с недвижими имоти, инвестиционни проекти, строителство, ипотечно кредитиране, учредяване и прехвърляне на вещни права, данъчно облагане, инфраструктурно планиране и управление на публична собственост. Забавяне или влошаване на качеството на кадастралните услуги може да има негативен ефект върху оборота с недвижими имоти, инвестиционната среда и административната предвидимост.</w:t>
      </w:r>
    </w:p>
    <w:p w:rsidR="003A2796" w:rsidRPr="003A2796" w:rsidRDefault="003A2796" w:rsidP="003A2796">
      <w:pPr>
        <w:shd w:val="clear" w:color="auto" w:fill="FFFFFF"/>
        <w:spacing w:after="0" w:line="240" w:lineRule="auto"/>
        <w:ind w:firstLine="567"/>
        <w:jc w:val="both"/>
        <w:rPr>
          <w:rFonts w:ascii="Times New Roman" w:hAnsi="Times New Roman" w:cs="Times New Roman"/>
          <w:b/>
          <w:color w:val="222222"/>
        </w:rPr>
      </w:pPr>
      <w:r w:rsidRPr="003A2796">
        <w:rPr>
          <w:rFonts w:ascii="Times New Roman" w:hAnsi="Times New Roman" w:cs="Times New Roman"/>
          <w:color w:val="222222"/>
        </w:rPr>
        <w:t xml:space="preserve">С оглед на изложеното, евентуално намаляване на разходите за персонал в АГКК следва да бъде преценявано изключително внимателно и не механично, а след функционален анализ на критичните дейности, законовите задължения, натовареността, риска за информационните системи и възможните последици за гражданите, бизнеса и държавата. </w:t>
      </w:r>
      <w:r w:rsidRPr="003A2796">
        <w:rPr>
          <w:rFonts w:ascii="Times New Roman" w:hAnsi="Times New Roman" w:cs="Times New Roman"/>
          <w:b/>
          <w:color w:val="222222"/>
        </w:rPr>
        <w:t>При АГКК не е налице отпаднала необходимост от функции. Налице е обратното — разширяване на функциите, повишаване на изискванията и необходимост от допълнителна експертиза.</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В този смисъл позицията на АГКК е, че при подготовката на проектобюджета за 2026 г. следва да се търсят възможности за оптимизация на разходите, но не чрез намаляване на критичния експертен състав. Възможни са мерки за по-добро планиране, вътрешна организация, приоритизиране на дейности, преглед на договори и разходи, дигитализация на процеси и повишаване на ефективността, но тези мерки не могат да заместят необходимостта от достатъчен брой квалифицирани служители.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АГКК вече работи в условия на висока натовареност, ограничен човешки ресурс и нарастващи обществени очаквания. Приблизително 420 служители изпълняват дейности, които в други европейски и партньорски държави се обезпечават от значително по-големи администрации, както беше посочено и в изнесената по-горе информация. Това не означава, че българският модел следва механично да възпроизвежда чужди структури, но ясно показва, че допълнително намаляване на персонала би поставило Агенцията в обективно неблагоприятна позиция спрямо обема и сложността на възложените ѝ функции.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Ето защо, при спазване на общата бюджетна рамка и с уважение към провежданата финансова политика на държавата, считаме за необходимо да бъде отчетена спецификата на АГКК като администрация, която поддържа ключова национална информационна и кадастрална инфраструктура. Запазването на разходите за персонал и недопускането на съкращаване на обучени кадри следва да се разглежда като мярка за предотвратяване на по-високи бъдещи разходи, за защита на държавния интерес и за гарантиране на устойчивото изпълнение на законово възложените функции. Поради това всяко намаляване на експертния капацитет на Агенцията следва да се оценява не само през призмата на краткосрочната бюджетна икономия, а през риска за държавността, правната сигурност и нормалното функциониране на значими обществени процеси.</w:t>
      </w:r>
    </w:p>
    <w:p w:rsidR="003A2796" w:rsidRPr="003A2796" w:rsidRDefault="003A2796" w:rsidP="003A2796">
      <w:pPr>
        <w:shd w:val="clear" w:color="auto" w:fill="FFFFFF"/>
        <w:spacing w:after="0" w:line="240" w:lineRule="auto"/>
        <w:ind w:firstLine="567"/>
        <w:jc w:val="both"/>
        <w:rPr>
          <w:rFonts w:ascii="Times New Roman" w:hAnsi="Times New Roman" w:cs="Times New Roman"/>
          <w:color w:val="222222"/>
        </w:rPr>
      </w:pPr>
      <w:r w:rsidRPr="003A2796">
        <w:rPr>
          <w:rFonts w:ascii="Times New Roman" w:hAnsi="Times New Roman" w:cs="Times New Roman"/>
          <w:color w:val="222222"/>
        </w:rPr>
        <w:t xml:space="preserve">Предвид изложеното, считам за обосновано при подготовката на проектобюджета за 2026 г. да бъде защитена необходимостта от запазване на съществуващата щатна численост и от осигуряване на устойчиви разходи за персонал, като при възможност се предвиди и поетапно укрепване на правния, IT, инженерния капацитет, както и капацитета, свързан с киберсигурността на АГКК. </w:t>
      </w:r>
    </w:p>
    <w:p w:rsidR="00426FE9" w:rsidRDefault="00D0590D" w:rsidP="004F30BC">
      <w:pPr>
        <w:pStyle w:val="ListParagraph"/>
        <w:numPr>
          <w:ilvl w:val="0"/>
          <w:numId w:val="65"/>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Информация за наличността и качеството на данните</w:t>
      </w:r>
    </w:p>
    <w:p w:rsidR="00426FE9" w:rsidRDefault="00D0590D">
      <w:pPr>
        <w:spacing w:after="0" w:line="240" w:lineRule="auto"/>
        <w:ind w:right="45" w:firstLine="567"/>
        <w:jc w:val="both"/>
        <w:rPr>
          <w:rFonts w:ascii="Times New Roman" w:eastAsia="Calibri" w:hAnsi="Times New Roman" w:cs="Times New Roman"/>
        </w:rPr>
      </w:pPr>
      <w:r>
        <w:rPr>
          <w:rFonts w:ascii="Times New Roman" w:eastAsia="Calibri" w:hAnsi="Times New Roman" w:cs="Times New Roman"/>
        </w:rPr>
        <w:t>Предоставената информация и данните са в съответствие с изработени инвестиционни проекти, техническите задания, количествено-стойностни сметки, оферти към сключени договори и отчетна документация на изпълняваните обекти, в това число доклади от извършен мониторинг, разрешения за ползване на въведените в експлоатация обекти.</w:t>
      </w:r>
    </w:p>
    <w:p w:rsidR="00426FE9" w:rsidRDefault="00D0590D" w:rsidP="004F30BC">
      <w:pPr>
        <w:pStyle w:val="ListParagraph"/>
        <w:numPr>
          <w:ilvl w:val="0"/>
          <w:numId w:val="65"/>
        </w:numPr>
        <w:tabs>
          <w:tab w:val="left" w:pos="851"/>
        </w:tabs>
        <w:spacing w:after="0" w:line="240" w:lineRule="auto"/>
        <w:ind w:hanging="569"/>
        <w:jc w:val="both"/>
        <w:rPr>
          <w:rFonts w:ascii="Times New Roman" w:hAnsi="Times New Roman"/>
        </w:rPr>
      </w:pPr>
      <w:r>
        <w:rPr>
          <w:rFonts w:ascii="Times New Roman" w:hAnsi="Times New Roman"/>
          <w:b/>
          <w:i/>
          <w:color w:val="0000CC"/>
        </w:rPr>
        <w:t>Предоставяни по програмата продукти/услуги</w:t>
      </w:r>
    </w:p>
    <w:p w:rsidR="00426FE9" w:rsidRDefault="00D0590D" w:rsidP="00F701A1">
      <w:pPr>
        <w:spacing w:after="0" w:line="240" w:lineRule="auto"/>
        <w:ind w:right="46" w:firstLine="567"/>
        <w:jc w:val="both"/>
        <w:rPr>
          <w:rFonts w:ascii="Times New Roman" w:hAnsi="Times New Roman" w:cs="Times New Roman"/>
          <w:b/>
          <w:i/>
          <w:color w:val="000000" w:themeColor="text1"/>
          <w:u w:val="single"/>
        </w:rPr>
      </w:pPr>
      <w:r>
        <w:rPr>
          <w:rFonts w:ascii="Times New Roman" w:hAnsi="Times New Roman" w:cs="Times New Roman"/>
          <w:b/>
          <w:i/>
          <w:color w:val="000000" w:themeColor="text1"/>
          <w:u w:val="single"/>
        </w:rPr>
        <w:t>В частта на геозащитните дейности</w:t>
      </w:r>
    </w:p>
    <w:p w:rsidR="00426FE9" w:rsidRDefault="00D0590D" w:rsidP="004F30BC">
      <w:pPr>
        <w:pStyle w:val="ListParagraph"/>
        <w:numPr>
          <w:ilvl w:val="0"/>
          <w:numId w:val="68"/>
        </w:numPr>
        <w:tabs>
          <w:tab w:val="left" w:pos="851"/>
        </w:tabs>
        <w:spacing w:after="0" w:line="240" w:lineRule="auto"/>
        <w:ind w:left="0" w:right="46" w:firstLine="567"/>
        <w:jc w:val="both"/>
        <w:rPr>
          <w:rFonts w:ascii="Times New Roman" w:hAnsi="Times New Roman"/>
          <w:color w:val="000000" w:themeColor="text1"/>
        </w:rPr>
      </w:pPr>
      <w:r>
        <w:rPr>
          <w:rFonts w:ascii="Times New Roman" w:hAnsi="Times New Roman"/>
          <w:bCs/>
          <w:color w:val="000000" w:themeColor="text1"/>
        </w:rPr>
        <w:lastRenderedPageBreak/>
        <w:t xml:space="preserve">Продукт/услуга: </w:t>
      </w:r>
      <w:r>
        <w:rPr>
          <w:rFonts w:ascii="Times New Roman" w:hAnsi="Times New Roman"/>
          <w:color w:val="000000" w:themeColor="text1"/>
        </w:rPr>
        <w:t>Осъществяване на дейности за регистриране и мониторинг на свлачищни райони и превантивни геозащитни мерки и дейности в свлачищните райони на територията на Република България</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Показателите по посочения продукт/услуга са:</w:t>
      </w:r>
    </w:p>
    <w:p w:rsidR="00426FE9" w:rsidRDefault="00D0590D" w:rsidP="004F30BC">
      <w:pPr>
        <w:numPr>
          <w:ilvl w:val="0"/>
          <w:numId w:val="69"/>
        </w:numPr>
        <w:spacing w:after="0" w:line="240" w:lineRule="auto"/>
        <w:ind w:left="0" w:right="46" w:firstLine="567"/>
        <w:jc w:val="both"/>
        <w:rPr>
          <w:rFonts w:ascii="Times New Roman" w:hAnsi="Times New Roman" w:cs="Times New Roman"/>
          <w:bCs/>
          <w:color w:val="000000" w:themeColor="text1"/>
        </w:rPr>
      </w:pPr>
      <w:r>
        <w:rPr>
          <w:rFonts w:ascii="Times New Roman" w:hAnsi="Times New Roman" w:cs="Times New Roman"/>
          <w:iCs/>
        </w:rPr>
        <w:t xml:space="preserve">мониторинг на регистрирани свлачищни райони </w:t>
      </w:r>
      <w:r>
        <w:rPr>
          <w:rFonts w:ascii="Times New Roman" w:hAnsi="Times New Roman" w:cs="Times New Roman"/>
          <w:iCs/>
          <w:lang w:val="en-US"/>
        </w:rPr>
        <w:t>(</w:t>
      </w:r>
      <w:r>
        <w:rPr>
          <w:rFonts w:ascii="Times New Roman" w:hAnsi="Times New Roman" w:cs="Times New Roman"/>
          <w:iCs/>
        </w:rPr>
        <w:t>режимни изследвания в свлачищни райони</w:t>
      </w:r>
      <w:r>
        <w:rPr>
          <w:rFonts w:ascii="Times New Roman" w:hAnsi="Times New Roman" w:cs="Times New Roman"/>
          <w:iCs/>
          <w:lang w:val="en-US"/>
        </w:rPr>
        <w:t>)</w:t>
      </w:r>
      <w:r>
        <w:rPr>
          <w:rFonts w:ascii="Times New Roman" w:hAnsi="Times New Roman" w:cs="Times New Roman"/>
          <w:bCs/>
          <w:color w:val="000000" w:themeColor="text1"/>
        </w:rPr>
        <w:t xml:space="preserve">; </w:t>
      </w:r>
    </w:p>
    <w:p w:rsidR="00426FE9" w:rsidRDefault="00D0590D" w:rsidP="004F30BC">
      <w:pPr>
        <w:numPr>
          <w:ilvl w:val="0"/>
          <w:numId w:val="69"/>
        </w:numPr>
        <w:spacing w:after="0" w:line="240" w:lineRule="auto"/>
        <w:ind w:left="0"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проекто-проучвателни работи;</w:t>
      </w:r>
    </w:p>
    <w:p w:rsidR="00426FE9" w:rsidRDefault="00D0590D" w:rsidP="004F30BC">
      <w:pPr>
        <w:numPr>
          <w:ilvl w:val="0"/>
          <w:numId w:val="69"/>
        </w:numPr>
        <w:spacing w:after="0" w:line="240" w:lineRule="auto"/>
        <w:ind w:left="0"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и</w:t>
      </w:r>
      <w:r>
        <w:rPr>
          <w:rFonts w:ascii="Times New Roman" w:hAnsi="Times New Roman" w:cs="Times New Roman"/>
          <w:color w:val="000000" w:themeColor="text1"/>
        </w:rPr>
        <w:t>нженерно-геоложки становища/участия в комисии и др. по въпроси, свързани с геозащитната дейност.</w:t>
      </w:r>
      <w:r>
        <w:rPr>
          <w:rFonts w:ascii="Times New Roman" w:hAnsi="Times New Roman" w:cs="Times New Roman"/>
          <w:bCs/>
          <w:color w:val="000000" w:themeColor="text1"/>
        </w:rPr>
        <w:t xml:space="preserve"> </w:t>
      </w:r>
    </w:p>
    <w:p w:rsidR="00426FE9" w:rsidRDefault="00D0590D" w:rsidP="00F701A1">
      <w:pPr>
        <w:spacing w:after="0" w:line="240" w:lineRule="auto"/>
        <w:ind w:firstLine="567"/>
        <w:rPr>
          <w:rFonts w:ascii="Times New Roman" w:hAnsi="Times New Roman" w:cs="Times New Roman"/>
          <w:color w:val="000000" w:themeColor="text1"/>
        </w:rPr>
      </w:pPr>
      <w:r>
        <w:rPr>
          <w:rFonts w:ascii="Times New Roman" w:hAnsi="Times New Roman" w:cs="Times New Roman"/>
          <w:color w:val="000000" w:themeColor="text1"/>
        </w:rPr>
        <w:t>Извършването на регистриране и мониторинг на свлачищните райони на територията на Република България се осъществяват чрез държавното дружество „Геозащита” ЕООД – Варна, „Геозащита Плевен“ ЕООД и „Геозащита Перник“ ЕООД чрез:</w:t>
      </w:r>
    </w:p>
    <w:p w:rsidR="00426FE9" w:rsidRDefault="00D0590D" w:rsidP="004F30BC">
      <w:pPr>
        <w:numPr>
          <w:ilvl w:val="0"/>
          <w:numId w:val="70"/>
        </w:numPr>
        <w:spacing w:after="0" w:line="240" w:lineRule="auto"/>
        <w:ind w:left="0" w:right="46" w:firstLine="567"/>
        <w:jc w:val="both"/>
        <w:rPr>
          <w:rFonts w:ascii="Times New Roman" w:hAnsi="Times New Roman" w:cs="Times New Roman"/>
          <w:color w:val="000000" w:themeColor="text1"/>
        </w:rPr>
      </w:pPr>
      <w:r>
        <w:rPr>
          <w:rFonts w:ascii="Times New Roman" w:hAnsi="Times New Roman" w:cs="Times New Roman"/>
          <w:color w:val="000000" w:themeColor="text1"/>
        </w:rPr>
        <w:t>Извършване на режимни изследвания на свлачищни райони в т. ч. п</w:t>
      </w:r>
      <w:r>
        <w:rPr>
          <w:rFonts w:ascii="Times New Roman" w:hAnsi="Times New Roman" w:cs="Times New Roman"/>
          <w:bCs/>
          <w:color w:val="000000" w:themeColor="text1"/>
        </w:rPr>
        <w:t>оддържане на изградени дренажни съоръжения за отводняване на свлачищни райони</w:t>
      </w:r>
      <w:r>
        <w:rPr>
          <w:rFonts w:ascii="Times New Roman" w:hAnsi="Times New Roman" w:cs="Times New Roman"/>
          <w:color w:val="000000" w:themeColor="text1"/>
        </w:rPr>
        <w:t>;</w:t>
      </w:r>
    </w:p>
    <w:p w:rsidR="00426FE9" w:rsidRDefault="00D0590D" w:rsidP="004F30BC">
      <w:pPr>
        <w:numPr>
          <w:ilvl w:val="0"/>
          <w:numId w:val="70"/>
        </w:numPr>
        <w:spacing w:after="0" w:line="240" w:lineRule="auto"/>
        <w:ind w:left="0" w:right="46" w:firstLine="567"/>
        <w:jc w:val="both"/>
        <w:rPr>
          <w:rFonts w:ascii="Times New Roman" w:hAnsi="Times New Roman" w:cs="Times New Roman"/>
          <w:color w:val="000000" w:themeColor="text1"/>
        </w:rPr>
      </w:pPr>
      <w:r>
        <w:rPr>
          <w:rFonts w:ascii="Times New Roman" w:hAnsi="Times New Roman" w:cs="Times New Roman"/>
          <w:color w:val="000000" w:themeColor="text1"/>
        </w:rPr>
        <w:t>Извършване на дейности, свързани с регистриране на свлачищни райони в т. ч. техническа помощ по проблеми, свързани с геозащитната дейност, поддържане на регистър на свлачищата и др.;</w:t>
      </w:r>
    </w:p>
    <w:p w:rsidR="00426FE9" w:rsidRDefault="00D0590D" w:rsidP="00F701A1">
      <w:pPr>
        <w:spacing w:after="0" w:line="240" w:lineRule="auto"/>
        <w:ind w:right="46" w:firstLine="567"/>
        <w:jc w:val="both"/>
        <w:rPr>
          <w:rFonts w:ascii="Times New Roman" w:hAnsi="Times New Roman" w:cs="Times New Roman"/>
          <w:color w:val="000000" w:themeColor="text1"/>
        </w:rPr>
      </w:pPr>
      <w:r>
        <w:rPr>
          <w:rFonts w:ascii="Times New Roman" w:hAnsi="Times New Roman" w:cs="Times New Roman"/>
          <w:color w:val="000000" w:themeColor="text1"/>
        </w:rPr>
        <w:t>Превантивните геозащитни мерки и дейности са свързани и с изработване на проекто-проучвателни работи, изграждане, възстановяване или ремонт на контролно-измервателни системи в свлачищни райони.</w:t>
      </w:r>
    </w:p>
    <w:p w:rsidR="00426FE9" w:rsidRDefault="00D0590D" w:rsidP="004F30BC">
      <w:pPr>
        <w:pStyle w:val="ListParagraph"/>
        <w:numPr>
          <w:ilvl w:val="0"/>
          <w:numId w:val="68"/>
        </w:numPr>
        <w:tabs>
          <w:tab w:val="left" w:pos="851"/>
        </w:tabs>
        <w:spacing w:after="0" w:line="240" w:lineRule="auto"/>
        <w:ind w:left="0" w:right="46" w:firstLine="567"/>
        <w:jc w:val="both"/>
        <w:rPr>
          <w:rFonts w:ascii="Times New Roman" w:hAnsi="Times New Roman"/>
          <w:bCs/>
          <w:color w:val="000000" w:themeColor="text1"/>
        </w:rPr>
      </w:pPr>
      <w:r>
        <w:rPr>
          <w:rFonts w:ascii="Times New Roman" w:hAnsi="Times New Roman"/>
          <w:bCs/>
          <w:color w:val="000000" w:themeColor="text1"/>
        </w:rPr>
        <w:t>Продукт/Услуга:</w:t>
      </w:r>
      <w:r>
        <w:rPr>
          <w:rFonts w:ascii="Times New Roman" w:hAnsi="Times New Roman"/>
          <w:color w:val="000000" w:themeColor="text1"/>
        </w:rPr>
        <w:t xml:space="preserve"> Предварителен к</w:t>
      </w:r>
      <w:r>
        <w:rPr>
          <w:rFonts w:ascii="Times New Roman" w:hAnsi="Times New Roman"/>
          <w:bCs/>
          <w:color w:val="000000" w:themeColor="text1"/>
        </w:rPr>
        <w:t>онтрол на инвестиционни намерения в свлачищни райони</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Показателят за посочената услуга е становища по преписки за инвестиционни намерения за строителство в свлачищни райони.</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В тази услуга се предвижда издаване на предварителни съгласия/откази/указания за извършване на геозащитни мерки и дейности или строителство на сгради и съоръжения в свлачищни райони при постъпили в МРРБ искания за инвестиционни намерения, както и прекратяване на производството съгласно чл. 5в, ал. 2 от ЗУТ.</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Това задължение на министъра на регионалното развитие и благоустройството е нормативно установено от чл. 96, ал. 3 и ал. 4 от Закона за устройство на територията, като произнасянето чрез издаване/отказ е вид административна услуга, която се извършва безвъзмездно от МРРБ чрез подаване на заявление по образец от собственика на имота или от упълномощено по съответния ред лице.</w:t>
      </w:r>
    </w:p>
    <w:p w:rsidR="00426FE9" w:rsidRDefault="00D0590D" w:rsidP="00F701A1">
      <w:pPr>
        <w:spacing w:after="0" w:line="240" w:lineRule="auto"/>
        <w:ind w:right="46" w:firstLine="567"/>
        <w:jc w:val="both"/>
        <w:rPr>
          <w:rFonts w:ascii="Times New Roman" w:hAnsi="Times New Roman" w:cs="Times New Roman"/>
          <w:color w:val="000000" w:themeColor="text1"/>
        </w:rPr>
      </w:pPr>
      <w:r>
        <w:rPr>
          <w:rFonts w:ascii="Times New Roman" w:hAnsi="Times New Roman" w:cs="Times New Roman"/>
          <w:bCs/>
          <w:color w:val="000000" w:themeColor="text1"/>
        </w:rPr>
        <w:t>Предварителни съгласия се издават във всички случаи, когато са налице инвестиционни намерения и се предвижда да бъдат извършени строително-монтажни работи в свлачищни райони в т. ч. геозащитни укрепителни и/или отводнителни мероприятия.</w:t>
      </w:r>
    </w:p>
    <w:p w:rsidR="00426FE9" w:rsidRDefault="00D0590D" w:rsidP="004F30BC">
      <w:pPr>
        <w:pStyle w:val="ListParagraph"/>
        <w:numPr>
          <w:ilvl w:val="0"/>
          <w:numId w:val="68"/>
        </w:numPr>
        <w:tabs>
          <w:tab w:val="left" w:pos="851"/>
        </w:tabs>
        <w:spacing w:after="0" w:line="240" w:lineRule="auto"/>
        <w:ind w:left="0" w:right="46" w:firstLine="567"/>
        <w:jc w:val="both"/>
        <w:rPr>
          <w:rFonts w:ascii="Times New Roman" w:hAnsi="Times New Roman"/>
          <w:color w:val="000000" w:themeColor="text1"/>
        </w:rPr>
      </w:pPr>
      <w:r>
        <w:rPr>
          <w:rFonts w:ascii="Times New Roman" w:hAnsi="Times New Roman"/>
          <w:bCs/>
          <w:color w:val="000000" w:themeColor="text1"/>
        </w:rPr>
        <w:t xml:space="preserve">Продукт/услуга: </w:t>
      </w:r>
      <w:r>
        <w:rPr>
          <w:rFonts w:ascii="Times New Roman" w:hAnsi="Times New Roman"/>
          <w:color w:val="000000" w:themeColor="text1"/>
        </w:rPr>
        <w:t>Извършване на геозащитни мерки и дейности за ограничаване на свлачищата, абразионните процеси по Черноморското крайбрежие или ерозионните процеси по Дунавското крайбрежие</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Показателят за посочения продукт/услуга е завършен геозащитен обект/етап.</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Дейностите по този продукт/услуга са свързани с планиране и реализиране на обекти за геозащита, свързани с изграждане на укрепителни, брегоукрепителни, отводнителни и др. геозащитни съоръжения за предотвратяване опасността от разрастване на свлачищни процеси, ерозионни процеси по Дунавското крайбрежие или абразионни процеси по Черноморското крайбрежие. Чрез изготвяне и реализиране на обекти за геозащита, се гарантира сигурността на населението в засегнатите територии, осигурява се нормалната експлоатация на сгради и съоръжения на техническата инфраструктура.</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За стабилизиране на свлачищата, в т.ч. за укрепване на бреговете на р. Дунав и Черно море, МРРБ като първостепенен разпоредител на бюджетни средства, осъществява пряка инвестиционна дейност чрез възлагане на строително-монтажни работи, както и възлагане на други дейности, свързани със строителния процес. </w:t>
      </w:r>
    </w:p>
    <w:p w:rsidR="00426FE9"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С оглед прилагане на приоритетите, целите и мерките за осъществяване на държавната политика за превенция и ограничаване на свлачищните процеси, на абразионните процеси по Черноморското крайбрежие и на ерозионните процеси по Дунавското крайбрежие, през периода 2026-2028 г. ще продължи и подпомагането на общинските администрации за реализация на геозащитни обекти, избрани по определени критерии, одобрени от министъра на регионалното развитие и благоустройството и прилагане на допълнителни критерии от Програма за превенция и ограничаване на свлачищата на територията на Република България, ерозията и абразията по Дунавското и Черноморското крайбрежие за периода 2022-2027 г. и от Методиката за приоритизиране на свлачищата в Република България. </w:t>
      </w:r>
    </w:p>
    <w:p w:rsidR="00426FE9" w:rsidRPr="00F701A1" w:rsidRDefault="00D0590D" w:rsidP="00F701A1">
      <w:pPr>
        <w:spacing w:after="0" w:line="240" w:lineRule="auto"/>
        <w:ind w:right="46" w:firstLine="567"/>
        <w:jc w:val="both"/>
        <w:rPr>
          <w:rFonts w:ascii="Times New Roman" w:hAnsi="Times New Roman" w:cs="Times New Roman"/>
          <w:bCs/>
          <w:color w:val="000000" w:themeColor="text1"/>
        </w:rPr>
      </w:pPr>
      <w:r>
        <w:rPr>
          <w:rFonts w:ascii="Times New Roman" w:hAnsi="Times New Roman" w:cs="Times New Roman"/>
          <w:bCs/>
          <w:color w:val="000000" w:themeColor="text1"/>
        </w:rPr>
        <w:lastRenderedPageBreak/>
        <w:t xml:space="preserve">Геозащитните мерки и дейности – предмет на този продукт, имат социална значимост и непряка, но </w:t>
      </w:r>
      <w:r w:rsidRPr="00F701A1">
        <w:rPr>
          <w:rFonts w:ascii="Times New Roman" w:hAnsi="Times New Roman" w:cs="Times New Roman"/>
          <w:bCs/>
          <w:color w:val="000000" w:themeColor="text1"/>
        </w:rPr>
        <w:t>значителна икономическа ефективност. С тяхното реализиране се предотвратяват</w:t>
      </w:r>
      <w:r w:rsidRPr="00F701A1">
        <w:rPr>
          <w:rFonts w:ascii="Times New Roman" w:hAnsi="Times New Roman" w:cs="Times New Roman"/>
          <w:b/>
          <w:bCs/>
          <w:color w:val="000000" w:themeColor="text1"/>
        </w:rPr>
        <w:t xml:space="preserve"> </w:t>
      </w:r>
      <w:r w:rsidRPr="00F701A1">
        <w:rPr>
          <w:rFonts w:ascii="Times New Roman" w:hAnsi="Times New Roman" w:cs="Times New Roman"/>
          <w:bCs/>
          <w:color w:val="000000" w:themeColor="text1"/>
        </w:rPr>
        <w:t>отрицателните последствия, причинени от свлачищните, ерозионните и абразионни процеси, свързани с  отнемане на територии, в т. ч. урбанизирани, земеделски и горски територии, разрушаване на техническата инфраструктура и други материални активи, икономически загуби в секторите: транспорт, туризъм, селско и горско стопанство.</w:t>
      </w:r>
    </w:p>
    <w:p w:rsidR="00426FE9" w:rsidRPr="00F701A1" w:rsidRDefault="00D0590D" w:rsidP="00F701A1">
      <w:pPr>
        <w:spacing w:after="0" w:line="240" w:lineRule="auto"/>
        <w:ind w:right="46" w:firstLine="567"/>
        <w:jc w:val="both"/>
        <w:rPr>
          <w:rFonts w:ascii="Times New Roman" w:hAnsi="Times New Roman" w:cs="Times New Roman"/>
          <w:b/>
          <w:i/>
          <w:color w:val="000000" w:themeColor="text1"/>
          <w:u w:val="single"/>
        </w:rPr>
      </w:pPr>
      <w:r w:rsidRPr="00F701A1">
        <w:rPr>
          <w:rFonts w:ascii="Times New Roman" w:hAnsi="Times New Roman" w:cs="Times New Roman"/>
          <w:b/>
          <w:bCs/>
          <w:i/>
          <w:color w:val="000000" w:themeColor="text1"/>
        </w:rPr>
        <w:t>В</w:t>
      </w:r>
      <w:r w:rsidRPr="00F701A1">
        <w:rPr>
          <w:rFonts w:ascii="Times New Roman" w:hAnsi="Times New Roman" w:cs="Times New Roman"/>
          <w:b/>
          <w:bCs/>
          <w:i/>
          <w:color w:val="000000" w:themeColor="text1"/>
          <w:u w:val="single"/>
        </w:rPr>
        <w:t xml:space="preserve"> частта на благоустройствените дейности</w:t>
      </w:r>
    </w:p>
    <w:p w:rsidR="00426FE9" w:rsidRPr="00F701A1" w:rsidRDefault="00D0590D" w:rsidP="004F30BC">
      <w:pPr>
        <w:pStyle w:val="ListParagraph"/>
        <w:numPr>
          <w:ilvl w:val="0"/>
          <w:numId w:val="68"/>
        </w:numPr>
        <w:tabs>
          <w:tab w:val="left" w:pos="851"/>
        </w:tabs>
        <w:spacing w:after="0" w:line="240" w:lineRule="auto"/>
        <w:ind w:left="0" w:right="46" w:firstLine="567"/>
        <w:jc w:val="both"/>
        <w:rPr>
          <w:rFonts w:ascii="Times New Roman" w:hAnsi="Times New Roman"/>
          <w:color w:val="000000" w:themeColor="text1"/>
        </w:rPr>
      </w:pPr>
      <w:r w:rsidRPr="00F701A1">
        <w:rPr>
          <w:rFonts w:ascii="Times New Roman" w:hAnsi="Times New Roman"/>
          <w:color w:val="000000" w:themeColor="text1"/>
        </w:rPr>
        <w:t>Продукт/услуга: Благоустройствени проекти за подобряване на жизнената среда</w:t>
      </w:r>
    </w:p>
    <w:p w:rsidR="00426FE9" w:rsidRPr="00F701A1" w:rsidRDefault="00D0590D" w:rsidP="00F701A1">
      <w:pPr>
        <w:spacing w:after="0" w:line="240" w:lineRule="auto"/>
        <w:ind w:right="46" w:firstLine="567"/>
        <w:jc w:val="both"/>
        <w:rPr>
          <w:rFonts w:ascii="Times New Roman" w:hAnsi="Times New Roman" w:cs="Times New Roman"/>
          <w:color w:val="000000" w:themeColor="text1"/>
        </w:rPr>
      </w:pPr>
      <w:r w:rsidRPr="00F701A1">
        <w:rPr>
          <w:rFonts w:ascii="Times New Roman" w:hAnsi="Times New Roman" w:cs="Times New Roman"/>
          <w:color w:val="000000" w:themeColor="text1"/>
        </w:rPr>
        <w:t>При наличие на осигурено финансиране от бюджета, ще бъдат подпомогнати чрез споразумения за трансфер на средства с общини благоустройствени обекти за подобряване на жизнената среда в населените места.</w:t>
      </w:r>
    </w:p>
    <w:p w:rsidR="00426FE9" w:rsidRPr="00F701A1" w:rsidRDefault="00D0590D" w:rsidP="00F701A1">
      <w:pPr>
        <w:spacing w:after="0" w:line="240" w:lineRule="auto"/>
        <w:ind w:right="46" w:firstLine="567"/>
        <w:jc w:val="both"/>
        <w:rPr>
          <w:rFonts w:ascii="Times New Roman" w:hAnsi="Times New Roman" w:cs="Times New Roman"/>
          <w:b/>
          <w:i/>
          <w:color w:val="000000" w:themeColor="text1"/>
          <w:u w:val="single"/>
        </w:rPr>
      </w:pPr>
      <w:r w:rsidRPr="00F701A1">
        <w:rPr>
          <w:rFonts w:ascii="Times New Roman" w:hAnsi="Times New Roman" w:cs="Times New Roman"/>
          <w:b/>
          <w:i/>
          <w:color w:val="000000" w:themeColor="text1"/>
          <w:u w:val="single"/>
        </w:rPr>
        <w:t>В частта на водосна</w:t>
      </w:r>
      <w:r w:rsidR="006B7C85" w:rsidRPr="00F701A1">
        <w:rPr>
          <w:rFonts w:ascii="Times New Roman" w:hAnsi="Times New Roman" w:cs="Times New Roman"/>
          <w:b/>
          <w:i/>
          <w:color w:val="000000" w:themeColor="text1"/>
          <w:u w:val="single"/>
        </w:rPr>
        <w:t>бдяване и канализация</w:t>
      </w:r>
    </w:p>
    <w:p w:rsidR="006B7C85" w:rsidRPr="00F701A1" w:rsidRDefault="006B7C85" w:rsidP="004F30BC">
      <w:pPr>
        <w:pStyle w:val="ListParagraph"/>
        <w:numPr>
          <w:ilvl w:val="0"/>
          <w:numId w:val="91"/>
        </w:numPr>
        <w:tabs>
          <w:tab w:val="left" w:pos="851"/>
        </w:tabs>
        <w:spacing w:before="120" w:after="120" w:line="240" w:lineRule="auto"/>
        <w:ind w:left="0" w:right="46" w:firstLine="567"/>
        <w:jc w:val="both"/>
        <w:rPr>
          <w:rFonts w:ascii="Times New Roman" w:hAnsi="Times New Roman"/>
          <w:b/>
        </w:rPr>
      </w:pPr>
      <w:r w:rsidRPr="00F701A1">
        <w:rPr>
          <w:rFonts w:ascii="Times New Roman" w:hAnsi="Times New Roman"/>
          <w:b/>
        </w:rPr>
        <w:t xml:space="preserve">Продукт/услуга: </w:t>
      </w:r>
      <w:r w:rsidRPr="00F701A1">
        <w:rPr>
          <w:rFonts w:ascii="Times New Roman" w:hAnsi="Times New Roman"/>
          <w:b/>
          <w:i/>
        </w:rPr>
        <w:t>Стратегическо управление на отрасъл ВиК</w:t>
      </w:r>
      <w:r w:rsidRPr="00F701A1">
        <w:rPr>
          <w:rFonts w:ascii="Times New Roman" w:hAnsi="Times New Roman"/>
          <w:b/>
        </w:rPr>
        <w:t xml:space="preserve"> </w:t>
      </w:r>
    </w:p>
    <w:p w:rsidR="006B7C85" w:rsidRPr="00F701A1" w:rsidRDefault="006B7C85" w:rsidP="004F30BC">
      <w:pPr>
        <w:pStyle w:val="ListParagraph"/>
        <w:numPr>
          <w:ilvl w:val="0"/>
          <w:numId w:val="90"/>
        </w:numPr>
        <w:tabs>
          <w:tab w:val="left" w:pos="426"/>
          <w:tab w:val="left" w:pos="851"/>
        </w:tabs>
        <w:suppressAutoHyphens w:val="0"/>
        <w:spacing w:after="0" w:line="240" w:lineRule="auto"/>
        <w:ind w:left="0" w:right="45" w:firstLine="567"/>
        <w:jc w:val="both"/>
        <w:rPr>
          <w:rFonts w:ascii="Times New Roman" w:hAnsi="Times New Roman"/>
        </w:rPr>
      </w:pPr>
      <w:r w:rsidRPr="00F701A1">
        <w:rPr>
          <w:rFonts w:ascii="Times New Roman" w:hAnsi="Times New Roman"/>
        </w:rPr>
        <w:t>Подпомагане на дейността на Асоциациите по ВиК – в съответствие с чл.198в, ал. 12 и ал. 13 на Закона за водите.</w:t>
      </w:r>
    </w:p>
    <w:p w:rsidR="006B7C85" w:rsidRPr="00F701A1" w:rsidRDefault="006B7C85" w:rsidP="004F30BC">
      <w:pPr>
        <w:pStyle w:val="ListParagraph"/>
        <w:numPr>
          <w:ilvl w:val="0"/>
          <w:numId w:val="90"/>
        </w:numPr>
        <w:tabs>
          <w:tab w:val="left" w:pos="426"/>
          <w:tab w:val="left" w:pos="851"/>
        </w:tabs>
        <w:suppressAutoHyphens w:val="0"/>
        <w:spacing w:after="0" w:line="240" w:lineRule="auto"/>
        <w:ind w:left="0" w:right="45" w:firstLine="567"/>
        <w:jc w:val="both"/>
        <w:rPr>
          <w:rFonts w:ascii="Times New Roman" w:hAnsi="Times New Roman"/>
        </w:rPr>
      </w:pPr>
      <w:r w:rsidRPr="00F701A1">
        <w:rPr>
          <w:rFonts w:ascii="Times New Roman" w:hAnsi="Times New Roman"/>
        </w:rPr>
        <w:t>Надграждане и обслужване на  Единна информационна система за ВиК услугите и регистър на асоциациите по ВиК и ВиК операторите и на Информационна система за водностопанските системи и съоръжения;</w:t>
      </w:r>
    </w:p>
    <w:p w:rsidR="006B7C85" w:rsidRPr="00F701A1" w:rsidRDefault="006B7C85" w:rsidP="004F30BC">
      <w:pPr>
        <w:pStyle w:val="ListParagraph"/>
        <w:numPr>
          <w:ilvl w:val="0"/>
          <w:numId w:val="90"/>
        </w:numPr>
        <w:tabs>
          <w:tab w:val="left" w:pos="426"/>
          <w:tab w:val="left" w:pos="851"/>
        </w:tabs>
        <w:suppressAutoHyphens w:val="0"/>
        <w:spacing w:after="0" w:line="240" w:lineRule="auto"/>
        <w:ind w:left="0" w:right="45" w:firstLine="567"/>
        <w:jc w:val="both"/>
        <w:rPr>
          <w:rFonts w:ascii="Times New Roman" w:hAnsi="Times New Roman"/>
        </w:rPr>
      </w:pPr>
      <w:r w:rsidRPr="00F701A1">
        <w:rPr>
          <w:rFonts w:ascii="Times New Roman" w:hAnsi="Times New Roman"/>
        </w:rPr>
        <w:t>Предоставяне на услуга по разработване и поддържане на интерактивна карта, визуализираща водоподаването в Република България.</w:t>
      </w:r>
    </w:p>
    <w:p w:rsidR="006B7C85" w:rsidRPr="00F701A1" w:rsidRDefault="006B7C85" w:rsidP="004F30BC">
      <w:pPr>
        <w:pStyle w:val="ListParagraph"/>
        <w:numPr>
          <w:ilvl w:val="0"/>
          <w:numId w:val="90"/>
        </w:numPr>
        <w:tabs>
          <w:tab w:val="left" w:pos="426"/>
          <w:tab w:val="left" w:pos="851"/>
        </w:tabs>
        <w:suppressAutoHyphens w:val="0"/>
        <w:spacing w:after="0" w:line="240" w:lineRule="auto"/>
        <w:ind w:left="0" w:right="45" w:firstLine="567"/>
        <w:jc w:val="both"/>
        <w:rPr>
          <w:rFonts w:ascii="Times New Roman" w:hAnsi="Times New Roman"/>
        </w:rPr>
      </w:pPr>
      <w:r w:rsidRPr="00F701A1">
        <w:rPr>
          <w:rFonts w:ascii="Times New Roman" w:hAnsi="Times New Roman"/>
        </w:rPr>
        <w:t>Измерване на водно количество и налягане, събиране на данни за водопроводни мрежи в населени места и оценка на загубите на вода в тях - Дейностите са свързани са с ангажименти на МРРБ за изпълнение на изискванията на Директива (ЕС) 2020/2184 на Европейския парламент и на Съвета от 16 декември 2020 година относно качеството на водата, предназначена за консумация от човека.</w:t>
      </w:r>
    </w:p>
    <w:p w:rsidR="006B7C85" w:rsidRPr="00F701A1" w:rsidRDefault="006B7C85" w:rsidP="004F30BC">
      <w:pPr>
        <w:pStyle w:val="ListParagraph"/>
        <w:numPr>
          <w:ilvl w:val="0"/>
          <w:numId w:val="90"/>
        </w:numPr>
        <w:tabs>
          <w:tab w:val="left" w:pos="851"/>
        </w:tabs>
        <w:spacing w:after="0" w:line="240" w:lineRule="auto"/>
        <w:ind w:left="0" w:right="46" w:firstLine="567"/>
        <w:jc w:val="both"/>
        <w:rPr>
          <w:rFonts w:ascii="Times New Roman" w:hAnsi="Times New Roman"/>
          <w:b/>
        </w:rPr>
      </w:pPr>
      <w:r w:rsidRPr="00F701A1">
        <w:rPr>
          <w:rFonts w:ascii="Times New Roman" w:hAnsi="Times New Roman"/>
          <w:b/>
        </w:rPr>
        <w:t xml:space="preserve">Продукт/услуга: </w:t>
      </w:r>
      <w:r w:rsidRPr="00F701A1">
        <w:rPr>
          <w:rFonts w:ascii="Times New Roman" w:hAnsi="Times New Roman"/>
          <w:b/>
          <w:i/>
        </w:rPr>
        <w:t>Инфраструктурни ВиК проекти</w:t>
      </w:r>
      <w:r w:rsidRPr="00F701A1">
        <w:rPr>
          <w:rFonts w:ascii="Times New Roman" w:hAnsi="Times New Roman"/>
          <w:b/>
        </w:rPr>
        <w:t xml:space="preserve"> </w:t>
      </w:r>
    </w:p>
    <w:p w:rsidR="00426FE9" w:rsidRPr="00F701A1" w:rsidRDefault="00D0590D" w:rsidP="00F701A1">
      <w:pPr>
        <w:spacing w:after="0" w:line="240" w:lineRule="auto"/>
        <w:ind w:right="45" w:firstLine="567"/>
        <w:contextualSpacing/>
        <w:jc w:val="both"/>
        <w:rPr>
          <w:rFonts w:ascii="Times New Roman" w:eastAsia="Times New Roman" w:hAnsi="Times New Roman" w:cs="Times New Roman"/>
          <w:b/>
          <w:i/>
          <w:highlight w:val="yellow"/>
          <w:u w:val="single"/>
          <w:lang w:eastAsia="bg-BG"/>
        </w:rPr>
      </w:pPr>
      <w:r w:rsidRPr="00F701A1">
        <w:rPr>
          <w:rFonts w:ascii="Times New Roman" w:eastAsia="Times New Roman" w:hAnsi="Times New Roman" w:cs="Times New Roman"/>
          <w:lang w:eastAsia="bg-BG"/>
        </w:rPr>
        <w:t>В бюджета за 2026 г. и в актуализираната бюджетна прогноза за периода 2027-2028 г. са включени проекти, които са с висока обществена значимост за справяне с безводието в най-засегнатите територии на страната, довели до въвеждане на режими в много населени места:</w:t>
      </w:r>
    </w:p>
    <w:p w:rsidR="00426FE9" w:rsidRPr="00F701A1" w:rsidRDefault="00D0590D" w:rsidP="004F30BC">
      <w:pPr>
        <w:numPr>
          <w:ilvl w:val="0"/>
          <w:numId w:val="71"/>
        </w:numPr>
        <w:tabs>
          <w:tab w:val="clear" w:pos="0"/>
          <w:tab w:val="left" w:pos="274"/>
        </w:tabs>
        <w:spacing w:after="0" w:line="240" w:lineRule="auto"/>
        <w:ind w:left="0" w:right="46" w:firstLine="567"/>
        <w:jc w:val="both"/>
        <w:rPr>
          <w:rFonts w:ascii="Times New Roman" w:hAnsi="Times New Roman" w:cs="Times New Roman"/>
        </w:rPr>
      </w:pPr>
      <w:r w:rsidRPr="00F701A1">
        <w:rPr>
          <w:rFonts w:ascii="Times New Roman" w:hAnsi="Times New Roman" w:cs="Times New Roman"/>
          <w:b/>
        </w:rPr>
        <w:t>„Проект Развитие на общинска инфраструктура“</w:t>
      </w:r>
      <w:r w:rsidRPr="00F701A1">
        <w:rPr>
          <w:rFonts w:ascii="Times New Roman" w:hAnsi="Times New Roman" w:cs="Times New Roman"/>
        </w:rPr>
        <w:t xml:space="preserve"> (ПРОИ) - </w:t>
      </w:r>
      <w:r w:rsidR="006B7C85" w:rsidRPr="00F701A1">
        <w:rPr>
          <w:rFonts w:ascii="Times New Roman" w:hAnsi="Times New Roman" w:cs="Times New Roman"/>
        </w:rPr>
        <w:t>Проектът е преходен. Обектът е изпълнен. През м. 09.2025 г. е подписан Акт 15 за установяване годността за въвеждане в експлоатация на всички подобекти към основния строеж, от когато тече една година период за съобщаване на дефекти. Обектът е въведен в експлоатация през м. декември 2025 г. През 2026 г. ще бъдат извършени финални разплащания по договорите;</w:t>
      </w:r>
    </w:p>
    <w:p w:rsidR="006B7C85" w:rsidRPr="00F701A1" w:rsidRDefault="006B7C85" w:rsidP="004F30BC">
      <w:pPr>
        <w:numPr>
          <w:ilvl w:val="0"/>
          <w:numId w:val="71"/>
        </w:numPr>
        <w:tabs>
          <w:tab w:val="clear" w:pos="0"/>
          <w:tab w:val="left" w:pos="274"/>
          <w:tab w:val="left" w:pos="851"/>
        </w:tabs>
        <w:spacing w:after="0" w:line="240" w:lineRule="auto"/>
        <w:ind w:left="0" w:right="46" w:firstLine="567"/>
        <w:jc w:val="both"/>
        <w:rPr>
          <w:rFonts w:ascii="Times New Roman" w:hAnsi="Times New Roman" w:cs="Times New Roman"/>
        </w:rPr>
      </w:pPr>
      <w:r w:rsidRPr="00F701A1">
        <w:rPr>
          <w:rFonts w:ascii="Times New Roman" w:hAnsi="Times New Roman" w:cs="Times New Roman"/>
          <w:b/>
        </w:rPr>
        <w:t>Водоснабдителна система "Черни Осъм" - проектиране и строителство: Реконструкция на магистрални водопроводи на териториите на областите Ловеч и Плевен; ПСПВ "Черни Осъм"; Язовир "Черни Осъм"; ВЕЦ - 2 бр.</w:t>
      </w:r>
      <w:r w:rsidRPr="00F701A1">
        <w:rPr>
          <w:rFonts w:ascii="Times New Roman" w:hAnsi="Times New Roman" w:cs="Times New Roman"/>
        </w:rPr>
        <w:t xml:space="preserve"> През 2025 г. МРРБ проведе пазарни консултации за определяне на прогнозната стойност на обществена поръчка с предмет „Прединвестиционни проучвания (ПИП) за язовир „Черни Осъм" на река Черни Осъм, област Ловеч“ и на обществена поръчка с предмет „Изготвяне на ПУП за язовир „Черни Осъм“ на река Черни Осъм, област Ловеч“ (Реконструкция на магистрални водопроводи на териториите на областите Ловеч и Плевен; ПСПВ „Черни Осъм“, язовир „Черни Осъм“, ВЕЦ – 2 бр.)“. През 2025 г. е стартирана обществена поръчка с предмет „Прединвестиционни проучвания (ПИП) за язовир „Черни Осъм“ на река Черни Осъм, област Ловеч“. През 2026 г. предстои обявяване на процедура по ЗОП за избор на изпълнител за „Изготвяне на ПУП за язовир „Черни Осъм“ на река Черни Осъм, област Ловеч“ (Реконструкция на магистрални водопроводи на териториите на областите Ловеч и Плевен; ПСПВ „Черни Осъм“, язовир „Черни Осъм“, ВЕЦ – 2 бр.“). </w:t>
      </w:r>
    </w:p>
    <w:p w:rsidR="006B7C85" w:rsidRPr="00F701A1" w:rsidRDefault="006B7C85" w:rsidP="00F701A1">
      <w:pPr>
        <w:pStyle w:val="ListParagraph"/>
        <w:tabs>
          <w:tab w:val="left" w:pos="851"/>
        </w:tabs>
        <w:spacing w:after="0" w:line="240" w:lineRule="auto"/>
        <w:ind w:left="0" w:firstLine="567"/>
        <w:jc w:val="both"/>
        <w:rPr>
          <w:rFonts w:ascii="Times New Roman" w:hAnsi="Times New Roman"/>
        </w:rPr>
      </w:pPr>
      <w:r w:rsidRPr="00F701A1">
        <w:rPr>
          <w:rFonts w:ascii="Times New Roman" w:hAnsi="Times New Roman"/>
        </w:rPr>
        <w:t>Дейностите са включени в Приложение 2, Раздел II към чл. 110, ал. 2 „Списък с резервни стратегически инвестиционни проекти с национално финансиране за периода 2025 – 2028 г.“ на Закон за държавния бюджет на Република България за 2025 г.;</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ПСПВ „Сливен“</w:t>
      </w:r>
      <w:r w:rsidR="00F701A1" w:rsidRPr="00F701A1">
        <w:rPr>
          <w:rFonts w:ascii="Times New Roman" w:hAnsi="Times New Roman"/>
        </w:rPr>
        <w:t xml:space="preserve"> – </w:t>
      </w:r>
      <w:r w:rsidRPr="00F701A1">
        <w:rPr>
          <w:rFonts w:ascii="Times New Roman" w:hAnsi="Times New Roman"/>
        </w:rPr>
        <w:t>Предвидените дейности са за СМР, СН и АН, свързани с доизграждане на ПСПВ. През 2026 г. предстои стартиране на процедури по Закона за обществените поръчки за избор на изпълнител за оценка на съответствието на работния проект и за строителен надзор, както и за избор на изпълнител за СМР. Строителството се предвижда да приключи до края на 2028 г. Дейностите</w:t>
      </w:r>
      <w:r w:rsidRPr="00F701A1" w:rsidDel="00F835AE">
        <w:rPr>
          <w:rFonts w:ascii="Times New Roman" w:hAnsi="Times New Roman"/>
        </w:rPr>
        <w:t xml:space="preserve"> </w:t>
      </w:r>
      <w:r w:rsidRPr="00F701A1">
        <w:rPr>
          <w:rFonts w:ascii="Times New Roman" w:hAnsi="Times New Roman"/>
        </w:rPr>
        <w:t xml:space="preserve">са включени </w:t>
      </w:r>
      <w:r w:rsidRPr="00F701A1">
        <w:rPr>
          <w:rFonts w:ascii="Times New Roman" w:hAnsi="Times New Roman"/>
        </w:rPr>
        <w:lastRenderedPageBreak/>
        <w:t>в Приложение 2, Раздел II към чл. 110, ал. 2 „Списък с резервни стратегически инвестиционни проекти с национално финансиране за периода 2025 – 2028 г.“ на Закон за държавния бюджет на Република България за 2025 г.;</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Подобряване на водоснабдяването на териториите на общините Севлиево, Габрово и Дряново: Язовир "Бяла" – прединвестиционно проучване</w:t>
      </w:r>
      <w:r w:rsidRPr="00F701A1">
        <w:rPr>
          <w:rFonts w:ascii="Times New Roman" w:hAnsi="Times New Roman"/>
        </w:rPr>
        <w:t>. Предлаганите дейности и мерки за финансиране са за преодоляване на кризата с безводието и режимното подаване на вода в населени места в общини Севлиево, Габрово и Дряново и осигуряване непрекъснатост на водоснабдяването,  устойчивост и качество на предоставяните услуги. През 2026 г. се предвижда да стартират дейности за извършване на прединвестиционно проучване. Дейностите</w:t>
      </w:r>
      <w:r w:rsidRPr="00F701A1" w:rsidDel="00F835AE">
        <w:rPr>
          <w:rFonts w:ascii="Times New Roman" w:hAnsi="Times New Roman"/>
        </w:rPr>
        <w:t xml:space="preserve"> </w:t>
      </w:r>
      <w:r w:rsidRPr="00F701A1">
        <w:rPr>
          <w:rFonts w:ascii="Times New Roman" w:hAnsi="Times New Roman"/>
        </w:rPr>
        <w:t>са включени в Приложение 2, Раздел II към чл. 110, ал. 2 „Списък с резервни стратегически инвестиционни проекти с национално финансиране за периода 2025 – 2028 г.“ на Закон за държавния бюджет на Република България за 2025 г.;</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Хидровъзел „Христо Смирненски“ –</w:t>
      </w:r>
      <w:r w:rsidRPr="00F701A1">
        <w:rPr>
          <w:rFonts w:ascii="Times New Roman" w:hAnsi="Times New Roman"/>
        </w:rPr>
        <w:t xml:space="preserve"> </w:t>
      </w:r>
      <w:r w:rsidRPr="00F701A1">
        <w:rPr>
          <w:rFonts w:ascii="Times New Roman" w:hAnsi="Times New Roman"/>
          <w:b/>
        </w:rPr>
        <w:t xml:space="preserve">съставяне на технически паспорт на съоръженията на хидровъзела. </w:t>
      </w:r>
      <w:r w:rsidRPr="00F701A1">
        <w:rPr>
          <w:rFonts w:ascii="Times New Roman" w:hAnsi="Times New Roman"/>
        </w:rPr>
        <w:t>През 202</w:t>
      </w:r>
      <w:r w:rsidRPr="00F701A1">
        <w:rPr>
          <w:rFonts w:ascii="Times New Roman" w:hAnsi="Times New Roman"/>
          <w:lang w:val="en-US"/>
        </w:rPr>
        <w:t>6</w:t>
      </w:r>
      <w:r w:rsidRPr="00F701A1">
        <w:rPr>
          <w:rFonts w:ascii="Times New Roman" w:hAnsi="Times New Roman"/>
        </w:rPr>
        <w:t xml:space="preserve"> г. предстои избор на изпълнител за обследване и съставяне на технически паспорт на язовира и съоръженията към него и за определяне на необходимите мерки за реконструкция на съоръженията. Предлаганите дейности и мерки за финансиране са за осигуряване непрекъснатост на водоснабдяването в населени места в община Габрово, устойчивост и качество на предоставяните услуги. Дейностите</w:t>
      </w:r>
      <w:r w:rsidRPr="00F701A1" w:rsidDel="00F835AE">
        <w:rPr>
          <w:rFonts w:ascii="Times New Roman" w:hAnsi="Times New Roman"/>
        </w:rPr>
        <w:t xml:space="preserve"> </w:t>
      </w:r>
      <w:r w:rsidRPr="00F701A1">
        <w:rPr>
          <w:rFonts w:ascii="Times New Roman" w:hAnsi="Times New Roman"/>
        </w:rPr>
        <w:t>са включени в Приложение 2, Раздел II към чл. 110, ал. 2 „Списък с резервни стратегически инвестиционни проекти с национално финансиране за периода 2025 – 2028 г.“ на Закон за държавния бюджет на Република България за 2025 г.;</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Обследване на изпълненото строителство на изградена язовирна стена  Кюстендил и съоръжения към нея, находящи се в землищата на с. Богослов и с. Слокощица, община Кюстендил</w:t>
      </w:r>
      <w:r w:rsidRPr="00F701A1">
        <w:rPr>
          <w:rFonts w:ascii="Times New Roman" w:hAnsi="Times New Roman"/>
        </w:rPr>
        <w:t xml:space="preserve"> – предвидените дейности са за обследване на частично изградената язовирна стена и съоръженията към нея, с което да се оцени тяхното функционално техническо състояние, устойчивостта на язовирната стена, оценка на съответствието на съоръженията с действащата нормативна уредба, оценка на хидрологията на водосбора и др. Дейностите</w:t>
      </w:r>
      <w:r w:rsidRPr="00F701A1" w:rsidDel="00F835AE">
        <w:rPr>
          <w:rFonts w:ascii="Times New Roman" w:hAnsi="Times New Roman"/>
        </w:rPr>
        <w:t xml:space="preserve"> </w:t>
      </w:r>
      <w:r w:rsidRPr="00F701A1">
        <w:rPr>
          <w:rFonts w:ascii="Times New Roman" w:hAnsi="Times New Roman"/>
        </w:rPr>
        <w:t>са включени в Приложение 2, Раздел II към чл. 110, ал. 2 „Списък с резервни стратегически инвестиционни проекти с национално финансиране за периода 2025 – 2028 г.“ на Закон за държавния бюджет на Република България за 2025 г.;</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Доизграждане на язовир „Нейковци“ и ПСПВ</w:t>
      </w:r>
      <w:r w:rsidRPr="00F701A1">
        <w:rPr>
          <w:rFonts w:ascii="Times New Roman" w:hAnsi="Times New Roman"/>
        </w:rPr>
        <w:t xml:space="preserve"> – предвидени са дейности за актуализиране на проектната документация, провеждане на устройствените процедури за отреждане на сервитут на трасетата на водопроводите;</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Изготвяне на прединвистиционно проучване (ПИП) за обект „Водоснабдителна система Александър Стамболийски“</w:t>
      </w:r>
      <w:r w:rsidRPr="00F701A1">
        <w:rPr>
          <w:rFonts w:ascii="Times New Roman" w:hAnsi="Times New Roman"/>
        </w:rPr>
        <w:t xml:space="preserve"> - Предлаганите дейности и мерки за финансиране са за преодоляване на кризата с безводието и режимното подаване на вода в населени места в общините Павликени, Сухиндол и Свищов от област Велико Търново и осигуряване непрекъснатост на водоснабдяването, устойчивост и качество на предоставяните услуги;</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 xml:space="preserve">Изготвяне на прединвестиционно проучване (ПИП) за обект „Водоснабдителна система Луда Яна“ - </w:t>
      </w:r>
      <w:r w:rsidRPr="00F701A1">
        <w:rPr>
          <w:rFonts w:ascii="Times New Roman" w:hAnsi="Times New Roman"/>
        </w:rPr>
        <w:t>Предлаганите дейности и мерки за финансиране са за осигуряване на непрекъснатост на водоснабдяването на град Панагюрище и други населени места в общината, както и след доизграждане на водоснабдителната система за населени места от общините Панагюрище, Лесичово, Стрелча и Септември. Проектът и целта му съответстват на Целите за устойчиво развитие от Програмата на ООН 2030 г. Цел 6: Осигуряване на наличие и устойчиво управление на вода и канализация за всички, подцел 6.1. Осигуряване на равен достъп до безопасна питейна вода. Предвидените средства са за изготвяне на  прединвестиционно проучване (ПИП);</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 xml:space="preserve">Проектиране и ПУП-ПП за обект: Реконструкция на водопровод - подмяна или рехабилитация на стоманени тръби Ф500 в обхвата на съществуващ обект водоснабдяване на група Мадан - </w:t>
      </w:r>
      <w:r w:rsidRPr="00F701A1">
        <w:rPr>
          <w:rFonts w:ascii="Times New Roman" w:hAnsi="Times New Roman"/>
        </w:rPr>
        <w:t>Предлаганите дейности и мерки за финансиране са за осигуряване на непрекъснатост на водоснабдяването на градовете Мадан и Рудозем и други населени места от общините.  Проектът и целта му съответстват на Целите за устойчиво развитие от Програмата на ООН 2030 г. Цел 6: Осигуряване на наличие и устойчиво управление на вода и канализация за всички, подцел 6.1. Осигуряване на равен достъп до безопасна питейна вода. Предвидените средства са за изготвяне на  инвестиционен проект и проект за подробен устройствен план (ПУП);</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 xml:space="preserve">Увеличаване на капацитета на водоснабдителна система Девненски извори - </w:t>
      </w:r>
      <w:r w:rsidRPr="00F701A1">
        <w:rPr>
          <w:rFonts w:ascii="Times New Roman" w:hAnsi="Times New Roman"/>
        </w:rPr>
        <w:t xml:space="preserve">За град Варна съществува алтернативно водоснабдяване от Девненските извори. В тази връзка е изготвен идеен проект за </w:t>
      </w:r>
      <w:r w:rsidRPr="00F701A1">
        <w:rPr>
          <w:rFonts w:ascii="Times New Roman" w:hAnsi="Times New Roman"/>
        </w:rPr>
        <w:lastRenderedPageBreak/>
        <w:t>осигуряване на резервно водоснабдяване за град Варна и околните населени места с питейна вода, които биха могли да се използват в случай на необходимост и недостиг от язовир „Камчия“. Проектът и целта му съответстват на Целите за устойчиво развитие от Програмата на ООН 2030 г. Цел 6: Осигуряване на наличие и устойчиво управление на вода и канализация за всички, подцел 6.1. Осигуряване на равен достъп до безопасна питейна вода. Предвидените средства са за изготвяне на  инвестиционен проект, провеждане на устройствени процедури, СМР, строителен и авторски надзори;</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 xml:space="preserve">Реконструкция на деривация за гр. Велико Търново - РШ Пчелина - РШ Ивайло - въздушно преминаване над р. Янтра - </w:t>
      </w:r>
      <w:r w:rsidRPr="00F701A1">
        <w:rPr>
          <w:rFonts w:ascii="Times New Roman" w:hAnsi="Times New Roman"/>
        </w:rPr>
        <w:t>Предлаганите дейности и мерки за финансиране на резервно водоснабдяване за гр. Велико Търново и други населени места в област Велико Търново, с което ще се повиши сигурността на водоснабдяването. Проектът и целта му съответстват на Целите за устойчиво развитие от Програмата на ООН 2030 г. Цел 6: Осигуряване на наличие и устойчиво управление на вода и канализация за всички, подцел 6.1. Осигуряване на равен достъп до безопасна питейна вода. Предвидените средства са за изготвяне на  инвестиционен проект и за оценка на съответствието със съществените изисквания към строежите на проекта;</w:t>
      </w:r>
    </w:p>
    <w:p w:rsidR="006B7C85" w:rsidRPr="00F701A1" w:rsidRDefault="006B7C85" w:rsidP="004F30BC">
      <w:pPr>
        <w:pStyle w:val="ListParagraph"/>
        <w:numPr>
          <w:ilvl w:val="0"/>
          <w:numId w:val="92"/>
        </w:numPr>
        <w:tabs>
          <w:tab w:val="left" w:pos="851"/>
        </w:tabs>
        <w:spacing w:after="0" w:line="240" w:lineRule="auto"/>
        <w:ind w:left="0" w:firstLine="567"/>
        <w:jc w:val="both"/>
        <w:rPr>
          <w:rFonts w:ascii="Times New Roman" w:hAnsi="Times New Roman"/>
        </w:rPr>
      </w:pPr>
      <w:r w:rsidRPr="00F701A1">
        <w:rPr>
          <w:rFonts w:ascii="Times New Roman" w:hAnsi="Times New Roman"/>
          <w:b/>
        </w:rPr>
        <w:t xml:space="preserve">Реконструкция на довеждащ водопровод до ПСПВ "Стоките" и източен водопроводен клон за питейна вода. Подобект: Източен водопровод до ПСПВ "Стоките" - ЕТАП 2, Водопровод от т.1 до т.293 - </w:t>
      </w:r>
      <w:r w:rsidRPr="00F701A1">
        <w:rPr>
          <w:rFonts w:ascii="Times New Roman" w:hAnsi="Times New Roman"/>
        </w:rPr>
        <w:t>Предлаганите дейности и мерки за финансиране са за повишаване на сигурността на водоснабдяването на населените места в общините Севлиево и Габрово и ще намалят риска от въвеждане на режим на водоснабдяване. Съществуващият водопровод е с изтекъл експлоатационен срок, в лошо състояние, генерира големи загуби на вода, често аварира. Проектът и целта му съответстват на Целите за устойчиво развитие от Програмата на ООН 2030 г. Цел 6: Осигуряване на наличие и устойчиво управление на вода и канализация за всички, подцел 6.1. Осигуряване на равен достъп до безопасна питейна вода. Предвидените средства са за изпълнение на СМР, строителен и авторски надзори.</w:t>
      </w:r>
    </w:p>
    <w:p w:rsidR="00426FE9" w:rsidRPr="00F701A1" w:rsidRDefault="00D0590D">
      <w:pPr>
        <w:spacing w:after="0" w:line="240" w:lineRule="auto"/>
        <w:ind w:left="567" w:right="46"/>
        <w:jc w:val="both"/>
        <w:rPr>
          <w:rFonts w:ascii="Times New Roman" w:hAnsi="Times New Roman" w:cs="Times New Roman"/>
          <w:b/>
          <w:i/>
        </w:rPr>
      </w:pPr>
      <w:r w:rsidRPr="00F701A1">
        <w:rPr>
          <w:rFonts w:ascii="Times New Roman" w:hAnsi="Times New Roman" w:cs="Times New Roman"/>
          <w:b/>
          <w:i/>
        </w:rPr>
        <w:t xml:space="preserve">Продукт/услуги предоставяна по бюджетната програма: </w:t>
      </w:r>
    </w:p>
    <w:p w:rsidR="00426FE9" w:rsidRPr="00F701A1" w:rsidRDefault="00D0590D" w:rsidP="004F30BC">
      <w:pPr>
        <w:numPr>
          <w:ilvl w:val="0"/>
          <w:numId w:val="71"/>
        </w:numPr>
        <w:spacing w:after="0" w:line="240" w:lineRule="auto"/>
        <w:ind w:left="0" w:right="46" w:firstLine="567"/>
        <w:jc w:val="both"/>
        <w:rPr>
          <w:rFonts w:ascii="Times New Roman" w:hAnsi="Times New Roman" w:cs="Times New Roman"/>
        </w:rPr>
      </w:pPr>
      <w:r w:rsidRPr="00F701A1">
        <w:rPr>
          <w:rFonts w:ascii="Times New Roman" w:hAnsi="Times New Roman" w:cs="Times New Roman"/>
          <w:b/>
        </w:rPr>
        <w:t>Проекти и дейности в отрасъл „Водоснабдяване и канализация“ за постигане на финансово, технически и екологично устойчив ВиК отрасъл, който предоставя ВиК услуги с високо качество на социално поносими цени, в съответствие с националното законодателство и европейските директиви в областта на водоснабдяването, отвеждането и пречистването на водите</w:t>
      </w:r>
    </w:p>
    <w:p w:rsidR="00426FE9" w:rsidRPr="00F701A1" w:rsidRDefault="00D0590D" w:rsidP="004F30BC">
      <w:pPr>
        <w:numPr>
          <w:ilvl w:val="0"/>
          <w:numId w:val="71"/>
        </w:numPr>
        <w:spacing w:after="0" w:line="240" w:lineRule="auto"/>
        <w:ind w:left="0" w:right="46" w:firstLine="567"/>
        <w:jc w:val="both"/>
        <w:rPr>
          <w:rFonts w:ascii="Times New Roman" w:hAnsi="Times New Roman" w:cs="Times New Roman"/>
        </w:rPr>
      </w:pPr>
      <w:r w:rsidRPr="00F701A1">
        <w:rPr>
          <w:rFonts w:ascii="Times New Roman" w:hAnsi="Times New Roman" w:cs="Times New Roman"/>
        </w:rPr>
        <w:t>Надграждане и обслужване на  Единна информационна система за ВиК услугите и регистър на асоциациите по ВиК и ВиК операторите и на Информационна система за водностопанските системи и съоръжения;</w:t>
      </w:r>
    </w:p>
    <w:p w:rsidR="00426FE9" w:rsidRDefault="00D0590D" w:rsidP="004F30BC">
      <w:pPr>
        <w:numPr>
          <w:ilvl w:val="0"/>
          <w:numId w:val="71"/>
        </w:numPr>
        <w:spacing w:after="0" w:line="240" w:lineRule="auto"/>
        <w:ind w:left="0" w:right="46" w:firstLine="567"/>
        <w:jc w:val="both"/>
        <w:rPr>
          <w:rFonts w:ascii="Times New Roman" w:hAnsi="Times New Roman" w:cs="Times New Roman"/>
        </w:rPr>
      </w:pPr>
      <w:r>
        <w:rPr>
          <w:rFonts w:ascii="Times New Roman" w:hAnsi="Times New Roman" w:cs="Times New Roman"/>
        </w:rPr>
        <w:t>Подпомагане на дейността на Асоциациите по ВиК – в съответствие с чл.198в, ал. 12 и ал. 13 на Закона за водите.</w:t>
      </w:r>
    </w:p>
    <w:p w:rsidR="00426FE9" w:rsidRDefault="00D0590D" w:rsidP="004F30BC">
      <w:pPr>
        <w:numPr>
          <w:ilvl w:val="0"/>
          <w:numId w:val="71"/>
        </w:numPr>
        <w:spacing w:after="0" w:line="240" w:lineRule="auto"/>
        <w:ind w:left="0" w:right="46" w:firstLine="567"/>
        <w:jc w:val="both"/>
        <w:rPr>
          <w:rFonts w:ascii="Times New Roman" w:hAnsi="Times New Roman" w:cs="Times New Roman"/>
        </w:rPr>
      </w:pPr>
      <w:r>
        <w:rPr>
          <w:rFonts w:ascii="Times New Roman" w:hAnsi="Times New Roman" w:cs="Times New Roman"/>
        </w:rPr>
        <w:t>Охрана на пречиствателна станция за питейна вода (ПСПВ) гр. Сливен.</w:t>
      </w:r>
    </w:p>
    <w:p w:rsidR="00426FE9" w:rsidRDefault="00D0590D">
      <w:pPr>
        <w:spacing w:after="0" w:line="240" w:lineRule="auto"/>
        <w:ind w:right="46" w:firstLine="567"/>
        <w:jc w:val="both"/>
        <w:rPr>
          <w:rFonts w:ascii="Times New Roman" w:hAnsi="Times New Roman" w:cs="Times New Roman"/>
          <w:b/>
          <w:i/>
          <w:color w:val="000000" w:themeColor="text1"/>
          <w:u w:val="single"/>
        </w:rPr>
      </w:pPr>
      <w:r>
        <w:rPr>
          <w:rFonts w:ascii="Times New Roman" w:hAnsi="Times New Roman" w:cs="Times New Roman"/>
          <w:b/>
          <w:i/>
          <w:color w:val="000000" w:themeColor="text1"/>
          <w:u w:val="single"/>
        </w:rPr>
        <w:t xml:space="preserve">В частта на устройственото планиране </w:t>
      </w:r>
    </w:p>
    <w:p w:rsidR="00426FE9" w:rsidRDefault="00D0590D" w:rsidP="004F30BC">
      <w:pPr>
        <w:pStyle w:val="ListParagraph"/>
        <w:numPr>
          <w:ilvl w:val="0"/>
          <w:numId w:val="72"/>
        </w:numPr>
        <w:tabs>
          <w:tab w:val="left" w:pos="851"/>
        </w:tabs>
        <w:spacing w:after="0" w:line="240" w:lineRule="auto"/>
        <w:ind w:left="0" w:right="45" w:firstLine="567"/>
        <w:jc w:val="both"/>
        <w:rPr>
          <w:rFonts w:ascii="Times New Roman" w:hAnsi="Times New Roman"/>
        </w:rPr>
      </w:pPr>
      <w:r>
        <w:rPr>
          <w:rFonts w:ascii="Times New Roman" w:hAnsi="Times New Roman"/>
        </w:rPr>
        <w:t>Услуга: Разработване на политика за управление на територията</w:t>
      </w:r>
    </w:p>
    <w:p w:rsidR="00426FE9" w:rsidRDefault="00D0590D">
      <w:pPr>
        <w:tabs>
          <w:tab w:val="left" w:pos="709"/>
        </w:tabs>
        <w:spacing w:after="0" w:line="240" w:lineRule="auto"/>
        <w:ind w:right="45" w:firstLine="567"/>
        <w:contextualSpacing/>
        <w:jc w:val="both"/>
        <w:rPr>
          <w:rFonts w:ascii="Times New Roman" w:hAnsi="Times New Roman" w:cs="Times New Roman"/>
        </w:rPr>
      </w:pPr>
      <w:r>
        <w:rPr>
          <w:rFonts w:ascii="Times New Roman" w:hAnsi="Times New Roman" w:cs="Times New Roman"/>
        </w:rPr>
        <w:t>Дейности за предоставяне на продукта/услугата:</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bCs/>
          <w:color w:val="000000"/>
          <w:spacing w:val="-1"/>
          <w:lang w:val="ru-RU"/>
        </w:rPr>
        <w:t>-</w:t>
      </w:r>
      <w:r>
        <w:rPr>
          <w:rFonts w:ascii="Times New Roman" w:hAnsi="Times New Roman" w:cs="Times New Roman"/>
          <w:b/>
          <w:color w:val="000000"/>
          <w:spacing w:val="-1"/>
        </w:rPr>
        <w:t xml:space="preserve"> </w:t>
      </w:r>
      <w:r>
        <w:rPr>
          <w:rFonts w:ascii="Times New Roman" w:hAnsi="Times New Roman" w:cs="Times New Roman"/>
          <w:bCs/>
          <w:color w:val="000000"/>
        </w:rPr>
        <w:t xml:space="preserve">Разработване на проекти на нормативни актове в областта на устройството на територията; </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bCs/>
          <w:color w:val="000000"/>
        </w:rPr>
        <w:t xml:space="preserve">- Актуализиране на нормативни актове с оглед облекчаване на лицензионните, разрешителните и съгласувателните режими, свързани с дейностите по устройство на територията и оптимизиране на функциите, задълженията и отговорностите на участниците в строителството; </w:t>
      </w:r>
    </w:p>
    <w:p w:rsidR="00426FE9" w:rsidRDefault="00D0590D">
      <w:pPr>
        <w:tabs>
          <w:tab w:val="left" w:pos="567"/>
        </w:tabs>
        <w:spacing w:after="0" w:line="240" w:lineRule="auto"/>
        <w:ind w:firstLine="567"/>
        <w:jc w:val="both"/>
        <w:rPr>
          <w:rFonts w:ascii="Times New Roman" w:eastAsia="SimSun" w:hAnsi="Times New Roman" w:cs="Times New Roman"/>
          <w:color w:val="000000"/>
          <w:lang w:eastAsia="zh-CN"/>
        </w:rPr>
      </w:pPr>
      <w:r>
        <w:rPr>
          <w:rFonts w:ascii="Times New Roman" w:hAnsi="Times New Roman" w:cs="Times New Roman"/>
          <w:bCs/>
          <w:color w:val="000000"/>
          <w:lang w:val="ru-RU"/>
        </w:rPr>
        <w:t xml:space="preserve"> </w:t>
      </w:r>
      <w:r>
        <w:rPr>
          <w:rFonts w:ascii="Times New Roman" w:eastAsia="SimSun" w:hAnsi="Times New Roman" w:cs="Times New Roman"/>
          <w:color w:val="000000"/>
          <w:lang w:eastAsia="zh-CN"/>
        </w:rPr>
        <w:t>- Разпределяне  на средствата от държавния бюджет, които се предвиждат по реда на § 123 от Преходните и Заключителни разпоредби към Закона за изменение и допълнение на Закона за устройство на територията (ПЗР към ЗИД на ЗУТ – изм. ДВ, бр. 98/2014 г.) за финансово подпомагане изработването на общи устройствени планове на общините (ОУПО), както и осъществяване на методическо ръководство, координация и контрол при възлагането, изработването, съгласуването и одобряването на ОУПО;</w:t>
      </w:r>
    </w:p>
    <w:p w:rsidR="00426FE9" w:rsidRDefault="00D0590D">
      <w:pPr>
        <w:spacing w:after="0" w:line="240" w:lineRule="auto"/>
        <w:ind w:right="-51" w:firstLine="567"/>
        <w:jc w:val="both"/>
        <w:rPr>
          <w:rFonts w:ascii="Times New Roman" w:hAnsi="Times New Roman" w:cs="Times New Roman"/>
          <w:color w:val="000000"/>
        </w:rPr>
      </w:pPr>
      <w:r>
        <w:rPr>
          <w:rFonts w:ascii="Times New Roman" w:hAnsi="Times New Roman" w:cs="Times New Roman"/>
          <w:color w:val="000000"/>
        </w:rPr>
        <w:t>- Възлагане изработване на нови или актуализация на действащи общи устройствени планове на Черноморските общини, предвидени по Закона за устройството на Черноморското крайбрежие;</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color w:val="000000"/>
        </w:rPr>
        <w:t xml:space="preserve"> </w:t>
      </w:r>
      <w:r>
        <w:rPr>
          <w:rFonts w:ascii="Times New Roman" w:hAnsi="Times New Roman" w:cs="Times New Roman"/>
          <w:bCs/>
          <w:color w:val="000000"/>
        </w:rPr>
        <w:t xml:space="preserve">- Разработване на методически указания по прилагането на действащата нормативна уредба в областта на устройството на територията, в т.ч. оказване на методическа помощ на общинските и областните администрации; </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bCs/>
          <w:color w:val="000000"/>
        </w:rPr>
        <w:t xml:space="preserve">- Подпомагане провеждането на работни срещи и семинари по прилагането на нормативната уредба за устройство на територията; </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bCs/>
          <w:color w:val="000000"/>
        </w:rPr>
        <w:lastRenderedPageBreak/>
        <w:t>- Проучване и изготвяне на отговори на молби и жалби на граждани и юридически лица по въпроси, свързани с устройството на територията;</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bCs/>
          <w:color w:val="000000"/>
          <w:lang w:val="ru-RU"/>
        </w:rPr>
        <w:t xml:space="preserve">- </w:t>
      </w:r>
      <w:r>
        <w:rPr>
          <w:rFonts w:ascii="Times New Roman" w:hAnsi="Times New Roman" w:cs="Times New Roman"/>
          <w:bCs/>
          <w:color w:val="000000"/>
        </w:rPr>
        <w:t>Осигуряване дейността на Националния експертен съвет по устройство на територията и регионална политика (НЕСУТРП), назначен от министъра, както и необходимата координация на държавната експертиза в други ведомства;</w:t>
      </w:r>
    </w:p>
    <w:p w:rsidR="00426FE9" w:rsidRDefault="00D0590D">
      <w:pPr>
        <w:spacing w:after="0" w:line="240" w:lineRule="auto"/>
        <w:ind w:right="-51" w:firstLine="567"/>
        <w:jc w:val="both"/>
        <w:rPr>
          <w:rFonts w:ascii="Times New Roman" w:hAnsi="Times New Roman" w:cs="Times New Roman"/>
          <w:bCs/>
          <w:color w:val="000000"/>
        </w:rPr>
      </w:pPr>
      <w:r>
        <w:rPr>
          <w:rFonts w:ascii="Times New Roman" w:hAnsi="Times New Roman" w:cs="Times New Roman"/>
          <w:bCs/>
          <w:color w:val="000000"/>
        </w:rPr>
        <w:t>- Организиране изготвянето, наблюдението и оценката на изпълнението на комплексни проекти с национално значение, включително за последиците от тяхното реализиране в различни аспекти - социален, икономически и др.</w:t>
      </w:r>
    </w:p>
    <w:p w:rsidR="00426FE9" w:rsidRDefault="00D0590D" w:rsidP="004F30BC">
      <w:pPr>
        <w:pStyle w:val="ListParagraph"/>
        <w:numPr>
          <w:ilvl w:val="0"/>
          <w:numId w:val="72"/>
        </w:numPr>
        <w:tabs>
          <w:tab w:val="left" w:pos="851"/>
        </w:tabs>
        <w:spacing w:after="0" w:line="240" w:lineRule="auto"/>
        <w:ind w:left="0" w:right="45" w:firstLine="567"/>
        <w:jc w:val="both"/>
        <w:rPr>
          <w:rFonts w:ascii="Times New Roman" w:hAnsi="Times New Roman"/>
        </w:rPr>
      </w:pPr>
      <w:r>
        <w:rPr>
          <w:rFonts w:ascii="Times New Roman" w:hAnsi="Times New Roman"/>
        </w:rPr>
        <w:t xml:space="preserve">Услуга: Разрешителен/съгласувателен режим в устройственото планиране </w:t>
      </w:r>
    </w:p>
    <w:p w:rsidR="00426FE9" w:rsidRDefault="00D0590D">
      <w:pPr>
        <w:tabs>
          <w:tab w:val="left" w:pos="709"/>
        </w:tabs>
        <w:spacing w:after="0" w:line="240" w:lineRule="auto"/>
        <w:ind w:right="45" w:firstLine="567"/>
        <w:contextualSpacing/>
        <w:jc w:val="both"/>
        <w:rPr>
          <w:rFonts w:ascii="Times New Roman" w:hAnsi="Times New Roman" w:cs="Times New Roman"/>
        </w:rPr>
      </w:pPr>
      <w:r>
        <w:rPr>
          <w:rFonts w:ascii="Times New Roman" w:hAnsi="Times New Roman" w:cs="Times New Roman"/>
        </w:rPr>
        <w:t>Дейности за предоставяне на продукта/услугата</w:t>
      </w:r>
    </w:p>
    <w:p w:rsidR="00426FE9" w:rsidRDefault="00D0590D">
      <w:pPr>
        <w:tabs>
          <w:tab w:val="left" w:pos="709"/>
        </w:tabs>
        <w:spacing w:after="0" w:line="240" w:lineRule="auto"/>
        <w:ind w:right="45" w:firstLine="567"/>
        <w:contextualSpacing/>
        <w:jc w:val="both"/>
        <w:rPr>
          <w:rFonts w:ascii="Times New Roman" w:hAnsi="Times New Roman" w:cs="Times New Roman"/>
          <w:bCs/>
        </w:rPr>
      </w:pPr>
      <w:r>
        <w:rPr>
          <w:rFonts w:ascii="Times New Roman" w:hAnsi="Times New Roman" w:cs="Times New Roman"/>
          <w:bCs/>
        </w:rPr>
        <w:t>- Издаване на разрешения за изработване на общи и подробни устройствени планове и техните изменения, съгласно предоставените правомощия по ЗУТ, ЗУЧК и Закона за морските пространства, вътрешните водни пътища и пристанищата на Република България (ЗМПВВПРБ).</w:t>
      </w:r>
    </w:p>
    <w:p w:rsidR="00426FE9" w:rsidRDefault="00D0590D">
      <w:pPr>
        <w:tabs>
          <w:tab w:val="left" w:pos="709"/>
        </w:tabs>
        <w:spacing w:after="0" w:line="240" w:lineRule="auto"/>
        <w:ind w:right="45" w:firstLine="567"/>
        <w:contextualSpacing/>
        <w:jc w:val="both"/>
        <w:rPr>
          <w:rFonts w:ascii="Times New Roman" w:hAnsi="Times New Roman" w:cs="Times New Roman"/>
          <w:bCs/>
        </w:rPr>
      </w:pPr>
      <w:r>
        <w:rPr>
          <w:rFonts w:ascii="Times New Roman" w:hAnsi="Times New Roman" w:cs="Times New Roman"/>
          <w:bCs/>
        </w:rPr>
        <w:t>- Организиране и осигуряване дейността на НЕСУТРП за разглеждане на проекти на общи и подробни устройствени планове, специфични правила и нормативи към тях съгласно ЗУТ, ЗУЧК и ЗМПВВПРБ, както и на морския пространствен план на Република България съгласно ЗМПВВПРБ;</w:t>
      </w:r>
    </w:p>
    <w:p w:rsidR="00426FE9" w:rsidRDefault="00D0590D">
      <w:pPr>
        <w:tabs>
          <w:tab w:val="left" w:pos="709"/>
        </w:tabs>
        <w:spacing w:after="0" w:line="240" w:lineRule="auto"/>
        <w:ind w:right="45" w:firstLine="567"/>
        <w:contextualSpacing/>
        <w:jc w:val="both"/>
        <w:rPr>
          <w:rFonts w:ascii="Times New Roman" w:hAnsi="Times New Roman" w:cs="Times New Roman"/>
          <w:bCs/>
        </w:rPr>
      </w:pPr>
      <w:r>
        <w:rPr>
          <w:rFonts w:ascii="Times New Roman" w:hAnsi="Times New Roman" w:cs="Times New Roman"/>
          <w:bCs/>
        </w:rPr>
        <w:t>- Одобряване със заповед на министъра на регионалното развитие и благоустройството на общи и подробни устройствени планове, съгласно предоставените правомощия по ЗУТ, ЗУЧК и ЗМПВВПРБ.</w:t>
      </w:r>
    </w:p>
    <w:p w:rsidR="00426FE9" w:rsidRDefault="00D0590D" w:rsidP="004F30BC">
      <w:pPr>
        <w:pStyle w:val="ListParagraph"/>
        <w:numPr>
          <w:ilvl w:val="0"/>
          <w:numId w:val="72"/>
        </w:numPr>
        <w:tabs>
          <w:tab w:val="left" w:pos="851"/>
        </w:tabs>
        <w:spacing w:after="0" w:line="240" w:lineRule="auto"/>
        <w:ind w:left="0" w:right="45" w:firstLine="567"/>
        <w:jc w:val="both"/>
        <w:rPr>
          <w:rFonts w:ascii="Times New Roman" w:hAnsi="Times New Roman"/>
        </w:rPr>
      </w:pPr>
      <w:r>
        <w:rPr>
          <w:rFonts w:ascii="Times New Roman" w:hAnsi="Times New Roman"/>
        </w:rPr>
        <w:t>Услуга: Разрешителен/съгласувателен режим в инвестиционното проектиране</w:t>
      </w:r>
    </w:p>
    <w:p w:rsidR="00426FE9" w:rsidRDefault="00D0590D">
      <w:pPr>
        <w:tabs>
          <w:tab w:val="left" w:pos="709"/>
        </w:tabs>
        <w:spacing w:after="0" w:line="240" w:lineRule="auto"/>
        <w:ind w:right="45" w:firstLine="567"/>
        <w:contextualSpacing/>
        <w:jc w:val="both"/>
        <w:rPr>
          <w:rFonts w:ascii="Times New Roman" w:hAnsi="Times New Roman" w:cs="Times New Roman"/>
        </w:rPr>
      </w:pPr>
      <w:r>
        <w:rPr>
          <w:rFonts w:ascii="Times New Roman" w:hAnsi="Times New Roman" w:cs="Times New Roman"/>
        </w:rPr>
        <w:t xml:space="preserve">Дейности за предоставяне на продукта/услугата </w:t>
      </w:r>
    </w:p>
    <w:p w:rsidR="00426FE9" w:rsidRDefault="00D0590D">
      <w:pPr>
        <w:pStyle w:val="BodyTextIndent3"/>
        <w:ind w:left="0" w:firstLine="567"/>
        <w:rPr>
          <w:color w:val="000000"/>
          <w:spacing w:val="-1"/>
          <w:sz w:val="22"/>
          <w:szCs w:val="22"/>
        </w:rPr>
      </w:pPr>
      <w:r>
        <w:rPr>
          <w:color w:val="000000"/>
          <w:spacing w:val="-1"/>
          <w:sz w:val="22"/>
          <w:szCs w:val="22"/>
        </w:rPr>
        <w:t>- Издаване на визи за проектиране;</w:t>
      </w:r>
    </w:p>
    <w:p w:rsidR="00426FE9" w:rsidRDefault="00D0590D">
      <w:pPr>
        <w:pStyle w:val="BodyTextIndent3"/>
        <w:ind w:left="0" w:firstLine="567"/>
        <w:rPr>
          <w:color w:val="000000"/>
          <w:spacing w:val="-1"/>
          <w:sz w:val="22"/>
          <w:szCs w:val="22"/>
        </w:rPr>
      </w:pPr>
      <w:r>
        <w:rPr>
          <w:color w:val="000000"/>
          <w:spacing w:val="-1"/>
          <w:sz w:val="22"/>
          <w:szCs w:val="22"/>
        </w:rPr>
        <w:t xml:space="preserve">- Одобряване на инвестиционни проекти за обекти с обхват повече от една област, обекти с национално значение </w:t>
      </w:r>
      <w:r>
        <w:rPr>
          <w:bCs/>
          <w:color w:val="000000"/>
          <w:spacing w:val="-1"/>
          <w:sz w:val="22"/>
          <w:szCs w:val="22"/>
        </w:rPr>
        <w:t>и/или национални обекти, републикански пътища, железопътни магистрали и железопътни линии</w:t>
      </w:r>
      <w:r>
        <w:rPr>
          <w:color w:val="000000"/>
          <w:spacing w:val="-1"/>
          <w:sz w:val="22"/>
          <w:szCs w:val="22"/>
        </w:rPr>
        <w:t>;</w:t>
      </w:r>
    </w:p>
    <w:p w:rsidR="00426FE9" w:rsidRDefault="00D0590D">
      <w:pPr>
        <w:pStyle w:val="BodyTextIndent3"/>
        <w:ind w:left="0" w:firstLine="567"/>
        <w:rPr>
          <w:b/>
          <w:color w:val="000000"/>
          <w:spacing w:val="-1"/>
          <w:sz w:val="22"/>
          <w:szCs w:val="22"/>
        </w:rPr>
      </w:pPr>
      <w:r>
        <w:rPr>
          <w:color w:val="000000"/>
          <w:spacing w:val="-1"/>
          <w:sz w:val="22"/>
          <w:szCs w:val="22"/>
        </w:rPr>
        <w:t xml:space="preserve">- Издаване на разрешения за строеж за обекти с обхват повече от една област, обекти с национално значение </w:t>
      </w:r>
      <w:r>
        <w:rPr>
          <w:bCs/>
          <w:color w:val="000000"/>
          <w:spacing w:val="-1"/>
          <w:sz w:val="22"/>
          <w:szCs w:val="22"/>
        </w:rPr>
        <w:t>и/или национални обекти, републикански пътища, железопътни магистрали и железопътни линии</w:t>
      </w:r>
      <w:r>
        <w:rPr>
          <w:color w:val="000000"/>
          <w:spacing w:val="-1"/>
          <w:sz w:val="22"/>
          <w:szCs w:val="22"/>
        </w:rPr>
        <w:t>;</w:t>
      </w:r>
      <w:r>
        <w:rPr>
          <w:b/>
          <w:color w:val="000000"/>
          <w:spacing w:val="-1"/>
          <w:sz w:val="22"/>
          <w:szCs w:val="22"/>
        </w:rPr>
        <w:t xml:space="preserve"> </w:t>
      </w:r>
    </w:p>
    <w:p w:rsidR="00426FE9" w:rsidRDefault="00D0590D">
      <w:pPr>
        <w:pStyle w:val="BodyTextIndent3"/>
        <w:ind w:left="0" w:firstLine="567"/>
        <w:rPr>
          <w:color w:val="000000"/>
          <w:spacing w:val="-1"/>
          <w:sz w:val="22"/>
          <w:szCs w:val="22"/>
        </w:rPr>
      </w:pPr>
      <w:r>
        <w:rPr>
          <w:color w:val="000000"/>
          <w:spacing w:val="-1"/>
          <w:sz w:val="22"/>
          <w:szCs w:val="22"/>
        </w:rPr>
        <w:t>- Заверяване на екзекутивна документация към одобрените инвестиционни проекти.</w:t>
      </w:r>
    </w:p>
    <w:p w:rsidR="00426FE9" w:rsidRDefault="00D0590D" w:rsidP="004F30BC">
      <w:pPr>
        <w:pStyle w:val="ListParagraph"/>
        <w:numPr>
          <w:ilvl w:val="0"/>
          <w:numId w:val="72"/>
        </w:numPr>
        <w:tabs>
          <w:tab w:val="left" w:pos="851"/>
        </w:tabs>
        <w:spacing w:after="0" w:line="240" w:lineRule="auto"/>
        <w:ind w:left="0" w:right="45" w:firstLine="567"/>
        <w:jc w:val="both"/>
        <w:rPr>
          <w:rFonts w:ascii="Times New Roman" w:hAnsi="Times New Roman"/>
        </w:rPr>
      </w:pPr>
      <w:r>
        <w:rPr>
          <w:rFonts w:ascii="Times New Roman" w:hAnsi="Times New Roman"/>
        </w:rPr>
        <w:t>Услуга: Поддържане на регистри и архив</w:t>
      </w:r>
    </w:p>
    <w:p w:rsidR="00426FE9" w:rsidRDefault="00D0590D">
      <w:pPr>
        <w:tabs>
          <w:tab w:val="left" w:pos="851"/>
        </w:tabs>
        <w:spacing w:after="0" w:line="240" w:lineRule="auto"/>
        <w:ind w:right="45" w:firstLine="567"/>
        <w:contextualSpacing/>
        <w:jc w:val="both"/>
        <w:rPr>
          <w:rFonts w:ascii="Times New Roman" w:hAnsi="Times New Roman" w:cs="Times New Roman"/>
        </w:rPr>
      </w:pPr>
      <w:r>
        <w:rPr>
          <w:rFonts w:ascii="Times New Roman" w:hAnsi="Times New Roman" w:cs="Times New Roman"/>
        </w:rPr>
        <w:t xml:space="preserve">Дейности за предоставяне на продукта/услугата </w:t>
      </w:r>
    </w:p>
    <w:p w:rsidR="00426FE9" w:rsidRDefault="00D0590D">
      <w:pPr>
        <w:tabs>
          <w:tab w:val="left" w:pos="709"/>
        </w:tabs>
        <w:spacing w:after="0" w:line="240" w:lineRule="auto"/>
        <w:ind w:right="45" w:firstLine="567"/>
        <w:contextualSpacing/>
        <w:jc w:val="both"/>
        <w:rPr>
          <w:rFonts w:ascii="Times New Roman" w:hAnsi="Times New Roman" w:cs="Times New Roman"/>
          <w:bCs/>
        </w:rPr>
      </w:pPr>
      <w:r>
        <w:rPr>
          <w:rFonts w:ascii="Times New Roman" w:hAnsi="Times New Roman" w:cs="Times New Roman"/>
          <w:bCs/>
        </w:rPr>
        <w:t>- Поддържане на архив на НЕСУТРП;</w:t>
      </w:r>
    </w:p>
    <w:p w:rsidR="00426FE9" w:rsidRDefault="00D0590D">
      <w:pPr>
        <w:tabs>
          <w:tab w:val="left" w:pos="709"/>
        </w:tabs>
        <w:spacing w:after="0" w:line="240" w:lineRule="auto"/>
        <w:ind w:right="45" w:firstLine="567"/>
        <w:contextualSpacing/>
        <w:jc w:val="both"/>
        <w:rPr>
          <w:rFonts w:ascii="Times New Roman" w:hAnsi="Times New Roman" w:cs="Times New Roman"/>
          <w:bCs/>
        </w:rPr>
      </w:pPr>
      <w:r>
        <w:rPr>
          <w:rFonts w:ascii="Times New Roman" w:hAnsi="Times New Roman" w:cs="Times New Roman"/>
          <w:bCs/>
        </w:rPr>
        <w:t>- Поддържане на архив на одобрените от министъра инвестиционни проекти и екзекутивни чертежи;</w:t>
      </w:r>
    </w:p>
    <w:p w:rsidR="00426FE9" w:rsidRDefault="00D0590D">
      <w:pPr>
        <w:tabs>
          <w:tab w:val="left" w:pos="709"/>
        </w:tabs>
        <w:spacing w:after="0" w:line="240" w:lineRule="auto"/>
        <w:ind w:right="45" w:firstLine="567"/>
        <w:contextualSpacing/>
        <w:jc w:val="both"/>
        <w:rPr>
          <w:rFonts w:ascii="Times New Roman" w:hAnsi="Times New Roman" w:cs="Times New Roman"/>
          <w:bCs/>
        </w:rPr>
      </w:pPr>
      <w:r>
        <w:rPr>
          <w:rFonts w:ascii="Times New Roman" w:hAnsi="Times New Roman" w:cs="Times New Roman"/>
          <w:bCs/>
        </w:rPr>
        <w:t xml:space="preserve">- Поддържане на </w:t>
      </w:r>
      <w:hyperlink r:id="rId10">
        <w:r>
          <w:rPr>
            <w:rStyle w:val="Hyperlink"/>
            <w:rFonts w:ascii="Times New Roman" w:hAnsi="Times New Roman"/>
            <w:bCs/>
            <w:color w:val="auto"/>
            <w:u w:val="none"/>
          </w:rPr>
          <w:t>регистър</w:t>
        </w:r>
      </w:hyperlink>
      <w:r>
        <w:rPr>
          <w:rFonts w:ascii="Times New Roman" w:hAnsi="Times New Roman" w:cs="Times New Roman"/>
          <w:bCs/>
        </w:rPr>
        <w:t xml:space="preserve"> на техническите паспорти на строежите, за които разрешението за строеж е издадено от министъра на регионалното развитие и благоустройството;</w:t>
      </w:r>
    </w:p>
    <w:p w:rsidR="00426FE9" w:rsidRDefault="00D0590D" w:rsidP="004F30BC">
      <w:pPr>
        <w:numPr>
          <w:ilvl w:val="0"/>
          <w:numId w:val="73"/>
        </w:numPr>
        <w:tabs>
          <w:tab w:val="left" w:pos="709"/>
        </w:tabs>
        <w:spacing w:after="0" w:line="240" w:lineRule="auto"/>
        <w:ind w:left="0" w:right="45" w:firstLine="567"/>
        <w:contextualSpacing/>
        <w:jc w:val="both"/>
        <w:rPr>
          <w:rFonts w:ascii="Times New Roman" w:hAnsi="Times New Roman" w:cs="Times New Roman"/>
          <w:bCs/>
        </w:rPr>
      </w:pPr>
      <w:r>
        <w:rPr>
          <w:rFonts w:ascii="Times New Roman" w:hAnsi="Times New Roman" w:cs="Times New Roman"/>
          <w:bCs/>
        </w:rPr>
        <w:t>Поддържане и периодично актуализиране на регистъра на агломерациите по Закона за защита от шума в околната среда.</w:t>
      </w:r>
    </w:p>
    <w:p w:rsidR="00426FE9" w:rsidRDefault="00D0590D">
      <w:pPr>
        <w:tabs>
          <w:tab w:val="left" w:pos="851"/>
        </w:tabs>
        <w:spacing w:after="0" w:line="240" w:lineRule="auto"/>
        <w:ind w:right="45" w:firstLine="567"/>
        <w:contextualSpacing/>
        <w:jc w:val="both"/>
        <w:rPr>
          <w:rFonts w:ascii="Times New Roman" w:hAnsi="Times New Roman" w:cs="Times New Roman"/>
        </w:rPr>
      </w:pPr>
      <w:r>
        <w:rPr>
          <w:rFonts w:ascii="Times New Roman" w:hAnsi="Times New Roman" w:cs="Times New Roman"/>
        </w:rPr>
        <w:t>Резултатите от горепосочените услуги не могат да се измерят пряко, тъй като цялостният ефект от дейността е свързана с перспективни прогнози на действие на устройствените планове (15-20 г.), в които икономическата обосновка е неделима част от проектите и цели осъществяване на дългосрочна стратегия на държавата и общините в усвояването, изграждането и функционирането на територията на страната. В областта на местното самоуправление и развитието на доброто управление и местната демокрация, както и в процеса на децентрализация също се прилагат средносрочни до дългосрочни индикатори и показатели за оценка на ефекта/ въздействието от прилагането на политиките. Продуктите-услугите се предоставят в съответствие и с европейски, национални и регионални стратегии, планове и програми както в отделни сектори, така и имащи интегриран  или хоризонтален характер, съдържащи съответните критерии и показатели за изпълнение.</w:t>
      </w:r>
    </w:p>
    <w:p w:rsidR="00426FE9" w:rsidRDefault="00D0590D">
      <w:pPr>
        <w:tabs>
          <w:tab w:val="left" w:pos="851"/>
        </w:tabs>
        <w:spacing w:after="0" w:line="240" w:lineRule="auto"/>
        <w:ind w:right="45" w:firstLine="567"/>
        <w:contextualSpacing/>
        <w:jc w:val="both"/>
        <w:rPr>
          <w:rFonts w:ascii="Times New Roman" w:hAnsi="Times New Roman" w:cs="Times New Roman"/>
          <w:b/>
          <w:i/>
          <w:u w:val="single"/>
        </w:rPr>
      </w:pPr>
      <w:r>
        <w:rPr>
          <w:rFonts w:ascii="Times New Roman" w:hAnsi="Times New Roman" w:cs="Times New Roman"/>
          <w:b/>
          <w:i/>
          <w:u w:val="single"/>
        </w:rPr>
        <w:t>В частта на дейностите, изпълнявани от АГКК</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rPr>
      </w:pPr>
      <w:r>
        <w:rPr>
          <w:rFonts w:ascii="Times New Roman" w:hAnsi="Times New Roman"/>
        </w:rPr>
        <w:t>Услуга: Обслужване на граждани, ведомства и общини с информация за недвижимите имоти от кадастралната карта и кадастралните регистри за извършване на сделки, както и за други цели;</w:t>
      </w:r>
    </w:p>
    <w:p w:rsidR="00426FE9" w:rsidRDefault="00D0590D">
      <w:pPr>
        <w:tabs>
          <w:tab w:val="left" w:pos="851"/>
        </w:tabs>
        <w:spacing w:after="0" w:line="240" w:lineRule="auto"/>
        <w:ind w:firstLine="567"/>
        <w:jc w:val="both"/>
        <w:rPr>
          <w:rFonts w:ascii="Times New Roman" w:hAnsi="Times New Roman" w:cs="Times New Roman"/>
        </w:rPr>
      </w:pPr>
      <w:r>
        <w:rPr>
          <w:rFonts w:ascii="Times New Roman" w:hAnsi="Times New Roman" w:cs="Times New Roman"/>
        </w:rPr>
        <w:t>Дейности за предоставяне на продукта/услугата: предоставят се скици на поземлени имоти и сгради, схеми на самостоятелни обекти, издават се удостоверения за приемане на проект за изменение на КККР, удостоверения за наличие или липса на данни и др.</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rPr>
      </w:pPr>
      <w:r>
        <w:rPr>
          <w:rFonts w:ascii="Times New Roman" w:hAnsi="Times New Roman"/>
        </w:rPr>
        <w:lastRenderedPageBreak/>
        <w:t>Услуга: Осигуряване на геодезическа основа, топографски и геопространствени материали и данни за нуждите на инвестиционното проектиране и устройството на териториите;</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 xml:space="preserve">Дейности за предоставяне на продукта/услугата: създаване на ГММП с използване на ГНСС технологии и преизмерване на линии от ДНМ, с което се създава изходна геодезическа основа в БГС 2005, както за нуждите на създаване на кадастрална карта, така и за всякакви геодезически измервания, свързани с инвестиционното проектиране и устройственото планиране; осъществяване на периодичен мониторинг на ГНСС инфраструктурните мрежи, получили удостоверение за съответствие за гарантиране стабилността на техните базови станции, респективно – точността на геодезическите ГНСС измервания; разработват се проектни предложения с цел осигуряване на финансиране за създаване на цифрова Едромащабната топографска карта на страната; поддържа се на създадената геобаза данни, съдържаща геодезически, картографски и топографски бази данни, както и информация за геодезическите и картографските материали и данни, съхранявани в Геокартфонд, с което е създадена възможността за 24/7 достъп до наличната информация, а интеграцията ѝ с Кадастрално административната система (КАИС) - възможност за заявяване на услуги от геодезическите и топографски материали и данни; </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Във връзка със ЗИД на ЗКИР, обн. ДВ, бр. 41 от 2019 г., в сила от 22.08.2019 г., с който се извършиха изменения и допълнения и в ЗГК, предстои АГКК да стартира дейностите по поддържане на Държавната гравиметрична мрежа, респективно да осигури актуални гравиметрични данни, необходими за решаване на задачи от научно и практическо значение в областта на геодезията, в т.ч. височинните определения, както и в областта на геофизиката, геологията, геодинамиката, метрология, океанологията, космонавтиката и др.</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rPr>
      </w:pPr>
      <w:r>
        <w:rPr>
          <w:rFonts w:ascii="Times New Roman" w:hAnsi="Times New Roman"/>
        </w:rPr>
        <w:t>Услуга: Осигуряване на технически и експертен потенциал в помощ на ведомствата и общинските администрации;</w:t>
      </w:r>
    </w:p>
    <w:p w:rsidR="00426FE9" w:rsidRDefault="00D0590D">
      <w:pPr>
        <w:tabs>
          <w:tab w:val="left" w:pos="851"/>
        </w:tabs>
        <w:spacing w:after="0" w:line="240" w:lineRule="auto"/>
        <w:ind w:firstLine="567"/>
        <w:jc w:val="both"/>
        <w:rPr>
          <w:rFonts w:ascii="Times New Roman" w:hAnsi="Times New Roman" w:cs="Times New Roman"/>
        </w:rPr>
      </w:pPr>
      <w:r>
        <w:rPr>
          <w:rFonts w:ascii="Times New Roman" w:hAnsi="Times New Roman" w:cs="Times New Roman"/>
        </w:rPr>
        <w:t>Дейности за предоставяне на продукта/услугата: чрез функционалностите на информационната система на кадастъра е реализирана нормативната и техническата възможност административните органи (централните и териториални администрации), лица с публични функции и организации, предоставящи обществени услуги, да заявяват и получават електронни скици /схеми, необходими за провежданите от тях производства, на нотариусите от 2014 г. им е предоставена законова възможност, чрез  отдалечен достъп до информационната система на кадастъра, да заявяват и да получават от АГКК електронни скици и схеми, които да разпечатват на хартия, да заверяват и да използват за провежданите от тях нотариални производства, АГКК предоставя достъп до информационната система на кадастъра на органите, които въвеждат обектите в експлоатация, за извършване на служебна проверка относно наличието им в КККР.</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rPr>
      </w:pPr>
      <w:r>
        <w:rPr>
          <w:rFonts w:ascii="Times New Roman" w:hAnsi="Times New Roman"/>
        </w:rPr>
        <w:t>Услуга: Регистрация на правоспособни лица;</w:t>
      </w:r>
    </w:p>
    <w:p w:rsidR="00426FE9" w:rsidRDefault="00D0590D">
      <w:pPr>
        <w:tabs>
          <w:tab w:val="left" w:pos="851"/>
        </w:tabs>
        <w:spacing w:after="0" w:line="240" w:lineRule="auto"/>
        <w:ind w:firstLine="567"/>
        <w:jc w:val="both"/>
        <w:rPr>
          <w:rFonts w:ascii="Times New Roman" w:hAnsi="Times New Roman" w:cs="Times New Roman"/>
        </w:rPr>
      </w:pPr>
      <w:r>
        <w:rPr>
          <w:rFonts w:ascii="Times New Roman" w:hAnsi="Times New Roman" w:cs="Times New Roman"/>
        </w:rPr>
        <w:t>Дейности за предоставяне на продукта/услугата: за извършеното вписване в регистъра на лицата правоспособни да извършват дейности по кадастъра се издава свидетелство за правоспособност и карта.</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rPr>
      </w:pPr>
      <w:r>
        <w:rPr>
          <w:rFonts w:ascii="Times New Roman" w:hAnsi="Times New Roman"/>
        </w:rPr>
        <w:t>Услуга: Поддържане на държавния геодезически, картографски и кадастрален фонд (Геокартфонд);</w:t>
      </w:r>
    </w:p>
    <w:p w:rsidR="00426FE9" w:rsidRDefault="00D0590D">
      <w:pPr>
        <w:tabs>
          <w:tab w:val="left" w:pos="851"/>
        </w:tabs>
        <w:spacing w:after="0" w:line="240" w:lineRule="auto"/>
        <w:ind w:firstLine="567"/>
        <w:jc w:val="both"/>
        <w:rPr>
          <w:rFonts w:ascii="Times New Roman" w:hAnsi="Times New Roman" w:cs="Times New Roman"/>
        </w:rPr>
      </w:pPr>
      <w:r>
        <w:rPr>
          <w:rFonts w:ascii="Times New Roman" w:hAnsi="Times New Roman" w:cs="Times New Roman"/>
        </w:rPr>
        <w:t>Дейности за предоставяне на продукта/услугата: обработка, в т.ч. оцифряване при необходимост, на новопостъпилите материали и данни, поддръжка на електронния архив на Геокартфонд и на геобазата данни, управлявана от модул „Геокартфонд“ на Информационната система за специализирани данни на АГКК, периодични инвентаризации на наличните данни и материали.</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rPr>
      </w:pPr>
      <w:r>
        <w:rPr>
          <w:rFonts w:ascii="Times New Roman" w:hAnsi="Times New Roman"/>
        </w:rPr>
        <w:t>Услуга: Поддържане на регистъра на географските имена в Р България;</w:t>
      </w:r>
    </w:p>
    <w:p w:rsidR="00426FE9" w:rsidRDefault="00D0590D">
      <w:pPr>
        <w:pStyle w:val="ListParagraph"/>
        <w:tabs>
          <w:tab w:val="left" w:pos="851"/>
        </w:tabs>
        <w:spacing w:after="0" w:line="240" w:lineRule="auto"/>
        <w:ind w:left="0" w:firstLine="567"/>
        <w:jc w:val="both"/>
        <w:rPr>
          <w:rFonts w:ascii="Times New Roman" w:hAnsi="Times New Roman"/>
          <w:b/>
          <w:i/>
          <w:color w:val="0000CC"/>
        </w:rPr>
      </w:pPr>
      <w:r>
        <w:rPr>
          <w:rFonts w:ascii="Times New Roman" w:eastAsiaTheme="minorHAnsi" w:hAnsi="Times New Roman"/>
        </w:rPr>
        <w:t>Дейности за предоставяне на продукта/услугата: поддържане на геобазата данни, съдържаща база данни за географските имена в Република България, управлявана от модул „Географски имена“ на Информационната система за специализирани данни на АГКК, с което е осигурен 24/7 достъп до Регистъра на географските имена.</w:t>
      </w:r>
    </w:p>
    <w:p w:rsidR="00426FE9" w:rsidRDefault="00D0590D" w:rsidP="004F30BC">
      <w:pPr>
        <w:pStyle w:val="ListParagraph"/>
        <w:numPr>
          <w:ilvl w:val="0"/>
          <w:numId w:val="65"/>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Организационни структури, участващи в програмата</w:t>
      </w:r>
    </w:p>
    <w:p w:rsidR="00426FE9" w:rsidRDefault="00D0590D" w:rsidP="004F30BC">
      <w:pPr>
        <w:pStyle w:val="ListParagraph"/>
        <w:numPr>
          <w:ilvl w:val="0"/>
          <w:numId w:val="74"/>
        </w:numPr>
        <w:tabs>
          <w:tab w:val="left" w:pos="851"/>
        </w:tabs>
        <w:spacing w:after="0" w:line="240" w:lineRule="auto"/>
        <w:ind w:left="0" w:firstLine="567"/>
        <w:jc w:val="both"/>
        <w:rPr>
          <w:rFonts w:ascii="Times New Roman" w:hAnsi="Times New Roman"/>
          <w:lang w:val="en-US"/>
        </w:rPr>
      </w:pPr>
      <w:r>
        <w:rPr>
          <w:rFonts w:ascii="Times New Roman" w:hAnsi="Times New Roman"/>
        </w:rPr>
        <w:t>Структури в МРРБ;</w:t>
      </w:r>
    </w:p>
    <w:p w:rsidR="00426FE9" w:rsidRDefault="00D0590D" w:rsidP="004F30BC">
      <w:pPr>
        <w:pStyle w:val="ListParagraph"/>
        <w:numPr>
          <w:ilvl w:val="0"/>
          <w:numId w:val="74"/>
        </w:numPr>
        <w:tabs>
          <w:tab w:val="left" w:pos="851"/>
        </w:tabs>
        <w:spacing w:after="0" w:line="240" w:lineRule="auto"/>
        <w:ind w:left="0" w:firstLine="567"/>
        <w:jc w:val="both"/>
        <w:rPr>
          <w:rFonts w:ascii="Times New Roman" w:hAnsi="Times New Roman"/>
          <w:lang w:val="en-US"/>
        </w:rPr>
      </w:pPr>
      <w:r>
        <w:rPr>
          <w:rFonts w:ascii="Times New Roman" w:hAnsi="Times New Roman"/>
        </w:rPr>
        <w:t xml:space="preserve">Министерства и ведомства; </w:t>
      </w:r>
    </w:p>
    <w:p w:rsidR="00426FE9" w:rsidRDefault="00D0590D" w:rsidP="004F30BC">
      <w:pPr>
        <w:pStyle w:val="ListParagraph"/>
        <w:numPr>
          <w:ilvl w:val="0"/>
          <w:numId w:val="74"/>
        </w:numPr>
        <w:tabs>
          <w:tab w:val="left" w:pos="851"/>
        </w:tabs>
        <w:spacing w:after="0" w:line="240" w:lineRule="auto"/>
        <w:ind w:left="0" w:firstLine="567"/>
        <w:jc w:val="both"/>
        <w:rPr>
          <w:rFonts w:ascii="Times New Roman" w:hAnsi="Times New Roman"/>
          <w:lang w:val="en-US"/>
        </w:rPr>
      </w:pPr>
      <w:r>
        <w:rPr>
          <w:rFonts w:ascii="Times New Roman" w:hAnsi="Times New Roman"/>
        </w:rPr>
        <w:t>Областни и общински администрации;</w:t>
      </w:r>
    </w:p>
    <w:p w:rsidR="00426FE9" w:rsidRDefault="00D0590D" w:rsidP="004F30BC">
      <w:pPr>
        <w:pStyle w:val="ListParagraph"/>
        <w:numPr>
          <w:ilvl w:val="0"/>
          <w:numId w:val="74"/>
        </w:numPr>
        <w:tabs>
          <w:tab w:val="left" w:pos="851"/>
        </w:tabs>
        <w:spacing w:after="0" w:line="240" w:lineRule="auto"/>
        <w:ind w:left="0" w:firstLine="567"/>
        <w:jc w:val="both"/>
        <w:rPr>
          <w:rFonts w:ascii="Times New Roman" w:hAnsi="Times New Roman"/>
          <w:lang w:val="en-US"/>
        </w:rPr>
      </w:pPr>
      <w:r>
        <w:rPr>
          <w:rFonts w:ascii="Times New Roman" w:hAnsi="Times New Roman"/>
        </w:rPr>
        <w:t>ВиК оператори, Асоциации по ВиК и др.</w:t>
      </w:r>
    </w:p>
    <w:p w:rsidR="00426FE9" w:rsidRDefault="00D0590D" w:rsidP="004F30BC">
      <w:pPr>
        <w:pStyle w:val="ListParagraph"/>
        <w:numPr>
          <w:ilvl w:val="0"/>
          <w:numId w:val="65"/>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t>Отговорност за изпълнението на програмата</w:t>
      </w:r>
    </w:p>
    <w:p w:rsidR="00426FE9" w:rsidRDefault="00D0590D">
      <w:pPr>
        <w:spacing w:after="0" w:line="240" w:lineRule="auto"/>
        <w:ind w:right="-3" w:firstLine="567"/>
        <w:jc w:val="both"/>
        <w:rPr>
          <w:rFonts w:ascii="Times New Roman" w:hAnsi="Times New Roman" w:cs="Times New Roman"/>
        </w:rPr>
      </w:pPr>
      <w:r>
        <w:rPr>
          <w:rFonts w:ascii="Times New Roman" w:hAnsi="Times New Roman" w:cs="Times New Roman"/>
        </w:rPr>
        <w:t>Министър, ресорен заместник-министър, дирекция „Водоснабдяване и канализация и благоустройствени дейности“, дирекция „Устройство на територията и административно-териториално устройство“ и Агенция по геодезия, картография и кадастър.</w:t>
      </w:r>
    </w:p>
    <w:p w:rsidR="00426FE9" w:rsidRDefault="00D0590D" w:rsidP="004F30BC">
      <w:pPr>
        <w:pStyle w:val="ListParagraph"/>
        <w:numPr>
          <w:ilvl w:val="0"/>
          <w:numId w:val="65"/>
        </w:numPr>
        <w:tabs>
          <w:tab w:val="left" w:pos="851"/>
        </w:tabs>
        <w:spacing w:after="0" w:line="240" w:lineRule="auto"/>
        <w:ind w:left="0" w:firstLine="567"/>
        <w:jc w:val="both"/>
        <w:rPr>
          <w:rFonts w:ascii="Times New Roman" w:hAnsi="Times New Roman"/>
          <w:b/>
          <w:i/>
          <w:color w:val="0000CC"/>
        </w:rPr>
      </w:pPr>
      <w:r>
        <w:rPr>
          <w:rFonts w:ascii="Times New Roman" w:hAnsi="Times New Roman"/>
          <w:b/>
          <w:i/>
          <w:color w:val="0000CC"/>
        </w:rPr>
        <w:lastRenderedPageBreak/>
        <w:t>Бюджетна прогноза по ведомствени и администрирани параграфи на програмата</w:t>
      </w:r>
    </w:p>
    <w:p w:rsidR="00426FE9" w:rsidRDefault="00426FE9">
      <w:pPr>
        <w:pStyle w:val="ListParagraph"/>
        <w:tabs>
          <w:tab w:val="left" w:pos="851"/>
        </w:tabs>
        <w:spacing w:after="0" w:line="240" w:lineRule="auto"/>
        <w:ind w:left="567"/>
        <w:jc w:val="both"/>
        <w:rPr>
          <w:rFonts w:ascii="Times New Roman" w:hAnsi="Times New Roman"/>
          <w:b/>
          <w:i/>
          <w:color w:val="0000CC"/>
          <w:sz w:val="10"/>
        </w:rPr>
      </w:pPr>
    </w:p>
    <w:tbl>
      <w:tblPr>
        <w:tblW w:w="10015" w:type="dxa"/>
        <w:tblLook w:val="04A0" w:firstRow="1" w:lastRow="0" w:firstColumn="1" w:lastColumn="0" w:noHBand="0" w:noVBand="1"/>
      </w:tblPr>
      <w:tblGrid>
        <w:gridCol w:w="460"/>
        <w:gridCol w:w="3646"/>
        <w:gridCol w:w="1060"/>
        <w:gridCol w:w="1060"/>
        <w:gridCol w:w="999"/>
        <w:gridCol w:w="992"/>
        <w:gridCol w:w="899"/>
        <w:gridCol w:w="899"/>
      </w:tblGrid>
      <w:tr w:rsidR="00BA5C65" w:rsidRPr="00BA5C65" w:rsidTr="00BA5C65">
        <w:trPr>
          <w:trHeight w:val="170"/>
        </w:trPr>
        <w:tc>
          <w:tcPr>
            <w:tcW w:w="46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w:t>
            </w:r>
          </w:p>
        </w:tc>
        <w:tc>
          <w:tcPr>
            <w:tcW w:w="3646"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2100.02.02 Бюджетна програма„Устройство на територията, благоустройство, геозащита, водоснабдяване и канализация” (хил. евро)</w:t>
            </w:r>
          </w:p>
        </w:tc>
        <w:tc>
          <w:tcPr>
            <w:tcW w:w="1060"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Отчет 2023 г.</w:t>
            </w:r>
          </w:p>
        </w:tc>
        <w:tc>
          <w:tcPr>
            <w:tcW w:w="1060"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Отчет 2024 г.</w:t>
            </w:r>
          </w:p>
        </w:tc>
        <w:tc>
          <w:tcPr>
            <w:tcW w:w="999"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Закон 2025 г.</w:t>
            </w:r>
          </w:p>
        </w:tc>
        <w:tc>
          <w:tcPr>
            <w:tcW w:w="992"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A63D59"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Бюджет </w:t>
            </w:r>
            <w:r w:rsidR="00BA5C65" w:rsidRPr="00BA5C65">
              <w:rPr>
                <w:rFonts w:ascii="Times New Roman" w:eastAsia="Times New Roman" w:hAnsi="Times New Roman" w:cs="Times New Roman"/>
                <w:b/>
                <w:bCs/>
                <w:color w:val="000000"/>
                <w:sz w:val="16"/>
                <w:szCs w:val="16"/>
                <w:lang w:val="en-US"/>
              </w:rPr>
              <w:t>2026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Прогноза 2027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Прогноза 2028 г.</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i/>
                <w:iCs/>
                <w:color w:val="000000"/>
                <w:sz w:val="16"/>
                <w:szCs w:val="16"/>
                <w:lang w:val="en-US"/>
              </w:rPr>
            </w:pPr>
            <w:r w:rsidRPr="00BA5C65">
              <w:rPr>
                <w:rFonts w:ascii="Times New Roman" w:eastAsia="Times New Roman" w:hAnsi="Times New Roman" w:cs="Times New Roman"/>
                <w:b/>
                <w:bCs/>
                <w:i/>
                <w:i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w:t>
            </w:r>
          </w:p>
        </w:tc>
        <w:tc>
          <w:tcPr>
            <w:tcW w:w="999"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w:t>
            </w:r>
          </w:p>
        </w:tc>
        <w:tc>
          <w:tcPr>
            <w:tcW w:w="992"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w:t>
            </w:r>
          </w:p>
        </w:tc>
        <w:tc>
          <w:tcPr>
            <w:tcW w:w="899"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w:t>
            </w:r>
          </w:p>
        </w:tc>
        <w:tc>
          <w:tcPr>
            <w:tcW w:w="899"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7</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ведомствени разходи:</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16 600,3</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20 841,6</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19 792,5</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21 068,3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21 614,8</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18 711,8</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Персонал</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7 543,3</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9 414,9</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9 941,0</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10 537,6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10 594,3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10 594,3</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Издръжка</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6 808,9</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7 486,0</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8 068,5</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9 618,4</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9 045,5</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7 068,4</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Капиталови разходи</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2 248,0</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3 940,8</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1 783,0</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912,3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1 975,0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1 049,1</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Ведомствени разходи по бюджета на ПРБ:</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16 600,3</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20 841,6</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19 792,5</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21 068,3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21 614,8</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18 711,8</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Персонал</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7 543,3</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9 414,9</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9 941,0</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10 537,6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10 594,3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10 594,3</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Издръжка</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6 808,9</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7 486,0</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8 068,5</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9 618,4</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9 045,5</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7 068,4</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Капиталови разходи</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2 248,0</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3 940,8</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1 783,0</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912,3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1 975,0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1 049,1</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i/>
                <w:iCs/>
                <w:color w:val="000000"/>
                <w:sz w:val="16"/>
                <w:szCs w:val="16"/>
                <w:lang w:val="en-US"/>
              </w:rPr>
            </w:pPr>
            <w:r w:rsidRPr="00BA5C65">
              <w:rPr>
                <w:rFonts w:ascii="Times New Roman" w:eastAsia="Times New Roman" w:hAnsi="Times New Roman" w:cs="Times New Roman"/>
                <w:b/>
                <w:bCs/>
                <w:i/>
                <w:i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1060"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9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992"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ІІ.</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623 250,9</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-606 909,2</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13 670,6</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23 753,4</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25 555,3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25 573,9</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Текущи разходи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2 325,3</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2 576,3</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2 659,6</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2 353,5</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2 313,3</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2 331,9</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Изготвяне на устройствени планове</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46,1</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25,1</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1 099,3</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690,0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690,2</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690,2</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Лихви по външни заеми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931,1</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1 059,5</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Превантивни дейности за предотвратяване на свлачищните процеси на територията на Република България</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1 034,1</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1 131,6</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1 124,8</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1 135,3</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1 124,8</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1 124,9</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Проучвателни дейности и консултантски услуги за  ВиК обекти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0,0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Охрана на ВиК обекти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47,3</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47,2</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49,0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114,1</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84,2</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63,2</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FFFF"/>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Субсидии за асоциации по ВиК по Закона за водите</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266,7</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312,9</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386,5</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414,1</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414,1</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453,6</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Капиталови разходи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620 925,6</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-609 485,6</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11 011,0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21 399,9</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23 242,0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23 242,0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Изграждане на благоустройствени, водоснабдителни и геозащитни обекти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620 925,6</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-609 485,6</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11 011,0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21 399,9</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23 242,0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i/>
                <w:iCs/>
                <w:color w:val="000000"/>
                <w:sz w:val="16"/>
                <w:szCs w:val="16"/>
                <w:lang w:val="en-US"/>
              </w:rPr>
            </w:pPr>
            <w:r w:rsidRPr="00BA5C65">
              <w:rPr>
                <w:rFonts w:ascii="Times New Roman" w:eastAsia="Times New Roman" w:hAnsi="Times New Roman" w:cs="Times New Roman"/>
                <w:i/>
                <w:iCs/>
                <w:color w:val="000000"/>
                <w:sz w:val="16"/>
                <w:szCs w:val="16"/>
                <w:lang w:val="en-US"/>
              </w:rPr>
              <w:t>23 242,0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ІІІ.</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5 944,2</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5 967,7</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5 598,0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5 382,5</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ДИЗ издръжка и капиталови разходи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ДИЗ лихви</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593,4</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504,4</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522,8</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514,3</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ДИЗ погашения</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5 350,8</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5 200,8</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5 075,2</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4 868,2</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200" w:firstLine="32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Национален план за възстановяване и устойчивост (УТАТУ и ВиК Холдинг)</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262,5</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администрирани разходи (ІІ.+ІІІ.):</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623 250,9</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-606 909,2</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19 614,8</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29 721,1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31 153,3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30 956,4</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разходи по бюджета (І.1+ІІ.):</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639 851,2</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-586 067,6</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33 463,1</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44 821,7</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47 170,1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44 285,7</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разходи (І.+ІІ.+ІІІ.):</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639 851,2</w:t>
            </w:r>
          </w:p>
        </w:tc>
        <w:tc>
          <w:tcPr>
            <w:tcW w:w="1060"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-586 067,6</w:t>
            </w:r>
          </w:p>
        </w:tc>
        <w:tc>
          <w:tcPr>
            <w:tcW w:w="9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39 407,3</w:t>
            </w:r>
          </w:p>
        </w:tc>
        <w:tc>
          <w:tcPr>
            <w:tcW w:w="9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50 789,4</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52 768,1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49 668,2</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Численост на щатния персонал</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440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444</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477</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482</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482</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482</w:t>
            </w:r>
          </w:p>
        </w:tc>
      </w:tr>
      <w:tr w:rsidR="00BA5C65" w:rsidRPr="00BA5C65" w:rsidTr="00BA5C65">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4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Численост на извънщатния персонал</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1060"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9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9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r>
    </w:tbl>
    <w:p w:rsidR="00426FE9" w:rsidRDefault="00426FE9">
      <w:pPr>
        <w:pStyle w:val="ListParagraph"/>
        <w:tabs>
          <w:tab w:val="left" w:pos="851"/>
        </w:tabs>
        <w:spacing w:after="0" w:line="240" w:lineRule="auto"/>
        <w:ind w:left="567"/>
        <w:jc w:val="both"/>
        <w:rPr>
          <w:rFonts w:ascii="Times New Roman" w:hAnsi="Times New Roman"/>
          <w:b/>
          <w:i/>
          <w:color w:val="0000CC"/>
          <w:sz w:val="10"/>
        </w:rPr>
      </w:pPr>
    </w:p>
    <w:p w:rsidR="00426FE9" w:rsidRDefault="00426FE9">
      <w:pPr>
        <w:pStyle w:val="ListParagraph"/>
        <w:tabs>
          <w:tab w:val="left" w:pos="851"/>
        </w:tabs>
        <w:spacing w:after="0" w:line="240" w:lineRule="auto"/>
        <w:ind w:left="567"/>
        <w:jc w:val="both"/>
        <w:rPr>
          <w:rFonts w:ascii="Times New Roman" w:hAnsi="Times New Roman"/>
          <w:b/>
          <w:i/>
          <w:color w:val="0000CC"/>
          <w:sz w:val="10"/>
        </w:rPr>
      </w:pPr>
    </w:p>
    <w:p w:rsidR="00426FE9" w:rsidRDefault="00D0590D">
      <w:pPr>
        <w:pStyle w:val="ListParagraph"/>
        <w:tabs>
          <w:tab w:val="left" w:pos="851"/>
        </w:tabs>
        <w:spacing w:after="0" w:line="240" w:lineRule="auto"/>
        <w:ind w:left="0" w:firstLine="567"/>
        <w:jc w:val="both"/>
        <w:rPr>
          <w:rFonts w:ascii="Times New Roman" w:hAnsi="Times New Roman"/>
          <w:b/>
          <w:bCs/>
          <w:i/>
          <w:color w:val="0000FF"/>
        </w:rPr>
      </w:pPr>
      <w:r>
        <w:rPr>
          <w:rFonts w:ascii="Times New Roman" w:hAnsi="Times New Roman"/>
          <w:b/>
          <w:bCs/>
          <w:i/>
          <w:color w:val="0000FF"/>
        </w:rPr>
        <w:t>Описание на администрираните разходни параграфи по програмата, вкл. проектите</w:t>
      </w:r>
    </w:p>
    <w:p w:rsidR="00426FE9" w:rsidRDefault="00D0590D" w:rsidP="004F30BC">
      <w:pPr>
        <w:pStyle w:val="ListParagraph"/>
        <w:numPr>
          <w:ilvl w:val="0"/>
          <w:numId w:val="75"/>
        </w:numPr>
        <w:tabs>
          <w:tab w:val="left" w:pos="851"/>
        </w:tabs>
        <w:spacing w:after="0" w:line="240" w:lineRule="auto"/>
        <w:ind w:left="0" w:firstLine="567"/>
        <w:jc w:val="both"/>
        <w:rPr>
          <w:rFonts w:ascii="Times New Roman" w:hAnsi="Times New Roman"/>
          <w:bCs/>
        </w:rPr>
      </w:pPr>
      <w:r>
        <w:rPr>
          <w:rFonts w:ascii="Times New Roman" w:hAnsi="Times New Roman"/>
          <w:b/>
          <w:bCs/>
          <w:i/>
        </w:rPr>
        <w:t>Администрираните разходни параграфи по бюджета на МРРБ, в частта на Издръжката</w:t>
      </w:r>
      <w:r>
        <w:rPr>
          <w:rFonts w:ascii="Times New Roman" w:hAnsi="Times New Roman"/>
          <w:bCs/>
        </w:rPr>
        <w:t>, са сформирани от разходи за:</w:t>
      </w:r>
    </w:p>
    <w:p w:rsidR="00426FE9" w:rsidRDefault="00D0590D" w:rsidP="004F30BC">
      <w:pPr>
        <w:pStyle w:val="ListParagraph"/>
        <w:numPr>
          <w:ilvl w:val="0"/>
          <w:numId w:val="76"/>
        </w:numPr>
        <w:tabs>
          <w:tab w:val="left" w:pos="851"/>
        </w:tabs>
        <w:spacing w:after="0" w:line="240" w:lineRule="auto"/>
        <w:ind w:left="0" w:firstLine="567"/>
        <w:jc w:val="both"/>
        <w:rPr>
          <w:rFonts w:ascii="Times New Roman" w:hAnsi="Times New Roman"/>
          <w:bCs/>
        </w:rPr>
      </w:pPr>
      <w:r>
        <w:rPr>
          <w:rFonts w:ascii="Times New Roman" w:hAnsi="Times New Roman"/>
          <w:bCs/>
        </w:rPr>
        <w:t>Изготвяне на устройствени планове;</w:t>
      </w:r>
    </w:p>
    <w:p w:rsidR="00426FE9" w:rsidRDefault="00D0590D" w:rsidP="004F30BC">
      <w:pPr>
        <w:pStyle w:val="ListParagraph"/>
        <w:numPr>
          <w:ilvl w:val="0"/>
          <w:numId w:val="76"/>
        </w:numPr>
        <w:tabs>
          <w:tab w:val="left" w:pos="851"/>
          <w:tab w:val="left" w:pos="1276"/>
        </w:tabs>
        <w:spacing w:after="0" w:line="240" w:lineRule="auto"/>
        <w:ind w:left="0" w:firstLine="567"/>
        <w:jc w:val="both"/>
        <w:rPr>
          <w:rFonts w:ascii="Times New Roman" w:hAnsi="Times New Roman"/>
          <w:bCs/>
        </w:rPr>
      </w:pPr>
      <w:r>
        <w:rPr>
          <w:rFonts w:ascii="Times New Roman" w:hAnsi="Times New Roman"/>
          <w:bCs/>
        </w:rPr>
        <w:t>Превантивни дейности за предотвратяване на свлачищните процеси на територията на Република България;</w:t>
      </w:r>
    </w:p>
    <w:p w:rsidR="00426FE9" w:rsidRDefault="00D0590D" w:rsidP="004F30BC">
      <w:pPr>
        <w:pStyle w:val="ListParagraph"/>
        <w:numPr>
          <w:ilvl w:val="0"/>
          <w:numId w:val="76"/>
        </w:numPr>
        <w:tabs>
          <w:tab w:val="left" w:pos="851"/>
          <w:tab w:val="left" w:pos="1276"/>
        </w:tabs>
        <w:spacing w:after="0" w:line="240" w:lineRule="auto"/>
        <w:ind w:left="0" w:firstLine="567"/>
        <w:jc w:val="both"/>
        <w:rPr>
          <w:rFonts w:ascii="Times New Roman" w:hAnsi="Times New Roman"/>
          <w:bCs/>
        </w:rPr>
      </w:pPr>
      <w:r>
        <w:rPr>
          <w:rFonts w:ascii="Times New Roman" w:hAnsi="Times New Roman"/>
          <w:bCs/>
        </w:rPr>
        <w:t>Субсидии за асоциации по ВиК по Закона за водите;</w:t>
      </w:r>
    </w:p>
    <w:p w:rsidR="00426FE9" w:rsidRDefault="00D0590D" w:rsidP="004F30BC">
      <w:pPr>
        <w:pStyle w:val="ListParagraph"/>
        <w:numPr>
          <w:ilvl w:val="0"/>
          <w:numId w:val="77"/>
        </w:numPr>
        <w:tabs>
          <w:tab w:val="left" w:pos="851"/>
        </w:tabs>
        <w:spacing w:after="0" w:line="240" w:lineRule="auto"/>
        <w:ind w:left="0" w:firstLine="567"/>
        <w:jc w:val="both"/>
        <w:rPr>
          <w:rFonts w:ascii="Times New Roman" w:hAnsi="Times New Roman"/>
          <w:bCs/>
        </w:rPr>
      </w:pPr>
      <w:r>
        <w:rPr>
          <w:rFonts w:ascii="Times New Roman" w:hAnsi="Times New Roman"/>
          <w:b/>
          <w:bCs/>
          <w:i/>
        </w:rPr>
        <w:t>Администрираните разходни параграфи по бюджета на МРРБ, в частта на капиталовите разходи</w:t>
      </w:r>
      <w:r>
        <w:rPr>
          <w:rFonts w:ascii="Times New Roman" w:hAnsi="Times New Roman"/>
          <w:bCs/>
        </w:rPr>
        <w:t>, са сформирани от разходи за изграждане на благоустройствени, водоснабдителни и геозащитни обекти.</w:t>
      </w:r>
    </w:p>
    <w:p w:rsidR="00426FE9" w:rsidRDefault="00D0590D">
      <w:pPr>
        <w:pStyle w:val="ListParagraph"/>
        <w:tabs>
          <w:tab w:val="left" w:pos="851"/>
        </w:tabs>
        <w:spacing w:after="0" w:line="240" w:lineRule="auto"/>
        <w:ind w:left="0" w:firstLine="567"/>
        <w:jc w:val="both"/>
        <w:rPr>
          <w:rFonts w:ascii="Times New Roman" w:eastAsia="Times New Roman" w:hAnsi="Times New Roman"/>
          <w:b/>
          <w:i/>
          <w:lang w:eastAsia="bg-BG"/>
        </w:rPr>
      </w:pPr>
      <w:r>
        <w:rPr>
          <w:rFonts w:ascii="Times New Roman" w:eastAsia="Times New Roman" w:hAnsi="Times New Roman"/>
          <w:b/>
          <w:i/>
          <w:lang w:eastAsia="bg-BG"/>
        </w:rPr>
        <w:t>ВиК, геозащитни и благоустройствени обекти/проекти:</w:t>
      </w:r>
    </w:p>
    <w:p w:rsidR="00C3008B" w:rsidRPr="00C3008B" w:rsidRDefault="00C3008B" w:rsidP="00C3008B">
      <w:pPr>
        <w:spacing w:after="0" w:line="240" w:lineRule="auto"/>
        <w:ind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 xml:space="preserve">Предвидените разходи по програмата включват разходи за осигуряване на превантивни дейности в свлачищните, ерозионните и абразионни процеси, инвестиционни проекти за геозащитни и </w:t>
      </w:r>
      <w:r w:rsidRPr="00C3008B">
        <w:rPr>
          <w:rFonts w:ascii="Times New Roman" w:hAnsi="Times New Roman" w:cs="Times New Roman"/>
          <w:color w:val="000000" w:themeColor="text1"/>
        </w:rPr>
        <w:lastRenderedPageBreak/>
        <w:t xml:space="preserve">благоустройствени дейности, извършване на СМР, консултантска дейност (строителен надзор и оценка на съответствието на проектите) на обектите, авторски надзор и др. присъщи разходи. </w:t>
      </w:r>
    </w:p>
    <w:p w:rsidR="00C3008B" w:rsidRPr="00C3008B" w:rsidRDefault="00C3008B" w:rsidP="00C3008B">
      <w:pPr>
        <w:spacing w:after="0" w:line="240" w:lineRule="auto"/>
        <w:ind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В периода 20</w:t>
      </w:r>
      <w:r w:rsidRPr="00C3008B">
        <w:rPr>
          <w:rFonts w:ascii="Times New Roman" w:hAnsi="Times New Roman" w:cs="Times New Roman"/>
          <w:color w:val="000000" w:themeColor="text1"/>
          <w:lang w:val="en-US"/>
        </w:rPr>
        <w:t>26</w:t>
      </w:r>
      <w:r w:rsidRPr="00C3008B">
        <w:rPr>
          <w:rFonts w:ascii="Times New Roman" w:hAnsi="Times New Roman" w:cs="Times New Roman"/>
          <w:color w:val="000000" w:themeColor="text1"/>
        </w:rPr>
        <w:t>-202</w:t>
      </w:r>
      <w:r w:rsidRPr="00C3008B">
        <w:rPr>
          <w:rFonts w:ascii="Times New Roman" w:hAnsi="Times New Roman" w:cs="Times New Roman"/>
          <w:color w:val="000000" w:themeColor="text1"/>
          <w:lang w:val="en-US"/>
        </w:rPr>
        <w:t>8</w:t>
      </w:r>
      <w:r w:rsidRPr="00C3008B">
        <w:rPr>
          <w:rFonts w:ascii="Times New Roman" w:hAnsi="Times New Roman" w:cs="Times New Roman"/>
          <w:color w:val="000000" w:themeColor="text1"/>
        </w:rPr>
        <w:t xml:space="preserve"> г. в областта на геозащитната дейности се предвижда изграждане на брегоукрепителни съоръжения и противосвлачищни съоръжения. Предвижда се изграждане/ремонт на следните брегоукрепителни/брегозащитни съоръжения:</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 xml:space="preserve">„Брегоукрепване в района на крайбрежна плажна ивица на гр. Ахтопол“, община Царево </w:t>
      </w:r>
      <w:r w:rsidRPr="00C3008B">
        <w:rPr>
          <w:rFonts w:ascii="Times New Roman" w:hAnsi="Times New Roman" w:cs="Times New Roman"/>
          <w:color w:val="000000" w:themeColor="text1"/>
          <w:lang w:val="en-US"/>
        </w:rPr>
        <w:t>(</w:t>
      </w:r>
      <w:r w:rsidRPr="00C3008B">
        <w:rPr>
          <w:rFonts w:ascii="Times New Roman" w:hAnsi="Times New Roman" w:cs="Times New Roman"/>
          <w:color w:val="000000" w:themeColor="text1"/>
        </w:rPr>
        <w:t>буна</w:t>
      </w:r>
      <w:r w:rsidRPr="00C3008B">
        <w:rPr>
          <w:rFonts w:ascii="Times New Roman" w:hAnsi="Times New Roman" w:cs="Times New Roman"/>
          <w:color w:val="000000" w:themeColor="text1"/>
          <w:lang w:val="en-US"/>
        </w:rPr>
        <w:t>)</w:t>
      </w:r>
      <w:r w:rsidRPr="00C3008B">
        <w:rPr>
          <w:rFonts w:ascii="Times New Roman" w:hAnsi="Times New Roman" w:cs="Times New Roman"/>
          <w:color w:val="000000" w:themeColor="text1"/>
        </w:rPr>
        <w:t xml:space="preserve"> - в процес на строителство;</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 xml:space="preserve">„Ремонтно-възстановителни работи на брегоукрепителни съоръжения – плажната зона“, гр. Варна </w:t>
      </w:r>
      <w:r w:rsidRPr="00C3008B">
        <w:rPr>
          <w:rFonts w:ascii="Times New Roman" w:hAnsi="Times New Roman" w:cs="Times New Roman"/>
          <w:color w:val="000000" w:themeColor="text1"/>
          <w:lang w:val="en-US"/>
        </w:rPr>
        <w:t>(</w:t>
      </w:r>
      <w:r w:rsidRPr="00C3008B">
        <w:rPr>
          <w:rFonts w:ascii="Times New Roman" w:hAnsi="Times New Roman" w:cs="Times New Roman"/>
          <w:color w:val="000000" w:themeColor="text1"/>
        </w:rPr>
        <w:t>4 буни и дамба</w:t>
      </w:r>
      <w:r w:rsidRPr="00C3008B">
        <w:rPr>
          <w:rFonts w:ascii="Times New Roman" w:hAnsi="Times New Roman" w:cs="Times New Roman"/>
          <w:color w:val="000000" w:themeColor="text1"/>
          <w:lang w:val="en-US"/>
        </w:rPr>
        <w:t>)</w:t>
      </w:r>
      <w:r w:rsidRPr="00C3008B">
        <w:rPr>
          <w:rFonts w:ascii="Times New Roman" w:hAnsi="Times New Roman" w:cs="Times New Roman"/>
          <w:color w:val="000000" w:themeColor="text1"/>
        </w:rPr>
        <w:t xml:space="preserve"> - СМР,</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Брегоукрепване къмпинг „Европа" – нос Лахна – Почивна станция на Министерство на отбраната – първи участък”, община Поморие - ППР и СМР;</w:t>
      </w:r>
    </w:p>
    <w:p w:rsidR="00C3008B" w:rsidRPr="00C3008B" w:rsidRDefault="00C3008B" w:rsidP="00C3008B">
      <w:pPr>
        <w:spacing w:after="0" w:line="240" w:lineRule="auto"/>
        <w:ind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както и осигуряване на проектна готовност на следните обекти:</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„Дамба Албена – Балчик - участък от КК „Албена“ до Момчилово дере – гр. Балчик;</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„Неотложни укрепителни и/или отводнителни работи в района на спирка „Фара“, община Аксаково</w:t>
      </w:r>
      <w:r w:rsidRPr="00C3008B">
        <w:rPr>
          <w:rFonts w:ascii="Times New Roman" w:hAnsi="Times New Roman" w:cs="Times New Roman"/>
          <w:color w:val="000000" w:themeColor="text1"/>
          <w:lang w:val="en-US"/>
        </w:rPr>
        <w:t>,</w:t>
      </w:r>
      <w:r w:rsidRPr="00C3008B">
        <w:rPr>
          <w:rFonts w:ascii="Times New Roman" w:hAnsi="Times New Roman" w:cs="Times New Roman"/>
          <w:color w:val="000000" w:themeColor="text1"/>
        </w:rPr>
        <w:t xml:space="preserve"> и тяхното последващо реализиране,</w:t>
      </w:r>
      <w:r>
        <w:rPr>
          <w:rFonts w:ascii="Times New Roman" w:hAnsi="Times New Roman" w:cs="Times New Roman"/>
          <w:color w:val="000000" w:themeColor="text1"/>
        </w:rPr>
        <w:t xml:space="preserve"> </w:t>
      </w:r>
      <w:r w:rsidRPr="00C3008B">
        <w:rPr>
          <w:rFonts w:ascii="Times New Roman" w:hAnsi="Times New Roman" w:cs="Times New Roman"/>
          <w:color w:val="000000" w:themeColor="text1"/>
        </w:rPr>
        <w:t xml:space="preserve">както и подпомагане на общини за изграждане на нови обекти, свързани със свлачища, брегоукрепване и предпазване на Черноморския бряг от абразия и на Дунавския бряг от ерозия и за осигуряване на проектна готовност по предложения на общини и областни администрации, избрани по одобрени критерии, в т.ч.: </w:t>
      </w:r>
    </w:p>
    <w:p w:rsidR="00C3008B" w:rsidRPr="00C3008B" w:rsidRDefault="00C3008B" w:rsidP="00C3008B">
      <w:pPr>
        <w:spacing w:after="0" w:line="240" w:lineRule="auto"/>
        <w:ind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     Укрепителни мероприятия на дере с прилежащи полегати и стръмни склонове в обхвата на имоти № 803, 804, 805, 806, 807 в кв. 62 по плана на с. Пиргово, ул. "Пиргос", община Иваново – СМР;</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Укрепване на свлачище №  VTR28.65766.01.16, град Свищов - СМР – трансфер; „Защита и укрепване на десния бряг на река Дунав от км 481.8 до км 484 в района на гр. Мартен“, община Русе, област Русе;</w:t>
      </w:r>
    </w:p>
    <w:p w:rsidR="00C3008B" w:rsidRPr="00C3008B" w:rsidRDefault="00C3008B" w:rsidP="004F30BC">
      <w:pPr>
        <w:numPr>
          <w:ilvl w:val="0"/>
          <w:numId w:val="93"/>
        </w:numPr>
        <w:spacing w:after="0" w:line="240" w:lineRule="auto"/>
        <w:ind w:left="0" w:firstLine="567"/>
        <w:jc w:val="both"/>
        <w:rPr>
          <w:rFonts w:ascii="Times New Roman" w:hAnsi="Times New Roman" w:cs="Times New Roman"/>
          <w:color w:val="000000" w:themeColor="text1"/>
        </w:rPr>
      </w:pPr>
      <w:r w:rsidRPr="00C3008B">
        <w:rPr>
          <w:rFonts w:ascii="Times New Roman" w:hAnsi="Times New Roman" w:cs="Times New Roman"/>
          <w:color w:val="000000" w:themeColor="text1"/>
        </w:rPr>
        <w:t>Укрепване свлачище № PVN24.56722.14, ЗМ „Кайлъка", гр. Плевен, област Плевен - ППР и др. по сключени споразумения през 2025 г. за изработване на проекто-проучвателни работи в общини Златоград, Ловеч, Неделино, Приморски, Провадия, Сливен, Трявна Тутракан за 20 свлачища.</w:t>
      </w:r>
    </w:p>
    <w:p w:rsidR="00C3008B" w:rsidRPr="00C3008B" w:rsidRDefault="00C3008B" w:rsidP="00C3008B">
      <w:pPr>
        <w:spacing w:after="0" w:line="240" w:lineRule="auto"/>
        <w:ind w:firstLine="567"/>
        <w:jc w:val="both"/>
        <w:rPr>
          <w:rFonts w:ascii="Times New Roman" w:hAnsi="Times New Roman" w:cs="Times New Roman"/>
          <w:color w:val="000000" w:themeColor="text1"/>
          <w:lang w:val="en-US"/>
        </w:rPr>
      </w:pPr>
      <w:r w:rsidRPr="00C3008B">
        <w:rPr>
          <w:rFonts w:ascii="Times New Roman" w:hAnsi="Times New Roman" w:cs="Times New Roman"/>
          <w:color w:val="000000" w:themeColor="text1"/>
        </w:rPr>
        <w:t>Предвижда се приоритетно изпълнение на превантивни дейности, свързани с мониторинг на свлачищата на територията на страната чрез режимни изследвания, както и довършване на започнати през предходни години обекти.</w:t>
      </w:r>
    </w:p>
    <w:p w:rsidR="00426FE9" w:rsidRDefault="00D0590D">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2100.02.03.  БЮДЖЕТНА ПРОГРАМА „НОРМАТИВНО РЕГУЛИРАНЕ И КОНТРОЛ НА СТРОИТЕЛНИТЕ ПРОДУКТИ И ИНВЕСТИЦИОННИЯ ПРОЦЕС В СТРОИТЕЛСТВОТО“</w:t>
      </w:r>
    </w:p>
    <w:p w:rsidR="00426FE9" w:rsidRDefault="00D0590D" w:rsidP="004F30BC">
      <w:pPr>
        <w:pStyle w:val="ListParagraph"/>
        <w:numPr>
          <w:ilvl w:val="0"/>
          <w:numId w:val="78"/>
        </w:numPr>
        <w:tabs>
          <w:tab w:val="left" w:pos="851"/>
        </w:tabs>
        <w:spacing w:after="0" w:line="240" w:lineRule="auto"/>
        <w:ind w:left="0" w:firstLine="567"/>
        <w:jc w:val="both"/>
        <w:rPr>
          <w:rFonts w:ascii="Times New Roman" w:eastAsia="Times New Roman" w:hAnsi="Times New Roman"/>
          <w:b/>
          <w:i/>
          <w:color w:val="0000CC"/>
          <w:lang w:eastAsia="bg-BG"/>
        </w:rPr>
      </w:pPr>
      <w:r>
        <w:rPr>
          <w:rFonts w:ascii="Times New Roman" w:eastAsia="Times New Roman" w:hAnsi="Times New Roman"/>
          <w:b/>
          <w:i/>
          <w:color w:val="0000CC"/>
          <w:lang w:eastAsia="bg-BG"/>
        </w:rPr>
        <w:t xml:space="preserve">Цели на бюджетната програма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Целта на бюджетната програма е да се осигури изпълнение на строежи, гарантиращи безопасни и здравословни условия в икономически обоснован експлоатационен срок. </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Дирекция ТПН осъществява дейност по хармонизация на техническата нормативна уредба за проектиране, изпълнение и експлоатация на строежите с правото на ЕС, осигуряване на свободното движение на строителните продукти и влагане в строежите на строителни продукти, които осигуряват изпълнението на основните изисквания към строежите.</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Дейностите на дирекция ТПН, свързани с хармонизацията на техническите нормативни актове за проектиране и изпълнение на строежите, с управлението на националната система за оценяване на строителните продукти и с предоставянето на информация за националните изисквания към строителните продукти, са насочени към подобряване на инвестиционния процес, осигуряване на свободно движение на строителните продукти на единния европейски пазар и с изграждане на устойчива жизнена среда.</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ДНСК, от своя страна, 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ДНСК упражнява контрол по спазването на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w:t>
      </w:r>
    </w:p>
    <w:p w:rsidR="00426FE9" w:rsidRDefault="00D0590D" w:rsidP="004F30BC">
      <w:pPr>
        <w:pStyle w:val="ListParagraph"/>
        <w:numPr>
          <w:ilvl w:val="0"/>
          <w:numId w:val="78"/>
        </w:numPr>
        <w:tabs>
          <w:tab w:val="left" w:pos="851"/>
        </w:tabs>
        <w:spacing w:after="0" w:line="240" w:lineRule="auto"/>
        <w:jc w:val="both"/>
        <w:rPr>
          <w:rFonts w:ascii="Times New Roman" w:eastAsia="Times New Roman" w:hAnsi="Times New Roman"/>
          <w:b/>
          <w:i/>
          <w:color w:val="0000CC"/>
          <w:lang w:eastAsia="bg-BG"/>
        </w:rPr>
      </w:pPr>
      <w:r>
        <w:rPr>
          <w:rFonts w:ascii="Times New Roman" w:eastAsia="Times New Roman" w:hAnsi="Times New Roman"/>
          <w:b/>
          <w:i/>
          <w:color w:val="0000CC"/>
          <w:lang w:eastAsia="bg-BG"/>
        </w:rPr>
        <w:t>Целеви стойности по показателите за изпълнение</w:t>
      </w:r>
    </w:p>
    <w:tbl>
      <w:tblPr>
        <w:tblW w:w="10113" w:type="dxa"/>
        <w:tblInd w:w="-5" w:type="dxa"/>
        <w:tblLayout w:type="fixed"/>
        <w:tblLook w:val="04A0" w:firstRow="1" w:lastRow="0" w:firstColumn="1" w:lastColumn="0" w:noHBand="0" w:noVBand="1"/>
      </w:tblPr>
      <w:tblGrid>
        <w:gridCol w:w="6345"/>
        <w:gridCol w:w="892"/>
        <w:gridCol w:w="957"/>
        <w:gridCol w:w="958"/>
        <w:gridCol w:w="961"/>
      </w:tblGrid>
      <w:tr w:rsidR="00426FE9">
        <w:trPr>
          <w:trHeight w:hRule="exact" w:val="227"/>
        </w:trPr>
        <w:tc>
          <w:tcPr>
            <w:tcW w:w="6345" w:type="dxa"/>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ПОКАЗАТЕЛИ ЗА ИЗПЪЛНЕНИЕ</w:t>
            </w:r>
          </w:p>
        </w:tc>
        <w:tc>
          <w:tcPr>
            <w:tcW w:w="3768" w:type="dxa"/>
            <w:gridSpan w:val="4"/>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Целева стойност</w:t>
            </w:r>
          </w:p>
        </w:tc>
      </w:tr>
      <w:tr w:rsidR="00426FE9">
        <w:trPr>
          <w:trHeight w:hRule="exact" w:val="463"/>
        </w:trPr>
        <w:tc>
          <w:tcPr>
            <w:tcW w:w="6345"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2100.02.03 Бюджетна програма „Нормативно регулиране и контрол на строителните продукти и инвестиционния процес в строителството“</w:t>
            </w:r>
          </w:p>
        </w:tc>
        <w:tc>
          <w:tcPr>
            <w:tcW w:w="3768" w:type="dxa"/>
            <w:gridSpan w:val="4"/>
            <w:vMerge/>
            <w:tcBorders>
              <w:left w:val="single" w:sz="4" w:space="0" w:color="000000"/>
              <w:bottom w:val="single" w:sz="4" w:space="0" w:color="000000"/>
              <w:right w:val="single" w:sz="4" w:space="0" w:color="000000"/>
            </w:tcBorders>
            <w:vAlign w:val="center"/>
          </w:tcPr>
          <w:p w:rsidR="00426FE9" w:rsidRDefault="00426FE9">
            <w:pPr>
              <w:spacing w:after="0" w:line="240" w:lineRule="auto"/>
              <w:rPr>
                <w:rFonts w:ascii="Times New Roman" w:eastAsia="Times New Roman" w:hAnsi="Times New Roman" w:cs="Times New Roman"/>
                <w:b/>
                <w:bCs/>
                <w:color w:val="000000"/>
                <w:sz w:val="18"/>
                <w:szCs w:val="18"/>
                <w:lang w:val="en-US"/>
              </w:rPr>
            </w:pPr>
          </w:p>
        </w:tc>
      </w:tr>
      <w:tr w:rsidR="00426FE9">
        <w:trPr>
          <w:trHeight w:hRule="exact" w:val="569"/>
        </w:trPr>
        <w:tc>
          <w:tcPr>
            <w:tcW w:w="6345"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lastRenderedPageBreak/>
              <w:t>Показатели за изпълнение</w:t>
            </w:r>
          </w:p>
        </w:tc>
        <w:tc>
          <w:tcPr>
            <w:tcW w:w="892"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rPr>
              <w:t>Мерна единица</w:t>
            </w:r>
          </w:p>
        </w:tc>
        <w:tc>
          <w:tcPr>
            <w:tcW w:w="957" w:type="dxa"/>
            <w:tcBorders>
              <w:bottom w:val="single" w:sz="4" w:space="0" w:color="000000"/>
              <w:right w:val="single" w:sz="4" w:space="0" w:color="000000"/>
            </w:tcBorders>
            <w:shd w:val="clear" w:color="000000" w:fill="FFCC99"/>
            <w:vAlign w:val="center"/>
          </w:tcPr>
          <w:p w:rsidR="00426FE9" w:rsidRDefault="009A496C">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Бюджет</w:t>
            </w:r>
            <w:r w:rsidR="00D0590D">
              <w:rPr>
                <w:rFonts w:ascii="Times New Roman" w:eastAsia="Times New Roman" w:hAnsi="Times New Roman" w:cs="Times New Roman"/>
                <w:b/>
                <w:bCs/>
                <w:i/>
                <w:iCs/>
                <w:color w:val="000000"/>
                <w:sz w:val="18"/>
                <w:szCs w:val="18"/>
              </w:rPr>
              <w:t xml:space="preserve"> 2026 г.</w:t>
            </w:r>
          </w:p>
        </w:tc>
        <w:tc>
          <w:tcPr>
            <w:tcW w:w="958"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Прогноза 2027 г.</w:t>
            </w:r>
          </w:p>
        </w:tc>
        <w:tc>
          <w:tcPr>
            <w:tcW w:w="961"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8"/>
                <w:szCs w:val="18"/>
                <w:lang w:val="en-US"/>
              </w:rPr>
            </w:pPr>
            <w:r>
              <w:rPr>
                <w:rFonts w:ascii="Times New Roman" w:eastAsia="Times New Roman" w:hAnsi="Times New Roman" w:cs="Times New Roman"/>
                <w:b/>
                <w:bCs/>
                <w:i/>
                <w:iCs/>
                <w:color w:val="000000"/>
                <w:sz w:val="18"/>
                <w:szCs w:val="18"/>
              </w:rPr>
              <w:t>Прогноза 2028 г.</w:t>
            </w:r>
          </w:p>
        </w:tc>
      </w:tr>
      <w:tr w:rsidR="00426FE9">
        <w:trPr>
          <w:trHeight w:hRule="exact" w:val="629"/>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 Разработени или актуализирани нормативни актове, издавани самостоятелно от министъра на регионалното развитие и благоустройството (РРБ) или съвместно с компетентните ведомства.</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w:t>
            </w:r>
          </w:p>
        </w:tc>
      </w:tr>
      <w:tr w:rsidR="00426FE9">
        <w:trPr>
          <w:trHeight w:hRule="exact" w:val="850"/>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2.  Извършени проучвания, анализи и оценки свързани с прилагането на нормативните актове или проведена научноизследователска дейност за изработване на национални разпоредби за прилагане на европейски стандарти, изисквания и технологии за целите на техническата нормативна уредба, разработвана от дирекция ТПН. </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w:t>
            </w:r>
          </w:p>
        </w:tc>
      </w:tr>
      <w:tr w:rsidR="00426FE9">
        <w:trPr>
          <w:trHeight w:hRule="exact" w:val="707"/>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 Разработени национални приложения за прилагане на европейските спесификации от приложното поле на Регламент (ЕС) № 305/2011, на национални изисквания  за влагане на строителни продукти в строежите в зависимост от тяхната употреба и/или методики за оценка на третирани строителни отпадъци и продукти за повторна употреба.</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w:t>
            </w:r>
          </w:p>
        </w:tc>
      </w:tr>
      <w:tr w:rsidR="00426FE9">
        <w:trPr>
          <w:trHeight w:hRule="exact" w:val="435"/>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4. Оправомощени лица за оценяване на строителни продукти и за издаване на технически одобрения/оценки,.в т.ч. нотифицирани пред Европейската комисия </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25</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25</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25</w:t>
            </w:r>
          </w:p>
        </w:tc>
      </w:tr>
      <w:tr w:rsidR="00426FE9">
        <w:trPr>
          <w:trHeight w:hRule="exact" w:val="415"/>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5. Упражнен контрол върху дейността на оправомощени лица за оценяване на строителни продукти в т.ч. и нотифицирани пред Европейската комисия.</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18</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18</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18</w:t>
            </w:r>
          </w:p>
        </w:tc>
      </w:tr>
      <w:tr w:rsidR="00426FE9">
        <w:trPr>
          <w:trHeight w:hRule="exact" w:val="435"/>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6. Постъпили запитвания, жалби, сигнали и молби на физически и юридически лица, в законоустановения срок</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50 000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50 000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50 000</w:t>
            </w:r>
          </w:p>
        </w:tc>
      </w:tr>
      <w:tr w:rsidR="00426FE9">
        <w:trPr>
          <w:trHeight w:hRule="exact" w:val="427"/>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7. Проведени процедури по издаване на удостоверения за вписване в регистъра на консултантите</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610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610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610</w:t>
            </w:r>
          </w:p>
        </w:tc>
      </w:tr>
      <w:tr w:rsidR="00426FE9">
        <w:trPr>
          <w:trHeight w:hRule="exact" w:val="227"/>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8. Въвеждане в експлоатация на строежи от I, II и III категория</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4 750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4 750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4 750</w:t>
            </w:r>
          </w:p>
        </w:tc>
      </w:tr>
      <w:tr w:rsidR="00426FE9">
        <w:trPr>
          <w:trHeight w:hRule="exact" w:val="227"/>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 xml:space="preserve">9. Извършени проверки на строежи и издадени строителни книжа </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42 000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42 000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42 000</w:t>
            </w:r>
          </w:p>
        </w:tc>
      </w:tr>
      <w:tr w:rsidR="00426FE9">
        <w:trPr>
          <w:trHeight w:hRule="exact" w:val="227"/>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10. Издадени  административни актове в резултат на осъществен контрол</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350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350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350</w:t>
            </w:r>
          </w:p>
        </w:tc>
      </w:tr>
      <w:tr w:rsidR="00426FE9">
        <w:trPr>
          <w:trHeight w:hRule="exact" w:val="227"/>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11. Съставени АУАН</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300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300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300</w:t>
            </w:r>
          </w:p>
        </w:tc>
      </w:tr>
      <w:tr w:rsidR="00426FE9">
        <w:trPr>
          <w:trHeight w:hRule="exact" w:val="503"/>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12.</w:t>
            </w:r>
            <w:r>
              <w:rPr>
                <w:rFonts w:ascii="Times New Roman" w:eastAsia="Times New Roman" w:hAnsi="Times New Roman" w:cs="Times New Roman"/>
                <w:b/>
                <w:bCs/>
                <w:color w:val="000000"/>
                <w:sz w:val="16"/>
                <w:szCs w:val="16"/>
              </w:rPr>
              <w:t xml:space="preserve"> </w:t>
            </w:r>
            <w:r>
              <w:rPr>
                <w:rFonts w:ascii="Times New Roman" w:eastAsia="Times New Roman" w:hAnsi="Times New Roman" w:cs="Times New Roman"/>
                <w:color w:val="000000"/>
                <w:sz w:val="16"/>
                <w:szCs w:val="16"/>
              </w:rPr>
              <w:t>Издадени наказателни постановления, предупреждения, споразумения и резолюции за прекратяване на физически и юридически лица</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300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300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300</w:t>
            </w:r>
          </w:p>
        </w:tc>
      </w:tr>
      <w:tr w:rsidR="00426FE9">
        <w:trPr>
          <w:trHeight w:hRule="exact" w:val="408"/>
        </w:trPr>
        <w:tc>
          <w:tcPr>
            <w:tcW w:w="6345" w:type="dxa"/>
            <w:tcBorders>
              <w:left w:val="single" w:sz="4" w:space="0" w:color="000000"/>
              <w:bottom w:val="single" w:sz="4" w:space="0" w:color="000000"/>
              <w:right w:val="single" w:sz="4" w:space="0" w:color="000000"/>
            </w:tcBorders>
            <w:vAlign w:val="center"/>
          </w:tcPr>
          <w:p w:rsidR="00426FE9" w:rsidRDefault="00D0590D">
            <w:pP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13. Предприемане на действия по изпълнение на новоиздадени и влезли в сила заповеди за премахване на незаконни строежи Премахнати строежи</w:t>
            </w:r>
          </w:p>
        </w:tc>
        <w:tc>
          <w:tcPr>
            <w:tcW w:w="8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брой</w:t>
            </w:r>
          </w:p>
        </w:tc>
        <w:tc>
          <w:tcPr>
            <w:tcW w:w="957"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40</w:t>
            </w:r>
          </w:p>
        </w:tc>
        <w:tc>
          <w:tcPr>
            <w:tcW w:w="958"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40</w:t>
            </w:r>
          </w:p>
        </w:tc>
        <w:tc>
          <w:tcPr>
            <w:tcW w:w="96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40</w:t>
            </w:r>
          </w:p>
        </w:tc>
      </w:tr>
    </w:tbl>
    <w:p w:rsidR="00426FE9" w:rsidRDefault="00D0590D">
      <w:pPr>
        <w:tabs>
          <w:tab w:val="left" w:pos="851"/>
        </w:tabs>
        <w:spacing w:after="0" w:line="240" w:lineRule="auto"/>
        <w:ind w:firstLine="567"/>
        <w:jc w:val="both"/>
        <w:rPr>
          <w:rFonts w:ascii="Times New Roman" w:eastAsia="Times New Roman" w:hAnsi="Times New Roman"/>
          <w:b/>
          <w:i/>
          <w:color w:val="0000CC"/>
          <w:lang w:eastAsia="bg-BG"/>
        </w:rPr>
      </w:pPr>
      <w:r>
        <w:rPr>
          <w:rFonts w:ascii="Times New Roman" w:eastAsia="Times New Roman" w:hAnsi="Times New Roman"/>
          <w:b/>
          <w:i/>
          <w:color w:val="0000CC"/>
          <w:lang w:eastAsia="bg-BG"/>
        </w:rPr>
        <w:t>3. Външни фактори, които могат да окажат въздействие върху постигането на целите на програмата</w:t>
      </w:r>
    </w:p>
    <w:p w:rsidR="00426FE9" w:rsidRDefault="00D0590D">
      <w:pPr>
        <w:pStyle w:val="ListParagraph"/>
        <w:tabs>
          <w:tab w:val="left" w:pos="851"/>
        </w:tabs>
        <w:spacing w:line="240" w:lineRule="auto"/>
        <w:ind w:left="0" w:firstLine="567"/>
        <w:jc w:val="both"/>
        <w:rPr>
          <w:rFonts w:ascii="Times New Roman" w:hAnsi="Times New Roman"/>
        </w:rPr>
      </w:pPr>
      <w:r>
        <w:rPr>
          <w:rFonts w:ascii="Times New Roman" w:hAnsi="Times New Roman"/>
        </w:rPr>
        <w:t xml:space="preserve">ДНСК е контролен орган и нейната дейност е пряко обвързана с извършване на проверки на територията на страната, което от своя страна е свързано с наличието на финансов ресурс. Ограничаването на разходите за издръжка пряко влияе върху възможностите за осъществяване на контролната дейност. </w:t>
      </w:r>
    </w:p>
    <w:p w:rsidR="00426FE9" w:rsidRDefault="00D0590D">
      <w:pPr>
        <w:pStyle w:val="ListParagraph"/>
        <w:tabs>
          <w:tab w:val="left" w:pos="851"/>
        </w:tabs>
        <w:spacing w:line="240" w:lineRule="auto"/>
        <w:ind w:left="0" w:firstLine="567"/>
        <w:jc w:val="both"/>
        <w:rPr>
          <w:rFonts w:ascii="Times New Roman" w:hAnsi="Times New Roman"/>
        </w:rPr>
      </w:pPr>
      <w:r>
        <w:rPr>
          <w:rFonts w:ascii="Times New Roman" w:hAnsi="Times New Roman"/>
        </w:rPr>
        <w:t xml:space="preserve">Постигането на целите на програмата са обвързани пряко и с човешкия фактор. От компетентността на кадрите зависи пряко и качеството на предлагането на услугите. Поради голямата отговорност на работата в системата на ДНСК и несъответстващото заплащане на служителите до сега, задържането на качествени специалисти на работа се оказа изключително трудна задача. След промените, настъпили през 2024 г., довели до увеличение на заплатите на служителите, ситуацията започна да се променя в положителна насока. </w:t>
      </w:r>
    </w:p>
    <w:p w:rsidR="00426FE9" w:rsidRDefault="00D0590D">
      <w:pPr>
        <w:pStyle w:val="ListParagraph"/>
        <w:tabs>
          <w:tab w:val="left" w:pos="851"/>
        </w:tabs>
        <w:spacing w:line="240" w:lineRule="auto"/>
        <w:ind w:left="0" w:firstLine="567"/>
        <w:jc w:val="both"/>
        <w:rPr>
          <w:rFonts w:ascii="Times New Roman" w:hAnsi="Times New Roman"/>
        </w:rPr>
      </w:pPr>
      <w:r>
        <w:rPr>
          <w:rFonts w:ascii="Times New Roman" w:hAnsi="Times New Roman"/>
        </w:rPr>
        <w:t>Намаляването на броя на служителите, заплащането, не до там добрата материална база, остарялата техника, ограниченията на разходите за командировки и за ползване на служебни автомобили при извършването на проверки са факторите, оказващи неблагоприятно влияние върху постигането на целите на ДНСК – недопускане на издаването на строителни книжа и извършването на строежи в нарушение на разпоредбите по устройство на територията, несъответстващи на съществените изисквания към строежите съгласно чл.169, ал.1, ал.2 и ал.3 ЗУТ, респективно застрашаване здравето и живота на хората, нанасяне на щети на тяхното имущество неспазване на предвижданията на действащия ПУП, както и застрашаващи околната среда, паметниците на културата и др.</w:t>
      </w:r>
    </w:p>
    <w:p w:rsidR="00426FE9" w:rsidRDefault="00D0590D">
      <w:pPr>
        <w:pStyle w:val="ListParagraph"/>
        <w:tabs>
          <w:tab w:val="left" w:pos="851"/>
        </w:tabs>
        <w:spacing w:after="0" w:line="240" w:lineRule="auto"/>
        <w:ind w:left="1070" w:hanging="503"/>
        <w:jc w:val="both"/>
        <w:rPr>
          <w:rFonts w:ascii="Times New Roman" w:hAnsi="Times New Roman"/>
          <w:b/>
          <w:i/>
          <w:color w:val="0000CC"/>
        </w:rPr>
      </w:pPr>
      <w:r>
        <w:rPr>
          <w:rFonts w:ascii="Times New Roman" w:hAnsi="Times New Roman"/>
          <w:b/>
          <w:i/>
          <w:color w:val="0000CC"/>
        </w:rPr>
        <w:t>Информация за наличността и качеството на данните</w:t>
      </w:r>
    </w:p>
    <w:p w:rsidR="00426FE9" w:rsidRDefault="00D0590D">
      <w:pPr>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Качеството на нормативните актове, методиките, националните приложения и националните изисквания за влагане в строежите на строителни продукти се осигурява чрез:</w:t>
      </w:r>
    </w:p>
    <w:p w:rsidR="00426FE9" w:rsidRDefault="00D0590D" w:rsidP="004F30BC">
      <w:pPr>
        <w:numPr>
          <w:ilvl w:val="0"/>
          <w:numId w:val="79"/>
        </w:numPr>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съгласуването им в проектната им фаза със заинтересованите страни и провеждането на обществени консултации по реда на Закона за нормативните актове;</w:t>
      </w:r>
    </w:p>
    <w:p w:rsidR="00426FE9" w:rsidRDefault="00D0590D" w:rsidP="004F30BC">
      <w:pPr>
        <w:numPr>
          <w:ilvl w:val="0"/>
          <w:numId w:val="79"/>
        </w:numPr>
        <w:spacing w:after="0" w:line="240" w:lineRule="auto"/>
        <w:ind w:left="0"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процедура по нотификация пред Европейската комисия преди тяхното подписване/одобряване от министъра на регионалното развитие и благоустройството и обнародване в „Държавен вестник“.</w:t>
      </w:r>
    </w:p>
    <w:p w:rsidR="00426FE9" w:rsidRDefault="00D0590D" w:rsidP="004F30BC">
      <w:pPr>
        <w:pStyle w:val="ListParagraph"/>
        <w:numPr>
          <w:ilvl w:val="0"/>
          <w:numId w:val="80"/>
        </w:numPr>
        <w:tabs>
          <w:tab w:val="left" w:pos="851"/>
        </w:tabs>
        <w:spacing w:after="0" w:line="240" w:lineRule="auto"/>
        <w:ind w:left="0" w:firstLine="567"/>
        <w:jc w:val="both"/>
        <w:rPr>
          <w:rFonts w:ascii="Times New Roman" w:eastAsia="Times New Roman" w:hAnsi="Times New Roman"/>
          <w:b/>
          <w:i/>
          <w:color w:val="0000CC"/>
          <w:lang w:eastAsia="bg-BG"/>
        </w:rPr>
      </w:pPr>
      <w:r>
        <w:rPr>
          <w:rFonts w:ascii="Times New Roman" w:eastAsia="Times New Roman" w:hAnsi="Times New Roman"/>
          <w:b/>
          <w:i/>
          <w:color w:val="0000CC"/>
          <w:lang w:eastAsia="bg-BG"/>
        </w:rPr>
        <w:t>Предоставяни по програмата продукти/услуги</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Услуга № 1 “Спиране извършването на строителни и монтажни работи на строежи с нарушения и незаконни строежи”.</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 за установени нарушения по ЗУТ, издаване на административни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2 „Премахване на незаконни строежи”</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 за установени нарушения по ЗУТ, издаване на административни актове, провеждане на обществена поръчка и сключване на договор с изпълнител, осъществяване на принудително премахване на незаконния строеж.</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3 „Забрана ползването на строежи, не въведени в експлоатация по нормативно установения ред”</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 за установени нарушения по ЗУТ, издаване на административни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4 “Административен контрол по законосъобразност на строителните книжа, издавани от главните архитекти на общините”</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 издаване на административни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5 “Назначаване на Държавна приемателна комисия (ДПК) и издаване на разрешение за ползване от ДНСК на завършени строежи.”</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назначаване на Държавна приемателна комисия (ДПК), провеждане на ДПК, издаване на Разрешение за ползване на обекта.</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6 “Обследване на аварии в строителството”</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 за установени нарушения по ЗУТ, назначаване на техническа експертна комисия,  издаване на административни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7 “Административно-наказателна дейност за извършени нарушения на разпоредбите по устройство на територията”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издаване на административни актове срещу виновни физически и юридически лица за нарушения на разпоредбите на ЗУТ, издаване на наказателни постановления за наложени глоби и имуществени санкции.</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8 “Административен контрол върху дейността на лицата извършващи дейност по оценяване съответствието на инвестиционните проекти и/или строителен надзор”</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 издаване на административни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9 ”Провеждане на процедури по издаване на удостоверения за вписване в регистъра на консултантите”</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Провеждане на процедури за издаване на удостоверение за вписване в регистъра на консултантите за оценяване на съответствието на инвестиционните проекти и/или упражняване на строителен надзор, вписване на промени в съдържанието и продължаване на срока на издадено удостоверение, издаване на удостоверения за вписване в регистъра на консултантите.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10 „Извършване на проверки на местата за производство на строителни продукти”</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проверки, съставяне на констативни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Услуга № 11 “Административно обслужване на физически и юридически лица”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Приемане и обработка на постъпили в ДНСК запитвания, жалби, сигнали и молби на физически и юридически лица, Извършване на проверки, издаване на административни актове и др.</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lastRenderedPageBreak/>
        <w:t>Услуга № 12 “Разработване на проекти на нормативни актове във връзка с дейността по проектиране, контрол, изпълнение и приемане на строежите”.</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Дейности за предоставяне на продукта/услугата</w:t>
      </w:r>
    </w:p>
    <w:p w:rsidR="00426FE9" w:rsidRDefault="00D0590D">
      <w:pPr>
        <w:pStyle w:val="ListParagraph"/>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Извършване на анализ, разработване на проекти на нормативни актове.</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Продукт/услуга: Издаване на разрешение за ползване на завършени строежи от първа, втора и трета категория;</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 xml:space="preserve">Продукт/услуга: Издаване на удостоверение за вписване в регистъра на консултантите за оценяване на съответствието на инвестиционните проекти и/или упражняване на строителен надзор, вписване на промени в съдържанието и продължаване на срока на издадено удостоверение; </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Продукт/услуга: Издаване на удостоверение за извършване дейността оценяване на съответствието на инвестиционните проекти и/или упражняване строителен надзор или удостоверяване на правото за упражняване на дейностите по чл. 166, ал. 1, т. 1 ЗУТ на лицата по чл. 166, ал. 7 ЗУТ</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eastAsia="Times New Roman" w:hAnsi="Times New Roman"/>
          <w:lang w:eastAsia="bg-BG"/>
        </w:rPr>
      </w:pPr>
      <w:r>
        <w:rPr>
          <w:rFonts w:ascii="Times New Roman" w:eastAsia="Times New Roman" w:hAnsi="Times New Roman"/>
          <w:lang w:eastAsia="bg-BG"/>
        </w:rPr>
        <w:t>Продукт/услуга: Заверка на заповедна книга за строеж, разрешен от областния управител или от министъра на регионалното развитие и благоустройството.</w:t>
      </w:r>
    </w:p>
    <w:p w:rsidR="00426FE9" w:rsidRDefault="00D0590D" w:rsidP="004F30BC">
      <w:pPr>
        <w:pStyle w:val="ListParagraph"/>
        <w:numPr>
          <w:ilvl w:val="0"/>
          <w:numId w:val="72"/>
        </w:numPr>
        <w:tabs>
          <w:tab w:val="left" w:pos="851"/>
        </w:tabs>
        <w:spacing w:after="0" w:line="240" w:lineRule="auto"/>
        <w:ind w:left="0" w:firstLine="567"/>
        <w:jc w:val="both"/>
        <w:rPr>
          <w:rFonts w:ascii="Times New Roman" w:hAnsi="Times New Roman"/>
          <w:color w:val="000000"/>
        </w:rPr>
      </w:pPr>
      <w:r>
        <w:rPr>
          <w:rFonts w:ascii="Times New Roman" w:hAnsi="Times New Roman"/>
          <w:bCs/>
          <w:iCs/>
          <w:color w:val="000000"/>
        </w:rPr>
        <w:t>АУ34 (2212) – Издаване на разрешение за оценяване на</w:t>
      </w:r>
      <w:r>
        <w:rPr>
          <w:rFonts w:ascii="Times New Roman" w:hAnsi="Times New Roman"/>
          <w:bCs/>
          <w:i/>
          <w:iCs/>
          <w:color w:val="000000"/>
        </w:rPr>
        <w:t xml:space="preserve"> </w:t>
      </w:r>
      <w:r>
        <w:rPr>
          <w:rFonts w:ascii="Times New Roman" w:hAnsi="Times New Roman"/>
          <w:bCs/>
          <w:iCs/>
          <w:color w:val="000000"/>
        </w:rPr>
        <w:t>строителни продукти и на разрешение за издаване на технически одобрения и оценки на строителни продукти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на Съвета – Глава V и Глава VII; чл. 9, ал. 2, т. 3 от Закона за техническите изисквания към продуктите (ЗТИП) ; чл. 17, ал. 1, т. 2 от Наредба № РД-02-20-1 от 5 февруари 2015 г. за условията и реда за влагане на строителни продукти в строежите на Република България)</w:t>
      </w:r>
      <w:r>
        <w:rPr>
          <w:rFonts w:ascii="Times New Roman" w:hAnsi="Times New Roman"/>
          <w:color w:val="000000"/>
        </w:rPr>
        <w:t>.</w:t>
      </w:r>
    </w:p>
    <w:p w:rsidR="00426FE9" w:rsidRDefault="00D0590D">
      <w:pPr>
        <w:spacing w:after="0" w:line="240" w:lineRule="auto"/>
        <w:ind w:firstLine="567"/>
        <w:jc w:val="both"/>
        <w:rPr>
          <w:rFonts w:ascii="Times New Roman" w:hAnsi="Times New Roman"/>
          <w:b/>
          <w:i/>
          <w:color w:val="0000CC"/>
        </w:rPr>
      </w:pPr>
      <w:r>
        <w:rPr>
          <w:rFonts w:ascii="Times New Roman" w:hAnsi="Times New Roman"/>
          <w:b/>
          <w:i/>
          <w:color w:val="0000CC"/>
        </w:rPr>
        <w:t>6. Организационни структури, участващи в програмата</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 xml:space="preserve">Органите на Министерството на вътрешните работи, както и другите държавни и общински органи са длъжни да оказват съдействие на ДНСК и на нейните служители при изпълнение на функциите им. </w:t>
      </w:r>
      <w:r>
        <w:rPr>
          <w:rFonts w:ascii="Times New Roman" w:eastAsia="Times New Roman" w:hAnsi="Times New Roman" w:cs="Times New Roman"/>
          <w:lang w:eastAsia="bg-BG"/>
        </w:rPr>
        <w:t>От страна на МРРБ – ЦА програмата се реализира под ръководството на съответния ресорен заместник-министър, който ръководи дейността на дирекция „Технически правила и норми“.</w:t>
      </w:r>
    </w:p>
    <w:p w:rsidR="00426FE9" w:rsidRDefault="00D0590D">
      <w:pPr>
        <w:tabs>
          <w:tab w:val="left" w:pos="851"/>
        </w:tabs>
        <w:spacing w:after="0" w:line="240" w:lineRule="auto"/>
        <w:ind w:firstLine="567"/>
        <w:jc w:val="both"/>
        <w:rPr>
          <w:rFonts w:ascii="Times New Roman" w:hAnsi="Times New Roman" w:cs="Times New Roman"/>
          <w:b/>
          <w:i/>
          <w:color w:val="0000CC"/>
        </w:rPr>
      </w:pPr>
      <w:r>
        <w:rPr>
          <w:rFonts w:ascii="Times New Roman" w:hAnsi="Times New Roman" w:cs="Times New Roman"/>
          <w:b/>
          <w:i/>
          <w:color w:val="0000CC"/>
        </w:rPr>
        <w:t>7. Отговорност за изпълнението на програмата</w:t>
      </w:r>
    </w:p>
    <w:p w:rsidR="00426FE9" w:rsidRDefault="00D0590D">
      <w:pPr>
        <w:spacing w:after="0" w:line="240" w:lineRule="auto"/>
        <w:ind w:firstLine="567"/>
        <w:jc w:val="both"/>
        <w:rPr>
          <w:rFonts w:ascii="Times New Roman" w:hAnsi="Times New Roman" w:cs="Times New Roman"/>
        </w:rPr>
      </w:pPr>
      <w:r>
        <w:rPr>
          <w:rFonts w:ascii="Times New Roman" w:hAnsi="Times New Roman" w:cs="Times New Roman"/>
        </w:rPr>
        <w:t>Отговорност за изпълнението на Програмата носят министър, ресорен заместинк-министър, дирекция „Технически правила и норми“ и ДНСК.</w:t>
      </w:r>
    </w:p>
    <w:p w:rsidR="00426FE9" w:rsidRDefault="00D0590D" w:rsidP="004F30BC">
      <w:pPr>
        <w:pStyle w:val="ListParagraph"/>
        <w:numPr>
          <w:ilvl w:val="0"/>
          <w:numId w:val="81"/>
        </w:numPr>
        <w:tabs>
          <w:tab w:val="left" w:pos="851"/>
          <w:tab w:val="left" w:pos="7655"/>
          <w:tab w:val="left" w:pos="7797"/>
        </w:tabs>
        <w:spacing w:after="0" w:line="240" w:lineRule="auto"/>
        <w:ind w:left="0" w:firstLine="567"/>
        <w:jc w:val="both"/>
        <w:rPr>
          <w:rFonts w:ascii="Times New Roman" w:hAnsi="Times New Roman"/>
          <w:b/>
          <w:i/>
          <w:color w:val="0000CC"/>
        </w:rPr>
      </w:pPr>
      <w:r>
        <w:rPr>
          <w:rFonts w:ascii="Times New Roman" w:hAnsi="Times New Roman"/>
          <w:b/>
          <w:i/>
          <w:color w:val="0000CC"/>
        </w:rPr>
        <w:t>Бюджетна прогноза по ведомствени и администрирани параграфи на програмата</w:t>
      </w:r>
    </w:p>
    <w:tbl>
      <w:tblPr>
        <w:tblW w:w="10430" w:type="dxa"/>
        <w:tblLook w:val="04A0" w:firstRow="1" w:lastRow="0" w:firstColumn="1" w:lastColumn="0" w:noHBand="0" w:noVBand="1"/>
      </w:tblPr>
      <w:tblGrid>
        <w:gridCol w:w="443"/>
        <w:gridCol w:w="3663"/>
        <w:gridCol w:w="1172"/>
        <w:gridCol w:w="1096"/>
        <w:gridCol w:w="1034"/>
        <w:gridCol w:w="1092"/>
        <w:gridCol w:w="1031"/>
        <w:gridCol w:w="899"/>
      </w:tblGrid>
      <w:tr w:rsidR="00BA5C65" w:rsidRPr="00BA5C65" w:rsidTr="00BA5C65">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2100.02.03 Бюджетна програма „Нормативно регулиране и контрол на строителните продукти и инвестиционния процес в строителството” (хил. евро)</w:t>
            </w:r>
          </w:p>
        </w:tc>
        <w:tc>
          <w:tcPr>
            <w:tcW w:w="1172"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Отчет 2023 г.</w:t>
            </w:r>
          </w:p>
        </w:tc>
        <w:tc>
          <w:tcPr>
            <w:tcW w:w="1096"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Отчет 2024 г.</w:t>
            </w:r>
          </w:p>
        </w:tc>
        <w:tc>
          <w:tcPr>
            <w:tcW w:w="1034"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Закон 2025 г.</w:t>
            </w:r>
          </w:p>
        </w:tc>
        <w:tc>
          <w:tcPr>
            <w:tcW w:w="1092"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730782"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Бюджет </w:t>
            </w:r>
            <w:r w:rsidR="00BA5C65" w:rsidRPr="00BA5C65">
              <w:rPr>
                <w:rFonts w:ascii="Times New Roman" w:eastAsia="Times New Roman" w:hAnsi="Times New Roman" w:cs="Times New Roman"/>
                <w:b/>
                <w:bCs/>
                <w:color w:val="000000"/>
                <w:sz w:val="16"/>
                <w:szCs w:val="16"/>
                <w:lang w:val="en-US"/>
              </w:rPr>
              <w:t>2026 г.</w:t>
            </w:r>
          </w:p>
        </w:tc>
        <w:tc>
          <w:tcPr>
            <w:tcW w:w="1031"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Прогноза 2027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Прогноза 2028 г.</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i/>
                <w:iCs/>
                <w:color w:val="000000"/>
                <w:sz w:val="16"/>
                <w:szCs w:val="16"/>
                <w:lang w:val="en-US"/>
              </w:rPr>
            </w:pPr>
            <w:r w:rsidRPr="00BA5C65">
              <w:rPr>
                <w:rFonts w:ascii="Times New Roman" w:eastAsia="Times New Roman" w:hAnsi="Times New Roman" w:cs="Times New Roman"/>
                <w:b/>
                <w:bCs/>
                <w:i/>
                <w:i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w:t>
            </w:r>
          </w:p>
        </w:tc>
        <w:tc>
          <w:tcPr>
            <w:tcW w:w="1034"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w:t>
            </w:r>
          </w:p>
        </w:tc>
        <w:tc>
          <w:tcPr>
            <w:tcW w:w="1092"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w:t>
            </w:r>
          </w:p>
        </w:tc>
        <w:tc>
          <w:tcPr>
            <w:tcW w:w="1031"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w:t>
            </w:r>
          </w:p>
        </w:tc>
        <w:tc>
          <w:tcPr>
            <w:tcW w:w="899"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7</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ведомствени разходи:</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7 210,8</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8 440,6</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9 259,7</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10 265,6</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Персонал</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5 741,2</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6 670,1</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6 781,8</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8 177,2</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7 810,1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7 810,1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Издръжка</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1 426,4</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1 608,2</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2 351,5</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2 013,3</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2 013,3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2 013,3</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Капиталови разходи</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43,2</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162,3</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126,4</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75,1</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75,1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75,1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Ведомствени разходи по бюджета на ПРБ:</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7 210,8</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8 440,6</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9 259,7</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10 265,6</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Персонал</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5 741,2</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6 670,1</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6 781,8</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8 177,2</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7 810,1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7 810,1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Издръжка</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1 426,4</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1 608,2</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2 351,5</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2 013,3</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2 013,3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2 013,3</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Капиталови разходи</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43,2</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162,3</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126,4</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75,1</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75,1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75,1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i/>
                <w:iCs/>
                <w:color w:val="000000"/>
                <w:sz w:val="16"/>
                <w:szCs w:val="16"/>
                <w:lang w:val="en-US"/>
              </w:rPr>
            </w:pPr>
            <w:r w:rsidRPr="00BA5C65">
              <w:rPr>
                <w:rFonts w:ascii="Times New Roman" w:eastAsia="Times New Roman" w:hAnsi="Times New Roman" w:cs="Times New Roman"/>
                <w:b/>
                <w:bCs/>
                <w:i/>
                <w:iCs/>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1096"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1034"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092"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031"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ІІ.</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096"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034"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092"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1031"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ІІІ.</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1 976,0</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100" w:firstLine="16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Национален план за възстановяване и устойчивост</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1 976,0</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администрирани разходи (ІІ.+ІІІ.):</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1 976,0</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разходи по бюджета (І.1+ІІ.):</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7 210,8</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8 440,6</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9 259,7</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10 265,6</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разходи (І.+ІІ.+ІІІ.):</w:t>
            </w:r>
          </w:p>
        </w:tc>
        <w:tc>
          <w:tcPr>
            <w:tcW w:w="117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7 210,8</w:t>
            </w:r>
          </w:p>
        </w:tc>
        <w:tc>
          <w:tcPr>
            <w:tcW w:w="10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8 440,6</w:t>
            </w:r>
          </w:p>
        </w:tc>
        <w:tc>
          <w:tcPr>
            <w:tcW w:w="1034"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9 259,7</w:t>
            </w:r>
          </w:p>
        </w:tc>
        <w:tc>
          <w:tcPr>
            <w:tcW w:w="1092"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12 241,6</w:t>
            </w:r>
          </w:p>
        </w:tc>
        <w:tc>
          <w:tcPr>
            <w:tcW w:w="1031"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9 898,5</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lastRenderedPageBreak/>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Численост на щатния персонал</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336</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343</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416</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416</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416</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416</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both"/>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366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Численост на извънщатния персонал</w:t>
            </w:r>
          </w:p>
        </w:tc>
        <w:tc>
          <w:tcPr>
            <w:tcW w:w="117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10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1034"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1092"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1031"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r>
    </w:tbl>
    <w:p w:rsidR="00D70C36" w:rsidRDefault="00D70C36">
      <w:pPr>
        <w:spacing w:after="0" w:line="240" w:lineRule="auto"/>
        <w:ind w:left="567"/>
        <w:jc w:val="both"/>
        <w:rPr>
          <w:rFonts w:ascii="Times New Roman" w:hAnsi="Times New Roman" w:cs="Times New Roman"/>
          <w:b/>
          <w:color w:val="4A7C2C" w:themeColor="accent4" w:themeShade="BF"/>
        </w:rPr>
      </w:pPr>
    </w:p>
    <w:p w:rsidR="00D70C36" w:rsidRPr="00D70C36" w:rsidRDefault="00D70C36" w:rsidP="00D70C36">
      <w:pPr>
        <w:suppressAutoHyphens w:val="0"/>
        <w:spacing w:after="0" w:line="240" w:lineRule="auto"/>
        <w:ind w:right="47" w:firstLine="567"/>
        <w:jc w:val="both"/>
        <w:rPr>
          <w:rFonts w:ascii="Times New Roman" w:eastAsia="Times New Roman" w:hAnsi="Times New Roman" w:cs="Times New Roman"/>
          <w:lang w:eastAsia="bg-BG"/>
        </w:rPr>
      </w:pPr>
      <w:r w:rsidRPr="00D70C36">
        <w:rPr>
          <w:rFonts w:ascii="Times New Roman" w:eastAsia="Times New Roman" w:hAnsi="Times New Roman" w:cs="Times New Roman"/>
          <w:b/>
          <w:lang w:eastAsia="bg-BG"/>
        </w:rPr>
        <w:t xml:space="preserve">Дирекция </w:t>
      </w:r>
      <w:r>
        <w:rPr>
          <w:rFonts w:ascii="Times New Roman" w:eastAsia="Times New Roman" w:hAnsi="Times New Roman" w:cs="Times New Roman"/>
          <w:b/>
          <w:lang w:eastAsia="bg-BG"/>
        </w:rPr>
        <w:t>„Технически правила и норми“</w:t>
      </w:r>
      <w:r w:rsidRPr="00D70C36">
        <w:rPr>
          <w:rFonts w:ascii="Times New Roman" w:eastAsia="Times New Roman" w:hAnsi="Times New Roman" w:cs="Times New Roman"/>
          <w:b/>
          <w:lang w:eastAsia="bg-BG"/>
        </w:rPr>
        <w:t xml:space="preserve"> изпълнява като краен получател от страна на МРРБ </w:t>
      </w:r>
      <w:r w:rsidRPr="00D70C36">
        <w:rPr>
          <w:rFonts w:ascii="Times New Roman" w:eastAsia="Times New Roman" w:hAnsi="Times New Roman" w:cs="Times New Roman"/>
          <w:b/>
          <w:u w:val="single"/>
          <w:lang w:eastAsia="bg-BG"/>
        </w:rPr>
        <w:t>Инвестиция C10.I6 „Подкрепа на пилотна фаза за въвеждане на строително информационното моделиране (СИМ/BIM) в инвестиционното проектиране и строителството като основа за цифрова реформа на строителния сектор в България“</w:t>
      </w:r>
      <w:r w:rsidRPr="00D70C36">
        <w:rPr>
          <w:rFonts w:ascii="Times New Roman" w:eastAsia="Times New Roman" w:hAnsi="Times New Roman" w:cs="Times New Roman"/>
          <w:b/>
          <w:lang w:eastAsia="bg-BG"/>
        </w:rPr>
        <w:t xml:space="preserve"> (Инвестиция C10.I6) от Националния план за възстановяване и устойчивост (НПВУ).</w:t>
      </w:r>
    </w:p>
    <w:p w:rsidR="00D70C36" w:rsidRPr="00D70C36" w:rsidRDefault="00D70C36" w:rsidP="00D70C36">
      <w:pPr>
        <w:suppressAutoHyphens w:val="0"/>
        <w:spacing w:after="0" w:line="240" w:lineRule="auto"/>
        <w:ind w:firstLine="567"/>
        <w:jc w:val="both"/>
        <w:rPr>
          <w:rFonts w:ascii="Times New Roman" w:eastAsia="Times New Roman" w:hAnsi="Times New Roman" w:cs="Times New Roman"/>
          <w:lang w:eastAsia="bg-BG"/>
        </w:rPr>
      </w:pPr>
      <w:r w:rsidRPr="00D70C36">
        <w:rPr>
          <w:rFonts w:ascii="Times New Roman" w:eastAsia="Times New Roman" w:hAnsi="Times New Roman" w:cs="Times New Roman"/>
          <w:lang w:eastAsia="bg-BG"/>
        </w:rPr>
        <w:t xml:space="preserve">Министерството на регионалното развитие и благоустройството е краен получател (КП) по Инвестиция C10.I6, съгласно Оперативно споразумение между министъра на регионалното развитие и благоустройството и министъра на финансите (№ РД-0-30-11/17.3.2023 г. за МРРБ и № СПОР-23/16.3.2023 г. за Министерство на финансите). </w:t>
      </w:r>
    </w:p>
    <w:p w:rsidR="00D70C36" w:rsidRPr="00D70C36" w:rsidRDefault="00D70C36" w:rsidP="00D70C36">
      <w:pPr>
        <w:suppressAutoHyphens w:val="0"/>
        <w:spacing w:after="0" w:line="240" w:lineRule="auto"/>
        <w:ind w:firstLine="567"/>
        <w:jc w:val="both"/>
        <w:rPr>
          <w:rFonts w:ascii="Times New Roman" w:eastAsia="Times New Roman" w:hAnsi="Times New Roman" w:cs="Times New Roman"/>
          <w:lang w:eastAsia="bg-BG"/>
        </w:rPr>
      </w:pPr>
      <w:r w:rsidRPr="00D70C36">
        <w:rPr>
          <w:rFonts w:ascii="Times New Roman" w:eastAsia="Times New Roman" w:hAnsi="Times New Roman" w:cs="Times New Roman"/>
          <w:lang w:eastAsia="bg-BG"/>
        </w:rPr>
        <w:t xml:space="preserve">Инвестиция С10.I6 е една от мерките на одобрената с Постановление № 270 от 6.4.2023 г. на Министерски съвет </w:t>
      </w:r>
      <w:r w:rsidRPr="00D70C36">
        <w:rPr>
          <w:rFonts w:ascii="Times New Roman" w:eastAsia="Times New Roman" w:hAnsi="Times New Roman" w:cs="Times New Roman"/>
          <w:i/>
          <w:lang w:eastAsia="bg-BG"/>
        </w:rPr>
        <w:t>Национална стратегия за цифрова трансформация на строителния сектор 2030 г. и Пътна карта за нейното изпълнение. Одобрените Национална стратегия и Пътна карта към нея</w:t>
      </w:r>
      <w:r w:rsidRPr="00D70C36">
        <w:rPr>
          <w:rFonts w:ascii="Times New Roman" w:eastAsia="Times New Roman" w:hAnsi="Times New Roman" w:cs="Times New Roman"/>
          <w:lang w:eastAsia="bg-BG"/>
        </w:rPr>
        <w:t xml:space="preserve">, представляват изпълнена вече Реформа C10.R5 „Цифрова реформа на българския строителен сектор“ от НПВУ. </w:t>
      </w:r>
    </w:p>
    <w:p w:rsidR="00D70C36" w:rsidRDefault="00D70C36" w:rsidP="00D70C36">
      <w:pPr>
        <w:suppressAutoHyphens w:val="0"/>
        <w:spacing w:after="0" w:line="240" w:lineRule="auto"/>
        <w:ind w:firstLine="567"/>
        <w:jc w:val="both"/>
        <w:rPr>
          <w:rFonts w:ascii="Times New Roman" w:eastAsia="Times New Roman" w:hAnsi="Times New Roman" w:cs="Times New Roman"/>
          <w:lang w:eastAsia="bg-BG"/>
        </w:rPr>
      </w:pPr>
      <w:r w:rsidRPr="00D70C36">
        <w:rPr>
          <w:rFonts w:ascii="Times New Roman" w:eastAsia="Times New Roman" w:hAnsi="Times New Roman" w:cs="Times New Roman"/>
          <w:lang w:eastAsia="bg-BG"/>
        </w:rPr>
        <w:t xml:space="preserve">Със Заповед № РД-02-14-391/24.3.2023 г., отменена и заменена със Заповед № РД-02-14-1361/8.12.2023 г., отменена и заменена със Заповед № РД-02-14-882/14.6.2024 г., отменена и заменена със Заповед № РД-02-14-523/14.3.2025 г. на министъра на регионалното развитие и благоустройството, </w:t>
      </w:r>
      <w:r w:rsidRPr="00D70C36">
        <w:rPr>
          <w:rFonts w:ascii="Times New Roman" w:eastAsia="Times New Roman" w:hAnsi="Times New Roman" w:cs="Times New Roman"/>
          <w:b/>
          <w:lang w:eastAsia="bg-BG"/>
        </w:rPr>
        <w:t>ръководството и изпълнението на Инвестиция C10.I6 е възложено на екип от експерти на дирекция „Технически правила и норми“ (ТПН)</w:t>
      </w:r>
      <w:r w:rsidRPr="00D70C36">
        <w:rPr>
          <w:rFonts w:ascii="Times New Roman" w:eastAsia="Times New Roman" w:hAnsi="Times New Roman" w:cs="Times New Roman"/>
          <w:lang w:eastAsia="bg-BG"/>
        </w:rPr>
        <w:t>, като към екипа са привлечени в допълнение един IT експерт от отдел „Информационно обслужване“ в дирекция „Информационно обслужване и системи за сигурност“ и един експерт-финансист от дирекция „Жилищно политика“.</w:t>
      </w:r>
    </w:p>
    <w:p w:rsidR="00D70C36" w:rsidRPr="00D70C36" w:rsidRDefault="00D70C36" w:rsidP="00D70C36">
      <w:pPr>
        <w:suppressAutoHyphens w:val="0"/>
        <w:spacing w:after="0" w:line="240" w:lineRule="auto"/>
        <w:ind w:firstLine="567"/>
        <w:jc w:val="both"/>
        <w:rPr>
          <w:rFonts w:ascii="Times New Roman" w:eastAsia="Times New Roman" w:hAnsi="Times New Roman" w:cs="Times New Roman"/>
          <w:lang w:eastAsia="bg-BG"/>
        </w:rPr>
      </w:pPr>
    </w:p>
    <w:p w:rsidR="00426FE9" w:rsidRDefault="00D0590D" w:rsidP="00A91EF7">
      <w:pPr>
        <w:spacing w:after="0" w:line="240" w:lineRule="auto"/>
        <w:ind w:firstLine="567"/>
        <w:jc w:val="both"/>
        <w:rPr>
          <w:rFonts w:ascii="Times New Roman" w:hAnsi="Times New Roman" w:cs="Times New Roman"/>
          <w:b/>
          <w:color w:val="4A7C2C" w:themeColor="accent4" w:themeShade="BF"/>
        </w:rPr>
      </w:pPr>
      <w:r>
        <w:rPr>
          <w:rFonts w:ascii="Times New Roman" w:hAnsi="Times New Roman" w:cs="Times New Roman"/>
          <w:b/>
          <w:color w:val="4A7C2C" w:themeColor="accent4" w:themeShade="BF"/>
        </w:rPr>
        <w:t>2100.03.00. БЮДЖЕТНА ПРОГРАМА „ЕФЕКТИВНА АДМИНИСТРАЦИЯ И КООРДИНАЦИЯ“</w:t>
      </w:r>
    </w:p>
    <w:p w:rsidR="00426FE9" w:rsidRDefault="00D0590D" w:rsidP="004F30BC">
      <w:pPr>
        <w:numPr>
          <w:ilvl w:val="0"/>
          <w:numId w:val="82"/>
        </w:numPr>
        <w:tabs>
          <w:tab w:val="clear" w:pos="720"/>
          <w:tab w:val="left" w:pos="851"/>
        </w:tabs>
        <w:spacing w:after="0" w:line="240" w:lineRule="auto"/>
        <w:ind w:left="0" w:firstLine="567"/>
        <w:jc w:val="both"/>
        <w:rPr>
          <w:rFonts w:ascii="Times New Roman" w:hAnsi="Times New Roman" w:cs="Times New Roman"/>
          <w:b/>
          <w:i/>
          <w:color w:val="0000CC"/>
          <w:lang w:val="ru-RU"/>
        </w:rPr>
      </w:pPr>
      <w:r>
        <w:rPr>
          <w:rFonts w:ascii="Times New Roman" w:hAnsi="Times New Roman" w:cs="Times New Roman"/>
          <w:b/>
          <w:i/>
          <w:color w:val="0000CC"/>
        </w:rPr>
        <w:t xml:space="preserve">Цели на </w:t>
      </w:r>
      <w:r>
        <w:rPr>
          <w:rFonts w:ascii="Times New Roman" w:hAnsi="Times New Roman"/>
          <w:b/>
          <w:i/>
          <w:color w:val="0000CC"/>
        </w:rPr>
        <w:t>бюджетната програма</w:t>
      </w:r>
    </w:p>
    <w:p w:rsidR="00426FE9" w:rsidRDefault="00D0590D">
      <w:pPr>
        <w:tabs>
          <w:tab w:val="left" w:pos="851"/>
        </w:tabs>
        <w:spacing w:after="0" w:line="240" w:lineRule="auto"/>
        <w:ind w:firstLine="567"/>
        <w:jc w:val="both"/>
        <w:rPr>
          <w:rFonts w:ascii="Times New Roman" w:hAnsi="Times New Roman" w:cs="Times New Roman"/>
        </w:rPr>
      </w:pPr>
      <w:r>
        <w:rPr>
          <w:rFonts w:ascii="Times New Roman" w:hAnsi="Times New Roman" w:cs="Times New Roman"/>
        </w:rPr>
        <w:t xml:space="preserve">В програмата са включени дейностите, които подпомагат изпълнението на програмите за постигането на целите на МРРБ. Тъй като дейностите отнесени в програмата са междинни, т.е. обслужват предоставянето на продуктите/услугите, предоставяни по програмите във всички области на политиките, разходите за тях са изведени в самостоятелна програма. </w:t>
      </w:r>
    </w:p>
    <w:p w:rsidR="00426FE9" w:rsidRDefault="00D0590D" w:rsidP="004F30BC">
      <w:pPr>
        <w:numPr>
          <w:ilvl w:val="0"/>
          <w:numId w:val="82"/>
        </w:numPr>
        <w:tabs>
          <w:tab w:val="clear" w:pos="720"/>
          <w:tab w:val="left" w:pos="851"/>
        </w:tabs>
        <w:spacing w:after="0" w:line="240" w:lineRule="auto"/>
        <w:ind w:left="0"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Целеви стойности по показателите за изпълнение</w:t>
      </w:r>
    </w:p>
    <w:p w:rsidR="00426FE9" w:rsidRDefault="00D0590D">
      <w:pPr>
        <w:pStyle w:val="ListParagraph"/>
        <w:tabs>
          <w:tab w:val="left" w:pos="851"/>
        </w:tabs>
        <w:spacing w:after="0" w:line="240" w:lineRule="auto"/>
        <w:ind w:left="0" w:firstLine="567"/>
        <w:rPr>
          <w:rFonts w:ascii="Times New Roman" w:hAnsi="Times New Roman"/>
          <w:b/>
        </w:rPr>
      </w:pPr>
      <w:r>
        <w:rPr>
          <w:rFonts w:ascii="Times New Roman" w:hAnsi="Times New Roman"/>
          <w:b/>
        </w:rPr>
        <w:t>Неприложимо</w:t>
      </w:r>
    </w:p>
    <w:p w:rsidR="00426FE9" w:rsidRDefault="00D0590D" w:rsidP="004F30BC">
      <w:pPr>
        <w:numPr>
          <w:ilvl w:val="0"/>
          <w:numId w:val="82"/>
        </w:numPr>
        <w:tabs>
          <w:tab w:val="clear" w:pos="720"/>
          <w:tab w:val="left" w:pos="851"/>
        </w:tabs>
        <w:spacing w:after="0" w:line="240" w:lineRule="auto"/>
        <w:ind w:left="0" w:firstLine="567"/>
        <w:contextualSpacing/>
        <w:jc w:val="both"/>
        <w:rPr>
          <w:rFonts w:ascii="Times New Roman" w:eastAsia="Times New Roman" w:hAnsi="Times New Roman" w:cs="Times New Roman"/>
          <w:b/>
          <w:i/>
          <w:color w:val="0000CC"/>
          <w:lang w:eastAsia="bg-BG"/>
        </w:rPr>
      </w:pPr>
      <w:r>
        <w:rPr>
          <w:rFonts w:ascii="Times New Roman" w:eastAsia="Times New Roman" w:hAnsi="Times New Roman" w:cs="Times New Roman"/>
          <w:b/>
          <w:i/>
          <w:color w:val="0000CC"/>
          <w:lang w:eastAsia="bg-BG"/>
        </w:rPr>
        <w:t>Външни фактори, които могат да окажат въздействие върху постигането на целите на програмата:</w:t>
      </w:r>
    </w:p>
    <w:p w:rsidR="00426FE9" w:rsidRDefault="00D0590D" w:rsidP="004F30BC">
      <w:pPr>
        <w:numPr>
          <w:ilvl w:val="0"/>
          <w:numId w:val="83"/>
        </w:numPr>
        <w:tabs>
          <w:tab w:val="clear" w:pos="720"/>
          <w:tab w:val="left" w:pos="851"/>
        </w:tabs>
        <w:spacing w:after="0" w:line="240" w:lineRule="auto"/>
        <w:ind w:left="0"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Нерегламентиран достъп до класифицирана информация или опит за такъв чрез проникване в регистратурата за класифицирана информация;</w:t>
      </w:r>
    </w:p>
    <w:p w:rsidR="00426FE9" w:rsidRDefault="00D0590D" w:rsidP="004F30BC">
      <w:pPr>
        <w:numPr>
          <w:ilvl w:val="0"/>
          <w:numId w:val="83"/>
        </w:numPr>
        <w:tabs>
          <w:tab w:val="clear" w:pos="720"/>
          <w:tab w:val="left" w:pos="851"/>
        </w:tabs>
        <w:spacing w:after="0" w:line="240" w:lineRule="auto"/>
        <w:ind w:left="0"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Липса на надеждност на служителите от гледна точка на сигурността и опазване на държавната и служебна тайна;</w:t>
      </w:r>
    </w:p>
    <w:p w:rsidR="00426FE9" w:rsidRDefault="00D0590D" w:rsidP="004F30BC">
      <w:pPr>
        <w:numPr>
          <w:ilvl w:val="0"/>
          <w:numId w:val="83"/>
        </w:numPr>
        <w:tabs>
          <w:tab w:val="clear" w:pos="720"/>
          <w:tab w:val="left" w:pos="851"/>
        </w:tabs>
        <w:spacing w:after="0" w:line="240" w:lineRule="auto"/>
        <w:ind w:left="0" w:firstLine="567"/>
        <w:contextualSpacing/>
        <w:jc w:val="both"/>
        <w:rPr>
          <w:rFonts w:ascii="Times New Roman" w:eastAsia="Times New Roman" w:hAnsi="Times New Roman" w:cs="Times New Roman"/>
          <w:lang w:eastAsia="bg-BG"/>
        </w:rPr>
      </w:pPr>
      <w:r>
        <w:rPr>
          <w:rFonts w:ascii="Times New Roman" w:eastAsia="Times New Roman" w:hAnsi="Times New Roman" w:cs="Times New Roman"/>
          <w:lang w:eastAsia="bg-BG"/>
        </w:rPr>
        <w:t>Липса на финансови средства за поддръжка на гражданските ресурси.</w:t>
      </w:r>
    </w:p>
    <w:p w:rsidR="00426FE9" w:rsidRDefault="00D0590D" w:rsidP="004F30BC">
      <w:pPr>
        <w:numPr>
          <w:ilvl w:val="0"/>
          <w:numId w:val="82"/>
        </w:numPr>
        <w:tabs>
          <w:tab w:val="clear" w:pos="720"/>
          <w:tab w:val="left" w:pos="851"/>
        </w:tabs>
        <w:spacing w:after="0" w:line="240" w:lineRule="auto"/>
        <w:ind w:left="0" w:firstLine="567"/>
        <w:contextualSpacing/>
        <w:jc w:val="both"/>
        <w:rPr>
          <w:rFonts w:ascii="Times New Roman" w:eastAsia="Times New Roman" w:hAnsi="Times New Roman" w:cs="Times New Roman"/>
          <w:color w:val="0000CC"/>
          <w:lang w:eastAsia="bg-BG"/>
        </w:rPr>
      </w:pPr>
      <w:r>
        <w:rPr>
          <w:rFonts w:ascii="Times New Roman" w:eastAsia="Times New Roman" w:hAnsi="Times New Roman" w:cs="Times New Roman"/>
          <w:b/>
          <w:i/>
          <w:color w:val="0000CC"/>
          <w:lang w:eastAsia="bg-BG"/>
        </w:rPr>
        <w:t xml:space="preserve">Информация за наличността и качеството на данните </w:t>
      </w:r>
    </w:p>
    <w:p w:rsidR="00426FE9" w:rsidRDefault="00D0590D">
      <w:pPr>
        <w:tabs>
          <w:tab w:val="left" w:pos="851"/>
        </w:tabs>
        <w:spacing w:after="0" w:line="240" w:lineRule="auto"/>
        <w:ind w:firstLine="567"/>
        <w:contextualSpacing/>
        <w:jc w:val="both"/>
        <w:rPr>
          <w:rFonts w:ascii="Times New Roman" w:eastAsia="Calibri" w:hAnsi="Times New Roman" w:cs="Times New Roman"/>
          <w:b/>
        </w:rPr>
      </w:pPr>
      <w:r>
        <w:rPr>
          <w:rFonts w:ascii="Times New Roman" w:eastAsia="Calibri" w:hAnsi="Times New Roman" w:cs="Times New Roman"/>
          <w:b/>
        </w:rPr>
        <w:t>Неприложимо</w:t>
      </w:r>
    </w:p>
    <w:p w:rsidR="00426FE9" w:rsidRDefault="00D0590D" w:rsidP="004F30BC">
      <w:pPr>
        <w:numPr>
          <w:ilvl w:val="0"/>
          <w:numId w:val="82"/>
        </w:numPr>
        <w:tabs>
          <w:tab w:val="clear" w:pos="720"/>
          <w:tab w:val="left" w:pos="851"/>
        </w:tabs>
        <w:spacing w:after="0" w:line="240" w:lineRule="auto"/>
        <w:ind w:left="0" w:firstLine="567"/>
        <w:contextualSpacing/>
        <w:jc w:val="both"/>
        <w:rPr>
          <w:rFonts w:ascii="Times New Roman" w:eastAsia="Calibri" w:hAnsi="Times New Roman" w:cs="Times New Roman"/>
          <w:b/>
          <w:i/>
          <w:color w:val="0000CC"/>
        </w:rPr>
      </w:pPr>
      <w:r>
        <w:rPr>
          <w:rFonts w:ascii="Times New Roman" w:eastAsia="Calibri" w:hAnsi="Times New Roman" w:cs="Times New Roman"/>
          <w:b/>
          <w:i/>
          <w:color w:val="0000CC"/>
        </w:rPr>
        <w:t>Предоставяни по програмата продукти/услуги: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Участие в разработването на проекти на нормативни актове;</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Процесуално представителство на министерството пред съдилищата;</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Изготвяне проекти на договори и становища по законосъобразността на договори;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Контролни дейности, осъществявани  от Инспектората и финансовите контрольори;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Организира и осъществява административното обслужване на персонала в областта на  подбора и управлението на човешките ресурси;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Изготвяне на проектите на годишния бюджет на министерството и бюджетите на ВРБ;</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Даване на методически указания на ВРБ относно изготвянето на отчетите за касово изпълнение на бюджета и на сметките за СЕС;</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Отчитане изпълнението на бюджета и на сметките за СЕС;</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Разпределение на бюджета;</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lastRenderedPageBreak/>
        <w:t>Счетоводно отчитане, изготвяне ежемесечни и годишни оборотни ведомости, подготовка на годишния баланс, счетоводно и касово обслужване на структурните звена;</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Анализ на потребностите и планиране обучението на персонала;</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Дейности по социална политика и социално сътрудничество;</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Деловодно обслужване;</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Поддържане на учрежденския архив;</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Прием на по постъпили жалби и писма на граждани;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Дейности по осигуряване на прозрачност и публичност на дейността на министерството;</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Поддържане страницата на министерството в Интернет;</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Програмно и техническо осигуряване на компютърната техника;</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Поддържане автоматизираната информационна инфраструктура на министерството;</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Осъществяване на автоматизиран обмен на данни с национални и ведомствени информационни системи;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Разработване на плана на министерството за действия при кризи;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Контролиране изпълнението на задачите по подготовката за работа във военно време и в условия на кризи;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Организиране и осигуряване взаимодействието с Министерство на отбраната и с другите министерства и ведомства в процеса на отбранителното планиране по отношение на поддържането и използването на инфраструктурата и осигуряването на необходимите граждански ресурси за отбраната на страната и управлението при кризи;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Осъществяване на контрол относно определяне нивото на класификация, регистрация, движението, съхраняването и опазването от нерегламентиран достъп на материалите и документите, съдържащи класифицирана информация;</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Взаимодейства и предоставя информация на Държавната комисия по сигурността на информацията съгласно ЗЗКИ и отговаря за изпълнението на задължителните указания на комисията;</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 xml:space="preserve">Извършване на дейност по проектиране, разработване, внедряване и експлоатация на автоматизираната система за управление при кризи; </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Планиране и организиране на строително-монтажни работи;</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Материално-техническо снабдяване;</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Хигиенно и транспортно обслужване;</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Административно обслужване на юридически и физически лица на "едно гише";</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Протоколна дейност на министерството, в т.ч. контакти с посолствата на чужди държави в РБългария за уреждане на протоколни и делови срещи с ръководството на министерството;</w:t>
      </w:r>
    </w:p>
    <w:p w:rsidR="00426FE9" w:rsidRDefault="00D0590D" w:rsidP="004F30BC">
      <w:pPr>
        <w:numPr>
          <w:ilvl w:val="0"/>
          <w:numId w:val="84"/>
        </w:numPr>
        <w:tabs>
          <w:tab w:val="left" w:pos="851"/>
        </w:tabs>
        <w:spacing w:after="0" w:line="240" w:lineRule="auto"/>
        <w:ind w:left="0" w:firstLine="567"/>
        <w:jc w:val="both"/>
        <w:rPr>
          <w:rFonts w:ascii="Times New Roman" w:eastAsia="Calibri" w:hAnsi="Times New Roman" w:cs="Times New Roman"/>
        </w:rPr>
      </w:pPr>
      <w:r>
        <w:rPr>
          <w:rFonts w:ascii="Times New Roman" w:eastAsia="Calibri" w:hAnsi="Times New Roman" w:cs="Times New Roman"/>
        </w:rPr>
        <w:t>Администриране на договори за абонаменто и сервизно обслужване, преводи на материали и документи от български на съответния чужд език и обратно, доставки и др.</w:t>
      </w:r>
    </w:p>
    <w:p w:rsidR="00426FE9" w:rsidRDefault="00D0590D" w:rsidP="004F30BC">
      <w:pPr>
        <w:numPr>
          <w:ilvl w:val="0"/>
          <w:numId w:val="82"/>
        </w:numPr>
        <w:tabs>
          <w:tab w:val="clear" w:pos="720"/>
          <w:tab w:val="left" w:pos="851"/>
        </w:tabs>
        <w:spacing w:after="0" w:line="240" w:lineRule="auto"/>
        <w:ind w:left="0" w:firstLine="567"/>
        <w:jc w:val="both"/>
        <w:rPr>
          <w:rFonts w:ascii="Times New Roman" w:hAnsi="Times New Roman" w:cs="Times New Roman"/>
          <w:b/>
          <w:i/>
          <w:color w:val="0000CC"/>
        </w:rPr>
      </w:pPr>
      <w:r>
        <w:rPr>
          <w:rFonts w:ascii="Times New Roman" w:hAnsi="Times New Roman" w:cs="Times New Roman"/>
          <w:b/>
          <w:i/>
          <w:color w:val="0000CC"/>
        </w:rPr>
        <w:t>Организационни структури, участващи в програмата</w:t>
      </w:r>
    </w:p>
    <w:p w:rsidR="00426FE9" w:rsidRDefault="00D0590D" w:rsidP="004F30BC">
      <w:pPr>
        <w:numPr>
          <w:ilvl w:val="0"/>
          <w:numId w:val="85"/>
        </w:numPr>
        <w:tabs>
          <w:tab w:val="clear" w:pos="720"/>
          <w:tab w:val="left" w:pos="851"/>
        </w:tabs>
        <w:spacing w:after="0" w:line="240" w:lineRule="auto"/>
        <w:ind w:left="0" w:firstLine="567"/>
        <w:jc w:val="both"/>
        <w:rPr>
          <w:rFonts w:ascii="Times New Roman" w:hAnsi="Times New Roman" w:cs="Times New Roman"/>
          <w:b/>
          <w:bCs/>
          <w:i/>
        </w:rPr>
      </w:pPr>
      <w:r>
        <w:rPr>
          <w:rFonts w:ascii="Times New Roman" w:hAnsi="Times New Roman" w:cs="Times New Roman"/>
          <w:b/>
          <w:bCs/>
          <w:i/>
        </w:rPr>
        <w:t>Инспекторат</w:t>
      </w:r>
    </w:p>
    <w:p w:rsidR="00426FE9" w:rsidRDefault="00D0590D">
      <w:pPr>
        <w:tabs>
          <w:tab w:val="left" w:pos="851"/>
        </w:tabs>
        <w:spacing w:after="0" w:line="240" w:lineRule="auto"/>
        <w:ind w:firstLine="567"/>
        <w:jc w:val="both"/>
        <w:rPr>
          <w:rFonts w:ascii="Times New Roman" w:hAnsi="Times New Roman" w:cs="Times New Roman"/>
          <w:bCs/>
        </w:rPr>
      </w:pPr>
      <w:r>
        <w:rPr>
          <w:rFonts w:ascii="Times New Roman" w:hAnsi="Times New Roman" w:cs="Times New Roman"/>
          <w:bCs/>
        </w:rPr>
        <w:t>Дейността на Инспектората е насочена към всеобхватно, обективно, безпристрастно и точно изясняване на проверяваните случаи и предлагане на мерки за тяхното решаване с цел предотвратяване и отстраняване на нарушения при функционирането на администрацията, подобряване работата на администрацията и превенция и ограничаване на корупцията.</w:t>
      </w:r>
    </w:p>
    <w:p w:rsidR="00426FE9" w:rsidRDefault="00D0590D" w:rsidP="004F30BC">
      <w:pPr>
        <w:numPr>
          <w:ilvl w:val="0"/>
          <w:numId w:val="85"/>
        </w:numPr>
        <w:tabs>
          <w:tab w:val="clear" w:pos="720"/>
          <w:tab w:val="left" w:pos="851"/>
        </w:tabs>
        <w:spacing w:after="0" w:line="240" w:lineRule="auto"/>
        <w:ind w:left="0" w:firstLine="567"/>
        <w:jc w:val="both"/>
        <w:rPr>
          <w:rFonts w:ascii="Times New Roman" w:hAnsi="Times New Roman" w:cs="Times New Roman"/>
          <w:b/>
          <w:bCs/>
        </w:rPr>
      </w:pPr>
      <w:r>
        <w:rPr>
          <w:rFonts w:ascii="Times New Roman" w:hAnsi="Times New Roman" w:cs="Times New Roman"/>
          <w:b/>
          <w:bCs/>
          <w:i/>
          <w:lang w:val="ru-RU"/>
        </w:rPr>
        <w:t>Финансови контрольори</w:t>
      </w:r>
    </w:p>
    <w:p w:rsidR="00426FE9" w:rsidRDefault="00D0590D">
      <w:pPr>
        <w:tabs>
          <w:tab w:val="left" w:pos="851"/>
        </w:tabs>
        <w:spacing w:after="0" w:line="240" w:lineRule="auto"/>
        <w:ind w:firstLine="567"/>
        <w:jc w:val="both"/>
        <w:rPr>
          <w:rFonts w:ascii="Times New Roman" w:hAnsi="Times New Roman" w:cs="Times New Roman"/>
          <w:bCs/>
        </w:rPr>
      </w:pPr>
      <w:r>
        <w:rPr>
          <w:rFonts w:ascii="Times New Roman" w:hAnsi="Times New Roman" w:cs="Times New Roman"/>
          <w:bCs/>
        </w:rPr>
        <w:t>Финансовите контрольори са пряко подчинени на министъра с изключение на финансовите контрольори на Главна дирекция „Стратегическо планиране и програми за регионално развитие“ и дирекция „Управление на териториалното сътрудничество“. Финансовите контрольори осъществяват предварителен контрол за законосъобразност съгласно Закона за финансовото управление и контрола в публичния сектор (ЗФУКПС) и методологията на министъра на финансите. Финансовите контрольори извършват необходимите проверки и изразяват мнение за законосъобразност преди вземане на решение, свързано с финансовата дейност на министерството. Редът и начинът за извършване на предварителен контрол от финансовите контрольори се определят с вътрешни актове на министъра.</w:t>
      </w:r>
    </w:p>
    <w:p w:rsidR="00426FE9" w:rsidRDefault="00D0590D" w:rsidP="004F30BC">
      <w:pPr>
        <w:numPr>
          <w:ilvl w:val="0"/>
          <w:numId w:val="85"/>
        </w:numPr>
        <w:tabs>
          <w:tab w:val="clear" w:pos="720"/>
          <w:tab w:val="left" w:pos="851"/>
        </w:tabs>
        <w:spacing w:after="0" w:line="240" w:lineRule="auto"/>
        <w:ind w:left="0" w:firstLine="567"/>
        <w:jc w:val="both"/>
        <w:rPr>
          <w:rFonts w:ascii="Times New Roman" w:hAnsi="Times New Roman" w:cs="Times New Roman"/>
          <w:b/>
          <w:bCs/>
          <w:i/>
        </w:rPr>
      </w:pPr>
      <w:r>
        <w:rPr>
          <w:rFonts w:ascii="Times New Roman" w:hAnsi="Times New Roman" w:cs="Times New Roman"/>
          <w:b/>
          <w:bCs/>
          <w:i/>
        </w:rPr>
        <w:t>Дирекция „Вътрешен одит“</w:t>
      </w:r>
    </w:p>
    <w:p w:rsidR="00426FE9" w:rsidRDefault="00D0590D">
      <w:pPr>
        <w:tabs>
          <w:tab w:val="left" w:pos="851"/>
        </w:tabs>
        <w:spacing w:after="0" w:line="240" w:lineRule="auto"/>
        <w:ind w:firstLine="567"/>
        <w:jc w:val="both"/>
        <w:rPr>
          <w:rFonts w:ascii="Times New Roman" w:hAnsi="Times New Roman" w:cs="Times New Roman"/>
          <w:b/>
          <w:bCs/>
          <w:i/>
        </w:rPr>
      </w:pPr>
      <w:r>
        <w:rPr>
          <w:rFonts w:ascii="Times New Roman" w:hAnsi="Times New Roman" w:cs="Times New Roman"/>
        </w:rPr>
        <w:t xml:space="preserve">Дирекция „Вътрешен одит“ осъществява дейността по вътрешен одит на всички структури, програми, дейности и процеси в министерството, включително на разпоредителите със средства на Европейския съюз </w:t>
      </w:r>
      <w:r>
        <w:rPr>
          <w:rFonts w:ascii="Times New Roman" w:hAnsi="Times New Roman" w:cs="Times New Roman"/>
        </w:rPr>
        <w:lastRenderedPageBreak/>
        <w:t>и на разпоредителите с бюджет от по-ниска степен към министъра и на търговските дружества с над 50 на сто държавно участие в капитала, когато в посочените организации не е изградено звено за вътрешен одит, в съответствие с чл. 13 от Закона за вътрешния одит в публичния сектор.</w:t>
      </w:r>
    </w:p>
    <w:p w:rsidR="00426FE9" w:rsidRDefault="00D0590D" w:rsidP="004F30BC">
      <w:pPr>
        <w:numPr>
          <w:ilvl w:val="0"/>
          <w:numId w:val="85"/>
        </w:numPr>
        <w:tabs>
          <w:tab w:val="clear" w:pos="720"/>
          <w:tab w:val="left" w:pos="851"/>
        </w:tabs>
        <w:spacing w:after="0" w:line="240" w:lineRule="auto"/>
        <w:ind w:left="0" w:firstLine="567"/>
        <w:jc w:val="both"/>
        <w:rPr>
          <w:rFonts w:ascii="Times New Roman" w:hAnsi="Times New Roman" w:cs="Times New Roman"/>
          <w:b/>
          <w:bCs/>
        </w:rPr>
      </w:pPr>
      <w:r>
        <w:rPr>
          <w:rFonts w:ascii="Times New Roman" w:hAnsi="Times New Roman" w:cs="Times New Roman"/>
          <w:b/>
          <w:bCs/>
          <w:i/>
        </w:rPr>
        <w:t>Дирекция „Административно обслужване и човешки ресурси</w:t>
      </w:r>
      <w:r>
        <w:rPr>
          <w:rFonts w:ascii="Times New Roman" w:hAnsi="Times New Roman" w:cs="Times New Roman"/>
          <w:b/>
          <w:bCs/>
        </w:rPr>
        <w:t>“</w:t>
      </w:r>
    </w:p>
    <w:p w:rsidR="00426FE9" w:rsidRDefault="00D0590D">
      <w:pPr>
        <w:tabs>
          <w:tab w:val="left" w:pos="851"/>
        </w:tabs>
        <w:spacing w:after="0" w:line="240" w:lineRule="auto"/>
        <w:ind w:firstLine="567"/>
        <w:jc w:val="both"/>
        <w:rPr>
          <w:rFonts w:ascii="Times New Roman" w:hAnsi="Times New Roman" w:cs="Times New Roman"/>
          <w:bCs/>
        </w:rPr>
      </w:pPr>
      <w:r>
        <w:rPr>
          <w:rFonts w:ascii="Times New Roman" w:hAnsi="Times New Roman" w:cs="Times New Roman"/>
          <w:bCs/>
        </w:rPr>
        <w:t>Административното обслужване  включва дейностите по обработване на входяща и изходяща кореспонденция, съхранение и архивиране на кореспонденцията, организиране приемането и регистрирането на пердложения и сигнали на граждани и организации, на заявления във връзка с извършване на административни услуги от страна на министерството и на заявленията за предоставяне на достъп до обществена информация, съгласно Закона за достъп до обществена информация. Качественото управление на човешките ресурси в министерството създава необходимите условия за изпълнението на всички програми, включени в структурата на програмния бюджет на МРРБ, а също така обхваща дейности по подбор и назначаване на най-подходящите служители.</w:t>
      </w:r>
    </w:p>
    <w:p w:rsidR="00426FE9" w:rsidRDefault="00D0590D" w:rsidP="004F30BC">
      <w:pPr>
        <w:numPr>
          <w:ilvl w:val="0"/>
          <w:numId w:val="86"/>
        </w:numPr>
        <w:tabs>
          <w:tab w:val="clear" w:pos="720"/>
          <w:tab w:val="left" w:pos="851"/>
        </w:tabs>
        <w:spacing w:after="0" w:line="240" w:lineRule="auto"/>
        <w:ind w:left="0" w:firstLine="567"/>
        <w:jc w:val="both"/>
        <w:rPr>
          <w:rFonts w:ascii="Times New Roman" w:eastAsia="Times New Roman" w:hAnsi="Times New Roman" w:cs="Times New Roman"/>
          <w:lang w:eastAsia="bg-BG"/>
        </w:rPr>
      </w:pPr>
      <w:r>
        <w:rPr>
          <w:rFonts w:ascii="Times New Roman" w:hAnsi="Times New Roman" w:cs="Times New Roman"/>
          <w:b/>
          <w:bCs/>
          <w:i/>
        </w:rPr>
        <w:t>Дирекция „</w:t>
      </w:r>
      <w:r>
        <w:rPr>
          <w:rFonts w:ascii="Times New Roman" w:hAnsi="Times New Roman" w:cs="Times New Roman"/>
          <w:b/>
          <w:i/>
        </w:rPr>
        <w:t>Връзки с обществеността, протокол  и международно сътрудничество</w:t>
      </w:r>
      <w:r>
        <w:rPr>
          <w:rFonts w:ascii="Times New Roman" w:hAnsi="Times New Roman" w:cs="Times New Roman"/>
          <w:b/>
          <w:bCs/>
          <w:i/>
        </w:rPr>
        <w:t>“</w:t>
      </w:r>
      <w:r>
        <w:rPr>
          <w:rFonts w:ascii="Times New Roman" w:hAnsi="Times New Roman" w:cs="Times New Roman"/>
          <w:bCs/>
          <w:i/>
        </w:rPr>
        <w:t xml:space="preserve"> </w:t>
      </w:r>
    </w:p>
    <w:p w:rsidR="00426FE9" w:rsidRDefault="00D0590D">
      <w:pPr>
        <w:tabs>
          <w:tab w:val="left" w:pos="851"/>
        </w:tabs>
        <w:spacing w:after="0" w:line="240" w:lineRule="auto"/>
        <w:ind w:firstLine="567"/>
        <w:jc w:val="both"/>
        <w:rPr>
          <w:rFonts w:ascii="Times New Roman" w:eastAsia="Times New Roman" w:hAnsi="Times New Roman" w:cs="Times New Roman"/>
          <w:lang w:eastAsia="bg-BG"/>
        </w:rPr>
      </w:pPr>
      <w:r>
        <w:rPr>
          <w:rFonts w:ascii="Times New Roman" w:eastAsia="Times New Roman" w:hAnsi="Times New Roman" w:cs="Times New Roman"/>
          <w:lang w:eastAsia="bg-BG"/>
        </w:rPr>
        <w:t>Дейностите са свързани с планиране и провеждане на информационната и комуникационната политика на МРРБ, в т.ч. публичното представяне на министъра на регионалното развитие и благоустройството, връзките с медиите, с цел осигуряване на прозрачност в работата с институцията и повишаване на обществената подкрепа за политиките в сферата на регионалното развитие и благоустройството.</w:t>
      </w:r>
    </w:p>
    <w:p w:rsidR="00426FE9" w:rsidRDefault="00D0590D" w:rsidP="004F30BC">
      <w:pPr>
        <w:numPr>
          <w:ilvl w:val="0"/>
          <w:numId w:val="86"/>
        </w:numPr>
        <w:tabs>
          <w:tab w:val="clear" w:pos="720"/>
          <w:tab w:val="left" w:pos="851"/>
        </w:tabs>
        <w:spacing w:after="0" w:line="240" w:lineRule="auto"/>
        <w:ind w:left="0" w:firstLine="567"/>
        <w:jc w:val="both"/>
        <w:rPr>
          <w:rFonts w:ascii="Times New Roman" w:hAnsi="Times New Roman" w:cs="Times New Roman"/>
          <w:b/>
          <w:bCs/>
        </w:rPr>
      </w:pPr>
      <w:r>
        <w:rPr>
          <w:rFonts w:ascii="Times New Roman" w:hAnsi="Times New Roman" w:cs="Times New Roman"/>
          <w:b/>
          <w:bCs/>
          <w:i/>
        </w:rPr>
        <w:t>Дирекция „Финансово-стопански дейности</w:t>
      </w:r>
      <w:r>
        <w:rPr>
          <w:rFonts w:ascii="Times New Roman" w:hAnsi="Times New Roman" w:cs="Times New Roman"/>
          <w:b/>
          <w:bCs/>
        </w:rPr>
        <w:t>“</w:t>
      </w:r>
    </w:p>
    <w:p w:rsidR="00426FE9" w:rsidRDefault="00D0590D">
      <w:pPr>
        <w:tabs>
          <w:tab w:val="left" w:pos="851"/>
        </w:tabs>
        <w:spacing w:after="0" w:line="240" w:lineRule="auto"/>
        <w:ind w:firstLine="567"/>
        <w:jc w:val="both"/>
        <w:rPr>
          <w:rFonts w:ascii="Times New Roman" w:hAnsi="Times New Roman"/>
          <w:bCs/>
        </w:rPr>
      </w:pPr>
      <w:r>
        <w:rPr>
          <w:rFonts w:ascii="Times New Roman" w:hAnsi="Times New Roman" w:cs="Times New Roman"/>
          <w:bCs/>
        </w:rPr>
        <w:t>През прогнозния период финансово-счетоводната дейност в министерството ще продължи да бъде насочена към участие в процеса на управление на бюджетните средства на министерството и ще следи за спазването на финансовата и бюджетната дисциплина. Ще продължи да се усъвършенства процеса по осъществяване на единната счетоводна и финансова дейност в рамките на министерството и да се дават насоки на второспенните разпоредители с бюджет по бюджета на министерството, относно изготвянето на периодичните и годишни финансови отчети, отчетите за касовото изпълнение на бюджета, на сметките за средства от Европейския съюз, на сметките за чужди средства, както и отчета в програмен формат на министреството. Стопанските дейности включват организиране и осъществяване управлението на собствеността, поддръжката на материално-техническата база и транспорт.</w:t>
      </w:r>
    </w:p>
    <w:p w:rsidR="00426FE9" w:rsidRDefault="00D0590D" w:rsidP="004F30BC">
      <w:pPr>
        <w:numPr>
          <w:ilvl w:val="0"/>
          <w:numId w:val="86"/>
        </w:numPr>
        <w:tabs>
          <w:tab w:val="clear" w:pos="720"/>
          <w:tab w:val="left" w:pos="851"/>
        </w:tabs>
        <w:spacing w:after="0" w:line="240" w:lineRule="auto"/>
        <w:ind w:left="0" w:firstLine="567"/>
        <w:jc w:val="both"/>
        <w:rPr>
          <w:rFonts w:ascii="Times New Roman" w:hAnsi="Times New Roman" w:cs="Times New Roman"/>
          <w:bCs/>
          <w:i/>
        </w:rPr>
      </w:pPr>
      <w:r>
        <w:rPr>
          <w:rFonts w:ascii="Times New Roman" w:hAnsi="Times New Roman" w:cs="Times New Roman"/>
          <w:b/>
          <w:bCs/>
          <w:i/>
        </w:rPr>
        <w:t>Дирекция „Информационно обслужване и системи за сигурност "</w:t>
      </w:r>
      <w:r>
        <w:rPr>
          <w:rFonts w:ascii="Times New Roman" w:hAnsi="Times New Roman" w:cs="Times New Roman"/>
          <w:bCs/>
          <w:i/>
        </w:rPr>
        <w:t xml:space="preserve"> </w:t>
      </w:r>
    </w:p>
    <w:p w:rsidR="00426FE9" w:rsidRDefault="00D0590D">
      <w:pPr>
        <w:pStyle w:val="ListParagraph"/>
        <w:tabs>
          <w:tab w:val="left" w:pos="851"/>
        </w:tabs>
        <w:spacing w:after="0" w:line="240" w:lineRule="auto"/>
        <w:ind w:left="0" w:firstLine="567"/>
        <w:jc w:val="both"/>
        <w:rPr>
          <w:rFonts w:ascii="Times New Roman" w:hAnsi="Times New Roman"/>
          <w:bCs/>
        </w:rPr>
      </w:pPr>
      <w:r>
        <w:rPr>
          <w:rFonts w:ascii="Times New Roman" w:hAnsi="Times New Roman"/>
          <w:bCs/>
        </w:rPr>
        <w:t xml:space="preserve">Дирекцията планира сновно дейности за: абонаментно техническо обслужване на пожароизвестителната система, на системата за контрол на достъп и контрол на работното време, поддръжка на комуникационната мрежа на МРРБ и др. </w:t>
      </w:r>
    </w:p>
    <w:p w:rsidR="00426FE9" w:rsidRDefault="00D0590D" w:rsidP="004F30BC">
      <w:pPr>
        <w:pStyle w:val="ListParagraph"/>
        <w:numPr>
          <w:ilvl w:val="0"/>
          <w:numId w:val="86"/>
        </w:numPr>
        <w:tabs>
          <w:tab w:val="clear" w:pos="720"/>
          <w:tab w:val="left" w:pos="851"/>
        </w:tabs>
        <w:spacing w:after="0" w:line="240" w:lineRule="auto"/>
        <w:ind w:left="0" w:firstLine="567"/>
        <w:jc w:val="both"/>
        <w:rPr>
          <w:rFonts w:ascii="Times New Roman" w:hAnsi="Times New Roman"/>
          <w:bCs/>
        </w:rPr>
      </w:pPr>
      <w:r>
        <w:rPr>
          <w:rFonts w:ascii="Times New Roman" w:hAnsi="Times New Roman"/>
          <w:b/>
          <w:bCs/>
          <w:i/>
        </w:rPr>
        <w:t>Дирекция „Обществени поръчки"</w:t>
      </w:r>
      <w:r>
        <w:rPr>
          <w:rFonts w:ascii="Times New Roman" w:hAnsi="Times New Roman"/>
          <w:bCs/>
          <w:i/>
          <w:lang w:val="en-US"/>
        </w:rPr>
        <w:t xml:space="preserve"> </w:t>
      </w:r>
    </w:p>
    <w:p w:rsidR="00426FE9" w:rsidRDefault="00D0590D">
      <w:pPr>
        <w:tabs>
          <w:tab w:val="left" w:pos="851"/>
        </w:tabs>
        <w:spacing w:after="0" w:line="240" w:lineRule="auto"/>
        <w:ind w:firstLine="567"/>
        <w:jc w:val="both"/>
        <w:rPr>
          <w:rFonts w:ascii="Times New Roman" w:hAnsi="Times New Roman"/>
          <w:bCs/>
        </w:rPr>
      </w:pPr>
      <w:r>
        <w:rPr>
          <w:rFonts w:ascii="Times New Roman" w:eastAsia="Times New Roman" w:hAnsi="Times New Roman" w:cs="Times New Roman"/>
          <w:lang w:eastAsia="bg-BG"/>
        </w:rPr>
        <w:t>В изпълнение на възложените ѝ функции дирекция „Обществени поръчки“ планира, организира и координира всички дейности във връзка с подготовката и провеждането на процедури за възлагане на обществени поръчки.</w:t>
      </w:r>
    </w:p>
    <w:p w:rsidR="00426FE9" w:rsidRDefault="00D0590D" w:rsidP="004F30BC">
      <w:pPr>
        <w:numPr>
          <w:ilvl w:val="0"/>
          <w:numId w:val="86"/>
        </w:numPr>
        <w:tabs>
          <w:tab w:val="clear" w:pos="720"/>
          <w:tab w:val="left" w:pos="851"/>
        </w:tabs>
        <w:spacing w:after="0" w:line="240" w:lineRule="auto"/>
        <w:ind w:left="0" w:firstLine="567"/>
        <w:contextualSpacing/>
        <w:jc w:val="both"/>
        <w:rPr>
          <w:rFonts w:ascii="Times New Roman" w:eastAsia="Calibri" w:hAnsi="Times New Roman" w:cs="Times New Roman"/>
          <w:b/>
          <w:bCs/>
          <w:i/>
        </w:rPr>
      </w:pPr>
      <w:r>
        <w:rPr>
          <w:rFonts w:ascii="Times New Roman" w:eastAsia="Calibri" w:hAnsi="Times New Roman" w:cs="Times New Roman"/>
          <w:b/>
          <w:bCs/>
          <w:i/>
        </w:rPr>
        <w:t xml:space="preserve">Дирекция „Правна“ </w:t>
      </w:r>
    </w:p>
    <w:p w:rsidR="00426FE9" w:rsidRDefault="00D0590D">
      <w:pPr>
        <w:tabs>
          <w:tab w:val="left" w:pos="851"/>
        </w:tabs>
        <w:spacing w:after="0" w:line="240" w:lineRule="auto"/>
        <w:ind w:firstLine="567"/>
        <w:contextualSpacing/>
        <w:jc w:val="both"/>
        <w:rPr>
          <w:rFonts w:ascii="Times New Roman" w:hAnsi="Times New Roman" w:cs="Times New Roman"/>
          <w:bCs/>
        </w:rPr>
      </w:pPr>
      <w:r>
        <w:rPr>
          <w:rFonts w:ascii="Times New Roman" w:eastAsia="Calibri" w:hAnsi="Times New Roman" w:cs="Times New Roman"/>
          <w:bCs/>
        </w:rPr>
        <w:t xml:space="preserve">Основните цели на дирекция „Правна“ по програмата включват изплащане на парични задължения от страна на МРРБ във връзка с влезли в сила съдебни решения и издадени изпълнителни листове, чрез избягване натрупването на лихви и осъществяване защитата на държавния интерес с активни процесуални действия. Дирекцията планира средства за изплащане на: </w:t>
      </w:r>
      <w:r>
        <w:rPr>
          <w:rFonts w:ascii="Times New Roman" w:hAnsi="Times New Roman"/>
          <w:bCs/>
        </w:rPr>
        <w:t xml:space="preserve">осъдителни решения и изпълнителни листове; </w:t>
      </w:r>
      <w:r>
        <w:rPr>
          <w:rFonts w:ascii="Times New Roman" w:eastAsia="Calibri" w:hAnsi="Times New Roman" w:cs="Times New Roman"/>
          <w:bCs/>
        </w:rPr>
        <w:t xml:space="preserve"> </w:t>
      </w:r>
      <w:r>
        <w:rPr>
          <w:rFonts w:ascii="Times New Roman" w:hAnsi="Times New Roman"/>
          <w:bCs/>
        </w:rPr>
        <w:t xml:space="preserve">такси по арбитражни дела и съдебни производства, депозити за вещи лица и други съдебни такси. </w:t>
      </w:r>
      <w:r>
        <w:rPr>
          <w:rFonts w:ascii="Times New Roman" w:hAnsi="Times New Roman" w:cs="Times New Roman"/>
          <w:bCs/>
        </w:rPr>
        <w:t>Плануваните средства са крайно недостатъчни за изплащане на паричните задължения от страна на МРРБ, във връзка с влезли в сила съдебни решения и издадени изпълнителни листове.</w:t>
      </w:r>
    </w:p>
    <w:p w:rsidR="00426FE9" w:rsidRDefault="00D0590D" w:rsidP="004F30BC">
      <w:pPr>
        <w:pStyle w:val="ListParagraph"/>
        <w:numPr>
          <w:ilvl w:val="0"/>
          <w:numId w:val="86"/>
        </w:numPr>
        <w:tabs>
          <w:tab w:val="clear" w:pos="720"/>
          <w:tab w:val="left" w:pos="851"/>
        </w:tabs>
        <w:spacing w:after="0" w:line="240" w:lineRule="auto"/>
        <w:ind w:left="0" w:firstLine="567"/>
        <w:jc w:val="both"/>
        <w:rPr>
          <w:rFonts w:ascii="Times New Roman" w:hAnsi="Times New Roman"/>
          <w:b/>
          <w:bCs/>
          <w:i/>
        </w:rPr>
      </w:pPr>
      <w:r>
        <w:rPr>
          <w:rFonts w:ascii="Times New Roman" w:hAnsi="Times New Roman"/>
          <w:b/>
          <w:bCs/>
          <w:i/>
        </w:rPr>
        <w:t>ГД „Гражданска регистрация и административно обслужване“</w:t>
      </w:r>
    </w:p>
    <w:p w:rsidR="00426FE9" w:rsidRDefault="00D0590D">
      <w:pPr>
        <w:tabs>
          <w:tab w:val="left" w:pos="709"/>
          <w:tab w:val="left" w:pos="1440"/>
        </w:tabs>
        <w:spacing w:after="0" w:line="240" w:lineRule="auto"/>
        <w:ind w:firstLine="567"/>
        <w:jc w:val="both"/>
        <w:rPr>
          <w:rFonts w:ascii="Times New Roman" w:eastAsia="Calibri" w:hAnsi="Times New Roman" w:cs="Times New Roman"/>
          <w:bCs/>
        </w:rPr>
      </w:pPr>
      <w:r>
        <w:rPr>
          <w:rFonts w:ascii="Times New Roman" w:eastAsia="Calibri" w:hAnsi="Times New Roman" w:cs="Times New Roman"/>
          <w:bCs/>
        </w:rPr>
        <w:t xml:space="preserve">Основната цел на програмата е развитието, поддържането в съответствие с нормативната уредба и усъвършенстването на ЕСГРАОН. Информационната система за ГРАО е една от най-важните информационни системи в страната. В нея се съхраняват и поддържат в актуално състояние лични данни за българските граждани. Информационната система на ГРАО следва да се поддържа в съответствие с разпоредбите на нормативната уредба. Всички промени в законодателството налагат адаптирането на системата. </w:t>
      </w:r>
    </w:p>
    <w:p w:rsidR="00426FE9" w:rsidRDefault="00D0590D">
      <w:pPr>
        <w:tabs>
          <w:tab w:val="left" w:pos="709"/>
          <w:tab w:val="left" w:pos="1440"/>
        </w:tabs>
        <w:spacing w:after="0" w:line="240" w:lineRule="auto"/>
        <w:ind w:firstLine="567"/>
        <w:jc w:val="both"/>
        <w:rPr>
          <w:rFonts w:ascii="Times New Roman" w:eastAsia="Calibri" w:hAnsi="Times New Roman" w:cs="Times New Roman"/>
          <w:bCs/>
        </w:rPr>
      </w:pPr>
      <w:r>
        <w:rPr>
          <w:rFonts w:ascii="Times New Roman" w:eastAsia="Calibri" w:hAnsi="Times New Roman" w:cs="Times New Roman"/>
          <w:bCs/>
        </w:rPr>
        <w:t xml:space="preserve">Интеграцията между всички ведомствени (административни) информационни системи трябва да се изведе на нива, позволяващи съхранението на един тип данни да се извършва само от една единствена </w:t>
      </w:r>
      <w:r>
        <w:rPr>
          <w:rFonts w:ascii="Times New Roman" w:eastAsia="Calibri" w:hAnsi="Times New Roman" w:cs="Times New Roman"/>
          <w:bCs/>
        </w:rPr>
        <w:lastRenderedPageBreak/>
        <w:t xml:space="preserve">администрация. Целта е ЕСГРАОН да се усъвършенства до степен в която да позволява достъпването на лични данни да става on-line и да отпадне необходимостта от дублирането на съхраняването и поддържането на личните данни по ЗГР да се извършва и на други места (НАП, НОИ, НЗОК и т.н.). </w:t>
      </w:r>
    </w:p>
    <w:p w:rsidR="00426FE9" w:rsidRDefault="00D0590D">
      <w:pPr>
        <w:tabs>
          <w:tab w:val="left" w:pos="709"/>
          <w:tab w:val="left" w:pos="1440"/>
        </w:tabs>
        <w:spacing w:after="0" w:line="240" w:lineRule="auto"/>
        <w:ind w:firstLine="567"/>
        <w:jc w:val="both"/>
        <w:rPr>
          <w:rFonts w:ascii="Times New Roman" w:eastAsia="Times New Roman" w:hAnsi="Times New Roman" w:cs="Times New Roman"/>
          <w:i/>
          <w:lang w:val="ru-RU"/>
        </w:rPr>
      </w:pPr>
      <w:r>
        <w:rPr>
          <w:rFonts w:ascii="Times New Roman" w:eastAsia="Times New Roman" w:hAnsi="Times New Roman" w:cs="Times New Roman"/>
          <w:i/>
          <w:lang w:val="ru-RU"/>
        </w:rPr>
        <w:t>Продукт/услуга «Поддържане на информационните фондове на ЕСГРАОН и защита на данните «</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Поддържане на приложния софтуер на съвременно ниво в съответствие с нормативната уредба;</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en-US"/>
        </w:rPr>
        <w:t>Обработка на актуализационни съобщения;</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Поддържане на регистъра на ЕГН;</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en-US"/>
        </w:rPr>
        <w:t>Поддържане на адресен регистър;</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Поддържане на регистъра по гражданско състояние;</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Поддържане на базата данни от цифрови сертификати на потребителите на НБД “население”;</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Обновяване на програмните средства за защита целостта и верността на информацията в НБД “Население”.</w:t>
      </w:r>
    </w:p>
    <w:p w:rsidR="00426FE9" w:rsidRDefault="00D0590D">
      <w:pPr>
        <w:tabs>
          <w:tab w:val="left" w:pos="709"/>
        </w:tabs>
        <w:spacing w:after="0" w:line="240" w:lineRule="auto"/>
        <w:ind w:firstLine="567"/>
        <w:jc w:val="both"/>
        <w:rPr>
          <w:rFonts w:ascii="Times New Roman" w:eastAsia="Times New Roman" w:hAnsi="Times New Roman" w:cs="Times New Roman"/>
          <w:i/>
          <w:lang w:val="ru-RU"/>
        </w:rPr>
      </w:pPr>
      <w:r>
        <w:rPr>
          <w:rFonts w:ascii="Times New Roman" w:eastAsia="Times New Roman" w:hAnsi="Times New Roman" w:cs="Times New Roman"/>
          <w:i/>
          <w:lang w:val="ru-RU"/>
        </w:rPr>
        <w:t>Продукт/услуга «Методология и контрол по гражданската регистрация»</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i/>
          <w:lang w:val="ru-RU"/>
        </w:rPr>
      </w:pPr>
      <w:r>
        <w:rPr>
          <w:rFonts w:ascii="Times New Roman" w:eastAsia="Times New Roman" w:hAnsi="Times New Roman" w:cs="Times New Roman"/>
          <w:lang w:val="ru-RU"/>
        </w:rPr>
        <w:t>Изготвяне на становища по законопроекти;</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i/>
          <w:lang w:val="ru-RU"/>
        </w:rPr>
      </w:pPr>
      <w:r>
        <w:rPr>
          <w:rFonts w:ascii="Times New Roman" w:eastAsia="Times New Roman" w:hAnsi="Times New Roman" w:cs="Times New Roman"/>
          <w:lang w:val="ru-RU"/>
        </w:rPr>
        <w:t>Изготвяне на инструкции и указания;</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i/>
          <w:lang w:val="ru-RU"/>
        </w:rPr>
      </w:pPr>
      <w:r>
        <w:rPr>
          <w:rFonts w:ascii="Times New Roman" w:eastAsia="Times New Roman" w:hAnsi="Times New Roman" w:cs="Times New Roman"/>
          <w:lang w:val="ru-RU"/>
        </w:rPr>
        <w:t>Извършване на проверки в общините по прилагане на Закона за гражданската регистрация;</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i/>
          <w:lang w:val="ru-RU"/>
        </w:rPr>
      </w:pPr>
      <w:r>
        <w:rPr>
          <w:rFonts w:ascii="Times New Roman" w:eastAsia="Times New Roman" w:hAnsi="Times New Roman" w:cs="Times New Roman"/>
          <w:lang w:val="ru-RU"/>
        </w:rPr>
        <w:t>Отговори на запитвания от общините и институции;</w:t>
      </w:r>
    </w:p>
    <w:p w:rsidR="00426FE9" w:rsidRDefault="00D0590D" w:rsidP="004F30BC">
      <w:pPr>
        <w:numPr>
          <w:ilvl w:val="0"/>
          <w:numId w:val="87"/>
        </w:numPr>
        <w:tabs>
          <w:tab w:val="left" w:pos="709"/>
        </w:tabs>
        <w:spacing w:after="0" w:line="240" w:lineRule="auto"/>
        <w:ind w:left="0" w:firstLine="567"/>
        <w:jc w:val="both"/>
        <w:rPr>
          <w:rFonts w:ascii="Times New Roman" w:eastAsia="Times New Roman" w:hAnsi="Times New Roman" w:cs="Times New Roman"/>
          <w:i/>
          <w:lang w:val="ru-RU"/>
        </w:rPr>
      </w:pPr>
      <w:r>
        <w:rPr>
          <w:rFonts w:ascii="Times New Roman" w:eastAsia="Times New Roman" w:hAnsi="Times New Roman" w:cs="Times New Roman"/>
          <w:lang w:val="en-US"/>
        </w:rPr>
        <w:t>Обучение на общински служители;</w:t>
      </w:r>
    </w:p>
    <w:p w:rsidR="00426FE9" w:rsidRDefault="00D0590D">
      <w:pPr>
        <w:tabs>
          <w:tab w:val="left" w:pos="709"/>
          <w:tab w:val="left" w:pos="1440"/>
        </w:tabs>
        <w:spacing w:after="0" w:line="240" w:lineRule="auto"/>
        <w:ind w:firstLine="567"/>
        <w:jc w:val="both"/>
        <w:rPr>
          <w:rFonts w:ascii="Times New Roman" w:eastAsia="Times New Roman" w:hAnsi="Times New Roman" w:cs="Times New Roman"/>
          <w:i/>
          <w:lang w:val="ru-RU"/>
        </w:rPr>
      </w:pPr>
      <w:r>
        <w:rPr>
          <w:rFonts w:ascii="Times New Roman" w:eastAsia="Times New Roman" w:hAnsi="Times New Roman" w:cs="Times New Roman"/>
          <w:i/>
          <w:lang w:val="ru-RU"/>
        </w:rPr>
        <w:t>Продукт/услуга «Административно обслужване по гражданската регистрация»</w:t>
      </w:r>
    </w:p>
    <w:p w:rsidR="00426FE9" w:rsidRDefault="00D0590D" w:rsidP="004F30BC">
      <w:pPr>
        <w:numPr>
          <w:ilvl w:val="0"/>
          <w:numId w:val="88"/>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en-US"/>
        </w:rPr>
        <w:t>И</w:t>
      </w:r>
      <w:r>
        <w:rPr>
          <w:rFonts w:ascii="Times New Roman" w:eastAsia="Times New Roman" w:hAnsi="Times New Roman" w:cs="Times New Roman"/>
          <w:lang w:val="ru-RU"/>
        </w:rPr>
        <w:t>зготвяне на отговори на запитвания за предоставяне на лични данни от институции;</w:t>
      </w:r>
    </w:p>
    <w:p w:rsidR="00426FE9" w:rsidRDefault="00D0590D" w:rsidP="004F30BC">
      <w:pPr>
        <w:numPr>
          <w:ilvl w:val="0"/>
          <w:numId w:val="88"/>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Предоставяне на достъп до НБД на общините; </w:t>
      </w:r>
    </w:p>
    <w:p w:rsidR="00426FE9" w:rsidRDefault="00D0590D">
      <w:pPr>
        <w:tabs>
          <w:tab w:val="left" w:pos="709"/>
          <w:tab w:val="left" w:pos="1440"/>
        </w:tabs>
        <w:spacing w:after="0" w:line="240" w:lineRule="auto"/>
        <w:ind w:firstLine="567"/>
        <w:jc w:val="both"/>
        <w:rPr>
          <w:rFonts w:ascii="Times New Roman" w:eastAsia="Times New Roman" w:hAnsi="Times New Roman" w:cs="Times New Roman"/>
          <w:i/>
          <w:lang w:val="ru-RU"/>
        </w:rPr>
      </w:pPr>
      <w:r>
        <w:rPr>
          <w:rFonts w:ascii="Times New Roman" w:eastAsia="Times New Roman" w:hAnsi="Times New Roman" w:cs="Times New Roman"/>
          <w:i/>
          <w:lang w:val="ru-RU"/>
        </w:rPr>
        <w:t>Продукт/услуга «Предоставяне на информация на всички интегрирани информационни системи»</w:t>
      </w:r>
    </w:p>
    <w:p w:rsidR="00426FE9" w:rsidRDefault="00D0590D" w:rsidP="004F30BC">
      <w:pPr>
        <w:numPr>
          <w:ilvl w:val="0"/>
          <w:numId w:val="89"/>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Предаване на актуализационни данни за институции – МВР, НОИ, НЗОК, ГДД;</w:t>
      </w:r>
    </w:p>
    <w:p w:rsidR="00426FE9" w:rsidRDefault="00D0590D" w:rsidP="004F30BC">
      <w:pPr>
        <w:numPr>
          <w:ilvl w:val="0"/>
          <w:numId w:val="89"/>
        </w:numPr>
        <w:tabs>
          <w:tab w:val="left" w:pos="709"/>
        </w:tabs>
        <w:spacing w:after="0" w:line="240" w:lineRule="auto"/>
        <w:ind w:left="0"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Получаване на данни от МВР;</w:t>
      </w:r>
    </w:p>
    <w:p w:rsidR="00426FE9" w:rsidRDefault="00D0590D">
      <w:pPr>
        <w:spacing w:after="0" w:line="240" w:lineRule="auto"/>
        <w:ind w:firstLine="567"/>
        <w:jc w:val="both"/>
        <w:rPr>
          <w:rFonts w:ascii="Times New Roman" w:eastAsia="Times New Roman" w:hAnsi="Times New Roman" w:cs="Times New Roman"/>
          <w:szCs w:val="24"/>
          <w:lang w:val="ru-RU"/>
        </w:rPr>
      </w:pPr>
      <w:r>
        <w:rPr>
          <w:rFonts w:ascii="Times New Roman" w:eastAsia="Times New Roman" w:hAnsi="Times New Roman" w:cs="Times New Roman"/>
          <w:i/>
          <w:lang w:val="ru-RU"/>
        </w:rPr>
        <w:t xml:space="preserve">Продукт/услуга «Обезпечаване на избори и референдуми» - </w:t>
      </w:r>
      <w:r>
        <w:rPr>
          <w:rFonts w:ascii="Times New Roman" w:eastAsia="Times New Roman" w:hAnsi="Times New Roman" w:cs="Times New Roman"/>
          <w:szCs w:val="24"/>
          <w:lang w:val="ru-RU"/>
        </w:rPr>
        <w:t>Отпечатване на избирателни списъци за всички видове избори.</w:t>
      </w:r>
    </w:p>
    <w:tbl>
      <w:tblPr>
        <w:tblW w:w="10206" w:type="dxa"/>
        <w:tblInd w:w="-5" w:type="dxa"/>
        <w:tblLayout w:type="fixed"/>
        <w:tblCellMar>
          <w:left w:w="70" w:type="dxa"/>
          <w:right w:w="70" w:type="dxa"/>
        </w:tblCellMar>
        <w:tblLook w:val="04A0" w:firstRow="1" w:lastRow="0" w:firstColumn="1" w:lastColumn="0" w:noHBand="0" w:noVBand="1"/>
      </w:tblPr>
      <w:tblGrid>
        <w:gridCol w:w="6378"/>
        <w:gridCol w:w="851"/>
        <w:gridCol w:w="350"/>
        <w:gridCol w:w="642"/>
        <w:gridCol w:w="992"/>
        <w:gridCol w:w="993"/>
      </w:tblGrid>
      <w:tr w:rsidR="00426FE9">
        <w:trPr>
          <w:trHeight w:val="192"/>
        </w:trPr>
        <w:tc>
          <w:tcPr>
            <w:tcW w:w="6378" w:type="dxa"/>
            <w:tcBorders>
              <w:top w:val="single" w:sz="4" w:space="0" w:color="000000"/>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rPr>
                <w:rFonts w:ascii="Times New Roman" w:eastAsia="Times New Roman" w:hAnsi="Times New Roman" w:cs="Times New Roman"/>
                <w:b/>
                <w:bCs/>
                <w:color w:val="000000"/>
                <w:sz w:val="18"/>
                <w:szCs w:val="18"/>
                <w:lang w:eastAsia="bg-BG"/>
              </w:rPr>
            </w:pPr>
            <w:r>
              <w:rPr>
                <w:rFonts w:ascii="Times New Roman" w:eastAsia="Times New Roman" w:hAnsi="Times New Roman" w:cs="Times New Roman"/>
                <w:b/>
                <w:bCs/>
                <w:color w:val="000000"/>
                <w:sz w:val="18"/>
                <w:szCs w:val="18"/>
                <w:lang w:eastAsia="bg-BG"/>
              </w:rPr>
              <w:t>Бюджетна програма „Ефективна администрация и координация“</w:t>
            </w:r>
          </w:p>
        </w:tc>
        <w:tc>
          <w:tcPr>
            <w:tcW w:w="1201" w:type="dxa"/>
            <w:gridSpan w:val="2"/>
            <w:tcBorders>
              <w:top w:val="single" w:sz="4" w:space="0" w:color="000000"/>
              <w:bottom w:val="single" w:sz="4" w:space="0" w:color="000000"/>
            </w:tcBorders>
            <w:shd w:val="clear" w:color="000000" w:fill="FFCC99"/>
          </w:tcPr>
          <w:p w:rsidR="00426FE9" w:rsidRDefault="00426FE9">
            <w:pPr>
              <w:spacing w:after="0" w:line="240" w:lineRule="auto"/>
              <w:jc w:val="center"/>
              <w:rPr>
                <w:rFonts w:ascii="Times New Roman" w:eastAsia="Times New Roman" w:hAnsi="Times New Roman" w:cs="Times New Roman"/>
                <w:b/>
                <w:bCs/>
                <w:color w:val="000000"/>
                <w:sz w:val="18"/>
                <w:szCs w:val="18"/>
                <w:lang w:eastAsia="bg-BG"/>
              </w:rPr>
            </w:pPr>
          </w:p>
        </w:tc>
        <w:tc>
          <w:tcPr>
            <w:tcW w:w="2627" w:type="dxa"/>
            <w:gridSpan w:val="3"/>
            <w:tcBorders>
              <w:top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8"/>
                <w:szCs w:val="18"/>
                <w:lang w:eastAsia="bg-BG"/>
              </w:rPr>
            </w:pPr>
            <w:r>
              <w:rPr>
                <w:rFonts w:ascii="Times New Roman" w:eastAsia="Times New Roman" w:hAnsi="Times New Roman" w:cs="Times New Roman"/>
                <w:b/>
                <w:bCs/>
                <w:color w:val="000000"/>
                <w:sz w:val="18"/>
                <w:szCs w:val="18"/>
                <w:lang w:eastAsia="bg-BG"/>
              </w:rPr>
              <w:t>Целева стойност</w:t>
            </w:r>
          </w:p>
        </w:tc>
      </w:tr>
      <w:tr w:rsidR="00426FE9">
        <w:trPr>
          <w:trHeight w:val="306"/>
        </w:trPr>
        <w:tc>
          <w:tcPr>
            <w:tcW w:w="6378" w:type="dxa"/>
            <w:tcBorders>
              <w:left w:val="single" w:sz="4" w:space="0" w:color="000000"/>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lang w:eastAsia="bg-BG"/>
              </w:rPr>
            </w:pPr>
            <w:r>
              <w:rPr>
                <w:rFonts w:ascii="Times New Roman" w:eastAsia="Times New Roman" w:hAnsi="Times New Roman" w:cs="Times New Roman"/>
                <w:b/>
                <w:bCs/>
                <w:color w:val="000000"/>
                <w:sz w:val="16"/>
                <w:szCs w:val="16"/>
                <w:lang w:eastAsia="bg-BG"/>
              </w:rPr>
              <w:t>Показатели за изпълнение</w:t>
            </w:r>
          </w:p>
        </w:tc>
        <w:tc>
          <w:tcPr>
            <w:tcW w:w="851"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color w:val="000000"/>
                <w:sz w:val="16"/>
                <w:szCs w:val="16"/>
                <w:lang w:eastAsia="bg-BG"/>
              </w:rPr>
            </w:pPr>
            <w:r>
              <w:rPr>
                <w:rFonts w:ascii="Times New Roman" w:eastAsia="Times New Roman" w:hAnsi="Times New Roman" w:cs="Times New Roman"/>
                <w:b/>
                <w:bCs/>
                <w:color w:val="000000"/>
                <w:sz w:val="16"/>
                <w:szCs w:val="16"/>
                <w:lang w:eastAsia="bg-BG"/>
              </w:rPr>
              <w:t>Мерна единица</w:t>
            </w:r>
          </w:p>
        </w:tc>
        <w:tc>
          <w:tcPr>
            <w:tcW w:w="992" w:type="dxa"/>
            <w:gridSpan w:val="2"/>
            <w:tcBorders>
              <w:bottom w:val="single" w:sz="4" w:space="0" w:color="000000"/>
              <w:right w:val="single" w:sz="4" w:space="0" w:color="000000"/>
            </w:tcBorders>
            <w:shd w:val="clear" w:color="000000" w:fill="FFCC99"/>
            <w:vAlign w:val="center"/>
          </w:tcPr>
          <w:p w:rsidR="00426FE9" w:rsidRDefault="006264B6">
            <w:pPr>
              <w:spacing w:after="0" w:line="240" w:lineRule="auto"/>
              <w:jc w:val="center"/>
              <w:rPr>
                <w:rFonts w:ascii="Times New Roman" w:eastAsia="Times New Roman" w:hAnsi="Times New Roman" w:cs="Times New Roman"/>
                <w:b/>
                <w:bCs/>
                <w:i/>
                <w:iCs/>
                <w:color w:val="000000"/>
                <w:sz w:val="16"/>
                <w:szCs w:val="16"/>
                <w:lang w:eastAsia="bg-BG"/>
              </w:rPr>
            </w:pPr>
            <w:r>
              <w:rPr>
                <w:rFonts w:ascii="Times New Roman" w:eastAsia="Times New Roman" w:hAnsi="Times New Roman" w:cs="Times New Roman"/>
                <w:b/>
                <w:bCs/>
                <w:i/>
                <w:iCs/>
                <w:color w:val="000000"/>
                <w:sz w:val="16"/>
                <w:szCs w:val="16"/>
                <w:lang w:eastAsia="bg-BG"/>
              </w:rPr>
              <w:t xml:space="preserve">Бюджет </w:t>
            </w:r>
            <w:r w:rsidR="00D0590D">
              <w:rPr>
                <w:rFonts w:ascii="Times New Roman" w:eastAsia="Times New Roman" w:hAnsi="Times New Roman" w:cs="Times New Roman"/>
                <w:b/>
                <w:bCs/>
                <w:i/>
                <w:iCs/>
                <w:color w:val="000000"/>
                <w:sz w:val="16"/>
                <w:szCs w:val="16"/>
                <w:lang w:eastAsia="bg-BG"/>
              </w:rPr>
              <w:t xml:space="preserve"> 2026 г.</w:t>
            </w:r>
          </w:p>
        </w:tc>
        <w:tc>
          <w:tcPr>
            <w:tcW w:w="992" w:type="dxa"/>
            <w:tcBorders>
              <w:bottom w:val="single" w:sz="4" w:space="0" w:color="000000"/>
              <w:right w:val="single" w:sz="4" w:space="0" w:color="000000"/>
            </w:tcBorders>
            <w:shd w:val="clear" w:color="000000" w:fill="FFCC99"/>
            <w:vAlign w:val="center"/>
          </w:tcPr>
          <w:p w:rsidR="00426FE9" w:rsidRDefault="00D0590D">
            <w:pPr>
              <w:spacing w:after="0" w:line="240" w:lineRule="auto"/>
              <w:jc w:val="center"/>
              <w:rPr>
                <w:rFonts w:ascii="Times New Roman" w:eastAsia="Times New Roman" w:hAnsi="Times New Roman" w:cs="Times New Roman"/>
                <w:b/>
                <w:bCs/>
                <w:i/>
                <w:iCs/>
                <w:color w:val="000000"/>
                <w:sz w:val="16"/>
                <w:szCs w:val="16"/>
                <w:lang w:eastAsia="bg-BG"/>
              </w:rPr>
            </w:pPr>
            <w:r>
              <w:rPr>
                <w:rFonts w:ascii="Times New Roman" w:eastAsia="Times New Roman" w:hAnsi="Times New Roman" w:cs="Times New Roman"/>
                <w:b/>
                <w:bCs/>
                <w:i/>
                <w:iCs/>
                <w:color w:val="000000"/>
                <w:sz w:val="16"/>
                <w:szCs w:val="16"/>
                <w:lang w:eastAsia="bg-BG"/>
              </w:rPr>
              <w:t>Прогноза 2027 г.</w:t>
            </w:r>
          </w:p>
        </w:tc>
        <w:tc>
          <w:tcPr>
            <w:tcW w:w="993" w:type="dxa"/>
            <w:tcBorders>
              <w:top w:val="single" w:sz="4" w:space="0" w:color="000000"/>
              <w:bottom w:val="single" w:sz="4" w:space="0" w:color="000000"/>
              <w:right w:val="single" w:sz="4" w:space="0" w:color="000000"/>
            </w:tcBorders>
            <w:shd w:val="clear" w:color="000000" w:fill="FFCC99"/>
          </w:tcPr>
          <w:p w:rsidR="00426FE9" w:rsidRDefault="00D0590D">
            <w:pPr>
              <w:spacing w:after="0" w:line="240" w:lineRule="auto"/>
              <w:jc w:val="center"/>
              <w:rPr>
                <w:rFonts w:ascii="Times New Roman" w:eastAsia="Times New Roman" w:hAnsi="Times New Roman" w:cs="Times New Roman"/>
                <w:b/>
                <w:bCs/>
                <w:i/>
                <w:iCs/>
                <w:color w:val="000000"/>
                <w:sz w:val="16"/>
                <w:szCs w:val="16"/>
                <w:lang w:eastAsia="bg-BG"/>
              </w:rPr>
            </w:pPr>
            <w:r>
              <w:rPr>
                <w:rFonts w:ascii="Times New Roman" w:eastAsia="Times New Roman" w:hAnsi="Times New Roman" w:cs="Times New Roman"/>
                <w:b/>
                <w:bCs/>
                <w:i/>
                <w:iCs/>
                <w:color w:val="000000"/>
                <w:sz w:val="16"/>
                <w:szCs w:val="16"/>
                <w:lang w:eastAsia="bg-BG"/>
              </w:rPr>
              <w:t>Прогноза 202</w:t>
            </w:r>
            <w:r>
              <w:rPr>
                <w:rFonts w:ascii="Times New Roman" w:eastAsia="Times New Roman" w:hAnsi="Times New Roman" w:cs="Times New Roman"/>
                <w:b/>
                <w:bCs/>
                <w:i/>
                <w:iCs/>
                <w:color w:val="000000"/>
                <w:sz w:val="16"/>
                <w:szCs w:val="16"/>
                <w:lang w:val="en-US" w:eastAsia="bg-BG"/>
              </w:rPr>
              <w:t xml:space="preserve">8 </w:t>
            </w:r>
            <w:r>
              <w:rPr>
                <w:rFonts w:ascii="Times New Roman" w:eastAsia="Times New Roman" w:hAnsi="Times New Roman" w:cs="Times New Roman"/>
                <w:b/>
                <w:bCs/>
                <w:i/>
                <w:iCs/>
                <w:color w:val="000000"/>
                <w:sz w:val="16"/>
                <w:szCs w:val="16"/>
                <w:lang w:eastAsia="bg-BG"/>
              </w:rPr>
              <w:t>г.</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Промени в приложния софтуер</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iCs/>
                <w:color w:val="000000"/>
                <w:sz w:val="16"/>
                <w:szCs w:val="16"/>
                <w:lang w:eastAsia="bg-BG"/>
              </w:rPr>
            </w:pPr>
            <w:r>
              <w:rPr>
                <w:rFonts w:ascii="Times New Roman" w:hAnsi="Times New Roman" w:cs="Times New Roman"/>
                <w:iCs/>
                <w:color w:val="000000"/>
                <w:sz w:val="16"/>
                <w:szCs w:val="16"/>
              </w:rPr>
              <w:t> 130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iCs/>
                <w:color w:val="000000"/>
                <w:sz w:val="16"/>
                <w:szCs w:val="16"/>
                <w:lang w:eastAsia="bg-BG"/>
              </w:rPr>
            </w:pPr>
            <w:r>
              <w:rPr>
                <w:rFonts w:ascii="Times New Roman" w:hAnsi="Times New Roman" w:cs="Times New Roman"/>
                <w:iCs/>
                <w:color w:val="000000"/>
                <w:sz w:val="16"/>
                <w:szCs w:val="16"/>
              </w:rPr>
              <w:t> 130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iCs/>
                <w:color w:val="000000"/>
                <w:sz w:val="16"/>
                <w:szCs w:val="16"/>
                <w:lang w:eastAsia="bg-BG"/>
              </w:rPr>
            </w:pPr>
            <w:r>
              <w:rPr>
                <w:rFonts w:ascii="Times New Roman" w:hAnsi="Times New Roman" w:cs="Times New Roman"/>
                <w:iCs/>
                <w:color w:val="000000"/>
                <w:sz w:val="16"/>
                <w:szCs w:val="16"/>
                <w:lang w:val="en-US"/>
              </w:rPr>
              <w:t>130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Обработени документи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 xml:space="preserve">4 050 </w:t>
            </w:r>
            <w:r>
              <w:rPr>
                <w:rFonts w:ascii="Times New Roman" w:hAnsi="Times New Roman" w:cs="Times New Roman"/>
                <w:color w:val="000000"/>
                <w:sz w:val="16"/>
                <w:szCs w:val="16"/>
              </w:rPr>
              <w:t>000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w:t>
            </w:r>
            <w:r>
              <w:rPr>
                <w:rFonts w:ascii="Times New Roman" w:hAnsi="Times New Roman" w:cs="Times New Roman"/>
                <w:color w:val="000000"/>
                <w:sz w:val="16"/>
                <w:szCs w:val="16"/>
                <w:lang w:val="en-US"/>
              </w:rPr>
              <w:t>4 10</w:t>
            </w:r>
            <w:r>
              <w:rPr>
                <w:rFonts w:ascii="Times New Roman" w:hAnsi="Times New Roman" w:cs="Times New Roman"/>
                <w:color w:val="000000"/>
                <w:sz w:val="16"/>
                <w:szCs w:val="16"/>
              </w:rPr>
              <w:t>0</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000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4 150 000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Актуализирани записи в НБД “Население”</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1</w:t>
            </w:r>
            <w:r>
              <w:rPr>
                <w:rFonts w:ascii="Times New Roman" w:hAnsi="Times New Roman" w:cs="Times New Roman"/>
                <w:color w:val="000000"/>
                <w:sz w:val="16"/>
                <w:szCs w:val="16"/>
                <w:lang w:val="en-US"/>
              </w:rPr>
              <w:t xml:space="preserve"> 95</w:t>
            </w:r>
            <w:r>
              <w:rPr>
                <w:rFonts w:ascii="Times New Roman" w:hAnsi="Times New Roman" w:cs="Times New Roman"/>
                <w:color w:val="000000"/>
                <w:sz w:val="16"/>
                <w:szCs w:val="16"/>
              </w:rPr>
              <w:t>0</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000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1</w:t>
            </w:r>
            <w:r>
              <w:rPr>
                <w:rFonts w:ascii="Times New Roman" w:hAnsi="Times New Roman" w:cs="Times New Roman"/>
                <w:color w:val="000000"/>
                <w:sz w:val="16"/>
                <w:szCs w:val="16"/>
                <w:lang w:val="en-US"/>
              </w:rPr>
              <w:t xml:space="preserve"> 98</w:t>
            </w:r>
            <w:r>
              <w:rPr>
                <w:rFonts w:ascii="Times New Roman" w:hAnsi="Times New Roman" w:cs="Times New Roman"/>
                <w:color w:val="000000"/>
                <w:sz w:val="16"/>
                <w:szCs w:val="16"/>
              </w:rPr>
              <w:t>0</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000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2 000 000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Сертификати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125</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125</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125</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Извършени проверки;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350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 350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350</w:t>
            </w:r>
          </w:p>
        </w:tc>
      </w:tr>
      <w:tr w:rsidR="00426FE9">
        <w:trPr>
          <w:trHeight w:val="213"/>
        </w:trPr>
        <w:tc>
          <w:tcPr>
            <w:tcW w:w="6378" w:type="dxa"/>
            <w:tcBorders>
              <w:top w:val="single" w:sz="4" w:space="0" w:color="000000"/>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Обучения и семинари</w:t>
            </w:r>
          </w:p>
        </w:tc>
        <w:tc>
          <w:tcPr>
            <w:tcW w:w="851"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15</w:t>
            </w:r>
          </w:p>
        </w:tc>
        <w:tc>
          <w:tcPr>
            <w:tcW w:w="992" w:type="dxa"/>
            <w:tcBorders>
              <w:top w:val="single" w:sz="4" w:space="0" w:color="000000"/>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15</w:t>
            </w:r>
          </w:p>
        </w:tc>
        <w:tc>
          <w:tcPr>
            <w:tcW w:w="993" w:type="dxa"/>
            <w:tcBorders>
              <w:top w:val="single" w:sz="4" w:space="0" w:color="000000"/>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15</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Указания и ръководства</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5</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5</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5</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Нормативни документи.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40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40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40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Обработени преписки;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2000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2000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2000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Извършени справки в НБД “Население”;</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бр/ден</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 xml:space="preserve">109 </w:t>
            </w:r>
            <w:r>
              <w:rPr>
                <w:rFonts w:ascii="Times New Roman" w:hAnsi="Times New Roman" w:cs="Times New Roman"/>
                <w:color w:val="000000"/>
                <w:sz w:val="16"/>
                <w:szCs w:val="16"/>
              </w:rPr>
              <w:t>000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 xml:space="preserve">112 </w:t>
            </w:r>
            <w:r>
              <w:rPr>
                <w:rFonts w:ascii="Times New Roman" w:hAnsi="Times New Roman" w:cs="Times New Roman"/>
                <w:color w:val="000000"/>
                <w:sz w:val="16"/>
                <w:szCs w:val="16"/>
              </w:rPr>
              <w:t>000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115 000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Общините с достъп да НБД “Население”</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100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100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100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Информационни системи, на които се предоставят данни;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7</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7</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7</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Потребители.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3 800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4 200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4 300</w:t>
            </w:r>
          </w:p>
        </w:tc>
      </w:tr>
      <w:tr w:rsidR="00426FE9">
        <w:trPr>
          <w:trHeight w:val="213"/>
        </w:trPr>
        <w:tc>
          <w:tcPr>
            <w:tcW w:w="6378" w:type="dxa"/>
            <w:tcBorders>
              <w:left w:val="single" w:sz="4" w:space="0" w:color="000000"/>
              <w:bottom w:val="single" w:sz="4" w:space="0" w:color="000000"/>
              <w:right w:val="single" w:sz="4" w:space="0" w:color="000000"/>
            </w:tcBorders>
            <w:vAlign w:val="center"/>
          </w:tcPr>
          <w:p w:rsidR="00426FE9" w:rsidRDefault="00D0590D">
            <w:pPr>
              <w:spacing w:after="0" w:line="240" w:lineRule="auto"/>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Проведени избори и референдуми;</w:t>
            </w:r>
          </w:p>
        </w:tc>
        <w:tc>
          <w:tcPr>
            <w:tcW w:w="851"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бр.</w:t>
            </w:r>
          </w:p>
        </w:tc>
        <w:tc>
          <w:tcPr>
            <w:tcW w:w="992" w:type="dxa"/>
            <w:gridSpan w:val="2"/>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30</w:t>
            </w:r>
          </w:p>
        </w:tc>
        <w:tc>
          <w:tcPr>
            <w:tcW w:w="992" w:type="dxa"/>
            <w:tcBorders>
              <w:bottom w:val="single" w:sz="4" w:space="0" w:color="000000"/>
              <w:right w:val="single" w:sz="4" w:space="0" w:color="000000"/>
            </w:tcBorders>
            <w:vAlign w:val="center"/>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rPr>
              <w:t>30</w:t>
            </w:r>
          </w:p>
        </w:tc>
        <w:tc>
          <w:tcPr>
            <w:tcW w:w="993" w:type="dxa"/>
            <w:tcBorders>
              <w:bottom w:val="single" w:sz="4" w:space="0" w:color="000000"/>
              <w:right w:val="single" w:sz="4" w:space="0" w:color="000000"/>
            </w:tcBorders>
          </w:tcPr>
          <w:p w:rsidR="00426FE9" w:rsidRDefault="00D0590D">
            <w:pPr>
              <w:spacing w:after="0" w:line="240" w:lineRule="auto"/>
              <w:jc w:val="center"/>
              <w:rPr>
                <w:rFonts w:ascii="Times New Roman" w:eastAsia="Times New Roman" w:hAnsi="Times New Roman" w:cs="Times New Roman"/>
                <w:color w:val="000000"/>
                <w:sz w:val="16"/>
                <w:szCs w:val="16"/>
                <w:lang w:eastAsia="bg-BG"/>
              </w:rPr>
            </w:pPr>
            <w:r>
              <w:rPr>
                <w:rFonts w:ascii="Times New Roman" w:hAnsi="Times New Roman" w:cs="Times New Roman"/>
                <w:color w:val="000000"/>
                <w:sz w:val="16"/>
                <w:szCs w:val="16"/>
                <w:lang w:val="en-US"/>
              </w:rPr>
              <w:t>30</w:t>
            </w:r>
          </w:p>
        </w:tc>
      </w:tr>
    </w:tbl>
    <w:p w:rsidR="00426FE9" w:rsidRDefault="00D0590D" w:rsidP="004F30BC">
      <w:pPr>
        <w:pStyle w:val="ListParagraph"/>
        <w:numPr>
          <w:ilvl w:val="0"/>
          <w:numId w:val="82"/>
        </w:numPr>
        <w:tabs>
          <w:tab w:val="clear" w:pos="720"/>
          <w:tab w:val="left" w:pos="851"/>
        </w:tabs>
        <w:spacing w:after="0" w:line="240" w:lineRule="auto"/>
        <w:ind w:left="0" w:firstLine="567"/>
        <w:jc w:val="both"/>
        <w:rPr>
          <w:rFonts w:ascii="Times New Roman" w:eastAsiaTheme="minorHAnsi" w:hAnsi="Times New Roman"/>
          <w:b/>
          <w:i/>
          <w:color w:val="0000CC"/>
        </w:rPr>
      </w:pPr>
      <w:r>
        <w:rPr>
          <w:rFonts w:ascii="Times New Roman" w:eastAsiaTheme="minorHAnsi" w:hAnsi="Times New Roman"/>
          <w:b/>
          <w:i/>
          <w:color w:val="0000CC"/>
        </w:rPr>
        <w:t xml:space="preserve">Отговорност по изпълнението на програмата: </w:t>
      </w:r>
    </w:p>
    <w:p w:rsidR="00426FE9" w:rsidRDefault="00D0590D">
      <w:pPr>
        <w:tabs>
          <w:tab w:val="left" w:pos="851"/>
        </w:tabs>
        <w:spacing w:after="0" w:line="240" w:lineRule="auto"/>
        <w:ind w:firstLine="567"/>
        <w:jc w:val="both"/>
        <w:rPr>
          <w:rFonts w:ascii="Times New Roman" w:hAnsi="Times New Roman"/>
          <w:b/>
          <w:i/>
        </w:rPr>
      </w:pPr>
      <w:r>
        <w:rPr>
          <w:rFonts w:ascii="Times New Roman" w:hAnsi="Times New Roman"/>
        </w:rPr>
        <w:t>Директори на дирекции от общата администрац</w:t>
      </w:r>
      <w:bookmarkStart w:id="1" w:name="_GoBack"/>
      <w:bookmarkEnd w:id="1"/>
      <w:r>
        <w:rPr>
          <w:rFonts w:ascii="Times New Roman" w:hAnsi="Times New Roman"/>
        </w:rPr>
        <w:t>ия на МРРБ, главен директор на ГД „ГРАО“ и  ресорен ръководител</w:t>
      </w:r>
      <w:r>
        <w:rPr>
          <w:rFonts w:ascii="Times New Roman" w:hAnsi="Times New Roman"/>
          <w:b/>
          <w:i/>
        </w:rPr>
        <w:t>.</w:t>
      </w:r>
    </w:p>
    <w:p w:rsidR="00426FE9" w:rsidRDefault="00D0590D" w:rsidP="004F30BC">
      <w:pPr>
        <w:numPr>
          <w:ilvl w:val="0"/>
          <w:numId w:val="82"/>
        </w:numPr>
        <w:tabs>
          <w:tab w:val="clear" w:pos="720"/>
          <w:tab w:val="left" w:pos="851"/>
        </w:tabs>
        <w:spacing w:after="0" w:line="240" w:lineRule="auto"/>
        <w:ind w:left="0" w:firstLine="567"/>
        <w:jc w:val="both"/>
        <w:rPr>
          <w:rFonts w:ascii="Times New Roman" w:hAnsi="Times New Roman" w:cs="Times New Roman"/>
          <w:b/>
          <w:i/>
          <w:color w:val="0000CC"/>
        </w:rPr>
      </w:pPr>
      <w:r>
        <w:rPr>
          <w:rFonts w:ascii="Times New Roman" w:hAnsi="Times New Roman" w:cs="Times New Roman"/>
          <w:b/>
          <w:i/>
          <w:color w:val="0000CC"/>
        </w:rPr>
        <w:t>Бюджетна прогноза по ведомствени и администрирани параграфи по програмата</w:t>
      </w:r>
    </w:p>
    <w:p w:rsidR="00426FE9" w:rsidRDefault="00426FE9">
      <w:pPr>
        <w:pStyle w:val="ListParagraph"/>
        <w:spacing w:after="0" w:line="240" w:lineRule="auto"/>
        <w:rPr>
          <w:rFonts w:ascii="Times New Roman" w:hAnsi="Times New Roman"/>
          <w:b/>
          <w:i/>
          <w:color w:val="0000CC"/>
          <w:sz w:val="10"/>
        </w:rPr>
      </w:pPr>
    </w:p>
    <w:tbl>
      <w:tblPr>
        <w:tblW w:w="10311" w:type="dxa"/>
        <w:tblLook w:val="04A0" w:firstRow="1" w:lastRow="0" w:firstColumn="1" w:lastColumn="0" w:noHBand="0" w:noVBand="1"/>
      </w:tblPr>
      <w:tblGrid>
        <w:gridCol w:w="443"/>
        <w:gridCol w:w="4496"/>
        <w:gridCol w:w="893"/>
        <w:gridCol w:w="893"/>
        <w:gridCol w:w="893"/>
        <w:gridCol w:w="895"/>
        <w:gridCol w:w="899"/>
        <w:gridCol w:w="899"/>
      </w:tblGrid>
      <w:tr w:rsidR="00BA5C65" w:rsidRPr="00BA5C65" w:rsidTr="00BA5C65">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single" w:sz="4" w:space="0" w:color="auto"/>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2100.03.00  Бюджетна програма„Ефективна администрация и координация” (хил.евро)</w:t>
            </w:r>
          </w:p>
        </w:tc>
        <w:tc>
          <w:tcPr>
            <w:tcW w:w="893"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Отчет 2023 г.</w:t>
            </w:r>
          </w:p>
        </w:tc>
        <w:tc>
          <w:tcPr>
            <w:tcW w:w="893"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Отчет 2024 г.</w:t>
            </w:r>
          </w:p>
        </w:tc>
        <w:tc>
          <w:tcPr>
            <w:tcW w:w="893"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Закон 2025 г.</w:t>
            </w:r>
          </w:p>
        </w:tc>
        <w:tc>
          <w:tcPr>
            <w:tcW w:w="895"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6264B6"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 xml:space="preserve">Бюджет </w:t>
            </w:r>
            <w:r w:rsidR="00BA5C65" w:rsidRPr="00BA5C65">
              <w:rPr>
                <w:rFonts w:ascii="Times New Roman" w:eastAsia="Times New Roman" w:hAnsi="Times New Roman" w:cs="Times New Roman"/>
                <w:b/>
                <w:bCs/>
                <w:color w:val="000000"/>
                <w:sz w:val="16"/>
                <w:szCs w:val="16"/>
                <w:lang w:val="en-US"/>
              </w:rPr>
              <w:t>2026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Прогноза 2027 г.</w:t>
            </w:r>
          </w:p>
        </w:tc>
        <w:tc>
          <w:tcPr>
            <w:tcW w:w="899" w:type="dxa"/>
            <w:tcBorders>
              <w:top w:val="single" w:sz="4" w:space="0" w:color="auto"/>
              <w:left w:val="nil"/>
              <w:bottom w:val="single" w:sz="4" w:space="0" w:color="auto"/>
              <w:right w:val="single" w:sz="4" w:space="0" w:color="auto"/>
            </w:tcBorders>
            <w:shd w:val="clear" w:color="000000" w:fill="FFCC99"/>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Прогноза 2028 г.</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i/>
                <w:iCs/>
                <w:color w:val="000000"/>
                <w:sz w:val="16"/>
                <w:szCs w:val="16"/>
                <w:lang w:val="en-US"/>
              </w:rPr>
            </w:pPr>
            <w:r w:rsidRPr="00BA5C65">
              <w:rPr>
                <w:rFonts w:ascii="Times New Roman" w:eastAsia="Times New Roman" w:hAnsi="Times New Roman" w:cs="Times New Roman"/>
                <w:b/>
                <w:bCs/>
                <w:i/>
                <w:i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3</w:t>
            </w:r>
          </w:p>
        </w:tc>
        <w:tc>
          <w:tcPr>
            <w:tcW w:w="895"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4</w:t>
            </w:r>
          </w:p>
        </w:tc>
        <w:tc>
          <w:tcPr>
            <w:tcW w:w="899"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5</w:t>
            </w:r>
          </w:p>
        </w:tc>
        <w:tc>
          <w:tcPr>
            <w:tcW w:w="899" w:type="dxa"/>
            <w:tcBorders>
              <w:top w:val="nil"/>
              <w:left w:val="nil"/>
              <w:bottom w:val="single" w:sz="4" w:space="0" w:color="auto"/>
              <w:right w:val="single" w:sz="4" w:space="0" w:color="auto"/>
            </w:tcBorders>
            <w:shd w:val="clear" w:color="auto" w:fill="auto"/>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6</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ведомствени разходи:</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10 465,2</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13 186,7</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15 641,3</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19 862,7</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16 112,6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15 891,1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Персонал</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7 082,8</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8 289,3</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9 341,6</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8 827,1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8 680,2</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8 680,2</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Издръжка</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3 188,5</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4 445,5</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4 473,8</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8 191,3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6 734,6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6 736,1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xml:space="preserve">   Капиталови разходи</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193,9</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451,9</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1 825,9</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2 844,3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697,8</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474,8</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Ведомствени разходи по бюджета на ПРБ:</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10 465,2</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13 186,7</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15 641,3</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19 862,7</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16 112,6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15 891,1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lastRenderedPageBreak/>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100" w:firstLine="16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Персонал</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7 082,8</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8 289,3</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9 341,6</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8 827,1</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8 680,2</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8 680,2</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100" w:firstLine="16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Издръжка</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3 188,5</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4 445,5</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4 473,8</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8 191,3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6 734,6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6 736,1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100" w:firstLine="16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xml:space="preserve">   Капиталови разходи</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193,9</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451,9</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1 825,9</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2 844,3</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697,8</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474,8</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2</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ind w:firstLineChars="300" w:firstLine="480"/>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Ведомствени разходи по други бюджети и сметки за средства от ЕС</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i/>
                <w:iCs/>
                <w:color w:val="000000"/>
                <w:sz w:val="16"/>
                <w:szCs w:val="16"/>
                <w:lang w:val="en-US"/>
              </w:rPr>
            </w:pPr>
            <w:r w:rsidRPr="00BA5C65">
              <w:rPr>
                <w:rFonts w:ascii="Times New Roman" w:eastAsia="Times New Roman" w:hAnsi="Times New Roman" w:cs="Times New Roman"/>
                <w:b/>
                <w:bCs/>
                <w:i/>
                <w:i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893"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893"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b/>
                <w:bCs/>
                <w:i/>
                <w:iCs/>
                <w:color w:val="000000"/>
                <w:sz w:val="16"/>
                <w:szCs w:val="16"/>
                <w:lang w:val="en-US"/>
              </w:rPr>
            </w:pPr>
          </w:p>
        </w:tc>
        <w:tc>
          <w:tcPr>
            <w:tcW w:w="895"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ІІ.</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Администрирани разходни параграфи по бюджета на ПРБ</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ІІІ.</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Администрирани разходни параграфи по други бюджети и сметки за средства от ЕС</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3"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3"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5"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c>
          <w:tcPr>
            <w:tcW w:w="899" w:type="dxa"/>
            <w:tcBorders>
              <w:top w:val="nil"/>
              <w:left w:val="nil"/>
              <w:bottom w:val="single" w:sz="4" w:space="0" w:color="auto"/>
              <w:right w:val="single" w:sz="4" w:space="0" w:color="auto"/>
            </w:tcBorders>
            <w:shd w:val="clear" w:color="auto" w:fill="auto"/>
            <w:noWrap/>
            <w:vAlign w:val="center"/>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администрирани разходи (ІІ.+ІІІ.):</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0,0</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разходи по бюджета (І.1+ІІ.):</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10 465,2</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13 186,7</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15 641,3</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19 862,7</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16 112,6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15 891,1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Общо разходи (І.+ІІ.+ІІІ.):</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10 465,2</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13 186,7</w:t>
            </w:r>
          </w:p>
        </w:tc>
        <w:tc>
          <w:tcPr>
            <w:tcW w:w="893"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15 641,3</w:t>
            </w:r>
          </w:p>
        </w:tc>
        <w:tc>
          <w:tcPr>
            <w:tcW w:w="895"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19 862,7</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16 112,6</w:t>
            </w:r>
          </w:p>
        </w:tc>
        <w:tc>
          <w:tcPr>
            <w:tcW w:w="899" w:type="dxa"/>
            <w:tcBorders>
              <w:top w:val="nil"/>
              <w:left w:val="nil"/>
              <w:bottom w:val="single" w:sz="4" w:space="0" w:color="auto"/>
              <w:right w:val="single" w:sz="4" w:space="0" w:color="auto"/>
            </w:tcBorders>
            <w:shd w:val="clear" w:color="000000" w:fill="FFCC99"/>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15 891,1</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 </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Численост на щатния персонал</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236</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241</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289</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289</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289</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289</w:t>
            </w:r>
          </w:p>
        </w:tc>
      </w:tr>
      <w:tr w:rsidR="00BA5C65" w:rsidRPr="00BA5C65" w:rsidTr="00BA5C65">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center"/>
              <w:rPr>
                <w:rFonts w:ascii="Times New Roman" w:eastAsia="Times New Roman" w:hAnsi="Times New Roman" w:cs="Times New Roman"/>
                <w:b/>
                <w:bCs/>
                <w:color w:val="000000"/>
                <w:sz w:val="16"/>
                <w:szCs w:val="16"/>
                <w:lang w:val="en-US"/>
              </w:rPr>
            </w:pPr>
            <w:r w:rsidRPr="00BA5C65">
              <w:rPr>
                <w:rFonts w:ascii="Times New Roman" w:eastAsia="Times New Roman" w:hAnsi="Times New Roman" w:cs="Times New Roman"/>
                <w:b/>
                <w:bCs/>
                <w:color w:val="000000"/>
                <w:sz w:val="16"/>
                <w:szCs w:val="16"/>
                <w:lang w:val="en-US"/>
              </w:rPr>
              <w:t> </w:t>
            </w:r>
          </w:p>
        </w:tc>
        <w:tc>
          <w:tcPr>
            <w:tcW w:w="4496"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Численост на извънщатния персонал</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3"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5"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c>
          <w:tcPr>
            <w:tcW w:w="899" w:type="dxa"/>
            <w:tcBorders>
              <w:top w:val="nil"/>
              <w:left w:val="nil"/>
              <w:bottom w:val="single" w:sz="4" w:space="0" w:color="auto"/>
              <w:right w:val="single" w:sz="4" w:space="0" w:color="auto"/>
            </w:tcBorders>
            <w:shd w:val="clear" w:color="auto" w:fill="auto"/>
            <w:noWrap/>
            <w:vAlign w:val="center"/>
            <w:hideMark/>
          </w:tcPr>
          <w:p w:rsidR="00BA5C65" w:rsidRPr="00BA5C65" w:rsidRDefault="00BA5C65" w:rsidP="00BA5C65">
            <w:pPr>
              <w:suppressAutoHyphens w:val="0"/>
              <w:spacing w:after="0" w:line="240" w:lineRule="auto"/>
              <w:jc w:val="right"/>
              <w:rPr>
                <w:rFonts w:ascii="Times New Roman" w:eastAsia="Times New Roman" w:hAnsi="Times New Roman" w:cs="Times New Roman"/>
                <w:color w:val="000000"/>
                <w:sz w:val="16"/>
                <w:szCs w:val="16"/>
                <w:lang w:val="en-US"/>
              </w:rPr>
            </w:pPr>
            <w:r w:rsidRPr="00BA5C65">
              <w:rPr>
                <w:rFonts w:ascii="Times New Roman" w:eastAsia="Times New Roman" w:hAnsi="Times New Roman" w:cs="Times New Roman"/>
                <w:color w:val="000000"/>
                <w:sz w:val="16"/>
                <w:szCs w:val="16"/>
                <w:lang w:val="en-US"/>
              </w:rPr>
              <w:t>0</w:t>
            </w:r>
          </w:p>
        </w:tc>
      </w:tr>
    </w:tbl>
    <w:p w:rsidR="00426FE9" w:rsidRDefault="00426FE9">
      <w:pPr>
        <w:spacing w:after="0" w:line="240" w:lineRule="auto"/>
        <w:rPr>
          <w:rFonts w:ascii="Times New Roman" w:hAnsi="Times New Roman"/>
          <w:b/>
          <w:i/>
          <w:color w:val="0000CC"/>
          <w:sz w:val="10"/>
        </w:rPr>
      </w:pPr>
    </w:p>
    <w:sectPr w:rsidR="00426FE9">
      <w:footerReference w:type="even" r:id="rId11"/>
      <w:footerReference w:type="default" r:id="rId12"/>
      <w:footerReference w:type="first" r:id="rId13"/>
      <w:pgSz w:w="12240" w:h="15840"/>
      <w:pgMar w:top="1138" w:right="907" w:bottom="1135" w:left="1282" w:header="0" w:footer="412" w:gutter="0"/>
      <w:pgNumType w:start="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1EB" w:rsidRDefault="00FA51EB">
      <w:pPr>
        <w:spacing w:line="240" w:lineRule="auto"/>
      </w:pPr>
      <w:r>
        <w:separator/>
      </w:r>
    </w:p>
  </w:endnote>
  <w:endnote w:type="continuationSeparator" w:id="0">
    <w:p w:rsidR="00FA51EB" w:rsidRDefault="00FA51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altName w:val="Arial"/>
    <w:panose1 w:val="020B0606020202030204"/>
    <w:charset w:val="CC"/>
    <w:family w:val="swiss"/>
    <w:pitch w:val="variable"/>
    <w:sig w:usb0="00000287" w:usb1="00000800" w:usb2="00000000" w:usb3="00000000" w:csb0="0000009F" w:csb1="00000000"/>
  </w:font>
  <w:font w:name="Arial Unicode MS">
    <w:altName w:val="Malgun Gothic Semilight"/>
    <w:panose1 w:val="020B0604020202020204"/>
    <w:charset w:val="86"/>
    <w:family w:val="roman"/>
    <w:pitch w:val="default"/>
    <w:sig w:usb0="00000000" w:usb1="E9FFFFFF" w:usb2="0000003F" w:usb3="00000000" w:csb0="603F01FF" w:csb1="FFFF0000"/>
  </w:font>
  <w:font w:name="MS Sans Serif">
    <w:altName w:val="Liberation Mono"/>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altName w:val="Segoe Print"/>
    <w:panose1 w:val="02050604050505020204"/>
    <w:charset w:val="CC"/>
    <w:family w:val="roman"/>
    <w:pitch w:val="variable"/>
    <w:sig w:usb0="00000287" w:usb1="00000000" w:usb2="00000000" w:usb3="00000000" w:csb0="0000009F" w:csb1="00000000"/>
  </w:font>
  <w:font w:name="Liberation Sans">
    <w:altName w:val="Times New Roman"/>
    <w:charset w:val="CC"/>
    <w:family w:val="swiss"/>
    <w:pitch w:val="default"/>
    <w:sig w:usb0="00000000"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Times">
    <w:altName w:val="Times New Roman"/>
    <w:panose1 w:val="02020603050405020304"/>
    <w:charset w:val="CC"/>
    <w:family w:val="roman"/>
    <w:pitch w:val="variable"/>
    <w:sig w:usb0="E0002AFF" w:usb1="C0007841" w:usb2="00000009" w:usb3="00000000" w:csb0="000001FF" w:csb1="00000000"/>
  </w:font>
  <w:font w:name="Futura Bk">
    <w:altName w:val="Liberation Mono"/>
    <w:charset w:val="CC"/>
    <w:family w:val="swiss"/>
    <w:pitch w:val="variable"/>
    <w:sig w:usb0="00000287" w:usb1="00000000" w:usb2="00000000" w:usb3="00000000" w:csb0="0000009F" w:csb1="00000000"/>
  </w:font>
  <w:font w:name="TTA2036468t00">
    <w:altName w:val="Liberation Mono"/>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711356"/>
    </w:sdtPr>
    <w:sdtEndPr/>
    <w:sdtContent>
      <w:p w:rsidR="00077CCE" w:rsidRDefault="00077CCE">
        <w:pPr>
          <w:pStyle w:val="Footer"/>
          <w:jc w:val="right"/>
        </w:pPr>
        <w:r>
          <w:fldChar w:fldCharType="begin"/>
        </w:r>
        <w:r>
          <w:instrText xml:space="preserve"> PAGE </w:instrText>
        </w:r>
        <w:r>
          <w:fldChar w:fldCharType="separate"/>
        </w:r>
        <w:r>
          <w:t>0</w:t>
        </w:r>
        <w:r>
          <w:fldChar w:fldCharType="end"/>
        </w:r>
      </w:p>
      <w:p w:rsidR="00077CCE" w:rsidRDefault="00077CCE">
        <w:pPr>
          <w:pStyle w:val="Footer"/>
          <w:ind w:right="360"/>
        </w:pPr>
        <w:r>
          <w:rPr>
            <w:noProof/>
            <w:lang w:val="en-US"/>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77CCE" w:rsidRDefault="00077CC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" stroked="f">
                  <v:fill opacity="0"/>
                  <v:textbox style="mso-fit-shape-to-text:t" inset="0,0,0,0">
                    <w:txbxContent>
                      <w:p w:rsidR="00077CCE" w:rsidRDefault="00077CC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p w:rsidR="00077CCE" w:rsidRDefault="00077CCE"/>
      <w:p w:rsidR="00077CCE" w:rsidRDefault="00FA51EB"/>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96195"/>
    </w:sdtPr>
    <w:sdtEndPr/>
    <w:sdtContent>
      <w:p w:rsidR="00077CCE" w:rsidRDefault="00077CCE">
        <w:pPr>
          <w:pStyle w:val="Footer"/>
          <w:jc w:val="right"/>
        </w:pPr>
        <w:r>
          <w:fldChar w:fldCharType="begin"/>
        </w:r>
        <w:r>
          <w:instrText xml:space="preserve"> PAGE </w:instrText>
        </w:r>
        <w:r>
          <w:fldChar w:fldCharType="separate"/>
        </w:r>
        <w:r w:rsidR="006264B6">
          <w:rPr>
            <w:noProof/>
          </w:rPr>
          <w:t>76</w:t>
        </w:r>
        <w:r>
          <w:fldChar w:fldCharType="end"/>
        </w:r>
      </w:p>
    </w:sdtContent>
  </w:sdt>
  <w:p w:rsidR="00077CCE" w:rsidRDefault="00077CCE">
    <w:pPr>
      <w:pStyle w:val="Footer"/>
      <w:tabs>
        <w:tab w:val="clear" w:pos="9072"/>
        <w:tab w:val="left" w:pos="453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690939"/>
    </w:sdtPr>
    <w:sdtEndPr/>
    <w:sdtContent>
      <w:p w:rsidR="00077CCE" w:rsidRDefault="00077CCE">
        <w:pPr>
          <w:pStyle w:val="Footer"/>
          <w:jc w:val="right"/>
        </w:pPr>
        <w:r>
          <w:fldChar w:fldCharType="begin"/>
        </w:r>
        <w:r>
          <w:instrText xml:space="preserve"> PAGE </w:instrText>
        </w:r>
        <w:r>
          <w:fldChar w:fldCharType="separate"/>
        </w:r>
        <w:r>
          <w:t>74</w:t>
        </w:r>
        <w:r>
          <w:fldChar w:fldCharType="end"/>
        </w:r>
      </w:p>
    </w:sdtContent>
  </w:sdt>
  <w:p w:rsidR="00077CCE" w:rsidRDefault="00077CCE">
    <w:pPr>
      <w:pStyle w:val="Footer"/>
      <w:tabs>
        <w:tab w:val="clear" w:pos="9072"/>
        <w:tab w:val="lef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1EB" w:rsidRDefault="00FA51EB">
      <w:pPr>
        <w:spacing w:after="0"/>
      </w:pPr>
      <w:r>
        <w:separator/>
      </w:r>
    </w:p>
  </w:footnote>
  <w:footnote w:type="continuationSeparator" w:id="0">
    <w:p w:rsidR="00FA51EB" w:rsidRDefault="00FA51EB">
      <w:pPr>
        <w:spacing w:after="0"/>
      </w:pPr>
      <w:r>
        <w:continuationSeparator/>
      </w:r>
    </w:p>
  </w:footnote>
  <w:footnote w:id="1">
    <w:p w:rsidR="00077CCE" w:rsidRDefault="00077CCE">
      <w:pPr>
        <w:pStyle w:val="FootnoteText"/>
        <w:widowControl w:val="0"/>
        <w:jc w:val="both"/>
      </w:pPr>
      <w:r>
        <w:rPr>
          <w:rStyle w:val="FootnoteCharacters"/>
        </w:rPr>
        <w:footnoteRef/>
      </w:r>
      <w:r>
        <w:t xml:space="preserve"> </w:t>
      </w:r>
      <w:r>
        <w:rPr>
          <w:lang w:val="ru-RU"/>
        </w:rPr>
        <w:t>Целевите стойности са определени в одобрените от ЕК програмни документи за целия период на изпълнение на програмите.</w:t>
      </w:r>
    </w:p>
  </w:footnote>
  <w:footnote w:id="2">
    <w:p w:rsidR="00077CCE" w:rsidRDefault="00077CCE">
      <w:pPr>
        <w:pStyle w:val="FootnoteText"/>
        <w:widowControl w:val="0"/>
        <w:jc w:val="both"/>
      </w:pPr>
      <w:r>
        <w:rPr>
          <w:rStyle w:val="FootnoteCharacters"/>
        </w:rPr>
        <w:footnoteRef/>
      </w:r>
      <w:r>
        <w:t xml:space="preserve"> В края на 2025 г. е разработена Пътна карта за реализиране на регионалната политика с цел създаване на условия за балансирано териториално развитие с изпълнение до 2030 г. при прилагане на разпоредбите на Закона за регионалното развитие.</w:t>
      </w:r>
    </w:p>
    <w:p w:rsidR="00077CCE" w:rsidRDefault="00077CCE">
      <w:pPr>
        <w:pStyle w:val="FootnoteText"/>
        <w:widowControl w:val="0"/>
        <w:jc w:val="both"/>
        <w:rPr>
          <w:lang w:val="en-US"/>
        </w:rPr>
      </w:pPr>
    </w:p>
  </w:footnote>
  <w:footnote w:id="3">
    <w:p w:rsidR="00077CCE" w:rsidRDefault="00077CCE">
      <w:pPr>
        <w:pStyle w:val="FootnoteText"/>
        <w:widowControl w:val="0"/>
        <w:jc w:val="both"/>
      </w:pPr>
      <w:r>
        <w:rPr>
          <w:rStyle w:val="FootnoteCharacters"/>
        </w:rPr>
        <w:footnoteRef/>
      </w:r>
      <w:r>
        <w:t xml:space="preserve"> Програма „Развитие на регионите“ </w:t>
      </w:r>
      <w:r>
        <w:rPr>
          <w:lang w:val="en-US"/>
        </w:rPr>
        <w:t>(</w:t>
      </w:r>
      <w:r>
        <w:t>ПРР</w:t>
      </w:r>
      <w:r>
        <w:rPr>
          <w:lang w:val="en-US"/>
        </w:rPr>
        <w:t xml:space="preserve">) </w:t>
      </w:r>
      <w:r>
        <w:t xml:space="preserve">2021-2027 г. е разработена по образец в съответствията с изискванията на Регламент </w:t>
      </w:r>
      <w:r>
        <w:rPr>
          <w:lang w:val="en-US"/>
        </w:rPr>
        <w:t>(</w:t>
      </w:r>
      <w:r>
        <w:t>ЕС</w:t>
      </w:r>
      <w:r>
        <w:rPr>
          <w:lang w:val="en-US"/>
        </w:rPr>
        <w:t xml:space="preserve">) </w:t>
      </w:r>
      <w:r>
        <w:t>1060 от 2021 г. Напредъкът по изпълнението на програмата се отчита чрез предварително заложени по съответните приоритети междинна и целева стойности на съответните показатели. Междинната стойност е определена само за 2024 г., докато крайната целева стойност е заложена за края на периода т.е. за 2029 г. В този смисъл към момента на изготвяне на проектобюджета за 2026 г. и бюджетната прогноза за периода 202</w:t>
      </w:r>
      <w:r>
        <w:rPr>
          <w:lang w:val="en-US"/>
        </w:rPr>
        <w:t>7</w:t>
      </w:r>
      <w:r>
        <w:t xml:space="preserve">-2028 г., определянето на прогнозни целеви стойности на показателите за изпълнение на Програма „Развитие на регионите“ </w:t>
      </w:r>
      <w:r>
        <w:rPr>
          <w:lang w:val="en-US"/>
        </w:rPr>
        <w:t>(</w:t>
      </w:r>
      <w:r>
        <w:t>ПРР</w:t>
      </w:r>
      <w:r>
        <w:rPr>
          <w:lang w:val="en-US"/>
        </w:rPr>
        <w:t xml:space="preserve">) </w:t>
      </w:r>
      <w:r>
        <w:t xml:space="preserve">2021-2027 г. за 2026 г., 2027 г. и 2028 г. е неприложимо. </w:t>
      </w:r>
    </w:p>
    <w:p w:rsidR="00077CCE" w:rsidRDefault="00077CCE">
      <w:pPr>
        <w:pStyle w:val="FootnoteText"/>
        <w:widowControl w:val="0"/>
      </w:pPr>
    </w:p>
  </w:footnote>
  <w:footnote w:id="4">
    <w:p w:rsidR="00077CCE" w:rsidRDefault="00077CCE">
      <w:pPr>
        <w:pStyle w:val="FootnoteText"/>
        <w:widowControl w:val="0"/>
        <w:jc w:val="both"/>
        <w:rPr>
          <w:sz w:val="16"/>
          <w:szCs w:val="16"/>
          <w:lang w:val="en-US"/>
        </w:rPr>
      </w:pPr>
      <w:r>
        <w:rPr>
          <w:rStyle w:val="FootnoteCharacters"/>
        </w:rPr>
        <w:footnoteRef/>
      </w:r>
      <w:r>
        <w:rPr>
          <w:sz w:val="16"/>
          <w:szCs w:val="16"/>
        </w:rPr>
        <w:t xml:space="preserve"> Стойността на показателя е на база одобрени пътни трасета с Решение на Министерския съвет, които са изменени или включени в списъка на общинските пътища.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
      </v:shape>
    </w:pict>
  </w:numPicBullet>
  <w:abstractNum w:abstractNumId="0" w15:restartNumberingAfterBreak="0">
    <w:nsid w:val="017938A9"/>
    <w:multiLevelType w:val="multilevel"/>
    <w:tmpl w:val="017938A9"/>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1" w15:restartNumberingAfterBreak="0">
    <w:nsid w:val="04D92F71"/>
    <w:multiLevelType w:val="multilevel"/>
    <w:tmpl w:val="04D92F71"/>
    <w:lvl w:ilvl="0">
      <w:start w:val="1"/>
      <w:numFmt w:val="bullet"/>
      <w:lvlText w:val=""/>
      <w:lvlJc w:val="left"/>
      <w:pPr>
        <w:tabs>
          <w:tab w:val="left" w:pos="0"/>
        </w:tabs>
        <w:ind w:left="862" w:hanging="360"/>
      </w:pPr>
      <w:rPr>
        <w:rFonts w:ascii="Wingdings" w:hAnsi="Wingdings" w:cs="Wingdings" w:hint="default"/>
        <w:strike w:val="0"/>
        <w:dstrike w:val="0"/>
      </w:rPr>
    </w:lvl>
    <w:lvl w:ilvl="1">
      <w:start w:val="1"/>
      <w:numFmt w:val="bullet"/>
      <w:lvlText w:val="o"/>
      <w:lvlJc w:val="left"/>
      <w:pPr>
        <w:tabs>
          <w:tab w:val="left" w:pos="0"/>
        </w:tabs>
        <w:ind w:left="1582" w:hanging="360"/>
      </w:pPr>
      <w:rPr>
        <w:rFonts w:ascii="Courier New" w:hAnsi="Courier New" w:cs="Courier New" w:hint="default"/>
      </w:rPr>
    </w:lvl>
    <w:lvl w:ilvl="2">
      <w:start w:val="1"/>
      <w:numFmt w:val="bullet"/>
      <w:lvlText w:val=""/>
      <w:lvlJc w:val="left"/>
      <w:pPr>
        <w:tabs>
          <w:tab w:val="left" w:pos="0"/>
        </w:tabs>
        <w:ind w:left="2302" w:hanging="360"/>
      </w:pPr>
      <w:rPr>
        <w:rFonts w:ascii="Wingdings" w:hAnsi="Wingdings" w:cs="Wingdings" w:hint="default"/>
      </w:rPr>
    </w:lvl>
    <w:lvl w:ilvl="3">
      <w:start w:val="1"/>
      <w:numFmt w:val="bullet"/>
      <w:lvlText w:val=""/>
      <w:lvlJc w:val="left"/>
      <w:pPr>
        <w:tabs>
          <w:tab w:val="left" w:pos="0"/>
        </w:tabs>
        <w:ind w:left="3022" w:hanging="360"/>
      </w:pPr>
      <w:rPr>
        <w:rFonts w:ascii="Symbol" w:hAnsi="Symbol" w:cs="Symbol" w:hint="default"/>
      </w:rPr>
    </w:lvl>
    <w:lvl w:ilvl="4">
      <w:start w:val="1"/>
      <w:numFmt w:val="bullet"/>
      <w:lvlText w:val="o"/>
      <w:lvlJc w:val="left"/>
      <w:pPr>
        <w:tabs>
          <w:tab w:val="left" w:pos="0"/>
        </w:tabs>
        <w:ind w:left="3742" w:hanging="360"/>
      </w:pPr>
      <w:rPr>
        <w:rFonts w:ascii="Courier New" w:hAnsi="Courier New" w:cs="Courier New" w:hint="default"/>
      </w:rPr>
    </w:lvl>
    <w:lvl w:ilvl="5">
      <w:start w:val="1"/>
      <w:numFmt w:val="bullet"/>
      <w:lvlText w:val=""/>
      <w:lvlJc w:val="left"/>
      <w:pPr>
        <w:tabs>
          <w:tab w:val="left" w:pos="0"/>
        </w:tabs>
        <w:ind w:left="4462" w:hanging="360"/>
      </w:pPr>
      <w:rPr>
        <w:rFonts w:ascii="Wingdings" w:hAnsi="Wingdings" w:cs="Wingdings" w:hint="default"/>
      </w:rPr>
    </w:lvl>
    <w:lvl w:ilvl="6">
      <w:start w:val="1"/>
      <w:numFmt w:val="bullet"/>
      <w:lvlText w:val=""/>
      <w:lvlJc w:val="left"/>
      <w:pPr>
        <w:tabs>
          <w:tab w:val="left" w:pos="0"/>
        </w:tabs>
        <w:ind w:left="5182" w:hanging="360"/>
      </w:pPr>
      <w:rPr>
        <w:rFonts w:ascii="Symbol" w:hAnsi="Symbol" w:cs="Symbol" w:hint="default"/>
      </w:rPr>
    </w:lvl>
    <w:lvl w:ilvl="7">
      <w:start w:val="1"/>
      <w:numFmt w:val="bullet"/>
      <w:lvlText w:val="o"/>
      <w:lvlJc w:val="left"/>
      <w:pPr>
        <w:tabs>
          <w:tab w:val="left" w:pos="0"/>
        </w:tabs>
        <w:ind w:left="5902" w:hanging="360"/>
      </w:pPr>
      <w:rPr>
        <w:rFonts w:ascii="Courier New" w:hAnsi="Courier New" w:cs="Courier New" w:hint="default"/>
      </w:rPr>
    </w:lvl>
    <w:lvl w:ilvl="8">
      <w:start w:val="1"/>
      <w:numFmt w:val="bullet"/>
      <w:lvlText w:val=""/>
      <w:lvlJc w:val="left"/>
      <w:pPr>
        <w:tabs>
          <w:tab w:val="left" w:pos="0"/>
        </w:tabs>
        <w:ind w:left="6622" w:hanging="360"/>
      </w:pPr>
      <w:rPr>
        <w:rFonts w:ascii="Wingdings" w:hAnsi="Wingdings" w:cs="Wingdings" w:hint="default"/>
      </w:rPr>
    </w:lvl>
  </w:abstractNum>
  <w:abstractNum w:abstractNumId="2" w15:restartNumberingAfterBreak="0">
    <w:nsid w:val="07AA3D78"/>
    <w:multiLevelType w:val="multilevel"/>
    <w:tmpl w:val="07AA3D7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bullet"/>
      <w:lvlText w:val=""/>
      <w:lvlJc w:val="left"/>
      <w:pPr>
        <w:tabs>
          <w:tab w:val="left" w:pos="1353"/>
        </w:tabs>
        <w:ind w:left="1353" w:hanging="360"/>
      </w:pPr>
      <w:rPr>
        <w:rFonts w:ascii="Wingdings" w:hAnsi="Wingdings" w:cs="Wingding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08832B5A"/>
    <w:multiLevelType w:val="multilevel"/>
    <w:tmpl w:val="08832B5A"/>
    <w:lvl w:ilvl="0">
      <w:start w:val="1"/>
      <w:numFmt w:val="decimal"/>
      <w:lvlText w:val="%1."/>
      <w:lvlJc w:val="left"/>
      <w:pPr>
        <w:tabs>
          <w:tab w:val="left" w:pos="776"/>
        </w:tabs>
        <w:ind w:left="776" w:hanging="360"/>
      </w:pPr>
    </w:lvl>
    <w:lvl w:ilvl="1">
      <w:start w:val="1"/>
      <w:numFmt w:val="bullet"/>
      <w:lvlText w:val=""/>
      <w:lvlJc w:val="left"/>
      <w:pPr>
        <w:tabs>
          <w:tab w:val="left" w:pos="1496"/>
        </w:tabs>
        <w:ind w:left="1496" w:hanging="360"/>
      </w:pPr>
      <w:rPr>
        <w:rFonts w:ascii="Symbol" w:hAnsi="Symbol" w:cs="Symbol" w:hint="default"/>
      </w:rPr>
    </w:lvl>
    <w:lvl w:ilvl="2">
      <w:start w:val="1"/>
      <w:numFmt w:val="lowerRoman"/>
      <w:lvlText w:val="%3."/>
      <w:lvlJc w:val="right"/>
      <w:pPr>
        <w:tabs>
          <w:tab w:val="left" w:pos="2216"/>
        </w:tabs>
        <w:ind w:left="2216" w:hanging="180"/>
      </w:pPr>
    </w:lvl>
    <w:lvl w:ilvl="3">
      <w:start w:val="1"/>
      <w:numFmt w:val="decimal"/>
      <w:lvlText w:val="%4."/>
      <w:lvlJc w:val="left"/>
      <w:pPr>
        <w:tabs>
          <w:tab w:val="left" w:pos="2936"/>
        </w:tabs>
        <w:ind w:left="2936" w:hanging="360"/>
      </w:pPr>
    </w:lvl>
    <w:lvl w:ilvl="4">
      <w:start w:val="1"/>
      <w:numFmt w:val="lowerLetter"/>
      <w:lvlText w:val="%5."/>
      <w:lvlJc w:val="left"/>
      <w:pPr>
        <w:tabs>
          <w:tab w:val="left" w:pos="3656"/>
        </w:tabs>
        <w:ind w:left="3656" w:hanging="360"/>
      </w:pPr>
    </w:lvl>
    <w:lvl w:ilvl="5">
      <w:start w:val="1"/>
      <w:numFmt w:val="lowerRoman"/>
      <w:lvlText w:val="%6."/>
      <w:lvlJc w:val="right"/>
      <w:pPr>
        <w:tabs>
          <w:tab w:val="left" w:pos="4376"/>
        </w:tabs>
        <w:ind w:left="4376" w:hanging="180"/>
      </w:pPr>
    </w:lvl>
    <w:lvl w:ilvl="6">
      <w:start w:val="1"/>
      <w:numFmt w:val="decimal"/>
      <w:lvlText w:val="%7."/>
      <w:lvlJc w:val="left"/>
      <w:pPr>
        <w:tabs>
          <w:tab w:val="left" w:pos="5096"/>
        </w:tabs>
        <w:ind w:left="5096" w:hanging="360"/>
      </w:pPr>
    </w:lvl>
    <w:lvl w:ilvl="7">
      <w:start w:val="1"/>
      <w:numFmt w:val="lowerLetter"/>
      <w:lvlText w:val="%8."/>
      <w:lvlJc w:val="left"/>
      <w:pPr>
        <w:tabs>
          <w:tab w:val="left" w:pos="5816"/>
        </w:tabs>
        <w:ind w:left="5816" w:hanging="360"/>
      </w:pPr>
    </w:lvl>
    <w:lvl w:ilvl="8">
      <w:start w:val="1"/>
      <w:numFmt w:val="lowerRoman"/>
      <w:lvlText w:val="%9."/>
      <w:lvlJc w:val="right"/>
      <w:pPr>
        <w:tabs>
          <w:tab w:val="left" w:pos="6536"/>
        </w:tabs>
        <w:ind w:left="6536" w:hanging="180"/>
      </w:pPr>
    </w:lvl>
  </w:abstractNum>
  <w:abstractNum w:abstractNumId="4" w15:restartNumberingAfterBreak="0">
    <w:nsid w:val="08D16876"/>
    <w:multiLevelType w:val="multilevel"/>
    <w:tmpl w:val="08D16876"/>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5" w15:restartNumberingAfterBreak="0">
    <w:nsid w:val="09ED6AEA"/>
    <w:multiLevelType w:val="multilevel"/>
    <w:tmpl w:val="09ED6AEA"/>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6" w15:restartNumberingAfterBreak="0">
    <w:nsid w:val="0A423281"/>
    <w:multiLevelType w:val="multilevel"/>
    <w:tmpl w:val="0A423281"/>
    <w:lvl w:ilvl="0">
      <w:start w:val="1"/>
      <w:numFmt w:val="decimal"/>
      <w:pStyle w:val="ListNumber1"/>
      <w:lvlText w:val="%1."/>
      <w:lvlJc w:val="left"/>
      <w:pPr>
        <w:tabs>
          <w:tab w:val="left" w:pos="717"/>
        </w:tabs>
        <w:ind w:left="717" w:hanging="360"/>
      </w:pPr>
      <w:rPr>
        <w:rFonts w:cs="Times New Roman"/>
        <w:b/>
        <w:i w:val="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15:restartNumberingAfterBreak="0">
    <w:nsid w:val="0ADC4340"/>
    <w:multiLevelType w:val="multilevel"/>
    <w:tmpl w:val="0ADC4340"/>
    <w:lvl w:ilvl="0">
      <w:start w:val="1"/>
      <w:numFmt w:val="bullet"/>
      <w:lvlText w:val=""/>
      <w:lvlJc w:val="left"/>
      <w:pPr>
        <w:tabs>
          <w:tab w:val="left" w:pos="0"/>
        </w:tabs>
        <w:ind w:left="1495" w:hanging="360"/>
      </w:pPr>
      <w:rPr>
        <w:rFonts w:ascii="Wingdings" w:hAnsi="Wingdings" w:cs="Wingdings" w:hint="default"/>
        <w:color w:val="auto"/>
      </w:rPr>
    </w:lvl>
    <w:lvl w:ilvl="1">
      <w:start w:val="1"/>
      <w:numFmt w:val="bullet"/>
      <w:lvlText w:val="o"/>
      <w:lvlJc w:val="left"/>
      <w:pPr>
        <w:tabs>
          <w:tab w:val="left" w:pos="0"/>
        </w:tabs>
        <w:ind w:left="2145" w:hanging="360"/>
      </w:pPr>
      <w:rPr>
        <w:rFonts w:ascii="Courier New" w:hAnsi="Courier New" w:cs="Courier New" w:hint="default"/>
      </w:rPr>
    </w:lvl>
    <w:lvl w:ilvl="2">
      <w:start w:val="1"/>
      <w:numFmt w:val="bullet"/>
      <w:lvlText w:val=""/>
      <w:lvlJc w:val="left"/>
      <w:pPr>
        <w:tabs>
          <w:tab w:val="left" w:pos="0"/>
        </w:tabs>
        <w:ind w:left="2865" w:hanging="360"/>
      </w:pPr>
      <w:rPr>
        <w:rFonts w:ascii="Wingdings" w:hAnsi="Wingdings" w:cs="Wingdings" w:hint="default"/>
      </w:rPr>
    </w:lvl>
    <w:lvl w:ilvl="3">
      <w:start w:val="1"/>
      <w:numFmt w:val="bullet"/>
      <w:lvlText w:val=""/>
      <w:lvlJc w:val="left"/>
      <w:pPr>
        <w:tabs>
          <w:tab w:val="left" w:pos="0"/>
        </w:tabs>
        <w:ind w:left="3585" w:hanging="360"/>
      </w:pPr>
      <w:rPr>
        <w:rFonts w:ascii="Symbol" w:hAnsi="Symbol" w:cs="Symbol" w:hint="default"/>
      </w:rPr>
    </w:lvl>
    <w:lvl w:ilvl="4">
      <w:start w:val="1"/>
      <w:numFmt w:val="bullet"/>
      <w:lvlText w:val="o"/>
      <w:lvlJc w:val="left"/>
      <w:pPr>
        <w:tabs>
          <w:tab w:val="left" w:pos="0"/>
        </w:tabs>
        <w:ind w:left="4305" w:hanging="360"/>
      </w:pPr>
      <w:rPr>
        <w:rFonts w:ascii="Courier New" w:hAnsi="Courier New" w:cs="Courier New" w:hint="default"/>
      </w:rPr>
    </w:lvl>
    <w:lvl w:ilvl="5">
      <w:start w:val="1"/>
      <w:numFmt w:val="bullet"/>
      <w:lvlText w:val=""/>
      <w:lvlJc w:val="left"/>
      <w:pPr>
        <w:tabs>
          <w:tab w:val="left" w:pos="0"/>
        </w:tabs>
        <w:ind w:left="5025" w:hanging="360"/>
      </w:pPr>
      <w:rPr>
        <w:rFonts w:ascii="Wingdings" w:hAnsi="Wingdings" w:cs="Wingdings" w:hint="default"/>
      </w:rPr>
    </w:lvl>
    <w:lvl w:ilvl="6">
      <w:start w:val="1"/>
      <w:numFmt w:val="bullet"/>
      <w:lvlText w:val=""/>
      <w:lvlJc w:val="left"/>
      <w:pPr>
        <w:tabs>
          <w:tab w:val="left" w:pos="0"/>
        </w:tabs>
        <w:ind w:left="5745" w:hanging="360"/>
      </w:pPr>
      <w:rPr>
        <w:rFonts w:ascii="Symbol" w:hAnsi="Symbol" w:cs="Symbol" w:hint="default"/>
      </w:rPr>
    </w:lvl>
    <w:lvl w:ilvl="7">
      <w:start w:val="1"/>
      <w:numFmt w:val="bullet"/>
      <w:lvlText w:val="o"/>
      <w:lvlJc w:val="left"/>
      <w:pPr>
        <w:tabs>
          <w:tab w:val="left" w:pos="0"/>
        </w:tabs>
        <w:ind w:left="6465" w:hanging="360"/>
      </w:pPr>
      <w:rPr>
        <w:rFonts w:ascii="Courier New" w:hAnsi="Courier New" w:cs="Courier New" w:hint="default"/>
      </w:rPr>
    </w:lvl>
    <w:lvl w:ilvl="8">
      <w:start w:val="1"/>
      <w:numFmt w:val="bullet"/>
      <w:lvlText w:val=""/>
      <w:lvlJc w:val="left"/>
      <w:pPr>
        <w:tabs>
          <w:tab w:val="left" w:pos="0"/>
        </w:tabs>
        <w:ind w:left="7185" w:hanging="360"/>
      </w:pPr>
      <w:rPr>
        <w:rFonts w:ascii="Wingdings" w:hAnsi="Wingdings" w:cs="Wingdings" w:hint="default"/>
      </w:rPr>
    </w:lvl>
  </w:abstractNum>
  <w:abstractNum w:abstractNumId="8" w15:restartNumberingAfterBreak="0">
    <w:nsid w:val="10331EBD"/>
    <w:multiLevelType w:val="multilevel"/>
    <w:tmpl w:val="10331EBD"/>
    <w:lvl w:ilvl="0">
      <w:start w:val="1"/>
      <w:numFmt w:val="upperRoman"/>
      <w:lvlText w:val="%1."/>
      <w:lvlJc w:val="left"/>
      <w:pPr>
        <w:tabs>
          <w:tab w:val="left" w:pos="890"/>
        </w:tabs>
        <w:ind w:left="890" w:hanging="180"/>
      </w:pPr>
      <w:rPr>
        <w:rFonts w:cs="Times New Roman"/>
        <w:b/>
        <w:i/>
      </w:rPr>
    </w:lvl>
    <w:lvl w:ilvl="1">
      <w:start w:val="1"/>
      <w:numFmt w:val="decimal"/>
      <w:lvlText w:val="%2."/>
      <w:lvlJc w:val="left"/>
      <w:pPr>
        <w:tabs>
          <w:tab w:val="left" w:pos="2345"/>
        </w:tabs>
        <w:ind w:left="2345" w:hanging="360"/>
      </w:pPr>
      <w:rPr>
        <w:b/>
        <w:i/>
        <w:sz w:val="22"/>
        <w:szCs w:val="22"/>
      </w:rPr>
    </w:lvl>
    <w:lvl w:ilvl="2">
      <w:start w:val="1"/>
      <w:numFmt w:val="decimal"/>
      <w:lvlText w:val="%3."/>
      <w:lvlJc w:val="left"/>
      <w:pPr>
        <w:tabs>
          <w:tab w:val="left" w:pos="0"/>
        </w:tabs>
        <w:ind w:left="1980" w:hanging="360"/>
      </w:pPr>
      <w:rPr>
        <w:b/>
        <w:i/>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9" w15:restartNumberingAfterBreak="0">
    <w:nsid w:val="11E1142B"/>
    <w:multiLevelType w:val="multilevel"/>
    <w:tmpl w:val="11E1142B"/>
    <w:lvl w:ilvl="0">
      <w:start w:val="1"/>
      <w:numFmt w:val="bullet"/>
      <w:lvlText w:val=""/>
      <w:lvlJc w:val="left"/>
      <w:pPr>
        <w:tabs>
          <w:tab w:val="left" w:pos="0"/>
        </w:tabs>
        <w:ind w:left="1778" w:hanging="360"/>
      </w:pPr>
      <w:rPr>
        <w:rFonts w:ascii="Wingdings" w:hAnsi="Wingdings" w:cs="Wingdings" w:hint="default"/>
      </w:rPr>
    </w:lvl>
    <w:lvl w:ilvl="1">
      <w:start w:val="1"/>
      <w:numFmt w:val="bullet"/>
      <w:lvlText w:val=""/>
      <w:lvlJc w:val="left"/>
      <w:pPr>
        <w:tabs>
          <w:tab w:val="left" w:pos="0"/>
        </w:tabs>
        <w:ind w:left="2854" w:hanging="705"/>
      </w:pPr>
      <w:rPr>
        <w:rFonts w:ascii="Wingdings" w:hAnsi="Wingdings" w:cs="Wingdings" w:hint="default"/>
      </w:rPr>
    </w:lvl>
    <w:lvl w:ilvl="2">
      <w:start w:val="1"/>
      <w:numFmt w:val="bullet"/>
      <w:lvlText w:val=""/>
      <w:lvlJc w:val="left"/>
      <w:pPr>
        <w:tabs>
          <w:tab w:val="left" w:pos="0"/>
        </w:tabs>
        <w:ind w:left="3229" w:hanging="360"/>
      </w:pPr>
      <w:rPr>
        <w:rFonts w:ascii="Wingdings" w:hAnsi="Wingdings" w:cs="Wingdings" w:hint="default"/>
      </w:rPr>
    </w:lvl>
    <w:lvl w:ilvl="3">
      <w:start w:val="1"/>
      <w:numFmt w:val="bullet"/>
      <w:lvlText w:val=""/>
      <w:lvlJc w:val="left"/>
      <w:pPr>
        <w:tabs>
          <w:tab w:val="left" w:pos="0"/>
        </w:tabs>
        <w:ind w:left="3949" w:hanging="360"/>
      </w:pPr>
      <w:rPr>
        <w:rFonts w:ascii="Symbol" w:hAnsi="Symbol" w:cs="Symbol" w:hint="default"/>
      </w:rPr>
    </w:lvl>
    <w:lvl w:ilvl="4">
      <w:start w:val="1"/>
      <w:numFmt w:val="bullet"/>
      <w:lvlText w:val="o"/>
      <w:lvlJc w:val="left"/>
      <w:pPr>
        <w:tabs>
          <w:tab w:val="left" w:pos="0"/>
        </w:tabs>
        <w:ind w:left="4669" w:hanging="360"/>
      </w:pPr>
      <w:rPr>
        <w:rFonts w:ascii="Courier New" w:hAnsi="Courier New" w:cs="Courier New" w:hint="default"/>
      </w:rPr>
    </w:lvl>
    <w:lvl w:ilvl="5">
      <w:start w:val="1"/>
      <w:numFmt w:val="bullet"/>
      <w:lvlText w:val=""/>
      <w:lvlJc w:val="left"/>
      <w:pPr>
        <w:tabs>
          <w:tab w:val="left" w:pos="0"/>
        </w:tabs>
        <w:ind w:left="5389" w:hanging="360"/>
      </w:pPr>
      <w:rPr>
        <w:rFonts w:ascii="Wingdings" w:hAnsi="Wingdings" w:cs="Wingdings" w:hint="default"/>
      </w:rPr>
    </w:lvl>
    <w:lvl w:ilvl="6">
      <w:start w:val="1"/>
      <w:numFmt w:val="bullet"/>
      <w:lvlText w:val=""/>
      <w:lvlJc w:val="left"/>
      <w:pPr>
        <w:tabs>
          <w:tab w:val="left" w:pos="0"/>
        </w:tabs>
        <w:ind w:left="6109" w:hanging="360"/>
      </w:pPr>
      <w:rPr>
        <w:rFonts w:ascii="Symbol" w:hAnsi="Symbol" w:cs="Symbol" w:hint="default"/>
      </w:rPr>
    </w:lvl>
    <w:lvl w:ilvl="7">
      <w:start w:val="1"/>
      <w:numFmt w:val="bullet"/>
      <w:lvlText w:val="o"/>
      <w:lvlJc w:val="left"/>
      <w:pPr>
        <w:tabs>
          <w:tab w:val="left" w:pos="0"/>
        </w:tabs>
        <w:ind w:left="6829" w:hanging="360"/>
      </w:pPr>
      <w:rPr>
        <w:rFonts w:ascii="Courier New" w:hAnsi="Courier New" w:cs="Courier New" w:hint="default"/>
      </w:rPr>
    </w:lvl>
    <w:lvl w:ilvl="8">
      <w:start w:val="1"/>
      <w:numFmt w:val="bullet"/>
      <w:lvlText w:val=""/>
      <w:lvlJc w:val="left"/>
      <w:pPr>
        <w:tabs>
          <w:tab w:val="left" w:pos="0"/>
        </w:tabs>
        <w:ind w:left="7549" w:hanging="360"/>
      </w:pPr>
      <w:rPr>
        <w:rFonts w:ascii="Wingdings" w:hAnsi="Wingdings" w:cs="Wingdings" w:hint="default"/>
      </w:rPr>
    </w:lvl>
  </w:abstractNum>
  <w:abstractNum w:abstractNumId="10" w15:restartNumberingAfterBreak="0">
    <w:nsid w:val="11FB7DBE"/>
    <w:multiLevelType w:val="multilevel"/>
    <w:tmpl w:val="11FB7DBE"/>
    <w:lvl w:ilvl="0">
      <w:start w:val="1"/>
      <w:numFmt w:val="bullet"/>
      <w:lvlText w:val=""/>
      <w:lvlJc w:val="left"/>
      <w:pPr>
        <w:tabs>
          <w:tab w:val="left" w:pos="0"/>
        </w:tabs>
        <w:ind w:left="360" w:hanging="360"/>
      </w:pPr>
      <w:rPr>
        <w:rFonts w:ascii="Symbol" w:hAnsi="Symbol" w:cs="Symbol" w:hint="default"/>
      </w:rPr>
    </w:lvl>
    <w:lvl w:ilvl="1">
      <w:start w:val="1"/>
      <w:numFmt w:val="bullet"/>
      <w:lvlText w:val="o"/>
      <w:lvlJc w:val="left"/>
      <w:pPr>
        <w:tabs>
          <w:tab w:val="left" w:pos="0"/>
        </w:tabs>
        <w:ind w:left="1080" w:hanging="360"/>
      </w:pPr>
      <w:rPr>
        <w:rFonts w:ascii="Courier New" w:hAnsi="Courier New" w:cs="Courier New" w:hint="default"/>
      </w:rPr>
    </w:lvl>
    <w:lvl w:ilvl="2">
      <w:start w:val="1"/>
      <w:numFmt w:val="bullet"/>
      <w:lvlText w:val=""/>
      <w:lvlJc w:val="left"/>
      <w:pPr>
        <w:tabs>
          <w:tab w:val="left" w:pos="0"/>
        </w:tabs>
        <w:ind w:left="1800" w:hanging="360"/>
      </w:pPr>
      <w:rPr>
        <w:rFonts w:ascii="Wingdings" w:hAnsi="Wingdings" w:cs="Wingdings" w:hint="default"/>
      </w:rPr>
    </w:lvl>
    <w:lvl w:ilvl="3">
      <w:start w:val="1"/>
      <w:numFmt w:val="bullet"/>
      <w:lvlText w:val=""/>
      <w:lvlJc w:val="left"/>
      <w:pPr>
        <w:tabs>
          <w:tab w:val="left" w:pos="0"/>
        </w:tabs>
        <w:ind w:left="2520" w:hanging="360"/>
      </w:pPr>
      <w:rPr>
        <w:rFonts w:ascii="Symbol" w:hAnsi="Symbol" w:cs="Symbol" w:hint="default"/>
      </w:rPr>
    </w:lvl>
    <w:lvl w:ilvl="4">
      <w:start w:val="1"/>
      <w:numFmt w:val="bullet"/>
      <w:lvlText w:val="o"/>
      <w:lvlJc w:val="left"/>
      <w:pPr>
        <w:tabs>
          <w:tab w:val="left" w:pos="0"/>
        </w:tabs>
        <w:ind w:left="3240" w:hanging="360"/>
      </w:pPr>
      <w:rPr>
        <w:rFonts w:ascii="Courier New" w:hAnsi="Courier New" w:cs="Courier New" w:hint="default"/>
      </w:rPr>
    </w:lvl>
    <w:lvl w:ilvl="5">
      <w:start w:val="1"/>
      <w:numFmt w:val="bullet"/>
      <w:lvlText w:val=""/>
      <w:lvlJc w:val="left"/>
      <w:pPr>
        <w:tabs>
          <w:tab w:val="left" w:pos="0"/>
        </w:tabs>
        <w:ind w:left="3960" w:hanging="360"/>
      </w:pPr>
      <w:rPr>
        <w:rFonts w:ascii="Wingdings" w:hAnsi="Wingdings" w:cs="Wingdings" w:hint="default"/>
      </w:rPr>
    </w:lvl>
    <w:lvl w:ilvl="6">
      <w:start w:val="1"/>
      <w:numFmt w:val="bullet"/>
      <w:lvlText w:val=""/>
      <w:lvlJc w:val="left"/>
      <w:pPr>
        <w:tabs>
          <w:tab w:val="left" w:pos="0"/>
        </w:tabs>
        <w:ind w:left="4680" w:hanging="360"/>
      </w:pPr>
      <w:rPr>
        <w:rFonts w:ascii="Symbol" w:hAnsi="Symbol" w:cs="Symbol" w:hint="default"/>
      </w:rPr>
    </w:lvl>
    <w:lvl w:ilvl="7">
      <w:start w:val="1"/>
      <w:numFmt w:val="bullet"/>
      <w:lvlText w:val="o"/>
      <w:lvlJc w:val="left"/>
      <w:pPr>
        <w:tabs>
          <w:tab w:val="left" w:pos="0"/>
        </w:tabs>
        <w:ind w:left="5400" w:hanging="360"/>
      </w:pPr>
      <w:rPr>
        <w:rFonts w:ascii="Courier New" w:hAnsi="Courier New" w:cs="Courier New" w:hint="default"/>
      </w:rPr>
    </w:lvl>
    <w:lvl w:ilvl="8">
      <w:start w:val="1"/>
      <w:numFmt w:val="bullet"/>
      <w:lvlText w:val=""/>
      <w:lvlJc w:val="left"/>
      <w:pPr>
        <w:tabs>
          <w:tab w:val="left" w:pos="0"/>
        </w:tabs>
        <w:ind w:left="6120" w:hanging="360"/>
      </w:pPr>
      <w:rPr>
        <w:rFonts w:ascii="Wingdings" w:hAnsi="Wingdings" w:cs="Wingdings" w:hint="default"/>
      </w:rPr>
    </w:lvl>
  </w:abstractNum>
  <w:abstractNum w:abstractNumId="11" w15:restartNumberingAfterBreak="0">
    <w:nsid w:val="12B72619"/>
    <w:multiLevelType w:val="multilevel"/>
    <w:tmpl w:val="12B72619"/>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12" w15:restartNumberingAfterBreak="0">
    <w:nsid w:val="13C9384E"/>
    <w:multiLevelType w:val="hybridMultilevel"/>
    <w:tmpl w:val="DFB6F4E0"/>
    <w:lvl w:ilvl="0" w:tplc="0409000F">
      <w:start w:val="1"/>
      <w:numFmt w:val="decimal"/>
      <w:lvlText w:val="%1."/>
      <w:lvlJc w:val="left"/>
      <w:pPr>
        <w:tabs>
          <w:tab w:val="num" w:pos="776"/>
        </w:tabs>
        <w:ind w:left="776" w:hanging="360"/>
      </w:pPr>
    </w:lvl>
    <w:lvl w:ilvl="1" w:tplc="04090001">
      <w:start w:val="1"/>
      <w:numFmt w:val="bullet"/>
      <w:lvlText w:val=""/>
      <w:lvlJc w:val="left"/>
      <w:pPr>
        <w:tabs>
          <w:tab w:val="num" w:pos="1496"/>
        </w:tabs>
        <w:ind w:left="1496" w:hanging="360"/>
      </w:pPr>
      <w:rPr>
        <w:rFonts w:ascii="Symbol" w:hAnsi="Symbol" w:hint="default"/>
      </w:rPr>
    </w:lvl>
    <w:lvl w:ilvl="2" w:tplc="0409001B">
      <w:start w:val="1"/>
      <w:numFmt w:val="lowerRoman"/>
      <w:lvlText w:val="%3."/>
      <w:lvlJc w:val="right"/>
      <w:pPr>
        <w:tabs>
          <w:tab w:val="num" w:pos="2216"/>
        </w:tabs>
        <w:ind w:left="2216" w:hanging="180"/>
      </w:pPr>
    </w:lvl>
    <w:lvl w:ilvl="3" w:tplc="0409000F">
      <w:start w:val="1"/>
      <w:numFmt w:val="decimal"/>
      <w:lvlText w:val="%4."/>
      <w:lvlJc w:val="left"/>
      <w:pPr>
        <w:tabs>
          <w:tab w:val="num" w:pos="2936"/>
        </w:tabs>
        <w:ind w:left="2936" w:hanging="360"/>
      </w:pPr>
    </w:lvl>
    <w:lvl w:ilvl="4" w:tplc="04090019">
      <w:start w:val="1"/>
      <w:numFmt w:val="lowerLetter"/>
      <w:lvlText w:val="%5."/>
      <w:lvlJc w:val="left"/>
      <w:pPr>
        <w:tabs>
          <w:tab w:val="num" w:pos="3656"/>
        </w:tabs>
        <w:ind w:left="3656" w:hanging="360"/>
      </w:pPr>
    </w:lvl>
    <w:lvl w:ilvl="5" w:tplc="0409001B">
      <w:start w:val="1"/>
      <w:numFmt w:val="lowerRoman"/>
      <w:lvlText w:val="%6."/>
      <w:lvlJc w:val="right"/>
      <w:pPr>
        <w:tabs>
          <w:tab w:val="num" w:pos="4376"/>
        </w:tabs>
        <w:ind w:left="4376" w:hanging="180"/>
      </w:pPr>
    </w:lvl>
    <w:lvl w:ilvl="6" w:tplc="0409000F">
      <w:start w:val="1"/>
      <w:numFmt w:val="decimal"/>
      <w:lvlText w:val="%7."/>
      <w:lvlJc w:val="left"/>
      <w:pPr>
        <w:tabs>
          <w:tab w:val="num" w:pos="5096"/>
        </w:tabs>
        <w:ind w:left="5096" w:hanging="360"/>
      </w:pPr>
    </w:lvl>
    <w:lvl w:ilvl="7" w:tplc="04090019">
      <w:start w:val="1"/>
      <w:numFmt w:val="lowerLetter"/>
      <w:lvlText w:val="%8."/>
      <w:lvlJc w:val="left"/>
      <w:pPr>
        <w:tabs>
          <w:tab w:val="num" w:pos="5816"/>
        </w:tabs>
        <w:ind w:left="5816" w:hanging="360"/>
      </w:pPr>
    </w:lvl>
    <w:lvl w:ilvl="8" w:tplc="0409001B">
      <w:start w:val="1"/>
      <w:numFmt w:val="lowerRoman"/>
      <w:lvlText w:val="%9."/>
      <w:lvlJc w:val="right"/>
      <w:pPr>
        <w:tabs>
          <w:tab w:val="num" w:pos="6536"/>
        </w:tabs>
        <w:ind w:left="6536" w:hanging="180"/>
      </w:pPr>
    </w:lvl>
  </w:abstractNum>
  <w:abstractNum w:abstractNumId="13" w15:restartNumberingAfterBreak="0">
    <w:nsid w:val="14594857"/>
    <w:multiLevelType w:val="multilevel"/>
    <w:tmpl w:val="14594857"/>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14" w15:restartNumberingAfterBreak="0">
    <w:nsid w:val="16E17CFE"/>
    <w:multiLevelType w:val="multilevel"/>
    <w:tmpl w:val="16E17CFE"/>
    <w:lvl w:ilvl="0">
      <w:start w:val="1"/>
      <w:numFmt w:val="bullet"/>
      <w:lvlText w:val=""/>
      <w:lvlJc w:val="left"/>
      <w:pPr>
        <w:tabs>
          <w:tab w:val="left" w:pos="0"/>
        </w:tabs>
        <w:ind w:left="1789" w:hanging="360"/>
      </w:pPr>
      <w:rPr>
        <w:rFonts w:ascii="Wingdings" w:hAnsi="Wingdings" w:cs="Wingdings" w:hint="default"/>
      </w:rPr>
    </w:lvl>
    <w:lvl w:ilvl="1">
      <w:start w:val="1"/>
      <w:numFmt w:val="bullet"/>
      <w:lvlText w:val="o"/>
      <w:lvlJc w:val="left"/>
      <w:pPr>
        <w:tabs>
          <w:tab w:val="left" w:pos="0"/>
        </w:tabs>
        <w:ind w:left="2509" w:hanging="360"/>
      </w:pPr>
      <w:rPr>
        <w:rFonts w:ascii="Courier New" w:hAnsi="Courier New" w:cs="Courier New" w:hint="default"/>
      </w:rPr>
    </w:lvl>
    <w:lvl w:ilvl="2">
      <w:start w:val="1"/>
      <w:numFmt w:val="bullet"/>
      <w:lvlText w:val=""/>
      <w:lvlJc w:val="left"/>
      <w:pPr>
        <w:tabs>
          <w:tab w:val="left" w:pos="0"/>
        </w:tabs>
        <w:ind w:left="3229" w:hanging="360"/>
      </w:pPr>
      <w:rPr>
        <w:rFonts w:ascii="Wingdings" w:hAnsi="Wingdings" w:cs="Wingdings" w:hint="default"/>
      </w:rPr>
    </w:lvl>
    <w:lvl w:ilvl="3">
      <w:start w:val="1"/>
      <w:numFmt w:val="bullet"/>
      <w:lvlText w:val=""/>
      <w:lvlJc w:val="left"/>
      <w:pPr>
        <w:tabs>
          <w:tab w:val="left" w:pos="0"/>
        </w:tabs>
        <w:ind w:left="3949" w:hanging="360"/>
      </w:pPr>
      <w:rPr>
        <w:rFonts w:ascii="Symbol" w:hAnsi="Symbol" w:cs="Symbol" w:hint="default"/>
      </w:rPr>
    </w:lvl>
    <w:lvl w:ilvl="4">
      <w:start w:val="1"/>
      <w:numFmt w:val="bullet"/>
      <w:lvlText w:val="o"/>
      <w:lvlJc w:val="left"/>
      <w:pPr>
        <w:tabs>
          <w:tab w:val="left" w:pos="0"/>
        </w:tabs>
        <w:ind w:left="4669" w:hanging="360"/>
      </w:pPr>
      <w:rPr>
        <w:rFonts w:ascii="Courier New" w:hAnsi="Courier New" w:cs="Courier New" w:hint="default"/>
      </w:rPr>
    </w:lvl>
    <w:lvl w:ilvl="5">
      <w:start w:val="1"/>
      <w:numFmt w:val="bullet"/>
      <w:lvlText w:val=""/>
      <w:lvlJc w:val="left"/>
      <w:pPr>
        <w:tabs>
          <w:tab w:val="left" w:pos="0"/>
        </w:tabs>
        <w:ind w:left="5389" w:hanging="360"/>
      </w:pPr>
      <w:rPr>
        <w:rFonts w:ascii="Wingdings" w:hAnsi="Wingdings" w:cs="Wingdings" w:hint="default"/>
      </w:rPr>
    </w:lvl>
    <w:lvl w:ilvl="6">
      <w:start w:val="1"/>
      <w:numFmt w:val="bullet"/>
      <w:lvlText w:val=""/>
      <w:lvlJc w:val="left"/>
      <w:pPr>
        <w:tabs>
          <w:tab w:val="left" w:pos="0"/>
        </w:tabs>
        <w:ind w:left="6109" w:hanging="360"/>
      </w:pPr>
      <w:rPr>
        <w:rFonts w:ascii="Symbol" w:hAnsi="Symbol" w:cs="Symbol" w:hint="default"/>
      </w:rPr>
    </w:lvl>
    <w:lvl w:ilvl="7">
      <w:start w:val="1"/>
      <w:numFmt w:val="bullet"/>
      <w:lvlText w:val="o"/>
      <w:lvlJc w:val="left"/>
      <w:pPr>
        <w:tabs>
          <w:tab w:val="left" w:pos="0"/>
        </w:tabs>
        <w:ind w:left="6829" w:hanging="360"/>
      </w:pPr>
      <w:rPr>
        <w:rFonts w:ascii="Courier New" w:hAnsi="Courier New" w:cs="Courier New" w:hint="default"/>
      </w:rPr>
    </w:lvl>
    <w:lvl w:ilvl="8">
      <w:start w:val="1"/>
      <w:numFmt w:val="bullet"/>
      <w:lvlText w:val=""/>
      <w:lvlJc w:val="left"/>
      <w:pPr>
        <w:tabs>
          <w:tab w:val="left" w:pos="0"/>
        </w:tabs>
        <w:ind w:left="7549" w:hanging="360"/>
      </w:pPr>
      <w:rPr>
        <w:rFonts w:ascii="Wingdings" w:hAnsi="Wingdings" w:cs="Wingdings" w:hint="default"/>
      </w:rPr>
    </w:lvl>
  </w:abstractNum>
  <w:abstractNum w:abstractNumId="15" w15:restartNumberingAfterBreak="0">
    <w:nsid w:val="16E86E83"/>
    <w:multiLevelType w:val="multilevel"/>
    <w:tmpl w:val="16E86E83"/>
    <w:lvl w:ilvl="0">
      <w:start w:val="1"/>
      <w:numFmt w:val="bullet"/>
      <w:lvlText w:val=""/>
      <w:lvlJc w:val="left"/>
      <w:pPr>
        <w:tabs>
          <w:tab w:val="left" w:pos="0"/>
        </w:tabs>
        <w:ind w:left="1287" w:hanging="360"/>
      </w:pPr>
      <w:rPr>
        <w:rFonts w:ascii="Symbol" w:hAnsi="Symbol" w:cs="Symbol"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16" w15:restartNumberingAfterBreak="0">
    <w:nsid w:val="179031D9"/>
    <w:multiLevelType w:val="multilevel"/>
    <w:tmpl w:val="179031D9"/>
    <w:lvl w:ilvl="0">
      <w:numFmt w:val="bullet"/>
      <w:lvlText w:val="-"/>
      <w:lvlJc w:val="left"/>
      <w:pPr>
        <w:tabs>
          <w:tab w:val="left" w:pos="0"/>
        </w:tabs>
        <w:ind w:left="720" w:hanging="360"/>
      </w:pPr>
      <w:rPr>
        <w:rFonts w:ascii="Times New Roman" w:hAnsi="Times New Roman" w:cs="Times New Roman" w:hint="default"/>
        <w:b/>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7" w15:restartNumberingAfterBreak="0">
    <w:nsid w:val="184D6DEE"/>
    <w:multiLevelType w:val="hybridMultilevel"/>
    <w:tmpl w:val="10084A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1A2951C4"/>
    <w:multiLevelType w:val="multilevel"/>
    <w:tmpl w:val="1A2951C4"/>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19" w15:restartNumberingAfterBreak="0">
    <w:nsid w:val="1A81750F"/>
    <w:multiLevelType w:val="multilevel"/>
    <w:tmpl w:val="1A81750F"/>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0" w15:restartNumberingAfterBreak="0">
    <w:nsid w:val="1AA138F9"/>
    <w:multiLevelType w:val="multilevel"/>
    <w:tmpl w:val="1AA138F9"/>
    <w:lvl w:ilvl="0">
      <w:start w:val="1"/>
      <w:numFmt w:val="bullet"/>
      <w:lvlText w:val=""/>
      <w:lvlJc w:val="left"/>
      <w:pPr>
        <w:tabs>
          <w:tab w:val="left" w:pos="0"/>
        </w:tabs>
        <w:ind w:left="7448"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21" w15:restartNumberingAfterBreak="0">
    <w:nsid w:val="1D3B0C94"/>
    <w:multiLevelType w:val="multilevel"/>
    <w:tmpl w:val="1D3B0C94"/>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2" w15:restartNumberingAfterBreak="0">
    <w:nsid w:val="1EDC21E0"/>
    <w:multiLevelType w:val="multilevel"/>
    <w:tmpl w:val="1EDC21E0"/>
    <w:lvl w:ilvl="0">
      <w:start w:val="1"/>
      <w:numFmt w:val="bullet"/>
      <w:lvlText w:val=""/>
      <w:lvlJc w:val="left"/>
      <w:pPr>
        <w:tabs>
          <w:tab w:val="left" w:pos="0"/>
        </w:tabs>
        <w:ind w:left="786" w:hanging="360"/>
      </w:pPr>
      <w:rPr>
        <w:rFonts w:ascii="Wingdings" w:hAnsi="Wingdings" w:cs="Wingdings" w:hint="default"/>
      </w:rPr>
    </w:lvl>
    <w:lvl w:ilvl="1">
      <w:start w:val="1"/>
      <w:numFmt w:val="bullet"/>
      <w:lvlText w:val="o"/>
      <w:lvlJc w:val="left"/>
      <w:pPr>
        <w:tabs>
          <w:tab w:val="left" w:pos="0"/>
        </w:tabs>
        <w:ind w:left="1506" w:hanging="360"/>
      </w:pPr>
      <w:rPr>
        <w:rFonts w:ascii="Courier New" w:hAnsi="Courier New" w:cs="Courier New" w:hint="default"/>
      </w:rPr>
    </w:lvl>
    <w:lvl w:ilvl="2">
      <w:start w:val="1"/>
      <w:numFmt w:val="bullet"/>
      <w:lvlText w:val=""/>
      <w:lvlJc w:val="left"/>
      <w:pPr>
        <w:tabs>
          <w:tab w:val="left" w:pos="0"/>
        </w:tabs>
        <w:ind w:left="2226" w:hanging="360"/>
      </w:pPr>
      <w:rPr>
        <w:rFonts w:ascii="Wingdings" w:hAnsi="Wingdings" w:cs="Wingdings" w:hint="default"/>
      </w:rPr>
    </w:lvl>
    <w:lvl w:ilvl="3">
      <w:start w:val="1"/>
      <w:numFmt w:val="bullet"/>
      <w:lvlText w:val=""/>
      <w:lvlJc w:val="left"/>
      <w:pPr>
        <w:tabs>
          <w:tab w:val="left" w:pos="0"/>
        </w:tabs>
        <w:ind w:left="2946" w:hanging="360"/>
      </w:pPr>
      <w:rPr>
        <w:rFonts w:ascii="Symbol" w:hAnsi="Symbol" w:cs="Symbol" w:hint="default"/>
      </w:rPr>
    </w:lvl>
    <w:lvl w:ilvl="4">
      <w:start w:val="1"/>
      <w:numFmt w:val="bullet"/>
      <w:lvlText w:val="o"/>
      <w:lvlJc w:val="left"/>
      <w:pPr>
        <w:tabs>
          <w:tab w:val="left" w:pos="0"/>
        </w:tabs>
        <w:ind w:left="3666" w:hanging="360"/>
      </w:pPr>
      <w:rPr>
        <w:rFonts w:ascii="Courier New" w:hAnsi="Courier New" w:cs="Courier New" w:hint="default"/>
      </w:rPr>
    </w:lvl>
    <w:lvl w:ilvl="5">
      <w:start w:val="1"/>
      <w:numFmt w:val="bullet"/>
      <w:lvlText w:val=""/>
      <w:lvlJc w:val="left"/>
      <w:pPr>
        <w:tabs>
          <w:tab w:val="left" w:pos="0"/>
        </w:tabs>
        <w:ind w:left="4386" w:hanging="360"/>
      </w:pPr>
      <w:rPr>
        <w:rFonts w:ascii="Wingdings" w:hAnsi="Wingdings" w:cs="Wingdings" w:hint="default"/>
      </w:rPr>
    </w:lvl>
    <w:lvl w:ilvl="6">
      <w:start w:val="1"/>
      <w:numFmt w:val="bullet"/>
      <w:lvlText w:val=""/>
      <w:lvlJc w:val="left"/>
      <w:pPr>
        <w:tabs>
          <w:tab w:val="left" w:pos="0"/>
        </w:tabs>
        <w:ind w:left="5106" w:hanging="360"/>
      </w:pPr>
      <w:rPr>
        <w:rFonts w:ascii="Symbol" w:hAnsi="Symbol" w:cs="Symbol" w:hint="default"/>
      </w:rPr>
    </w:lvl>
    <w:lvl w:ilvl="7">
      <w:start w:val="1"/>
      <w:numFmt w:val="bullet"/>
      <w:lvlText w:val="o"/>
      <w:lvlJc w:val="left"/>
      <w:pPr>
        <w:tabs>
          <w:tab w:val="left" w:pos="0"/>
        </w:tabs>
        <w:ind w:left="5826" w:hanging="360"/>
      </w:pPr>
      <w:rPr>
        <w:rFonts w:ascii="Courier New" w:hAnsi="Courier New" w:cs="Courier New" w:hint="default"/>
      </w:rPr>
    </w:lvl>
    <w:lvl w:ilvl="8">
      <w:start w:val="1"/>
      <w:numFmt w:val="bullet"/>
      <w:lvlText w:val=""/>
      <w:lvlJc w:val="left"/>
      <w:pPr>
        <w:tabs>
          <w:tab w:val="left" w:pos="0"/>
        </w:tabs>
        <w:ind w:left="6546" w:hanging="360"/>
      </w:pPr>
      <w:rPr>
        <w:rFonts w:ascii="Wingdings" w:hAnsi="Wingdings" w:cs="Wingdings" w:hint="default"/>
      </w:rPr>
    </w:lvl>
  </w:abstractNum>
  <w:abstractNum w:abstractNumId="23" w15:restartNumberingAfterBreak="0">
    <w:nsid w:val="1F7331D9"/>
    <w:multiLevelType w:val="multilevel"/>
    <w:tmpl w:val="1F7331D9"/>
    <w:lvl w:ilvl="0">
      <w:start w:val="1"/>
      <w:numFmt w:val="decimal"/>
      <w:pStyle w:val="standard3"/>
      <w:lvlText w:val="%1)"/>
      <w:lvlJc w:val="left"/>
      <w:pPr>
        <w:tabs>
          <w:tab w:val="left" w:pos="1097"/>
        </w:tabs>
        <w:ind w:left="737" w:firstLine="0"/>
      </w:pPr>
      <w:rPr>
        <w:rFonts w:cs="Times New Roman"/>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4" w15:restartNumberingAfterBreak="0">
    <w:nsid w:val="1FF93A00"/>
    <w:multiLevelType w:val="multilevel"/>
    <w:tmpl w:val="1FF93A00"/>
    <w:lvl w:ilvl="0">
      <w:start w:val="1"/>
      <w:numFmt w:val="bullet"/>
      <w:lvlText w:val=""/>
      <w:lvlJc w:val="left"/>
      <w:pPr>
        <w:tabs>
          <w:tab w:val="left" w:pos="0"/>
        </w:tabs>
        <w:ind w:left="1287" w:hanging="360"/>
      </w:pPr>
      <w:rPr>
        <w:rFonts w:ascii="Symbol" w:hAnsi="Symbol" w:cs="Symbol"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25" w15:restartNumberingAfterBreak="0">
    <w:nsid w:val="20B73CF6"/>
    <w:multiLevelType w:val="multilevel"/>
    <w:tmpl w:val="20B73CF6"/>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decimal"/>
      <w:lvlText w:val="%4."/>
      <w:lvlJc w:val="left"/>
      <w:pPr>
        <w:tabs>
          <w:tab w:val="left" w:pos="0"/>
        </w:tabs>
        <w:ind w:left="3447" w:hanging="360"/>
      </w:p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26" w15:restartNumberingAfterBreak="0">
    <w:nsid w:val="2410416B"/>
    <w:multiLevelType w:val="multilevel"/>
    <w:tmpl w:val="2410416B"/>
    <w:lvl w:ilvl="0">
      <w:start w:val="1"/>
      <w:numFmt w:val="bullet"/>
      <w:lvlText w:val=""/>
      <w:lvlJc w:val="left"/>
      <w:pPr>
        <w:tabs>
          <w:tab w:val="left" w:pos="720"/>
        </w:tabs>
        <w:ind w:left="720" w:hanging="360"/>
      </w:pPr>
      <w:rPr>
        <w:rFonts w:ascii="Wingdings" w:hAnsi="Wingdings" w:cs="Wingdings" w:hint="default"/>
      </w:rPr>
    </w:lvl>
    <w:lvl w:ilvl="1">
      <w:numFmt w:val="bullet"/>
      <w:lvlText w:val="-"/>
      <w:lvlJc w:val="left"/>
      <w:pPr>
        <w:tabs>
          <w:tab w:val="left" w:pos="1440"/>
        </w:tabs>
        <w:ind w:left="1440" w:hanging="360"/>
      </w:pPr>
      <w:rPr>
        <w:rFonts w:ascii="Times New Roman" w:hAnsi="Times New Roman" w:cs="Times New Roman" w:hint="default"/>
        <w:b/>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27" w15:restartNumberingAfterBreak="0">
    <w:nsid w:val="24CF444D"/>
    <w:multiLevelType w:val="multilevel"/>
    <w:tmpl w:val="24CF444D"/>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8" w15:restartNumberingAfterBreak="0">
    <w:nsid w:val="25AE2E96"/>
    <w:multiLevelType w:val="multilevel"/>
    <w:tmpl w:val="25AE2E96"/>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9" w15:restartNumberingAfterBreak="0">
    <w:nsid w:val="25E039E9"/>
    <w:multiLevelType w:val="multilevel"/>
    <w:tmpl w:val="25E039E9"/>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30" w15:restartNumberingAfterBreak="0">
    <w:nsid w:val="278B3DDE"/>
    <w:multiLevelType w:val="multilevel"/>
    <w:tmpl w:val="278B3DDE"/>
    <w:lvl w:ilvl="0">
      <w:start w:val="1"/>
      <w:numFmt w:val="decimal"/>
      <w:pStyle w:val="ListNumber"/>
      <w:lvlText w:val="%1."/>
      <w:lvlJc w:val="left"/>
      <w:pPr>
        <w:tabs>
          <w:tab w:val="left" w:pos="926"/>
        </w:tabs>
        <w:ind w:left="926" w:hanging="360"/>
      </w:pPr>
      <w:rPr>
        <w:rFonts w:cs="Times New Roman"/>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1" w15:restartNumberingAfterBreak="0">
    <w:nsid w:val="27A46B66"/>
    <w:multiLevelType w:val="multilevel"/>
    <w:tmpl w:val="27A46B66"/>
    <w:lvl w:ilvl="0">
      <w:start w:val="1"/>
      <w:numFmt w:val="bullet"/>
      <w:pStyle w:val="Heading1"/>
      <w:lvlText w:val="•"/>
      <w:lvlPicBulletId w:val="0"/>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32" w15:restartNumberingAfterBreak="0">
    <w:nsid w:val="281F64C9"/>
    <w:multiLevelType w:val="multilevel"/>
    <w:tmpl w:val="281F64C9"/>
    <w:lvl w:ilvl="0">
      <w:start w:val="1"/>
      <w:numFmt w:val="decimal"/>
      <w:lvlText w:val="%1."/>
      <w:lvlJc w:val="left"/>
      <w:pPr>
        <w:tabs>
          <w:tab w:val="left" w:pos="770"/>
        </w:tabs>
        <w:ind w:left="770" w:hanging="432"/>
      </w:pPr>
      <w:rPr>
        <w:rFonts w:ascii="Times New Roman" w:eastAsia="Times New Roman" w:hAnsi="Times New Roman" w:cs="Times New Roman"/>
      </w:rPr>
    </w:lvl>
    <w:lvl w:ilvl="1">
      <w:start w:val="1"/>
      <w:numFmt w:val="decimal"/>
      <w:pStyle w:val="Heading2"/>
      <w:lvlText w:val="%1.%2"/>
      <w:lvlJc w:val="left"/>
      <w:pPr>
        <w:tabs>
          <w:tab w:val="left" w:pos="758"/>
        </w:tabs>
        <w:ind w:left="758" w:hanging="576"/>
      </w:pPr>
      <w:rPr>
        <w:rFonts w:cs="Times New Roman"/>
      </w:rPr>
    </w:lvl>
    <w:lvl w:ilvl="2">
      <w:start w:val="1"/>
      <w:numFmt w:val="decimal"/>
      <w:pStyle w:val="Heading3"/>
      <w:lvlText w:val="%1.%2.%3"/>
      <w:lvlJc w:val="left"/>
      <w:pPr>
        <w:tabs>
          <w:tab w:val="left" w:pos="607"/>
        </w:tabs>
        <w:ind w:left="607" w:hanging="607"/>
      </w:pPr>
      <w:rPr>
        <w:rFonts w:cs="Times New Roman"/>
      </w:rPr>
    </w:lvl>
    <w:lvl w:ilvl="3">
      <w:start w:val="1"/>
      <w:numFmt w:val="decimal"/>
      <w:pStyle w:val="Heading4"/>
      <w:lvlText w:val="%1.%2.%3.%4"/>
      <w:lvlJc w:val="left"/>
      <w:pPr>
        <w:tabs>
          <w:tab w:val="left" w:pos="864"/>
        </w:tabs>
        <w:ind w:left="864" w:hanging="864"/>
      </w:pPr>
      <w:rPr>
        <w:rFonts w:cs="Times New Roman"/>
      </w:rPr>
    </w:lvl>
    <w:lvl w:ilvl="4">
      <w:start w:val="1"/>
      <w:numFmt w:val="decimal"/>
      <w:pStyle w:val="Heading5"/>
      <w:lvlText w:val="%1.%2.%3.%4.%5"/>
      <w:lvlJc w:val="left"/>
      <w:pPr>
        <w:tabs>
          <w:tab w:val="left" w:pos="1060"/>
        </w:tabs>
        <w:ind w:left="1060" w:hanging="1008"/>
      </w:pPr>
      <w:rPr>
        <w:rFonts w:cs="Times New Roman"/>
        <w:color w:val="009900"/>
      </w:rPr>
    </w:lvl>
    <w:lvl w:ilvl="5">
      <w:start w:val="1"/>
      <w:numFmt w:val="decimal"/>
      <w:pStyle w:val="Heading6"/>
      <w:lvlText w:val="%1.%2.%3.%4.%5.%6"/>
      <w:lvlJc w:val="left"/>
      <w:pPr>
        <w:tabs>
          <w:tab w:val="left" w:pos="1152"/>
        </w:tabs>
        <w:ind w:left="1152" w:hanging="1152"/>
      </w:pPr>
      <w:rPr>
        <w:rFonts w:cs="Times New Roman"/>
      </w:rPr>
    </w:lvl>
    <w:lvl w:ilvl="6">
      <w:start w:val="1"/>
      <w:numFmt w:val="decimal"/>
      <w:pStyle w:val="Heading7"/>
      <w:lvlText w:val="%1.%2.%3.%4.%5.%6.%7"/>
      <w:lvlJc w:val="left"/>
      <w:pPr>
        <w:tabs>
          <w:tab w:val="left" w:pos="1296"/>
        </w:tabs>
        <w:ind w:left="1296" w:hanging="1296"/>
      </w:pPr>
      <w:rPr>
        <w:rFonts w:cs="Times New Roman"/>
      </w:rPr>
    </w:lvl>
    <w:lvl w:ilvl="7">
      <w:start w:val="1"/>
      <w:numFmt w:val="decimal"/>
      <w:pStyle w:val="Heading8"/>
      <w:lvlText w:val="%1.%2.%3.%4.%5.%6.%7.%8"/>
      <w:lvlJc w:val="left"/>
      <w:pPr>
        <w:tabs>
          <w:tab w:val="left" w:pos="1440"/>
        </w:tabs>
        <w:ind w:left="1440" w:hanging="1440"/>
      </w:pPr>
      <w:rPr>
        <w:rFonts w:cs="Times New Roman"/>
      </w:rPr>
    </w:lvl>
    <w:lvl w:ilvl="8">
      <w:start w:val="1"/>
      <w:numFmt w:val="decimal"/>
      <w:pStyle w:val="Heading9"/>
      <w:lvlText w:val="%1.%2.%3.%4.%5.%6.%7.%8.%9"/>
      <w:lvlJc w:val="left"/>
      <w:pPr>
        <w:tabs>
          <w:tab w:val="left" w:pos="1584"/>
        </w:tabs>
        <w:ind w:left="1584" w:hanging="1584"/>
      </w:pPr>
      <w:rPr>
        <w:rFonts w:cs="Times New Roman"/>
      </w:rPr>
    </w:lvl>
  </w:abstractNum>
  <w:abstractNum w:abstractNumId="33" w15:restartNumberingAfterBreak="0">
    <w:nsid w:val="2A7C1A0F"/>
    <w:multiLevelType w:val="multilevel"/>
    <w:tmpl w:val="2A7C1A0F"/>
    <w:lvl w:ilvl="0">
      <w:start w:val="1"/>
      <w:numFmt w:val="bullet"/>
      <w:lvlText w:val=""/>
      <w:lvlJc w:val="left"/>
      <w:pPr>
        <w:tabs>
          <w:tab w:val="left" w:pos="0"/>
        </w:tabs>
        <w:ind w:left="644"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34" w15:restartNumberingAfterBreak="0">
    <w:nsid w:val="2EB33954"/>
    <w:multiLevelType w:val="multilevel"/>
    <w:tmpl w:val="2EB33954"/>
    <w:lvl w:ilvl="0">
      <w:start w:val="1"/>
      <w:numFmt w:val="bullet"/>
      <w:lvlText w:val=""/>
      <w:lvlJc w:val="left"/>
      <w:pPr>
        <w:tabs>
          <w:tab w:val="left" w:pos="720"/>
        </w:tabs>
        <w:ind w:left="720" w:hanging="360"/>
      </w:pPr>
      <w:rPr>
        <w:rFonts w:ascii="Wingdings" w:hAnsi="Wingdings" w:cs="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5" w15:restartNumberingAfterBreak="0">
    <w:nsid w:val="2F6B557A"/>
    <w:multiLevelType w:val="multilevel"/>
    <w:tmpl w:val="2F6B557A"/>
    <w:lvl w:ilvl="0">
      <w:start w:val="1"/>
      <w:numFmt w:val="bullet"/>
      <w:lvlText w:val=""/>
      <w:lvlJc w:val="left"/>
      <w:pPr>
        <w:tabs>
          <w:tab w:val="left" w:pos="0"/>
        </w:tabs>
        <w:ind w:left="360" w:hanging="360"/>
      </w:pPr>
      <w:rPr>
        <w:rFonts w:ascii="Symbol" w:hAnsi="Symbol" w:cs="Symbol" w:hint="default"/>
        <w:color w:val="auto"/>
      </w:rPr>
    </w:lvl>
    <w:lvl w:ilvl="1">
      <w:start w:val="1"/>
      <w:numFmt w:val="bullet"/>
      <w:lvlText w:val="o"/>
      <w:lvlJc w:val="left"/>
      <w:pPr>
        <w:tabs>
          <w:tab w:val="left" w:pos="0"/>
        </w:tabs>
        <w:ind w:left="1080" w:hanging="360"/>
      </w:pPr>
      <w:rPr>
        <w:rFonts w:ascii="Courier New" w:hAnsi="Courier New" w:cs="Courier New" w:hint="default"/>
      </w:rPr>
    </w:lvl>
    <w:lvl w:ilvl="2">
      <w:start w:val="1"/>
      <w:numFmt w:val="bullet"/>
      <w:lvlText w:val=""/>
      <w:lvlJc w:val="left"/>
      <w:pPr>
        <w:tabs>
          <w:tab w:val="left" w:pos="0"/>
        </w:tabs>
        <w:ind w:left="1800" w:hanging="360"/>
      </w:pPr>
      <w:rPr>
        <w:rFonts w:ascii="Wingdings" w:hAnsi="Wingdings" w:cs="Wingdings" w:hint="default"/>
      </w:rPr>
    </w:lvl>
    <w:lvl w:ilvl="3">
      <w:start w:val="1"/>
      <w:numFmt w:val="bullet"/>
      <w:lvlText w:val=""/>
      <w:lvlJc w:val="left"/>
      <w:pPr>
        <w:tabs>
          <w:tab w:val="left" w:pos="0"/>
        </w:tabs>
        <w:ind w:left="2520" w:hanging="360"/>
      </w:pPr>
      <w:rPr>
        <w:rFonts w:ascii="Symbol" w:hAnsi="Symbol" w:cs="Symbol" w:hint="default"/>
      </w:rPr>
    </w:lvl>
    <w:lvl w:ilvl="4">
      <w:start w:val="1"/>
      <w:numFmt w:val="bullet"/>
      <w:lvlText w:val="o"/>
      <w:lvlJc w:val="left"/>
      <w:pPr>
        <w:tabs>
          <w:tab w:val="left" w:pos="0"/>
        </w:tabs>
        <w:ind w:left="3240" w:hanging="360"/>
      </w:pPr>
      <w:rPr>
        <w:rFonts w:ascii="Courier New" w:hAnsi="Courier New" w:cs="Courier New" w:hint="default"/>
      </w:rPr>
    </w:lvl>
    <w:lvl w:ilvl="5">
      <w:start w:val="1"/>
      <w:numFmt w:val="bullet"/>
      <w:lvlText w:val=""/>
      <w:lvlJc w:val="left"/>
      <w:pPr>
        <w:tabs>
          <w:tab w:val="left" w:pos="0"/>
        </w:tabs>
        <w:ind w:left="3960" w:hanging="360"/>
      </w:pPr>
      <w:rPr>
        <w:rFonts w:ascii="Wingdings" w:hAnsi="Wingdings" w:cs="Wingdings" w:hint="default"/>
      </w:rPr>
    </w:lvl>
    <w:lvl w:ilvl="6">
      <w:start w:val="1"/>
      <w:numFmt w:val="bullet"/>
      <w:lvlText w:val=""/>
      <w:lvlJc w:val="left"/>
      <w:pPr>
        <w:tabs>
          <w:tab w:val="left" w:pos="0"/>
        </w:tabs>
        <w:ind w:left="4680" w:hanging="360"/>
      </w:pPr>
      <w:rPr>
        <w:rFonts w:ascii="Symbol" w:hAnsi="Symbol" w:cs="Symbol" w:hint="default"/>
      </w:rPr>
    </w:lvl>
    <w:lvl w:ilvl="7">
      <w:start w:val="1"/>
      <w:numFmt w:val="bullet"/>
      <w:lvlText w:val="o"/>
      <w:lvlJc w:val="left"/>
      <w:pPr>
        <w:tabs>
          <w:tab w:val="left" w:pos="0"/>
        </w:tabs>
        <w:ind w:left="5400" w:hanging="360"/>
      </w:pPr>
      <w:rPr>
        <w:rFonts w:ascii="Courier New" w:hAnsi="Courier New" w:cs="Courier New" w:hint="default"/>
      </w:rPr>
    </w:lvl>
    <w:lvl w:ilvl="8">
      <w:start w:val="1"/>
      <w:numFmt w:val="bullet"/>
      <w:lvlText w:val=""/>
      <w:lvlJc w:val="left"/>
      <w:pPr>
        <w:tabs>
          <w:tab w:val="left" w:pos="0"/>
        </w:tabs>
        <w:ind w:left="6120" w:hanging="360"/>
      </w:pPr>
      <w:rPr>
        <w:rFonts w:ascii="Wingdings" w:hAnsi="Wingdings" w:cs="Wingdings" w:hint="default"/>
      </w:rPr>
    </w:lvl>
  </w:abstractNum>
  <w:abstractNum w:abstractNumId="36" w15:restartNumberingAfterBreak="0">
    <w:nsid w:val="3113710E"/>
    <w:multiLevelType w:val="multilevel"/>
    <w:tmpl w:val="3113710E"/>
    <w:lvl w:ilvl="0">
      <w:numFmt w:val="bullet"/>
      <w:lvlText w:val="-"/>
      <w:lvlJc w:val="left"/>
      <w:pPr>
        <w:tabs>
          <w:tab w:val="left" w:pos="0"/>
        </w:tabs>
        <w:ind w:left="772" w:hanging="360"/>
      </w:pPr>
      <w:rPr>
        <w:rFonts w:ascii="Times New Roman" w:hAnsi="Times New Roman" w:cs="Times New Roman" w:hint="default"/>
        <w:b/>
      </w:rPr>
    </w:lvl>
    <w:lvl w:ilvl="1">
      <w:start w:val="1"/>
      <w:numFmt w:val="bullet"/>
      <w:lvlText w:val="o"/>
      <w:lvlJc w:val="left"/>
      <w:pPr>
        <w:tabs>
          <w:tab w:val="left" w:pos="0"/>
        </w:tabs>
        <w:ind w:left="1492" w:hanging="360"/>
      </w:pPr>
      <w:rPr>
        <w:rFonts w:ascii="Courier New" w:hAnsi="Courier New" w:cs="Courier New" w:hint="default"/>
      </w:rPr>
    </w:lvl>
    <w:lvl w:ilvl="2">
      <w:start w:val="1"/>
      <w:numFmt w:val="bullet"/>
      <w:lvlText w:val=""/>
      <w:lvlJc w:val="left"/>
      <w:pPr>
        <w:tabs>
          <w:tab w:val="left" w:pos="0"/>
        </w:tabs>
        <w:ind w:left="2212" w:hanging="360"/>
      </w:pPr>
      <w:rPr>
        <w:rFonts w:ascii="Wingdings" w:hAnsi="Wingdings" w:cs="Wingdings" w:hint="default"/>
      </w:rPr>
    </w:lvl>
    <w:lvl w:ilvl="3">
      <w:start w:val="1"/>
      <w:numFmt w:val="bullet"/>
      <w:lvlText w:val=""/>
      <w:lvlJc w:val="left"/>
      <w:pPr>
        <w:tabs>
          <w:tab w:val="left" w:pos="0"/>
        </w:tabs>
        <w:ind w:left="2932" w:hanging="360"/>
      </w:pPr>
      <w:rPr>
        <w:rFonts w:ascii="Symbol" w:hAnsi="Symbol" w:cs="Symbol" w:hint="default"/>
      </w:rPr>
    </w:lvl>
    <w:lvl w:ilvl="4">
      <w:start w:val="1"/>
      <w:numFmt w:val="bullet"/>
      <w:lvlText w:val="o"/>
      <w:lvlJc w:val="left"/>
      <w:pPr>
        <w:tabs>
          <w:tab w:val="left" w:pos="0"/>
        </w:tabs>
        <w:ind w:left="3652" w:hanging="360"/>
      </w:pPr>
      <w:rPr>
        <w:rFonts w:ascii="Courier New" w:hAnsi="Courier New" w:cs="Courier New" w:hint="default"/>
      </w:rPr>
    </w:lvl>
    <w:lvl w:ilvl="5">
      <w:start w:val="1"/>
      <w:numFmt w:val="bullet"/>
      <w:lvlText w:val=""/>
      <w:lvlJc w:val="left"/>
      <w:pPr>
        <w:tabs>
          <w:tab w:val="left" w:pos="0"/>
        </w:tabs>
        <w:ind w:left="4372" w:hanging="360"/>
      </w:pPr>
      <w:rPr>
        <w:rFonts w:ascii="Wingdings" w:hAnsi="Wingdings" w:cs="Wingdings" w:hint="default"/>
      </w:rPr>
    </w:lvl>
    <w:lvl w:ilvl="6">
      <w:start w:val="1"/>
      <w:numFmt w:val="bullet"/>
      <w:lvlText w:val=""/>
      <w:lvlJc w:val="left"/>
      <w:pPr>
        <w:tabs>
          <w:tab w:val="left" w:pos="0"/>
        </w:tabs>
        <w:ind w:left="5092" w:hanging="360"/>
      </w:pPr>
      <w:rPr>
        <w:rFonts w:ascii="Symbol" w:hAnsi="Symbol" w:cs="Symbol" w:hint="default"/>
      </w:rPr>
    </w:lvl>
    <w:lvl w:ilvl="7">
      <w:start w:val="1"/>
      <w:numFmt w:val="bullet"/>
      <w:lvlText w:val="o"/>
      <w:lvlJc w:val="left"/>
      <w:pPr>
        <w:tabs>
          <w:tab w:val="left" w:pos="0"/>
        </w:tabs>
        <w:ind w:left="5812" w:hanging="360"/>
      </w:pPr>
      <w:rPr>
        <w:rFonts w:ascii="Courier New" w:hAnsi="Courier New" w:cs="Courier New" w:hint="default"/>
      </w:rPr>
    </w:lvl>
    <w:lvl w:ilvl="8">
      <w:start w:val="1"/>
      <w:numFmt w:val="bullet"/>
      <w:lvlText w:val=""/>
      <w:lvlJc w:val="left"/>
      <w:pPr>
        <w:tabs>
          <w:tab w:val="left" w:pos="0"/>
        </w:tabs>
        <w:ind w:left="6532" w:hanging="360"/>
      </w:pPr>
      <w:rPr>
        <w:rFonts w:ascii="Wingdings" w:hAnsi="Wingdings" w:cs="Wingdings" w:hint="default"/>
      </w:rPr>
    </w:lvl>
  </w:abstractNum>
  <w:abstractNum w:abstractNumId="37" w15:restartNumberingAfterBreak="0">
    <w:nsid w:val="33D82897"/>
    <w:multiLevelType w:val="multilevel"/>
    <w:tmpl w:val="33D82897"/>
    <w:lvl w:ilvl="0">
      <w:start w:val="1"/>
      <w:numFmt w:val="upperRoman"/>
      <w:lvlText w:val="%1."/>
      <w:lvlJc w:val="left"/>
      <w:pPr>
        <w:tabs>
          <w:tab w:val="left" w:pos="0"/>
        </w:tabs>
        <w:ind w:left="1287" w:hanging="720"/>
      </w:pPr>
      <w:rPr>
        <w:color w:val="2806B6"/>
      </w:rPr>
    </w:lvl>
    <w:lvl w:ilvl="1">
      <w:start w:val="1"/>
      <w:numFmt w:val="decimal"/>
      <w:lvlText w:val="%1.%2."/>
      <w:lvlJc w:val="left"/>
      <w:pPr>
        <w:tabs>
          <w:tab w:val="left" w:pos="0"/>
        </w:tabs>
        <w:ind w:left="1114" w:hanging="405"/>
      </w:pPr>
    </w:lvl>
    <w:lvl w:ilvl="2">
      <w:start w:val="1"/>
      <w:numFmt w:val="decimal"/>
      <w:lvlText w:val="%1.%2.%3."/>
      <w:lvlJc w:val="left"/>
      <w:pPr>
        <w:tabs>
          <w:tab w:val="left" w:pos="0"/>
        </w:tabs>
        <w:ind w:left="1571" w:hanging="720"/>
      </w:pPr>
    </w:lvl>
    <w:lvl w:ilvl="3">
      <w:start w:val="1"/>
      <w:numFmt w:val="decimal"/>
      <w:lvlText w:val="%1.%2.%3.%4."/>
      <w:lvlJc w:val="left"/>
      <w:pPr>
        <w:tabs>
          <w:tab w:val="left" w:pos="0"/>
        </w:tabs>
        <w:ind w:left="1713" w:hanging="720"/>
      </w:pPr>
    </w:lvl>
    <w:lvl w:ilvl="4">
      <w:start w:val="1"/>
      <w:numFmt w:val="decimal"/>
      <w:lvlText w:val="%1.%2.%3.%4.%5."/>
      <w:lvlJc w:val="left"/>
      <w:pPr>
        <w:tabs>
          <w:tab w:val="left" w:pos="0"/>
        </w:tabs>
        <w:ind w:left="2215" w:hanging="1080"/>
      </w:pPr>
    </w:lvl>
    <w:lvl w:ilvl="5">
      <w:start w:val="1"/>
      <w:numFmt w:val="decimal"/>
      <w:lvlText w:val="%1.%2.%3.%4.%5.%6."/>
      <w:lvlJc w:val="left"/>
      <w:pPr>
        <w:tabs>
          <w:tab w:val="left" w:pos="0"/>
        </w:tabs>
        <w:ind w:left="2357" w:hanging="1080"/>
      </w:pPr>
    </w:lvl>
    <w:lvl w:ilvl="6">
      <w:start w:val="1"/>
      <w:numFmt w:val="decimal"/>
      <w:lvlText w:val="%1.%2.%3.%4.%5.%6.%7."/>
      <w:lvlJc w:val="left"/>
      <w:pPr>
        <w:tabs>
          <w:tab w:val="left" w:pos="0"/>
        </w:tabs>
        <w:ind w:left="2859" w:hanging="1440"/>
      </w:pPr>
    </w:lvl>
    <w:lvl w:ilvl="7">
      <w:start w:val="1"/>
      <w:numFmt w:val="decimal"/>
      <w:lvlText w:val="%1.%2.%3.%4.%5.%6.%7.%8."/>
      <w:lvlJc w:val="left"/>
      <w:pPr>
        <w:tabs>
          <w:tab w:val="left" w:pos="0"/>
        </w:tabs>
        <w:ind w:left="3001" w:hanging="1440"/>
      </w:pPr>
    </w:lvl>
    <w:lvl w:ilvl="8">
      <w:start w:val="1"/>
      <w:numFmt w:val="decimal"/>
      <w:lvlText w:val="%1.%2.%3.%4.%5.%6.%7.%8.%9."/>
      <w:lvlJc w:val="left"/>
      <w:pPr>
        <w:tabs>
          <w:tab w:val="left" w:pos="0"/>
        </w:tabs>
        <w:ind w:left="3503" w:hanging="1800"/>
      </w:pPr>
    </w:lvl>
  </w:abstractNum>
  <w:abstractNum w:abstractNumId="38" w15:restartNumberingAfterBreak="0">
    <w:nsid w:val="34D52064"/>
    <w:multiLevelType w:val="multilevel"/>
    <w:tmpl w:val="34D52064"/>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39" w15:restartNumberingAfterBreak="0">
    <w:nsid w:val="351C29DB"/>
    <w:multiLevelType w:val="hybridMultilevel"/>
    <w:tmpl w:val="070241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352D439C"/>
    <w:multiLevelType w:val="multilevel"/>
    <w:tmpl w:val="352D439C"/>
    <w:lvl w:ilvl="0">
      <w:start w:val="1"/>
      <w:numFmt w:val="decimal"/>
      <w:lvlText w:val="%1."/>
      <w:lvlJc w:val="left"/>
      <w:pPr>
        <w:tabs>
          <w:tab w:val="left" w:pos="0"/>
        </w:tabs>
        <w:ind w:left="928" w:hanging="360"/>
      </w:pPr>
      <w:rPr>
        <w:b/>
        <w:i/>
        <w:sz w:val="22"/>
      </w:rPr>
    </w:lvl>
    <w:lvl w:ilvl="1">
      <w:start w:val="1"/>
      <w:numFmt w:val="lowerLetter"/>
      <w:lvlText w:val="%2."/>
      <w:lvlJc w:val="left"/>
      <w:pPr>
        <w:tabs>
          <w:tab w:val="left" w:pos="0"/>
        </w:tabs>
        <w:ind w:left="1790" w:hanging="360"/>
      </w:pPr>
    </w:lvl>
    <w:lvl w:ilvl="2">
      <w:start w:val="1"/>
      <w:numFmt w:val="lowerRoman"/>
      <w:lvlText w:val="%3."/>
      <w:lvlJc w:val="right"/>
      <w:pPr>
        <w:tabs>
          <w:tab w:val="left" w:pos="0"/>
        </w:tabs>
        <w:ind w:left="2510" w:hanging="180"/>
      </w:pPr>
    </w:lvl>
    <w:lvl w:ilvl="3">
      <w:start w:val="1"/>
      <w:numFmt w:val="decimal"/>
      <w:lvlText w:val="%4."/>
      <w:lvlJc w:val="left"/>
      <w:pPr>
        <w:tabs>
          <w:tab w:val="left" w:pos="0"/>
        </w:tabs>
        <w:ind w:left="3230" w:hanging="360"/>
      </w:pPr>
    </w:lvl>
    <w:lvl w:ilvl="4">
      <w:start w:val="1"/>
      <w:numFmt w:val="lowerLetter"/>
      <w:lvlText w:val="%5."/>
      <w:lvlJc w:val="left"/>
      <w:pPr>
        <w:tabs>
          <w:tab w:val="left" w:pos="0"/>
        </w:tabs>
        <w:ind w:left="3950" w:hanging="360"/>
      </w:pPr>
    </w:lvl>
    <w:lvl w:ilvl="5">
      <w:start w:val="1"/>
      <w:numFmt w:val="lowerRoman"/>
      <w:lvlText w:val="%6."/>
      <w:lvlJc w:val="right"/>
      <w:pPr>
        <w:tabs>
          <w:tab w:val="left" w:pos="0"/>
        </w:tabs>
        <w:ind w:left="4670" w:hanging="180"/>
      </w:pPr>
    </w:lvl>
    <w:lvl w:ilvl="6">
      <w:start w:val="1"/>
      <w:numFmt w:val="decimal"/>
      <w:lvlText w:val="%7."/>
      <w:lvlJc w:val="left"/>
      <w:pPr>
        <w:tabs>
          <w:tab w:val="left" w:pos="0"/>
        </w:tabs>
        <w:ind w:left="5390" w:hanging="360"/>
      </w:pPr>
    </w:lvl>
    <w:lvl w:ilvl="7">
      <w:start w:val="1"/>
      <w:numFmt w:val="lowerLetter"/>
      <w:lvlText w:val="%8."/>
      <w:lvlJc w:val="left"/>
      <w:pPr>
        <w:tabs>
          <w:tab w:val="left" w:pos="0"/>
        </w:tabs>
        <w:ind w:left="6110" w:hanging="360"/>
      </w:pPr>
    </w:lvl>
    <w:lvl w:ilvl="8">
      <w:start w:val="1"/>
      <w:numFmt w:val="lowerRoman"/>
      <w:lvlText w:val="%9."/>
      <w:lvlJc w:val="right"/>
      <w:pPr>
        <w:tabs>
          <w:tab w:val="left" w:pos="0"/>
        </w:tabs>
        <w:ind w:left="6830" w:hanging="180"/>
      </w:pPr>
    </w:lvl>
  </w:abstractNum>
  <w:abstractNum w:abstractNumId="41" w15:restartNumberingAfterBreak="0">
    <w:nsid w:val="358C738F"/>
    <w:multiLevelType w:val="multilevel"/>
    <w:tmpl w:val="358C738F"/>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42" w15:restartNumberingAfterBreak="0">
    <w:nsid w:val="378115CD"/>
    <w:multiLevelType w:val="multilevel"/>
    <w:tmpl w:val="378115CD"/>
    <w:lvl w:ilvl="0">
      <w:start w:val="1"/>
      <w:numFmt w:val="bullet"/>
      <w:lvlText w:val=""/>
      <w:lvlJc w:val="left"/>
      <w:pPr>
        <w:tabs>
          <w:tab w:val="left" w:pos="0"/>
        </w:tabs>
        <w:ind w:left="360"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43" w15:restartNumberingAfterBreak="0">
    <w:nsid w:val="37B430AC"/>
    <w:multiLevelType w:val="hybridMultilevel"/>
    <w:tmpl w:val="EC86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5A528E"/>
    <w:multiLevelType w:val="multilevel"/>
    <w:tmpl w:val="3A5A528E"/>
    <w:lvl w:ilvl="0">
      <w:start w:val="1"/>
      <w:numFmt w:val="bullet"/>
      <w:lvlText w:val=""/>
      <w:lvlJc w:val="left"/>
      <w:pPr>
        <w:tabs>
          <w:tab w:val="left" w:pos="1062"/>
        </w:tabs>
        <w:ind w:left="1062" w:hanging="360"/>
      </w:pPr>
      <w:rPr>
        <w:rFonts w:ascii="Symbol" w:hAnsi="Symbol" w:cs="Symbol" w:hint="default"/>
        <w:color w:val="auto"/>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cs="Wingdings" w:hint="default"/>
      </w:rPr>
    </w:lvl>
    <w:lvl w:ilvl="3">
      <w:start w:val="1"/>
      <w:numFmt w:val="bullet"/>
      <w:lvlText w:val=""/>
      <w:lvlJc w:val="left"/>
      <w:pPr>
        <w:tabs>
          <w:tab w:val="left" w:pos="3600"/>
        </w:tabs>
        <w:ind w:left="3600" w:hanging="360"/>
      </w:pPr>
      <w:rPr>
        <w:rFonts w:ascii="Symbol" w:hAnsi="Symbol" w:cs="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cs="Wingdings" w:hint="default"/>
      </w:rPr>
    </w:lvl>
    <w:lvl w:ilvl="6">
      <w:start w:val="1"/>
      <w:numFmt w:val="bullet"/>
      <w:lvlText w:val=""/>
      <w:lvlJc w:val="left"/>
      <w:pPr>
        <w:tabs>
          <w:tab w:val="left" w:pos="5760"/>
        </w:tabs>
        <w:ind w:left="5760" w:hanging="360"/>
      </w:pPr>
      <w:rPr>
        <w:rFonts w:ascii="Symbol" w:hAnsi="Symbol" w:cs="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cs="Wingdings" w:hint="default"/>
      </w:rPr>
    </w:lvl>
  </w:abstractNum>
  <w:abstractNum w:abstractNumId="45" w15:restartNumberingAfterBreak="0">
    <w:nsid w:val="3CCA5E96"/>
    <w:multiLevelType w:val="multilevel"/>
    <w:tmpl w:val="3CCA5E96"/>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46" w15:restartNumberingAfterBreak="0">
    <w:nsid w:val="3D535C21"/>
    <w:multiLevelType w:val="multilevel"/>
    <w:tmpl w:val="3D535C21"/>
    <w:lvl w:ilvl="0">
      <w:start w:val="1"/>
      <w:numFmt w:val="bullet"/>
      <w:lvlText w:val=""/>
      <w:lvlJc w:val="left"/>
      <w:pPr>
        <w:tabs>
          <w:tab w:val="left" w:pos="0"/>
        </w:tabs>
        <w:ind w:left="1287" w:hanging="360"/>
      </w:pPr>
      <w:rPr>
        <w:rFonts w:ascii="Symbol" w:hAnsi="Symbol" w:cs="Symbol"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47" w15:restartNumberingAfterBreak="0">
    <w:nsid w:val="3D5C2BCC"/>
    <w:multiLevelType w:val="multilevel"/>
    <w:tmpl w:val="3D5C2BCC"/>
    <w:lvl w:ilvl="0">
      <w:start w:val="2"/>
      <w:numFmt w:val="decimal"/>
      <w:lvlText w:val="%1."/>
      <w:lvlJc w:val="left"/>
      <w:pPr>
        <w:tabs>
          <w:tab w:val="left" w:pos="0"/>
        </w:tabs>
        <w:ind w:left="1136" w:hanging="360"/>
      </w:pPr>
      <w:rPr>
        <w:b/>
        <w:i/>
        <w:color w:val="0000FF"/>
      </w:rPr>
    </w:lvl>
    <w:lvl w:ilvl="1">
      <w:start w:val="1"/>
      <w:numFmt w:val="lowerLetter"/>
      <w:lvlText w:val="%2."/>
      <w:lvlJc w:val="left"/>
      <w:pPr>
        <w:tabs>
          <w:tab w:val="left" w:pos="0"/>
        </w:tabs>
        <w:ind w:left="1856" w:hanging="360"/>
      </w:pPr>
    </w:lvl>
    <w:lvl w:ilvl="2">
      <w:start w:val="1"/>
      <w:numFmt w:val="lowerRoman"/>
      <w:lvlText w:val="%3."/>
      <w:lvlJc w:val="right"/>
      <w:pPr>
        <w:tabs>
          <w:tab w:val="left" w:pos="0"/>
        </w:tabs>
        <w:ind w:left="2576" w:hanging="180"/>
      </w:pPr>
    </w:lvl>
    <w:lvl w:ilvl="3">
      <w:start w:val="1"/>
      <w:numFmt w:val="bullet"/>
      <w:lvlText w:val=""/>
      <w:lvlJc w:val="left"/>
      <w:pPr>
        <w:tabs>
          <w:tab w:val="left" w:pos="0"/>
        </w:tabs>
        <w:ind w:left="3296" w:hanging="360"/>
      </w:pPr>
      <w:rPr>
        <w:rFonts w:ascii="Wingdings" w:hAnsi="Wingdings" w:cs="Wingdings" w:hint="default"/>
      </w:rPr>
    </w:lvl>
    <w:lvl w:ilvl="4">
      <w:start w:val="1"/>
      <w:numFmt w:val="lowerLetter"/>
      <w:lvlText w:val="%5."/>
      <w:lvlJc w:val="left"/>
      <w:pPr>
        <w:tabs>
          <w:tab w:val="left" w:pos="0"/>
        </w:tabs>
        <w:ind w:left="4016" w:hanging="360"/>
      </w:pPr>
    </w:lvl>
    <w:lvl w:ilvl="5">
      <w:start w:val="1"/>
      <w:numFmt w:val="lowerRoman"/>
      <w:lvlText w:val="%6."/>
      <w:lvlJc w:val="right"/>
      <w:pPr>
        <w:tabs>
          <w:tab w:val="left" w:pos="0"/>
        </w:tabs>
        <w:ind w:left="4736" w:hanging="180"/>
      </w:pPr>
    </w:lvl>
    <w:lvl w:ilvl="6">
      <w:start w:val="1"/>
      <w:numFmt w:val="decimal"/>
      <w:lvlText w:val="%7."/>
      <w:lvlJc w:val="left"/>
      <w:pPr>
        <w:tabs>
          <w:tab w:val="left" w:pos="0"/>
        </w:tabs>
        <w:ind w:left="5456" w:hanging="360"/>
      </w:pPr>
    </w:lvl>
    <w:lvl w:ilvl="7">
      <w:start w:val="1"/>
      <w:numFmt w:val="lowerLetter"/>
      <w:lvlText w:val="%8."/>
      <w:lvlJc w:val="left"/>
      <w:pPr>
        <w:tabs>
          <w:tab w:val="left" w:pos="0"/>
        </w:tabs>
        <w:ind w:left="6176" w:hanging="360"/>
      </w:pPr>
    </w:lvl>
    <w:lvl w:ilvl="8">
      <w:start w:val="1"/>
      <w:numFmt w:val="lowerRoman"/>
      <w:lvlText w:val="%9."/>
      <w:lvlJc w:val="right"/>
      <w:pPr>
        <w:tabs>
          <w:tab w:val="left" w:pos="0"/>
        </w:tabs>
        <w:ind w:left="6896" w:hanging="180"/>
      </w:pPr>
    </w:lvl>
  </w:abstractNum>
  <w:abstractNum w:abstractNumId="48" w15:restartNumberingAfterBreak="0">
    <w:nsid w:val="3DA4015E"/>
    <w:multiLevelType w:val="multilevel"/>
    <w:tmpl w:val="3DA4015E"/>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49" w15:restartNumberingAfterBreak="0">
    <w:nsid w:val="3E921799"/>
    <w:multiLevelType w:val="multilevel"/>
    <w:tmpl w:val="3E921799"/>
    <w:lvl w:ilvl="0">
      <w:start w:val="1"/>
      <w:numFmt w:val="bullet"/>
      <w:lvlText w:val=""/>
      <w:lvlJc w:val="left"/>
      <w:pPr>
        <w:tabs>
          <w:tab w:val="left" w:pos="0"/>
        </w:tabs>
        <w:ind w:left="1428" w:hanging="360"/>
      </w:pPr>
      <w:rPr>
        <w:rFonts w:ascii="Wingdings" w:hAnsi="Wingdings" w:cs="Wingdings" w:hint="default"/>
        <w:b w:val="0"/>
        <w:i w:val="0"/>
        <w:sz w:val="24"/>
        <w:szCs w:val="24"/>
      </w:rPr>
    </w:lvl>
    <w:lvl w:ilvl="1">
      <w:start w:val="1"/>
      <w:numFmt w:val="lowerLetter"/>
      <w:lvlText w:val="%2."/>
      <w:lvlJc w:val="left"/>
      <w:pPr>
        <w:tabs>
          <w:tab w:val="left" w:pos="0"/>
        </w:tabs>
        <w:ind w:left="2148" w:hanging="360"/>
      </w:pPr>
    </w:lvl>
    <w:lvl w:ilvl="2">
      <w:start w:val="1"/>
      <w:numFmt w:val="lowerRoman"/>
      <w:lvlText w:val="%3."/>
      <w:lvlJc w:val="right"/>
      <w:pPr>
        <w:tabs>
          <w:tab w:val="left" w:pos="0"/>
        </w:tabs>
        <w:ind w:left="2868" w:hanging="180"/>
      </w:pPr>
    </w:lvl>
    <w:lvl w:ilvl="3">
      <w:start w:val="1"/>
      <w:numFmt w:val="bullet"/>
      <w:lvlText w:val=""/>
      <w:lvlJc w:val="left"/>
      <w:pPr>
        <w:tabs>
          <w:tab w:val="left" w:pos="0"/>
        </w:tabs>
        <w:ind w:left="1070" w:hanging="360"/>
      </w:pPr>
      <w:rPr>
        <w:rFonts w:ascii="Wingdings" w:hAnsi="Wingdings" w:cs="Wingdings" w:hint="default"/>
      </w:rPr>
    </w:lvl>
    <w:lvl w:ilvl="4">
      <w:start w:val="1"/>
      <w:numFmt w:val="lowerLetter"/>
      <w:lvlText w:val="%5."/>
      <w:lvlJc w:val="left"/>
      <w:pPr>
        <w:tabs>
          <w:tab w:val="left" w:pos="0"/>
        </w:tabs>
        <w:ind w:left="4308" w:hanging="360"/>
      </w:pPr>
    </w:lvl>
    <w:lvl w:ilvl="5">
      <w:start w:val="1"/>
      <w:numFmt w:val="lowerRoman"/>
      <w:lvlText w:val="%6."/>
      <w:lvlJc w:val="right"/>
      <w:pPr>
        <w:tabs>
          <w:tab w:val="left" w:pos="0"/>
        </w:tabs>
        <w:ind w:left="5028" w:hanging="180"/>
      </w:pPr>
    </w:lvl>
    <w:lvl w:ilvl="6">
      <w:start w:val="1"/>
      <w:numFmt w:val="decimal"/>
      <w:lvlText w:val="%7."/>
      <w:lvlJc w:val="left"/>
      <w:pPr>
        <w:tabs>
          <w:tab w:val="left" w:pos="0"/>
        </w:tabs>
        <w:ind w:left="5748" w:hanging="360"/>
      </w:pPr>
    </w:lvl>
    <w:lvl w:ilvl="7">
      <w:start w:val="1"/>
      <w:numFmt w:val="lowerLetter"/>
      <w:lvlText w:val="%8."/>
      <w:lvlJc w:val="left"/>
      <w:pPr>
        <w:tabs>
          <w:tab w:val="left" w:pos="0"/>
        </w:tabs>
        <w:ind w:left="6468" w:hanging="360"/>
      </w:pPr>
    </w:lvl>
    <w:lvl w:ilvl="8">
      <w:start w:val="1"/>
      <w:numFmt w:val="lowerRoman"/>
      <w:lvlText w:val="%9."/>
      <w:lvlJc w:val="right"/>
      <w:pPr>
        <w:tabs>
          <w:tab w:val="left" w:pos="0"/>
        </w:tabs>
        <w:ind w:left="7188" w:hanging="180"/>
      </w:pPr>
    </w:lvl>
  </w:abstractNum>
  <w:abstractNum w:abstractNumId="50" w15:restartNumberingAfterBreak="0">
    <w:nsid w:val="3F224966"/>
    <w:multiLevelType w:val="multilevel"/>
    <w:tmpl w:val="3F224966"/>
    <w:lvl w:ilvl="0">
      <w:start w:val="1"/>
      <w:numFmt w:val="bullet"/>
      <w:lvlText w:val=""/>
      <w:lvlJc w:val="left"/>
      <w:pPr>
        <w:tabs>
          <w:tab w:val="left" w:pos="720"/>
        </w:tabs>
        <w:ind w:left="720" w:hanging="360"/>
      </w:pPr>
      <w:rPr>
        <w:rFonts w:ascii="Wingdings" w:hAnsi="Wingdings" w:cs="Wingdings" w:hint="default"/>
      </w:rPr>
    </w:lvl>
    <w:lvl w:ilvl="1">
      <w:numFmt w:val="bullet"/>
      <w:lvlText w:val="-"/>
      <w:lvlJc w:val="left"/>
      <w:pPr>
        <w:tabs>
          <w:tab w:val="left" w:pos="1440"/>
        </w:tabs>
        <w:ind w:left="1440" w:hanging="360"/>
      </w:pPr>
      <w:rPr>
        <w:rFonts w:ascii="Times New Roman" w:hAnsi="Times New Roman" w:cs="Times New Roman" w:hint="default"/>
        <w:b/>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51" w15:restartNumberingAfterBreak="0">
    <w:nsid w:val="417567C3"/>
    <w:multiLevelType w:val="multilevel"/>
    <w:tmpl w:val="417567C3"/>
    <w:lvl w:ilvl="0">
      <w:start w:val="1"/>
      <w:numFmt w:val="decimal"/>
      <w:lvlText w:val="%1."/>
      <w:lvlJc w:val="left"/>
      <w:pPr>
        <w:tabs>
          <w:tab w:val="left" w:pos="720"/>
        </w:tabs>
        <w:ind w:left="720" w:hanging="360"/>
      </w:pPr>
      <w:rPr>
        <w:b/>
        <w:i/>
        <w:color w:val="0000CC"/>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52" w15:restartNumberingAfterBreak="0">
    <w:nsid w:val="41801A6D"/>
    <w:multiLevelType w:val="multilevel"/>
    <w:tmpl w:val="41801A6D"/>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53" w15:restartNumberingAfterBreak="0">
    <w:nsid w:val="480E091D"/>
    <w:multiLevelType w:val="multilevel"/>
    <w:tmpl w:val="480E091D"/>
    <w:lvl w:ilvl="0">
      <w:start w:val="8"/>
      <w:numFmt w:val="decimal"/>
      <w:lvlText w:val="%1."/>
      <w:lvlJc w:val="left"/>
      <w:pPr>
        <w:tabs>
          <w:tab w:val="left" w:pos="0"/>
        </w:tabs>
        <w:ind w:left="107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54" w15:restartNumberingAfterBreak="0">
    <w:nsid w:val="48860E44"/>
    <w:multiLevelType w:val="hybridMultilevel"/>
    <w:tmpl w:val="BB1A472A"/>
    <w:lvl w:ilvl="0" w:tplc="6E1CAEA8">
      <w:numFmt w:val="bullet"/>
      <w:lvlText w:val="-"/>
      <w:lvlJc w:val="left"/>
      <w:pPr>
        <w:ind w:left="360" w:hanging="360"/>
      </w:pPr>
      <w:rPr>
        <w:rFonts w:ascii="Times New Roman" w:eastAsia="Times New Roman" w:hAnsi="Times New Roman" w:cs="Times New Roman" w:hint="default"/>
        <w:color w:val="auto"/>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5" w15:restartNumberingAfterBreak="0">
    <w:nsid w:val="497A02C2"/>
    <w:multiLevelType w:val="multilevel"/>
    <w:tmpl w:val="497A02C2"/>
    <w:lvl w:ilvl="0">
      <w:start w:val="1"/>
      <w:numFmt w:val="bullet"/>
      <w:pStyle w:val="ListNumber3"/>
      <w:lvlText w:val=""/>
      <w:lvlJc w:val="left"/>
      <w:pPr>
        <w:tabs>
          <w:tab w:val="left" w:pos="360"/>
        </w:tabs>
        <w:ind w:left="360"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6" w15:restartNumberingAfterBreak="0">
    <w:nsid w:val="4B040BA1"/>
    <w:multiLevelType w:val="multilevel"/>
    <w:tmpl w:val="4B040BA1"/>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57" w15:restartNumberingAfterBreak="0">
    <w:nsid w:val="4BB528FD"/>
    <w:multiLevelType w:val="multilevel"/>
    <w:tmpl w:val="4BB528FD"/>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58" w15:restartNumberingAfterBreak="0">
    <w:nsid w:val="4CDE274C"/>
    <w:multiLevelType w:val="hybridMultilevel"/>
    <w:tmpl w:val="4288DAF8"/>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59" w15:restartNumberingAfterBreak="0">
    <w:nsid w:val="4F110B01"/>
    <w:multiLevelType w:val="multilevel"/>
    <w:tmpl w:val="4F110B01"/>
    <w:lvl w:ilvl="0">
      <w:start w:val="4"/>
      <w:numFmt w:val="decimal"/>
      <w:lvlText w:val="%1."/>
      <w:lvlJc w:val="left"/>
      <w:pPr>
        <w:tabs>
          <w:tab w:val="left" w:pos="1070"/>
        </w:tabs>
        <w:ind w:left="107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0" w15:restartNumberingAfterBreak="0">
    <w:nsid w:val="500A5EF3"/>
    <w:multiLevelType w:val="multilevel"/>
    <w:tmpl w:val="500A5EF3"/>
    <w:lvl w:ilvl="0">
      <w:numFmt w:val="bullet"/>
      <w:lvlText w:val="-"/>
      <w:lvlJc w:val="left"/>
      <w:pPr>
        <w:tabs>
          <w:tab w:val="left" w:pos="0"/>
        </w:tabs>
        <w:ind w:left="1429" w:hanging="360"/>
      </w:pPr>
      <w:rPr>
        <w:rFonts w:ascii="Times New Roman" w:hAnsi="Times New Roman" w:cs="Times New Roman" w:hint="default"/>
        <w:color w:val="auto"/>
      </w:r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61" w15:restartNumberingAfterBreak="0">
    <w:nsid w:val="50ED56C3"/>
    <w:multiLevelType w:val="multilevel"/>
    <w:tmpl w:val="50ED56C3"/>
    <w:lvl w:ilvl="0">
      <w:start w:val="1"/>
      <w:numFmt w:val="bullet"/>
      <w:lvlText w:val=""/>
      <w:lvlJc w:val="left"/>
      <w:pPr>
        <w:tabs>
          <w:tab w:val="left" w:pos="0"/>
        </w:tabs>
        <w:ind w:left="360" w:hanging="360"/>
      </w:pPr>
      <w:rPr>
        <w:rFonts w:ascii="Wingdings" w:hAnsi="Wingdings" w:cs="Wingdings" w:hint="default"/>
        <w:b w:val="0"/>
        <w:i w:val="0"/>
        <w:color w:val="auto"/>
        <w:sz w:val="24"/>
        <w:szCs w:val="24"/>
      </w:rPr>
    </w:lvl>
    <w:lvl w:ilvl="1">
      <w:start w:val="1"/>
      <w:numFmt w:val="bullet"/>
      <w:lvlText w:val="o"/>
      <w:lvlJc w:val="left"/>
      <w:pPr>
        <w:tabs>
          <w:tab w:val="left" w:pos="0"/>
        </w:tabs>
        <w:ind w:left="1080" w:hanging="360"/>
      </w:pPr>
      <w:rPr>
        <w:rFonts w:ascii="Courier New" w:hAnsi="Courier New" w:cs="Courier New" w:hint="default"/>
      </w:rPr>
    </w:lvl>
    <w:lvl w:ilvl="2">
      <w:start w:val="1"/>
      <w:numFmt w:val="bullet"/>
      <w:lvlText w:val=""/>
      <w:lvlJc w:val="left"/>
      <w:pPr>
        <w:tabs>
          <w:tab w:val="left" w:pos="0"/>
        </w:tabs>
        <w:ind w:left="1800" w:hanging="360"/>
      </w:pPr>
      <w:rPr>
        <w:rFonts w:ascii="Wingdings" w:hAnsi="Wingdings" w:cs="Wingdings" w:hint="default"/>
      </w:rPr>
    </w:lvl>
    <w:lvl w:ilvl="3">
      <w:start w:val="1"/>
      <w:numFmt w:val="bullet"/>
      <w:lvlText w:val=""/>
      <w:lvlJc w:val="left"/>
      <w:pPr>
        <w:tabs>
          <w:tab w:val="left" w:pos="0"/>
        </w:tabs>
        <w:ind w:left="2520" w:hanging="360"/>
      </w:pPr>
      <w:rPr>
        <w:rFonts w:ascii="Symbol" w:hAnsi="Symbol" w:cs="Symbol" w:hint="default"/>
      </w:rPr>
    </w:lvl>
    <w:lvl w:ilvl="4">
      <w:start w:val="1"/>
      <w:numFmt w:val="bullet"/>
      <w:lvlText w:val="o"/>
      <w:lvlJc w:val="left"/>
      <w:pPr>
        <w:tabs>
          <w:tab w:val="left" w:pos="0"/>
        </w:tabs>
        <w:ind w:left="3240" w:hanging="360"/>
      </w:pPr>
      <w:rPr>
        <w:rFonts w:ascii="Courier New" w:hAnsi="Courier New" w:cs="Courier New" w:hint="default"/>
      </w:rPr>
    </w:lvl>
    <w:lvl w:ilvl="5">
      <w:start w:val="1"/>
      <w:numFmt w:val="bullet"/>
      <w:lvlText w:val=""/>
      <w:lvlJc w:val="left"/>
      <w:pPr>
        <w:tabs>
          <w:tab w:val="left" w:pos="0"/>
        </w:tabs>
        <w:ind w:left="3960" w:hanging="360"/>
      </w:pPr>
      <w:rPr>
        <w:rFonts w:ascii="Wingdings" w:hAnsi="Wingdings" w:cs="Wingdings" w:hint="default"/>
      </w:rPr>
    </w:lvl>
    <w:lvl w:ilvl="6">
      <w:start w:val="1"/>
      <w:numFmt w:val="bullet"/>
      <w:lvlText w:val=""/>
      <w:lvlJc w:val="left"/>
      <w:pPr>
        <w:tabs>
          <w:tab w:val="left" w:pos="0"/>
        </w:tabs>
        <w:ind w:left="4680" w:hanging="360"/>
      </w:pPr>
      <w:rPr>
        <w:rFonts w:ascii="Symbol" w:hAnsi="Symbol" w:cs="Symbol" w:hint="default"/>
      </w:rPr>
    </w:lvl>
    <w:lvl w:ilvl="7">
      <w:start w:val="1"/>
      <w:numFmt w:val="bullet"/>
      <w:lvlText w:val="o"/>
      <w:lvlJc w:val="left"/>
      <w:pPr>
        <w:tabs>
          <w:tab w:val="left" w:pos="0"/>
        </w:tabs>
        <w:ind w:left="5400" w:hanging="360"/>
      </w:pPr>
      <w:rPr>
        <w:rFonts w:ascii="Courier New" w:hAnsi="Courier New" w:cs="Courier New" w:hint="default"/>
      </w:rPr>
    </w:lvl>
    <w:lvl w:ilvl="8">
      <w:start w:val="1"/>
      <w:numFmt w:val="bullet"/>
      <w:lvlText w:val=""/>
      <w:lvlJc w:val="left"/>
      <w:pPr>
        <w:tabs>
          <w:tab w:val="left" w:pos="0"/>
        </w:tabs>
        <w:ind w:left="6120" w:hanging="360"/>
      </w:pPr>
      <w:rPr>
        <w:rFonts w:ascii="Wingdings" w:hAnsi="Wingdings" w:cs="Wingdings" w:hint="default"/>
      </w:rPr>
    </w:lvl>
  </w:abstractNum>
  <w:abstractNum w:abstractNumId="62" w15:restartNumberingAfterBreak="0">
    <w:nsid w:val="51173744"/>
    <w:multiLevelType w:val="multilevel"/>
    <w:tmpl w:val="51173744"/>
    <w:lvl w:ilvl="0">
      <w:start w:val="1"/>
      <w:numFmt w:val="bullet"/>
      <w:lvlText w:val=""/>
      <w:lvlJc w:val="left"/>
      <w:pPr>
        <w:tabs>
          <w:tab w:val="left" w:pos="0"/>
        </w:tabs>
        <w:ind w:left="720" w:hanging="360"/>
      </w:pPr>
      <w:rPr>
        <w:rFonts w:ascii="Wingdings" w:hAnsi="Wingdings" w:cs="Wingdings" w:hint="default"/>
        <w:color w:val="auto"/>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63" w15:restartNumberingAfterBreak="0">
    <w:nsid w:val="52316020"/>
    <w:multiLevelType w:val="multilevel"/>
    <w:tmpl w:val="52316020"/>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64" w15:restartNumberingAfterBreak="0">
    <w:nsid w:val="541035D8"/>
    <w:multiLevelType w:val="multilevel"/>
    <w:tmpl w:val="541035D8"/>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65" w15:restartNumberingAfterBreak="0">
    <w:nsid w:val="54272C23"/>
    <w:multiLevelType w:val="multilevel"/>
    <w:tmpl w:val="54272C23"/>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66" w15:restartNumberingAfterBreak="0">
    <w:nsid w:val="562648B6"/>
    <w:multiLevelType w:val="multilevel"/>
    <w:tmpl w:val="562648B6"/>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67" w15:restartNumberingAfterBreak="0">
    <w:nsid w:val="565E21D5"/>
    <w:multiLevelType w:val="multilevel"/>
    <w:tmpl w:val="565E21D5"/>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68" w15:restartNumberingAfterBreak="0">
    <w:nsid w:val="56717236"/>
    <w:multiLevelType w:val="multilevel"/>
    <w:tmpl w:val="56717236"/>
    <w:lvl w:ilvl="0">
      <w:start w:val="1"/>
      <w:numFmt w:val="bullet"/>
      <w:lvlText w:val=""/>
      <w:lvlJc w:val="left"/>
      <w:pPr>
        <w:tabs>
          <w:tab w:val="left" w:pos="720"/>
        </w:tabs>
        <w:ind w:left="720" w:hanging="360"/>
      </w:pPr>
      <w:rPr>
        <w:rFonts w:ascii="Wingdings" w:hAnsi="Wingdings" w:cs="Wingdings" w:hint="default"/>
      </w:rPr>
    </w:lvl>
    <w:lvl w:ilvl="1">
      <w:numFmt w:val="bullet"/>
      <w:lvlText w:val="-"/>
      <w:lvlJc w:val="left"/>
      <w:pPr>
        <w:tabs>
          <w:tab w:val="left" w:pos="1440"/>
        </w:tabs>
        <w:ind w:left="1440" w:hanging="360"/>
      </w:pPr>
      <w:rPr>
        <w:rFonts w:ascii="Times New Roman" w:hAnsi="Times New Roman" w:cs="Times New Roman" w:hint="default"/>
        <w:b/>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69" w15:restartNumberingAfterBreak="0">
    <w:nsid w:val="56C160D0"/>
    <w:multiLevelType w:val="multilevel"/>
    <w:tmpl w:val="56C160D0"/>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70" w15:restartNumberingAfterBreak="0">
    <w:nsid w:val="58574590"/>
    <w:multiLevelType w:val="multilevel"/>
    <w:tmpl w:val="58574590"/>
    <w:lvl w:ilvl="0">
      <w:start w:val="1"/>
      <w:numFmt w:val="bullet"/>
      <w:lvlText w:val=""/>
      <w:lvlJc w:val="left"/>
      <w:pPr>
        <w:tabs>
          <w:tab w:val="left" w:pos="1069"/>
        </w:tabs>
        <w:ind w:left="1069" w:hanging="360"/>
      </w:pPr>
      <w:rPr>
        <w:rFonts w:ascii="Wingdings" w:hAnsi="Wingdings" w:cs="Wingdings" w:hint="default"/>
      </w:rPr>
    </w:lvl>
    <w:lvl w:ilvl="1">
      <w:start w:val="1"/>
      <w:numFmt w:val="bullet"/>
      <w:lvlText w:val="o"/>
      <w:lvlJc w:val="left"/>
      <w:pPr>
        <w:tabs>
          <w:tab w:val="left" w:pos="1789"/>
        </w:tabs>
        <w:ind w:left="1789" w:hanging="360"/>
      </w:pPr>
      <w:rPr>
        <w:rFonts w:ascii="Courier New" w:hAnsi="Courier New" w:cs="Courier New" w:hint="default"/>
      </w:rPr>
    </w:lvl>
    <w:lvl w:ilvl="2">
      <w:start w:val="1"/>
      <w:numFmt w:val="bullet"/>
      <w:lvlText w:val=""/>
      <w:lvlJc w:val="left"/>
      <w:pPr>
        <w:tabs>
          <w:tab w:val="left" w:pos="2509"/>
        </w:tabs>
        <w:ind w:left="2509" w:hanging="360"/>
      </w:pPr>
      <w:rPr>
        <w:rFonts w:ascii="Wingdings" w:hAnsi="Wingdings" w:cs="Wingdings" w:hint="default"/>
      </w:rPr>
    </w:lvl>
    <w:lvl w:ilvl="3">
      <w:start w:val="1"/>
      <w:numFmt w:val="bullet"/>
      <w:lvlText w:val=""/>
      <w:lvlJc w:val="left"/>
      <w:pPr>
        <w:tabs>
          <w:tab w:val="left" w:pos="3229"/>
        </w:tabs>
        <w:ind w:left="3229" w:hanging="360"/>
      </w:pPr>
      <w:rPr>
        <w:rFonts w:ascii="Symbol" w:hAnsi="Symbol" w:cs="Symbol" w:hint="default"/>
      </w:rPr>
    </w:lvl>
    <w:lvl w:ilvl="4">
      <w:start w:val="1"/>
      <w:numFmt w:val="bullet"/>
      <w:lvlText w:val="o"/>
      <w:lvlJc w:val="left"/>
      <w:pPr>
        <w:tabs>
          <w:tab w:val="left" w:pos="3949"/>
        </w:tabs>
        <w:ind w:left="3949" w:hanging="360"/>
      </w:pPr>
      <w:rPr>
        <w:rFonts w:ascii="Courier New" w:hAnsi="Courier New" w:cs="Courier New" w:hint="default"/>
      </w:rPr>
    </w:lvl>
    <w:lvl w:ilvl="5">
      <w:start w:val="1"/>
      <w:numFmt w:val="bullet"/>
      <w:lvlText w:val=""/>
      <w:lvlJc w:val="left"/>
      <w:pPr>
        <w:tabs>
          <w:tab w:val="left" w:pos="4669"/>
        </w:tabs>
        <w:ind w:left="4669" w:hanging="360"/>
      </w:pPr>
      <w:rPr>
        <w:rFonts w:ascii="Wingdings" w:hAnsi="Wingdings" w:cs="Wingdings" w:hint="default"/>
      </w:rPr>
    </w:lvl>
    <w:lvl w:ilvl="6">
      <w:start w:val="1"/>
      <w:numFmt w:val="bullet"/>
      <w:lvlText w:val=""/>
      <w:lvlJc w:val="left"/>
      <w:pPr>
        <w:tabs>
          <w:tab w:val="left" w:pos="5389"/>
        </w:tabs>
        <w:ind w:left="5389" w:hanging="360"/>
      </w:pPr>
      <w:rPr>
        <w:rFonts w:ascii="Symbol" w:hAnsi="Symbol" w:cs="Symbol" w:hint="default"/>
      </w:rPr>
    </w:lvl>
    <w:lvl w:ilvl="7">
      <w:start w:val="1"/>
      <w:numFmt w:val="bullet"/>
      <w:lvlText w:val="o"/>
      <w:lvlJc w:val="left"/>
      <w:pPr>
        <w:tabs>
          <w:tab w:val="left" w:pos="6109"/>
        </w:tabs>
        <w:ind w:left="6109" w:hanging="360"/>
      </w:pPr>
      <w:rPr>
        <w:rFonts w:ascii="Courier New" w:hAnsi="Courier New" w:cs="Courier New" w:hint="default"/>
      </w:rPr>
    </w:lvl>
    <w:lvl w:ilvl="8">
      <w:start w:val="1"/>
      <w:numFmt w:val="bullet"/>
      <w:lvlText w:val=""/>
      <w:lvlJc w:val="left"/>
      <w:pPr>
        <w:tabs>
          <w:tab w:val="left" w:pos="6829"/>
        </w:tabs>
        <w:ind w:left="6829" w:hanging="360"/>
      </w:pPr>
      <w:rPr>
        <w:rFonts w:ascii="Wingdings" w:hAnsi="Wingdings" w:cs="Wingdings" w:hint="default"/>
      </w:rPr>
    </w:lvl>
  </w:abstractNum>
  <w:abstractNum w:abstractNumId="71" w15:restartNumberingAfterBreak="0">
    <w:nsid w:val="587E1638"/>
    <w:multiLevelType w:val="multilevel"/>
    <w:tmpl w:val="587E1638"/>
    <w:lvl w:ilvl="0">
      <w:start w:val="1"/>
      <w:numFmt w:val="bullet"/>
      <w:lvlText w:val=""/>
      <w:lvlJc w:val="left"/>
      <w:pPr>
        <w:tabs>
          <w:tab w:val="left" w:pos="0"/>
        </w:tabs>
        <w:ind w:left="720" w:hanging="360"/>
      </w:pPr>
      <w:rPr>
        <w:rFonts w:ascii="Wingdings" w:hAnsi="Wingdings" w:cs="Wingdings" w:hint="default"/>
      </w:rPr>
    </w:lvl>
    <w:lvl w:ilvl="1">
      <w:numFmt w:val="bullet"/>
      <w:lvlText w:val="-"/>
      <w:lvlJc w:val="left"/>
      <w:pPr>
        <w:tabs>
          <w:tab w:val="left" w:pos="0"/>
        </w:tabs>
        <w:ind w:left="1440" w:hanging="360"/>
      </w:pPr>
      <w:rPr>
        <w:rFonts w:ascii="Times New Roman" w:hAnsi="Times New Roman" w:cs="Times New Roman"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72" w15:restartNumberingAfterBreak="0">
    <w:nsid w:val="592766CB"/>
    <w:multiLevelType w:val="hybridMultilevel"/>
    <w:tmpl w:val="6DF023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C756B7"/>
    <w:multiLevelType w:val="multilevel"/>
    <w:tmpl w:val="5AC756B7"/>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74" w15:restartNumberingAfterBreak="0">
    <w:nsid w:val="5CDD41A1"/>
    <w:multiLevelType w:val="multilevel"/>
    <w:tmpl w:val="5CDD41A1"/>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75" w15:restartNumberingAfterBreak="0">
    <w:nsid w:val="5F405D18"/>
    <w:multiLevelType w:val="multilevel"/>
    <w:tmpl w:val="5F405D18"/>
    <w:lvl w:ilvl="0">
      <w:start w:val="1"/>
      <w:numFmt w:val="decimal"/>
      <w:lvlText w:val="%1."/>
      <w:lvlJc w:val="left"/>
      <w:pPr>
        <w:tabs>
          <w:tab w:val="left" w:pos="0"/>
        </w:tabs>
        <w:ind w:left="644" w:hanging="360"/>
      </w:pPr>
      <w:rPr>
        <w:b/>
        <w:i/>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76" w15:restartNumberingAfterBreak="0">
    <w:nsid w:val="5FBF6528"/>
    <w:multiLevelType w:val="multilevel"/>
    <w:tmpl w:val="5FBF6528"/>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77" w15:restartNumberingAfterBreak="0">
    <w:nsid w:val="6288485F"/>
    <w:multiLevelType w:val="multilevel"/>
    <w:tmpl w:val="6288485F"/>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78" w15:restartNumberingAfterBreak="0">
    <w:nsid w:val="64BB14D1"/>
    <w:multiLevelType w:val="multilevel"/>
    <w:tmpl w:val="64BB14D1"/>
    <w:lvl w:ilvl="0">
      <w:start w:val="1"/>
      <w:numFmt w:val="bullet"/>
      <w:pStyle w:val="ListNumber2"/>
      <w:lvlText w:val=""/>
      <w:lvlJc w:val="left"/>
      <w:pPr>
        <w:tabs>
          <w:tab w:val="left" w:pos="734"/>
        </w:tabs>
        <w:ind w:left="734"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9" w15:restartNumberingAfterBreak="0">
    <w:nsid w:val="651344B2"/>
    <w:multiLevelType w:val="multilevel"/>
    <w:tmpl w:val="651344B2"/>
    <w:lvl w:ilvl="0">
      <w:start w:val="1"/>
      <w:numFmt w:val="bullet"/>
      <w:lvlText w:val=""/>
      <w:lvlJc w:val="left"/>
      <w:pPr>
        <w:tabs>
          <w:tab w:val="left" w:pos="0"/>
        </w:tabs>
        <w:ind w:left="7874" w:hanging="360"/>
      </w:pPr>
      <w:rPr>
        <w:rFonts w:ascii="Wingdings" w:hAnsi="Wingdings" w:cs="Wingdings" w:hint="default"/>
      </w:rPr>
    </w:lvl>
    <w:lvl w:ilvl="1">
      <w:start w:val="1"/>
      <w:numFmt w:val="bullet"/>
      <w:lvlText w:val="o"/>
      <w:lvlJc w:val="left"/>
      <w:pPr>
        <w:tabs>
          <w:tab w:val="left" w:pos="0"/>
        </w:tabs>
        <w:ind w:left="1648" w:hanging="360"/>
      </w:pPr>
      <w:rPr>
        <w:rFonts w:ascii="Courier New" w:hAnsi="Courier New" w:cs="Courier New" w:hint="default"/>
      </w:rPr>
    </w:lvl>
    <w:lvl w:ilvl="2">
      <w:start w:val="1"/>
      <w:numFmt w:val="bullet"/>
      <w:lvlText w:val=""/>
      <w:lvlJc w:val="left"/>
      <w:pPr>
        <w:tabs>
          <w:tab w:val="left" w:pos="0"/>
        </w:tabs>
        <w:ind w:left="2368" w:hanging="360"/>
      </w:pPr>
      <w:rPr>
        <w:rFonts w:ascii="Wingdings" w:hAnsi="Wingdings" w:cs="Wingdings" w:hint="default"/>
      </w:rPr>
    </w:lvl>
    <w:lvl w:ilvl="3">
      <w:start w:val="1"/>
      <w:numFmt w:val="bullet"/>
      <w:lvlText w:val=""/>
      <w:lvlJc w:val="left"/>
      <w:pPr>
        <w:tabs>
          <w:tab w:val="left" w:pos="0"/>
        </w:tabs>
        <w:ind w:left="3088" w:hanging="360"/>
      </w:pPr>
      <w:rPr>
        <w:rFonts w:ascii="Symbol" w:hAnsi="Symbol" w:cs="Symbol" w:hint="default"/>
      </w:rPr>
    </w:lvl>
    <w:lvl w:ilvl="4">
      <w:start w:val="1"/>
      <w:numFmt w:val="bullet"/>
      <w:lvlText w:val="o"/>
      <w:lvlJc w:val="left"/>
      <w:pPr>
        <w:tabs>
          <w:tab w:val="left" w:pos="0"/>
        </w:tabs>
        <w:ind w:left="3808" w:hanging="360"/>
      </w:pPr>
      <w:rPr>
        <w:rFonts w:ascii="Courier New" w:hAnsi="Courier New" w:cs="Courier New" w:hint="default"/>
      </w:rPr>
    </w:lvl>
    <w:lvl w:ilvl="5">
      <w:start w:val="1"/>
      <w:numFmt w:val="bullet"/>
      <w:lvlText w:val=""/>
      <w:lvlJc w:val="left"/>
      <w:pPr>
        <w:tabs>
          <w:tab w:val="left" w:pos="0"/>
        </w:tabs>
        <w:ind w:left="4528" w:hanging="360"/>
      </w:pPr>
      <w:rPr>
        <w:rFonts w:ascii="Wingdings" w:hAnsi="Wingdings" w:cs="Wingdings" w:hint="default"/>
      </w:rPr>
    </w:lvl>
    <w:lvl w:ilvl="6">
      <w:start w:val="1"/>
      <w:numFmt w:val="bullet"/>
      <w:lvlText w:val=""/>
      <w:lvlJc w:val="left"/>
      <w:pPr>
        <w:tabs>
          <w:tab w:val="left" w:pos="0"/>
        </w:tabs>
        <w:ind w:left="5248" w:hanging="360"/>
      </w:pPr>
      <w:rPr>
        <w:rFonts w:ascii="Symbol" w:hAnsi="Symbol" w:cs="Symbol" w:hint="default"/>
      </w:rPr>
    </w:lvl>
    <w:lvl w:ilvl="7">
      <w:start w:val="1"/>
      <w:numFmt w:val="bullet"/>
      <w:lvlText w:val="o"/>
      <w:lvlJc w:val="left"/>
      <w:pPr>
        <w:tabs>
          <w:tab w:val="left" w:pos="0"/>
        </w:tabs>
        <w:ind w:left="5968" w:hanging="360"/>
      </w:pPr>
      <w:rPr>
        <w:rFonts w:ascii="Courier New" w:hAnsi="Courier New" w:cs="Courier New" w:hint="default"/>
      </w:rPr>
    </w:lvl>
    <w:lvl w:ilvl="8">
      <w:start w:val="1"/>
      <w:numFmt w:val="bullet"/>
      <w:lvlText w:val=""/>
      <w:lvlJc w:val="left"/>
      <w:pPr>
        <w:tabs>
          <w:tab w:val="left" w:pos="0"/>
        </w:tabs>
        <w:ind w:left="6688" w:hanging="360"/>
      </w:pPr>
      <w:rPr>
        <w:rFonts w:ascii="Wingdings" w:hAnsi="Wingdings" w:cs="Wingdings" w:hint="default"/>
      </w:rPr>
    </w:lvl>
  </w:abstractNum>
  <w:abstractNum w:abstractNumId="80" w15:restartNumberingAfterBreak="0">
    <w:nsid w:val="658E550E"/>
    <w:multiLevelType w:val="multilevel"/>
    <w:tmpl w:val="658E550E"/>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
      <w:lvlJc w:val="left"/>
      <w:pPr>
        <w:tabs>
          <w:tab w:val="left" w:pos="0"/>
        </w:tabs>
        <w:ind w:left="1440" w:hanging="360"/>
      </w:pPr>
      <w:rPr>
        <w:rFonts w:ascii="Wingdings" w:hAnsi="Wingdings" w:cs="Wingdings"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81" w15:restartNumberingAfterBreak="0">
    <w:nsid w:val="66064513"/>
    <w:multiLevelType w:val="multilevel"/>
    <w:tmpl w:val="66064513"/>
    <w:lvl w:ilvl="0">
      <w:start w:val="1"/>
      <w:numFmt w:val="bullet"/>
      <w:lvlText w:val=""/>
      <w:lvlJc w:val="left"/>
      <w:pPr>
        <w:tabs>
          <w:tab w:val="left" w:pos="0"/>
        </w:tabs>
        <w:ind w:left="786" w:hanging="360"/>
      </w:pPr>
      <w:rPr>
        <w:rFonts w:ascii="Wingdings" w:hAnsi="Wingdings" w:cs="Wingdings" w:hint="default"/>
      </w:rPr>
    </w:lvl>
    <w:lvl w:ilvl="1">
      <w:start w:val="1"/>
      <w:numFmt w:val="bullet"/>
      <w:lvlText w:val="o"/>
      <w:lvlJc w:val="left"/>
      <w:pPr>
        <w:tabs>
          <w:tab w:val="left" w:pos="0"/>
        </w:tabs>
        <w:ind w:left="1506" w:hanging="360"/>
      </w:pPr>
      <w:rPr>
        <w:rFonts w:ascii="Courier New" w:hAnsi="Courier New" w:cs="Courier New" w:hint="default"/>
      </w:rPr>
    </w:lvl>
    <w:lvl w:ilvl="2">
      <w:start w:val="1"/>
      <w:numFmt w:val="bullet"/>
      <w:lvlText w:val=""/>
      <w:lvlJc w:val="left"/>
      <w:pPr>
        <w:tabs>
          <w:tab w:val="left" w:pos="0"/>
        </w:tabs>
        <w:ind w:left="2226" w:hanging="360"/>
      </w:pPr>
      <w:rPr>
        <w:rFonts w:ascii="Wingdings" w:hAnsi="Wingdings" w:cs="Wingdings" w:hint="default"/>
      </w:rPr>
    </w:lvl>
    <w:lvl w:ilvl="3">
      <w:start w:val="1"/>
      <w:numFmt w:val="bullet"/>
      <w:lvlText w:val=""/>
      <w:lvlJc w:val="left"/>
      <w:pPr>
        <w:tabs>
          <w:tab w:val="left" w:pos="0"/>
        </w:tabs>
        <w:ind w:left="2946" w:hanging="360"/>
      </w:pPr>
      <w:rPr>
        <w:rFonts w:ascii="Symbol" w:hAnsi="Symbol" w:cs="Symbol" w:hint="default"/>
      </w:rPr>
    </w:lvl>
    <w:lvl w:ilvl="4">
      <w:start w:val="1"/>
      <w:numFmt w:val="bullet"/>
      <w:lvlText w:val="o"/>
      <w:lvlJc w:val="left"/>
      <w:pPr>
        <w:tabs>
          <w:tab w:val="left" w:pos="0"/>
        </w:tabs>
        <w:ind w:left="3666" w:hanging="360"/>
      </w:pPr>
      <w:rPr>
        <w:rFonts w:ascii="Courier New" w:hAnsi="Courier New" w:cs="Courier New" w:hint="default"/>
      </w:rPr>
    </w:lvl>
    <w:lvl w:ilvl="5">
      <w:start w:val="1"/>
      <w:numFmt w:val="bullet"/>
      <w:lvlText w:val=""/>
      <w:lvlJc w:val="left"/>
      <w:pPr>
        <w:tabs>
          <w:tab w:val="left" w:pos="0"/>
        </w:tabs>
        <w:ind w:left="4386" w:hanging="360"/>
      </w:pPr>
      <w:rPr>
        <w:rFonts w:ascii="Wingdings" w:hAnsi="Wingdings" w:cs="Wingdings" w:hint="default"/>
      </w:rPr>
    </w:lvl>
    <w:lvl w:ilvl="6">
      <w:start w:val="1"/>
      <w:numFmt w:val="bullet"/>
      <w:lvlText w:val=""/>
      <w:lvlJc w:val="left"/>
      <w:pPr>
        <w:tabs>
          <w:tab w:val="left" w:pos="0"/>
        </w:tabs>
        <w:ind w:left="5106" w:hanging="360"/>
      </w:pPr>
      <w:rPr>
        <w:rFonts w:ascii="Symbol" w:hAnsi="Symbol" w:cs="Symbol" w:hint="default"/>
      </w:rPr>
    </w:lvl>
    <w:lvl w:ilvl="7">
      <w:start w:val="1"/>
      <w:numFmt w:val="bullet"/>
      <w:lvlText w:val="o"/>
      <w:lvlJc w:val="left"/>
      <w:pPr>
        <w:tabs>
          <w:tab w:val="left" w:pos="0"/>
        </w:tabs>
        <w:ind w:left="5826" w:hanging="360"/>
      </w:pPr>
      <w:rPr>
        <w:rFonts w:ascii="Courier New" w:hAnsi="Courier New" w:cs="Courier New" w:hint="default"/>
      </w:rPr>
    </w:lvl>
    <w:lvl w:ilvl="8">
      <w:start w:val="1"/>
      <w:numFmt w:val="bullet"/>
      <w:lvlText w:val=""/>
      <w:lvlJc w:val="left"/>
      <w:pPr>
        <w:tabs>
          <w:tab w:val="left" w:pos="0"/>
        </w:tabs>
        <w:ind w:left="6546" w:hanging="360"/>
      </w:pPr>
      <w:rPr>
        <w:rFonts w:ascii="Wingdings" w:hAnsi="Wingdings" w:cs="Wingdings" w:hint="default"/>
      </w:rPr>
    </w:lvl>
  </w:abstractNum>
  <w:abstractNum w:abstractNumId="82" w15:restartNumberingAfterBreak="0">
    <w:nsid w:val="669531B7"/>
    <w:multiLevelType w:val="multilevel"/>
    <w:tmpl w:val="669531B7"/>
    <w:lvl w:ilvl="0">
      <w:start w:val="1"/>
      <w:numFmt w:val="bullet"/>
      <w:lvlText w:val=""/>
      <w:lvlJc w:val="left"/>
      <w:pPr>
        <w:tabs>
          <w:tab w:val="left" w:pos="0"/>
        </w:tabs>
        <w:ind w:left="360" w:hanging="360"/>
      </w:pPr>
      <w:rPr>
        <w:rFonts w:ascii="Wingdings" w:hAnsi="Wingdings" w:cs="Wingdings" w:hint="default"/>
        <w:color w:val="auto"/>
      </w:rPr>
    </w:lvl>
    <w:lvl w:ilvl="1">
      <w:start w:val="1"/>
      <w:numFmt w:val="bullet"/>
      <w:lvlText w:val="o"/>
      <w:lvlJc w:val="left"/>
      <w:pPr>
        <w:tabs>
          <w:tab w:val="left" w:pos="0"/>
        </w:tabs>
        <w:ind w:left="1080" w:hanging="360"/>
      </w:pPr>
      <w:rPr>
        <w:rFonts w:ascii="Courier New" w:hAnsi="Courier New" w:cs="Courier New" w:hint="default"/>
      </w:rPr>
    </w:lvl>
    <w:lvl w:ilvl="2">
      <w:start w:val="1"/>
      <w:numFmt w:val="bullet"/>
      <w:lvlText w:val=""/>
      <w:lvlJc w:val="left"/>
      <w:pPr>
        <w:tabs>
          <w:tab w:val="left" w:pos="0"/>
        </w:tabs>
        <w:ind w:left="1800" w:hanging="360"/>
      </w:pPr>
      <w:rPr>
        <w:rFonts w:ascii="Wingdings" w:hAnsi="Wingdings" w:cs="Wingdings" w:hint="default"/>
      </w:rPr>
    </w:lvl>
    <w:lvl w:ilvl="3">
      <w:start w:val="1"/>
      <w:numFmt w:val="bullet"/>
      <w:lvlText w:val=""/>
      <w:lvlJc w:val="left"/>
      <w:pPr>
        <w:tabs>
          <w:tab w:val="left" w:pos="0"/>
        </w:tabs>
        <w:ind w:left="2520" w:hanging="360"/>
      </w:pPr>
      <w:rPr>
        <w:rFonts w:ascii="Symbol" w:hAnsi="Symbol" w:cs="Symbol" w:hint="default"/>
      </w:rPr>
    </w:lvl>
    <w:lvl w:ilvl="4">
      <w:start w:val="1"/>
      <w:numFmt w:val="bullet"/>
      <w:lvlText w:val="o"/>
      <w:lvlJc w:val="left"/>
      <w:pPr>
        <w:tabs>
          <w:tab w:val="left" w:pos="0"/>
        </w:tabs>
        <w:ind w:left="3240" w:hanging="360"/>
      </w:pPr>
      <w:rPr>
        <w:rFonts w:ascii="Courier New" w:hAnsi="Courier New" w:cs="Courier New" w:hint="default"/>
      </w:rPr>
    </w:lvl>
    <w:lvl w:ilvl="5">
      <w:start w:val="1"/>
      <w:numFmt w:val="bullet"/>
      <w:lvlText w:val=""/>
      <w:lvlJc w:val="left"/>
      <w:pPr>
        <w:tabs>
          <w:tab w:val="left" w:pos="0"/>
        </w:tabs>
        <w:ind w:left="3960" w:hanging="360"/>
      </w:pPr>
      <w:rPr>
        <w:rFonts w:ascii="Wingdings" w:hAnsi="Wingdings" w:cs="Wingdings" w:hint="default"/>
      </w:rPr>
    </w:lvl>
    <w:lvl w:ilvl="6">
      <w:start w:val="1"/>
      <w:numFmt w:val="bullet"/>
      <w:lvlText w:val=""/>
      <w:lvlJc w:val="left"/>
      <w:pPr>
        <w:tabs>
          <w:tab w:val="left" w:pos="0"/>
        </w:tabs>
        <w:ind w:left="4680" w:hanging="360"/>
      </w:pPr>
      <w:rPr>
        <w:rFonts w:ascii="Symbol" w:hAnsi="Symbol" w:cs="Symbol" w:hint="default"/>
      </w:rPr>
    </w:lvl>
    <w:lvl w:ilvl="7">
      <w:start w:val="1"/>
      <w:numFmt w:val="bullet"/>
      <w:lvlText w:val="o"/>
      <w:lvlJc w:val="left"/>
      <w:pPr>
        <w:tabs>
          <w:tab w:val="left" w:pos="0"/>
        </w:tabs>
        <w:ind w:left="5400" w:hanging="360"/>
      </w:pPr>
      <w:rPr>
        <w:rFonts w:ascii="Courier New" w:hAnsi="Courier New" w:cs="Courier New" w:hint="default"/>
      </w:rPr>
    </w:lvl>
    <w:lvl w:ilvl="8">
      <w:start w:val="1"/>
      <w:numFmt w:val="bullet"/>
      <w:lvlText w:val=""/>
      <w:lvlJc w:val="left"/>
      <w:pPr>
        <w:tabs>
          <w:tab w:val="left" w:pos="0"/>
        </w:tabs>
        <w:ind w:left="6120" w:hanging="360"/>
      </w:pPr>
      <w:rPr>
        <w:rFonts w:ascii="Wingdings" w:hAnsi="Wingdings" w:cs="Wingdings" w:hint="default"/>
      </w:rPr>
    </w:lvl>
  </w:abstractNum>
  <w:abstractNum w:abstractNumId="83" w15:restartNumberingAfterBreak="0">
    <w:nsid w:val="68414DFD"/>
    <w:multiLevelType w:val="multilevel"/>
    <w:tmpl w:val="68414DFD"/>
    <w:lvl w:ilvl="0">
      <w:numFmt w:val="bullet"/>
      <w:lvlText w:val="-"/>
      <w:lvlJc w:val="left"/>
      <w:pPr>
        <w:tabs>
          <w:tab w:val="left" w:pos="0"/>
        </w:tabs>
        <w:ind w:left="1065" w:hanging="360"/>
      </w:pPr>
      <w:rPr>
        <w:rFonts w:ascii="Times New Roman" w:hAnsi="Times New Roman" w:cs="Times New Roman" w:hint="default"/>
      </w:rPr>
    </w:lvl>
    <w:lvl w:ilvl="1">
      <w:start w:val="1"/>
      <w:numFmt w:val="bullet"/>
      <w:lvlText w:val="o"/>
      <w:lvlJc w:val="left"/>
      <w:pPr>
        <w:tabs>
          <w:tab w:val="left" w:pos="0"/>
        </w:tabs>
        <w:ind w:left="1785" w:hanging="360"/>
      </w:pPr>
      <w:rPr>
        <w:rFonts w:ascii="Courier New" w:hAnsi="Courier New" w:cs="Courier New" w:hint="default"/>
      </w:rPr>
    </w:lvl>
    <w:lvl w:ilvl="2">
      <w:start w:val="1"/>
      <w:numFmt w:val="bullet"/>
      <w:lvlText w:val=""/>
      <w:lvlJc w:val="left"/>
      <w:pPr>
        <w:tabs>
          <w:tab w:val="left" w:pos="0"/>
        </w:tabs>
        <w:ind w:left="2505" w:hanging="360"/>
      </w:pPr>
      <w:rPr>
        <w:rFonts w:ascii="Wingdings" w:hAnsi="Wingdings" w:cs="Wingdings" w:hint="default"/>
      </w:rPr>
    </w:lvl>
    <w:lvl w:ilvl="3">
      <w:start w:val="1"/>
      <w:numFmt w:val="bullet"/>
      <w:lvlText w:val=""/>
      <w:lvlJc w:val="left"/>
      <w:pPr>
        <w:tabs>
          <w:tab w:val="left" w:pos="0"/>
        </w:tabs>
        <w:ind w:left="3225" w:hanging="360"/>
      </w:pPr>
      <w:rPr>
        <w:rFonts w:ascii="Symbol" w:hAnsi="Symbol" w:cs="Symbol" w:hint="default"/>
      </w:rPr>
    </w:lvl>
    <w:lvl w:ilvl="4">
      <w:start w:val="1"/>
      <w:numFmt w:val="bullet"/>
      <w:lvlText w:val="o"/>
      <w:lvlJc w:val="left"/>
      <w:pPr>
        <w:tabs>
          <w:tab w:val="left" w:pos="0"/>
        </w:tabs>
        <w:ind w:left="3945" w:hanging="360"/>
      </w:pPr>
      <w:rPr>
        <w:rFonts w:ascii="Courier New" w:hAnsi="Courier New" w:cs="Courier New" w:hint="default"/>
      </w:rPr>
    </w:lvl>
    <w:lvl w:ilvl="5">
      <w:start w:val="1"/>
      <w:numFmt w:val="bullet"/>
      <w:lvlText w:val=""/>
      <w:lvlJc w:val="left"/>
      <w:pPr>
        <w:tabs>
          <w:tab w:val="left" w:pos="0"/>
        </w:tabs>
        <w:ind w:left="4665" w:hanging="360"/>
      </w:pPr>
      <w:rPr>
        <w:rFonts w:ascii="Wingdings" w:hAnsi="Wingdings" w:cs="Wingdings" w:hint="default"/>
      </w:rPr>
    </w:lvl>
    <w:lvl w:ilvl="6">
      <w:start w:val="1"/>
      <w:numFmt w:val="bullet"/>
      <w:lvlText w:val=""/>
      <w:lvlJc w:val="left"/>
      <w:pPr>
        <w:tabs>
          <w:tab w:val="left" w:pos="0"/>
        </w:tabs>
        <w:ind w:left="5385" w:hanging="360"/>
      </w:pPr>
      <w:rPr>
        <w:rFonts w:ascii="Symbol" w:hAnsi="Symbol" w:cs="Symbol" w:hint="default"/>
      </w:rPr>
    </w:lvl>
    <w:lvl w:ilvl="7">
      <w:start w:val="1"/>
      <w:numFmt w:val="bullet"/>
      <w:lvlText w:val="o"/>
      <w:lvlJc w:val="left"/>
      <w:pPr>
        <w:tabs>
          <w:tab w:val="left" w:pos="0"/>
        </w:tabs>
        <w:ind w:left="6105" w:hanging="360"/>
      </w:pPr>
      <w:rPr>
        <w:rFonts w:ascii="Courier New" w:hAnsi="Courier New" w:cs="Courier New" w:hint="default"/>
      </w:rPr>
    </w:lvl>
    <w:lvl w:ilvl="8">
      <w:start w:val="1"/>
      <w:numFmt w:val="bullet"/>
      <w:lvlText w:val=""/>
      <w:lvlJc w:val="left"/>
      <w:pPr>
        <w:tabs>
          <w:tab w:val="left" w:pos="0"/>
        </w:tabs>
        <w:ind w:left="6825" w:hanging="360"/>
      </w:pPr>
      <w:rPr>
        <w:rFonts w:ascii="Wingdings" w:hAnsi="Wingdings" w:cs="Wingdings" w:hint="default"/>
      </w:rPr>
    </w:lvl>
  </w:abstractNum>
  <w:abstractNum w:abstractNumId="84" w15:restartNumberingAfterBreak="0">
    <w:nsid w:val="68B47C1B"/>
    <w:multiLevelType w:val="hybridMultilevel"/>
    <w:tmpl w:val="C4E8AF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5" w15:restartNumberingAfterBreak="0">
    <w:nsid w:val="68E13B7B"/>
    <w:multiLevelType w:val="multilevel"/>
    <w:tmpl w:val="68E13B7B"/>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86" w15:restartNumberingAfterBreak="0">
    <w:nsid w:val="693553D4"/>
    <w:multiLevelType w:val="multilevel"/>
    <w:tmpl w:val="693553D4"/>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87" w15:restartNumberingAfterBreak="0">
    <w:nsid w:val="6BAF723B"/>
    <w:multiLevelType w:val="multilevel"/>
    <w:tmpl w:val="6BAF723B"/>
    <w:lvl w:ilvl="0">
      <w:start w:val="1"/>
      <w:numFmt w:val="bullet"/>
      <w:lvlText w:val=""/>
      <w:lvlJc w:val="left"/>
      <w:pPr>
        <w:tabs>
          <w:tab w:val="left" w:pos="0"/>
        </w:tabs>
        <w:ind w:left="786" w:hanging="360"/>
      </w:pPr>
      <w:rPr>
        <w:rFonts w:ascii="Symbol" w:hAnsi="Symbol" w:cs="Symbol" w:hint="default"/>
      </w:rPr>
    </w:lvl>
    <w:lvl w:ilvl="1">
      <w:start w:val="1"/>
      <w:numFmt w:val="bullet"/>
      <w:lvlText w:val="o"/>
      <w:lvlJc w:val="left"/>
      <w:pPr>
        <w:tabs>
          <w:tab w:val="left" w:pos="0"/>
        </w:tabs>
        <w:ind w:left="1506" w:hanging="360"/>
      </w:pPr>
      <w:rPr>
        <w:rFonts w:ascii="Courier New" w:hAnsi="Courier New" w:cs="Courier New" w:hint="default"/>
      </w:rPr>
    </w:lvl>
    <w:lvl w:ilvl="2">
      <w:start w:val="1"/>
      <w:numFmt w:val="bullet"/>
      <w:lvlText w:val=""/>
      <w:lvlJc w:val="left"/>
      <w:pPr>
        <w:tabs>
          <w:tab w:val="left" w:pos="0"/>
        </w:tabs>
        <w:ind w:left="2226" w:hanging="360"/>
      </w:pPr>
      <w:rPr>
        <w:rFonts w:ascii="Wingdings" w:hAnsi="Wingdings" w:cs="Wingdings" w:hint="default"/>
      </w:rPr>
    </w:lvl>
    <w:lvl w:ilvl="3">
      <w:start w:val="1"/>
      <w:numFmt w:val="bullet"/>
      <w:lvlText w:val=""/>
      <w:lvlJc w:val="left"/>
      <w:pPr>
        <w:tabs>
          <w:tab w:val="left" w:pos="0"/>
        </w:tabs>
        <w:ind w:left="2946" w:hanging="360"/>
      </w:pPr>
      <w:rPr>
        <w:rFonts w:ascii="Symbol" w:hAnsi="Symbol" w:cs="Symbol" w:hint="default"/>
      </w:rPr>
    </w:lvl>
    <w:lvl w:ilvl="4">
      <w:start w:val="1"/>
      <w:numFmt w:val="bullet"/>
      <w:lvlText w:val="o"/>
      <w:lvlJc w:val="left"/>
      <w:pPr>
        <w:tabs>
          <w:tab w:val="left" w:pos="0"/>
        </w:tabs>
        <w:ind w:left="3666" w:hanging="360"/>
      </w:pPr>
      <w:rPr>
        <w:rFonts w:ascii="Courier New" w:hAnsi="Courier New" w:cs="Courier New" w:hint="default"/>
      </w:rPr>
    </w:lvl>
    <w:lvl w:ilvl="5">
      <w:start w:val="1"/>
      <w:numFmt w:val="bullet"/>
      <w:lvlText w:val=""/>
      <w:lvlJc w:val="left"/>
      <w:pPr>
        <w:tabs>
          <w:tab w:val="left" w:pos="0"/>
        </w:tabs>
        <w:ind w:left="4386" w:hanging="360"/>
      </w:pPr>
      <w:rPr>
        <w:rFonts w:ascii="Wingdings" w:hAnsi="Wingdings" w:cs="Wingdings" w:hint="default"/>
      </w:rPr>
    </w:lvl>
    <w:lvl w:ilvl="6">
      <w:start w:val="1"/>
      <w:numFmt w:val="bullet"/>
      <w:lvlText w:val=""/>
      <w:lvlJc w:val="left"/>
      <w:pPr>
        <w:tabs>
          <w:tab w:val="left" w:pos="0"/>
        </w:tabs>
        <w:ind w:left="5106" w:hanging="360"/>
      </w:pPr>
      <w:rPr>
        <w:rFonts w:ascii="Symbol" w:hAnsi="Symbol" w:cs="Symbol" w:hint="default"/>
      </w:rPr>
    </w:lvl>
    <w:lvl w:ilvl="7">
      <w:start w:val="1"/>
      <w:numFmt w:val="bullet"/>
      <w:lvlText w:val="o"/>
      <w:lvlJc w:val="left"/>
      <w:pPr>
        <w:tabs>
          <w:tab w:val="left" w:pos="0"/>
        </w:tabs>
        <w:ind w:left="5826" w:hanging="360"/>
      </w:pPr>
      <w:rPr>
        <w:rFonts w:ascii="Courier New" w:hAnsi="Courier New" w:cs="Courier New" w:hint="default"/>
      </w:rPr>
    </w:lvl>
    <w:lvl w:ilvl="8">
      <w:start w:val="1"/>
      <w:numFmt w:val="bullet"/>
      <w:lvlText w:val=""/>
      <w:lvlJc w:val="left"/>
      <w:pPr>
        <w:tabs>
          <w:tab w:val="left" w:pos="0"/>
        </w:tabs>
        <w:ind w:left="6546" w:hanging="360"/>
      </w:pPr>
      <w:rPr>
        <w:rFonts w:ascii="Wingdings" w:hAnsi="Wingdings" w:cs="Wingdings" w:hint="default"/>
      </w:rPr>
    </w:lvl>
  </w:abstractNum>
  <w:abstractNum w:abstractNumId="88" w15:restartNumberingAfterBreak="0">
    <w:nsid w:val="6CA377B2"/>
    <w:multiLevelType w:val="multilevel"/>
    <w:tmpl w:val="6CA377B2"/>
    <w:lvl w:ilvl="0">
      <w:start w:val="1"/>
      <w:numFmt w:val="bullet"/>
      <w:lvlText w:val=""/>
      <w:lvlJc w:val="left"/>
      <w:pPr>
        <w:tabs>
          <w:tab w:val="left" w:pos="0"/>
        </w:tabs>
        <w:ind w:left="1287" w:hanging="360"/>
      </w:pPr>
      <w:rPr>
        <w:rFonts w:ascii="Symbol" w:hAnsi="Symbol" w:cs="Symbol"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89" w15:restartNumberingAfterBreak="0">
    <w:nsid w:val="707C098C"/>
    <w:multiLevelType w:val="multilevel"/>
    <w:tmpl w:val="707C098C"/>
    <w:lvl w:ilvl="0">
      <w:start w:val="1"/>
      <w:numFmt w:val="decimal"/>
      <w:pStyle w:val="ListNumber10"/>
      <w:lvlText w:val="%1."/>
      <w:lvlJc w:val="left"/>
      <w:pPr>
        <w:tabs>
          <w:tab w:val="left" w:pos="360"/>
        </w:tabs>
        <w:ind w:left="360" w:hanging="360"/>
      </w:pPr>
      <w:rPr>
        <w:rFonts w:cs="Times New Roman"/>
        <w:b/>
        <w:i w:val="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90" w15:restartNumberingAfterBreak="0">
    <w:nsid w:val="73056878"/>
    <w:multiLevelType w:val="multilevel"/>
    <w:tmpl w:val="73056878"/>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91" w15:restartNumberingAfterBreak="0">
    <w:nsid w:val="74D2677B"/>
    <w:multiLevelType w:val="hybridMultilevel"/>
    <w:tmpl w:val="62EA3FA2"/>
    <w:lvl w:ilvl="0" w:tplc="655AAD2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784D0137"/>
    <w:multiLevelType w:val="hybridMultilevel"/>
    <w:tmpl w:val="6988DE0E"/>
    <w:lvl w:ilvl="0" w:tplc="728E1728">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3" w15:restartNumberingAfterBreak="0">
    <w:nsid w:val="786516E0"/>
    <w:multiLevelType w:val="multilevel"/>
    <w:tmpl w:val="786516E0"/>
    <w:lvl w:ilvl="0">
      <w:start w:val="1"/>
      <w:numFmt w:val="decimal"/>
      <w:lvlText w:val="%1."/>
      <w:lvlJc w:val="left"/>
      <w:pPr>
        <w:tabs>
          <w:tab w:val="left" w:pos="0"/>
        </w:tabs>
        <w:ind w:left="720" w:hanging="360"/>
      </w:pPr>
      <w:rPr>
        <w:i/>
        <w:color w:val="2806B6"/>
      </w:rPr>
    </w:lvl>
    <w:lvl w:ilvl="1">
      <w:start w:val="1"/>
      <w:numFmt w:val="decimal"/>
      <w:lvlText w:val="%1.%2."/>
      <w:lvlJc w:val="left"/>
      <w:pPr>
        <w:tabs>
          <w:tab w:val="left" w:pos="0"/>
        </w:tabs>
        <w:ind w:left="927" w:hanging="360"/>
      </w:pPr>
    </w:lvl>
    <w:lvl w:ilvl="2">
      <w:start w:val="1"/>
      <w:numFmt w:val="decimal"/>
      <w:lvlText w:val="%1.%2.%3."/>
      <w:lvlJc w:val="left"/>
      <w:pPr>
        <w:tabs>
          <w:tab w:val="left" w:pos="0"/>
        </w:tabs>
        <w:ind w:left="1494" w:hanging="720"/>
      </w:pPr>
    </w:lvl>
    <w:lvl w:ilvl="3">
      <w:start w:val="1"/>
      <w:numFmt w:val="decimal"/>
      <w:lvlText w:val="%1.%2.%3.%4."/>
      <w:lvlJc w:val="left"/>
      <w:pPr>
        <w:tabs>
          <w:tab w:val="left" w:pos="0"/>
        </w:tabs>
        <w:ind w:left="1701" w:hanging="720"/>
      </w:pPr>
    </w:lvl>
    <w:lvl w:ilvl="4">
      <w:start w:val="1"/>
      <w:numFmt w:val="decimal"/>
      <w:lvlText w:val="%1.%2.%3.%4.%5."/>
      <w:lvlJc w:val="left"/>
      <w:pPr>
        <w:tabs>
          <w:tab w:val="left" w:pos="0"/>
        </w:tabs>
        <w:ind w:left="2268" w:hanging="1080"/>
      </w:pPr>
    </w:lvl>
    <w:lvl w:ilvl="5">
      <w:start w:val="1"/>
      <w:numFmt w:val="decimal"/>
      <w:lvlText w:val="%1.%2.%3.%4.%5.%6."/>
      <w:lvlJc w:val="left"/>
      <w:pPr>
        <w:tabs>
          <w:tab w:val="left" w:pos="0"/>
        </w:tabs>
        <w:ind w:left="2475" w:hanging="1080"/>
      </w:pPr>
    </w:lvl>
    <w:lvl w:ilvl="6">
      <w:start w:val="1"/>
      <w:numFmt w:val="decimal"/>
      <w:lvlText w:val="%1.%2.%3.%4.%5.%6.%7."/>
      <w:lvlJc w:val="left"/>
      <w:pPr>
        <w:tabs>
          <w:tab w:val="left" w:pos="0"/>
        </w:tabs>
        <w:ind w:left="3042" w:hanging="1440"/>
      </w:pPr>
    </w:lvl>
    <w:lvl w:ilvl="7">
      <w:start w:val="1"/>
      <w:numFmt w:val="decimal"/>
      <w:lvlText w:val="%1.%2.%3.%4.%5.%6.%7.%8."/>
      <w:lvlJc w:val="left"/>
      <w:pPr>
        <w:tabs>
          <w:tab w:val="left" w:pos="0"/>
        </w:tabs>
        <w:ind w:left="3249" w:hanging="1440"/>
      </w:pPr>
    </w:lvl>
    <w:lvl w:ilvl="8">
      <w:start w:val="1"/>
      <w:numFmt w:val="decimal"/>
      <w:lvlText w:val="%1.%2.%3.%4.%5.%6.%7.%8.%9."/>
      <w:lvlJc w:val="left"/>
      <w:pPr>
        <w:tabs>
          <w:tab w:val="left" w:pos="0"/>
        </w:tabs>
        <w:ind w:left="3816" w:hanging="1800"/>
      </w:pPr>
    </w:lvl>
  </w:abstractNum>
  <w:abstractNum w:abstractNumId="94" w15:restartNumberingAfterBreak="0">
    <w:nsid w:val="789666E5"/>
    <w:multiLevelType w:val="multilevel"/>
    <w:tmpl w:val="789666E5"/>
    <w:lvl w:ilvl="0">
      <w:start w:val="1"/>
      <w:numFmt w:val="bullet"/>
      <w:lvlText w:val=""/>
      <w:lvlJc w:val="left"/>
      <w:pPr>
        <w:tabs>
          <w:tab w:val="left" w:pos="0"/>
        </w:tabs>
        <w:ind w:left="1287" w:hanging="360"/>
      </w:pPr>
      <w:rPr>
        <w:rFonts w:ascii="Wingdings" w:hAnsi="Wingdings" w:cs="Wingdings" w:hint="default"/>
      </w:rPr>
    </w:lvl>
    <w:lvl w:ilvl="1">
      <w:start w:val="1"/>
      <w:numFmt w:val="bullet"/>
      <w:lvlText w:val="o"/>
      <w:lvlJc w:val="left"/>
      <w:pPr>
        <w:tabs>
          <w:tab w:val="left" w:pos="0"/>
        </w:tabs>
        <w:ind w:left="2007" w:hanging="360"/>
      </w:pPr>
      <w:rPr>
        <w:rFonts w:ascii="Courier New" w:hAnsi="Courier New" w:cs="Courier New" w:hint="default"/>
      </w:rPr>
    </w:lvl>
    <w:lvl w:ilvl="2">
      <w:start w:val="1"/>
      <w:numFmt w:val="bullet"/>
      <w:lvlText w:val=""/>
      <w:lvlJc w:val="left"/>
      <w:pPr>
        <w:tabs>
          <w:tab w:val="left" w:pos="0"/>
        </w:tabs>
        <w:ind w:left="2727" w:hanging="360"/>
      </w:pPr>
      <w:rPr>
        <w:rFonts w:ascii="Wingdings" w:hAnsi="Wingdings" w:cs="Wingdings" w:hint="default"/>
      </w:rPr>
    </w:lvl>
    <w:lvl w:ilvl="3">
      <w:start w:val="1"/>
      <w:numFmt w:val="bullet"/>
      <w:lvlText w:val=""/>
      <w:lvlJc w:val="left"/>
      <w:pPr>
        <w:tabs>
          <w:tab w:val="left" w:pos="0"/>
        </w:tabs>
        <w:ind w:left="3447" w:hanging="360"/>
      </w:pPr>
      <w:rPr>
        <w:rFonts w:ascii="Symbol" w:hAnsi="Symbol" w:cs="Symbol" w:hint="default"/>
      </w:rPr>
    </w:lvl>
    <w:lvl w:ilvl="4">
      <w:start w:val="1"/>
      <w:numFmt w:val="bullet"/>
      <w:lvlText w:val="o"/>
      <w:lvlJc w:val="left"/>
      <w:pPr>
        <w:tabs>
          <w:tab w:val="left" w:pos="0"/>
        </w:tabs>
        <w:ind w:left="4167" w:hanging="360"/>
      </w:pPr>
      <w:rPr>
        <w:rFonts w:ascii="Courier New" w:hAnsi="Courier New" w:cs="Courier New" w:hint="default"/>
      </w:rPr>
    </w:lvl>
    <w:lvl w:ilvl="5">
      <w:start w:val="1"/>
      <w:numFmt w:val="bullet"/>
      <w:lvlText w:val=""/>
      <w:lvlJc w:val="left"/>
      <w:pPr>
        <w:tabs>
          <w:tab w:val="left" w:pos="0"/>
        </w:tabs>
        <w:ind w:left="4887" w:hanging="360"/>
      </w:pPr>
      <w:rPr>
        <w:rFonts w:ascii="Wingdings" w:hAnsi="Wingdings" w:cs="Wingdings" w:hint="default"/>
      </w:rPr>
    </w:lvl>
    <w:lvl w:ilvl="6">
      <w:start w:val="1"/>
      <w:numFmt w:val="bullet"/>
      <w:lvlText w:val=""/>
      <w:lvlJc w:val="left"/>
      <w:pPr>
        <w:tabs>
          <w:tab w:val="left" w:pos="0"/>
        </w:tabs>
        <w:ind w:left="5607" w:hanging="360"/>
      </w:pPr>
      <w:rPr>
        <w:rFonts w:ascii="Symbol" w:hAnsi="Symbol" w:cs="Symbol" w:hint="default"/>
      </w:rPr>
    </w:lvl>
    <w:lvl w:ilvl="7">
      <w:start w:val="1"/>
      <w:numFmt w:val="bullet"/>
      <w:lvlText w:val="o"/>
      <w:lvlJc w:val="left"/>
      <w:pPr>
        <w:tabs>
          <w:tab w:val="left" w:pos="0"/>
        </w:tabs>
        <w:ind w:left="6327" w:hanging="360"/>
      </w:pPr>
      <w:rPr>
        <w:rFonts w:ascii="Courier New" w:hAnsi="Courier New" w:cs="Courier New" w:hint="default"/>
      </w:rPr>
    </w:lvl>
    <w:lvl w:ilvl="8">
      <w:start w:val="1"/>
      <w:numFmt w:val="bullet"/>
      <w:lvlText w:val=""/>
      <w:lvlJc w:val="left"/>
      <w:pPr>
        <w:tabs>
          <w:tab w:val="left" w:pos="0"/>
        </w:tabs>
        <w:ind w:left="7047" w:hanging="360"/>
      </w:pPr>
      <w:rPr>
        <w:rFonts w:ascii="Wingdings" w:hAnsi="Wingdings" w:cs="Wingdings" w:hint="default"/>
      </w:rPr>
    </w:lvl>
  </w:abstractNum>
  <w:abstractNum w:abstractNumId="95" w15:restartNumberingAfterBreak="0">
    <w:nsid w:val="7A765549"/>
    <w:multiLevelType w:val="multilevel"/>
    <w:tmpl w:val="7A765549"/>
    <w:lvl w:ilvl="0">
      <w:start w:val="1"/>
      <w:numFmt w:val="bullet"/>
      <w:lvlText w:val=""/>
      <w:lvlJc w:val="left"/>
      <w:pPr>
        <w:tabs>
          <w:tab w:val="left" w:pos="0"/>
        </w:tabs>
        <w:ind w:left="786" w:hanging="360"/>
      </w:pPr>
      <w:rPr>
        <w:rFonts w:ascii="Wingdings" w:hAnsi="Wingdings" w:cs="Wingdings" w:hint="default"/>
      </w:rPr>
    </w:lvl>
    <w:lvl w:ilvl="1">
      <w:start w:val="1"/>
      <w:numFmt w:val="bullet"/>
      <w:lvlText w:val="o"/>
      <w:lvlJc w:val="left"/>
      <w:pPr>
        <w:tabs>
          <w:tab w:val="left" w:pos="0"/>
        </w:tabs>
        <w:ind w:left="1506" w:hanging="360"/>
      </w:pPr>
      <w:rPr>
        <w:rFonts w:ascii="Courier New" w:hAnsi="Courier New" w:cs="Courier New" w:hint="default"/>
      </w:rPr>
    </w:lvl>
    <w:lvl w:ilvl="2">
      <w:start w:val="1"/>
      <w:numFmt w:val="bullet"/>
      <w:lvlText w:val=""/>
      <w:lvlJc w:val="left"/>
      <w:pPr>
        <w:tabs>
          <w:tab w:val="left" w:pos="0"/>
        </w:tabs>
        <w:ind w:left="2226" w:hanging="360"/>
      </w:pPr>
      <w:rPr>
        <w:rFonts w:ascii="Wingdings" w:hAnsi="Wingdings" w:cs="Wingdings" w:hint="default"/>
      </w:rPr>
    </w:lvl>
    <w:lvl w:ilvl="3">
      <w:start w:val="1"/>
      <w:numFmt w:val="bullet"/>
      <w:lvlText w:val=""/>
      <w:lvlJc w:val="left"/>
      <w:pPr>
        <w:tabs>
          <w:tab w:val="left" w:pos="0"/>
        </w:tabs>
        <w:ind w:left="2946" w:hanging="360"/>
      </w:pPr>
      <w:rPr>
        <w:rFonts w:ascii="Symbol" w:hAnsi="Symbol" w:cs="Symbol" w:hint="default"/>
      </w:rPr>
    </w:lvl>
    <w:lvl w:ilvl="4">
      <w:start w:val="1"/>
      <w:numFmt w:val="bullet"/>
      <w:lvlText w:val="o"/>
      <w:lvlJc w:val="left"/>
      <w:pPr>
        <w:tabs>
          <w:tab w:val="left" w:pos="0"/>
        </w:tabs>
        <w:ind w:left="3666" w:hanging="360"/>
      </w:pPr>
      <w:rPr>
        <w:rFonts w:ascii="Courier New" w:hAnsi="Courier New" w:cs="Courier New" w:hint="default"/>
      </w:rPr>
    </w:lvl>
    <w:lvl w:ilvl="5">
      <w:start w:val="1"/>
      <w:numFmt w:val="bullet"/>
      <w:lvlText w:val=""/>
      <w:lvlJc w:val="left"/>
      <w:pPr>
        <w:tabs>
          <w:tab w:val="left" w:pos="0"/>
        </w:tabs>
        <w:ind w:left="4386" w:hanging="360"/>
      </w:pPr>
      <w:rPr>
        <w:rFonts w:ascii="Wingdings" w:hAnsi="Wingdings" w:cs="Wingdings" w:hint="default"/>
      </w:rPr>
    </w:lvl>
    <w:lvl w:ilvl="6">
      <w:start w:val="1"/>
      <w:numFmt w:val="bullet"/>
      <w:lvlText w:val=""/>
      <w:lvlJc w:val="left"/>
      <w:pPr>
        <w:tabs>
          <w:tab w:val="left" w:pos="0"/>
        </w:tabs>
        <w:ind w:left="5106" w:hanging="360"/>
      </w:pPr>
      <w:rPr>
        <w:rFonts w:ascii="Symbol" w:hAnsi="Symbol" w:cs="Symbol" w:hint="default"/>
      </w:rPr>
    </w:lvl>
    <w:lvl w:ilvl="7">
      <w:start w:val="1"/>
      <w:numFmt w:val="bullet"/>
      <w:lvlText w:val="o"/>
      <w:lvlJc w:val="left"/>
      <w:pPr>
        <w:tabs>
          <w:tab w:val="left" w:pos="0"/>
        </w:tabs>
        <w:ind w:left="5826" w:hanging="360"/>
      </w:pPr>
      <w:rPr>
        <w:rFonts w:ascii="Courier New" w:hAnsi="Courier New" w:cs="Courier New" w:hint="default"/>
      </w:rPr>
    </w:lvl>
    <w:lvl w:ilvl="8">
      <w:start w:val="1"/>
      <w:numFmt w:val="bullet"/>
      <w:lvlText w:val=""/>
      <w:lvlJc w:val="left"/>
      <w:pPr>
        <w:tabs>
          <w:tab w:val="left" w:pos="0"/>
        </w:tabs>
        <w:ind w:left="6546" w:hanging="360"/>
      </w:pPr>
      <w:rPr>
        <w:rFonts w:ascii="Wingdings" w:hAnsi="Wingdings" w:cs="Wingdings" w:hint="default"/>
      </w:rPr>
    </w:lvl>
  </w:abstractNum>
  <w:abstractNum w:abstractNumId="96" w15:restartNumberingAfterBreak="0">
    <w:nsid w:val="7A9150F6"/>
    <w:multiLevelType w:val="multilevel"/>
    <w:tmpl w:val="7A9150F6"/>
    <w:lvl w:ilvl="0">
      <w:start w:val="1"/>
      <w:numFmt w:val="decimal"/>
      <w:lvlText w:val="%1."/>
      <w:lvlJc w:val="left"/>
      <w:pPr>
        <w:tabs>
          <w:tab w:val="left" w:pos="0"/>
        </w:tabs>
        <w:ind w:left="927" w:hanging="360"/>
      </w:pPr>
    </w:lvl>
    <w:lvl w:ilvl="1">
      <w:start w:val="1"/>
      <w:numFmt w:val="lowerLetter"/>
      <w:lvlText w:val="%2."/>
      <w:lvlJc w:val="left"/>
      <w:pPr>
        <w:tabs>
          <w:tab w:val="left" w:pos="0"/>
        </w:tabs>
        <w:ind w:left="1647" w:hanging="360"/>
      </w:pPr>
    </w:lvl>
    <w:lvl w:ilvl="2">
      <w:start w:val="1"/>
      <w:numFmt w:val="lowerRoman"/>
      <w:lvlText w:val="%3."/>
      <w:lvlJc w:val="right"/>
      <w:pPr>
        <w:tabs>
          <w:tab w:val="left" w:pos="0"/>
        </w:tabs>
        <w:ind w:left="2367" w:hanging="180"/>
      </w:pPr>
    </w:lvl>
    <w:lvl w:ilvl="3">
      <w:start w:val="1"/>
      <w:numFmt w:val="decimal"/>
      <w:lvlText w:val="%4."/>
      <w:lvlJc w:val="left"/>
      <w:pPr>
        <w:tabs>
          <w:tab w:val="left" w:pos="0"/>
        </w:tabs>
        <w:ind w:left="3087" w:hanging="360"/>
      </w:pPr>
    </w:lvl>
    <w:lvl w:ilvl="4">
      <w:start w:val="1"/>
      <w:numFmt w:val="lowerLetter"/>
      <w:lvlText w:val="%5."/>
      <w:lvlJc w:val="left"/>
      <w:pPr>
        <w:tabs>
          <w:tab w:val="left" w:pos="0"/>
        </w:tabs>
        <w:ind w:left="3807" w:hanging="360"/>
      </w:pPr>
    </w:lvl>
    <w:lvl w:ilvl="5">
      <w:start w:val="1"/>
      <w:numFmt w:val="lowerRoman"/>
      <w:lvlText w:val="%6."/>
      <w:lvlJc w:val="right"/>
      <w:pPr>
        <w:tabs>
          <w:tab w:val="left" w:pos="0"/>
        </w:tabs>
        <w:ind w:left="4527" w:hanging="180"/>
      </w:pPr>
    </w:lvl>
    <w:lvl w:ilvl="6">
      <w:start w:val="1"/>
      <w:numFmt w:val="decimal"/>
      <w:lvlText w:val="%7."/>
      <w:lvlJc w:val="left"/>
      <w:pPr>
        <w:tabs>
          <w:tab w:val="left" w:pos="0"/>
        </w:tabs>
        <w:ind w:left="5247" w:hanging="360"/>
      </w:pPr>
    </w:lvl>
    <w:lvl w:ilvl="7">
      <w:start w:val="1"/>
      <w:numFmt w:val="lowerLetter"/>
      <w:lvlText w:val="%8."/>
      <w:lvlJc w:val="left"/>
      <w:pPr>
        <w:tabs>
          <w:tab w:val="left" w:pos="0"/>
        </w:tabs>
        <w:ind w:left="5967" w:hanging="360"/>
      </w:pPr>
    </w:lvl>
    <w:lvl w:ilvl="8">
      <w:start w:val="1"/>
      <w:numFmt w:val="lowerRoman"/>
      <w:lvlText w:val="%9."/>
      <w:lvlJc w:val="right"/>
      <w:pPr>
        <w:tabs>
          <w:tab w:val="left" w:pos="0"/>
        </w:tabs>
        <w:ind w:left="6687" w:hanging="180"/>
      </w:pPr>
    </w:lvl>
  </w:abstractNum>
  <w:abstractNum w:abstractNumId="97" w15:restartNumberingAfterBreak="0">
    <w:nsid w:val="7B152803"/>
    <w:multiLevelType w:val="multilevel"/>
    <w:tmpl w:val="7B152803"/>
    <w:lvl w:ilvl="0">
      <w:start w:val="1"/>
      <w:numFmt w:val="bullet"/>
      <w:pStyle w:val="A"/>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98" w15:restartNumberingAfterBreak="0">
    <w:nsid w:val="7CE409DA"/>
    <w:multiLevelType w:val="hybridMultilevel"/>
    <w:tmpl w:val="43DC9C78"/>
    <w:lvl w:ilvl="0" w:tplc="6E1CAEA8">
      <w:numFmt w:val="bullet"/>
      <w:lvlText w:val="-"/>
      <w:lvlJc w:val="left"/>
      <w:pPr>
        <w:ind w:left="1561" w:hanging="360"/>
      </w:pPr>
      <w:rPr>
        <w:rFonts w:ascii="Times New Roman" w:eastAsia="Times New Roman" w:hAnsi="Times New Roman" w:cs="Times New Roman" w:hint="default"/>
        <w:color w:val="auto"/>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99" w15:restartNumberingAfterBreak="0">
    <w:nsid w:val="7F58233B"/>
    <w:multiLevelType w:val="multilevel"/>
    <w:tmpl w:val="7F58233B"/>
    <w:lvl w:ilvl="0">
      <w:start w:val="1"/>
      <w:numFmt w:val="bullet"/>
      <w:lvlText w:val=""/>
      <w:lvlJc w:val="left"/>
      <w:pPr>
        <w:tabs>
          <w:tab w:val="left" w:pos="0"/>
        </w:tabs>
        <w:ind w:left="862" w:hanging="360"/>
      </w:pPr>
      <w:rPr>
        <w:rFonts w:ascii="Wingdings" w:hAnsi="Wingdings" w:cs="Wingdings" w:hint="default"/>
      </w:rPr>
    </w:lvl>
    <w:lvl w:ilvl="1">
      <w:start w:val="1"/>
      <w:numFmt w:val="bullet"/>
      <w:lvlText w:val="o"/>
      <w:lvlJc w:val="left"/>
      <w:pPr>
        <w:tabs>
          <w:tab w:val="left" w:pos="0"/>
        </w:tabs>
        <w:ind w:left="1582" w:hanging="360"/>
      </w:pPr>
      <w:rPr>
        <w:rFonts w:ascii="Courier New" w:hAnsi="Courier New" w:cs="Courier New" w:hint="default"/>
      </w:rPr>
    </w:lvl>
    <w:lvl w:ilvl="2">
      <w:start w:val="1"/>
      <w:numFmt w:val="bullet"/>
      <w:lvlText w:val=""/>
      <w:lvlJc w:val="left"/>
      <w:pPr>
        <w:tabs>
          <w:tab w:val="left" w:pos="0"/>
        </w:tabs>
        <w:ind w:left="2302" w:hanging="360"/>
      </w:pPr>
      <w:rPr>
        <w:rFonts w:ascii="Wingdings" w:hAnsi="Wingdings" w:cs="Wingdings" w:hint="default"/>
      </w:rPr>
    </w:lvl>
    <w:lvl w:ilvl="3">
      <w:start w:val="1"/>
      <w:numFmt w:val="bullet"/>
      <w:lvlText w:val=""/>
      <w:lvlJc w:val="left"/>
      <w:pPr>
        <w:tabs>
          <w:tab w:val="left" w:pos="0"/>
        </w:tabs>
        <w:ind w:left="3022" w:hanging="360"/>
      </w:pPr>
      <w:rPr>
        <w:rFonts w:ascii="Symbol" w:hAnsi="Symbol" w:cs="Symbol" w:hint="default"/>
      </w:rPr>
    </w:lvl>
    <w:lvl w:ilvl="4">
      <w:start w:val="1"/>
      <w:numFmt w:val="bullet"/>
      <w:lvlText w:val="o"/>
      <w:lvlJc w:val="left"/>
      <w:pPr>
        <w:tabs>
          <w:tab w:val="left" w:pos="0"/>
        </w:tabs>
        <w:ind w:left="3742" w:hanging="360"/>
      </w:pPr>
      <w:rPr>
        <w:rFonts w:ascii="Courier New" w:hAnsi="Courier New" w:cs="Courier New" w:hint="default"/>
      </w:rPr>
    </w:lvl>
    <w:lvl w:ilvl="5">
      <w:start w:val="1"/>
      <w:numFmt w:val="bullet"/>
      <w:lvlText w:val=""/>
      <w:lvlJc w:val="left"/>
      <w:pPr>
        <w:tabs>
          <w:tab w:val="left" w:pos="0"/>
        </w:tabs>
        <w:ind w:left="4462" w:hanging="360"/>
      </w:pPr>
      <w:rPr>
        <w:rFonts w:ascii="Wingdings" w:hAnsi="Wingdings" w:cs="Wingdings" w:hint="default"/>
      </w:rPr>
    </w:lvl>
    <w:lvl w:ilvl="6">
      <w:start w:val="1"/>
      <w:numFmt w:val="bullet"/>
      <w:lvlText w:val=""/>
      <w:lvlJc w:val="left"/>
      <w:pPr>
        <w:tabs>
          <w:tab w:val="left" w:pos="0"/>
        </w:tabs>
        <w:ind w:left="5182" w:hanging="360"/>
      </w:pPr>
      <w:rPr>
        <w:rFonts w:ascii="Symbol" w:hAnsi="Symbol" w:cs="Symbol" w:hint="default"/>
      </w:rPr>
    </w:lvl>
    <w:lvl w:ilvl="7">
      <w:start w:val="1"/>
      <w:numFmt w:val="bullet"/>
      <w:lvlText w:val="o"/>
      <w:lvlJc w:val="left"/>
      <w:pPr>
        <w:tabs>
          <w:tab w:val="left" w:pos="0"/>
        </w:tabs>
        <w:ind w:left="5902" w:hanging="360"/>
      </w:pPr>
      <w:rPr>
        <w:rFonts w:ascii="Courier New" w:hAnsi="Courier New" w:cs="Courier New" w:hint="default"/>
      </w:rPr>
    </w:lvl>
    <w:lvl w:ilvl="8">
      <w:start w:val="1"/>
      <w:numFmt w:val="bullet"/>
      <w:lvlText w:val=""/>
      <w:lvlJc w:val="left"/>
      <w:pPr>
        <w:tabs>
          <w:tab w:val="left" w:pos="0"/>
        </w:tabs>
        <w:ind w:left="6622" w:hanging="360"/>
      </w:pPr>
      <w:rPr>
        <w:rFonts w:ascii="Wingdings" w:hAnsi="Wingdings" w:cs="Wingdings" w:hint="default"/>
      </w:rPr>
    </w:lvl>
  </w:abstractNum>
  <w:num w:numId="1">
    <w:abstractNumId w:val="31"/>
  </w:num>
  <w:num w:numId="2">
    <w:abstractNumId w:val="32"/>
  </w:num>
  <w:num w:numId="3">
    <w:abstractNumId w:val="30"/>
  </w:num>
  <w:num w:numId="4">
    <w:abstractNumId w:val="78"/>
  </w:num>
  <w:num w:numId="5">
    <w:abstractNumId w:val="55"/>
  </w:num>
  <w:num w:numId="6">
    <w:abstractNumId w:val="23"/>
  </w:num>
  <w:num w:numId="7">
    <w:abstractNumId w:val="6"/>
  </w:num>
  <w:num w:numId="8">
    <w:abstractNumId w:val="89"/>
  </w:num>
  <w:num w:numId="9">
    <w:abstractNumId w:val="97"/>
  </w:num>
  <w:num w:numId="10">
    <w:abstractNumId w:val="37"/>
  </w:num>
  <w:num w:numId="11">
    <w:abstractNumId w:val="85"/>
  </w:num>
  <w:num w:numId="12">
    <w:abstractNumId w:val="21"/>
  </w:num>
  <w:num w:numId="13">
    <w:abstractNumId w:val="34"/>
  </w:num>
  <w:num w:numId="14">
    <w:abstractNumId w:val="46"/>
  </w:num>
  <w:num w:numId="15">
    <w:abstractNumId w:val="99"/>
  </w:num>
  <w:num w:numId="16">
    <w:abstractNumId w:val="71"/>
  </w:num>
  <w:num w:numId="17">
    <w:abstractNumId w:val="38"/>
  </w:num>
  <w:num w:numId="18">
    <w:abstractNumId w:val="66"/>
  </w:num>
  <w:num w:numId="19">
    <w:abstractNumId w:val="18"/>
  </w:num>
  <w:num w:numId="20">
    <w:abstractNumId w:val="16"/>
  </w:num>
  <w:num w:numId="21">
    <w:abstractNumId w:val="3"/>
  </w:num>
  <w:num w:numId="22">
    <w:abstractNumId w:val="0"/>
  </w:num>
  <w:num w:numId="23">
    <w:abstractNumId w:val="95"/>
  </w:num>
  <w:num w:numId="24">
    <w:abstractNumId w:val="70"/>
  </w:num>
  <w:num w:numId="25">
    <w:abstractNumId w:val="22"/>
  </w:num>
  <w:num w:numId="26">
    <w:abstractNumId w:val="81"/>
  </w:num>
  <w:num w:numId="27">
    <w:abstractNumId w:val="48"/>
  </w:num>
  <w:num w:numId="28">
    <w:abstractNumId w:val="42"/>
  </w:num>
  <w:num w:numId="29">
    <w:abstractNumId w:val="28"/>
  </w:num>
  <w:num w:numId="30">
    <w:abstractNumId w:val="15"/>
  </w:num>
  <w:num w:numId="31">
    <w:abstractNumId w:val="77"/>
  </w:num>
  <w:num w:numId="32">
    <w:abstractNumId w:val="40"/>
  </w:num>
  <w:num w:numId="33">
    <w:abstractNumId w:val="62"/>
  </w:num>
  <w:num w:numId="34">
    <w:abstractNumId w:val="24"/>
  </w:num>
  <w:num w:numId="35">
    <w:abstractNumId w:val="88"/>
  </w:num>
  <w:num w:numId="36">
    <w:abstractNumId w:val="41"/>
  </w:num>
  <w:num w:numId="37">
    <w:abstractNumId w:val="11"/>
  </w:num>
  <w:num w:numId="38">
    <w:abstractNumId w:val="87"/>
  </w:num>
  <w:num w:numId="39">
    <w:abstractNumId w:val="19"/>
  </w:num>
  <w:num w:numId="40">
    <w:abstractNumId w:val="14"/>
  </w:num>
  <w:num w:numId="41">
    <w:abstractNumId w:val="9"/>
  </w:num>
  <w:num w:numId="42">
    <w:abstractNumId w:val="13"/>
  </w:num>
  <w:num w:numId="43">
    <w:abstractNumId w:val="4"/>
  </w:num>
  <w:num w:numId="44">
    <w:abstractNumId w:val="45"/>
  </w:num>
  <w:num w:numId="45">
    <w:abstractNumId w:val="76"/>
  </w:num>
  <w:num w:numId="46">
    <w:abstractNumId w:val="8"/>
  </w:num>
  <w:num w:numId="47">
    <w:abstractNumId w:val="80"/>
  </w:num>
  <w:num w:numId="48">
    <w:abstractNumId w:val="93"/>
  </w:num>
  <w:num w:numId="49">
    <w:abstractNumId w:val="33"/>
  </w:num>
  <w:num w:numId="50">
    <w:abstractNumId w:val="90"/>
  </w:num>
  <w:num w:numId="51">
    <w:abstractNumId w:val="5"/>
  </w:num>
  <w:num w:numId="52">
    <w:abstractNumId w:val="94"/>
  </w:num>
  <w:num w:numId="53">
    <w:abstractNumId w:val="75"/>
  </w:num>
  <w:num w:numId="54">
    <w:abstractNumId w:val="73"/>
  </w:num>
  <w:num w:numId="55">
    <w:abstractNumId w:val="27"/>
  </w:num>
  <w:num w:numId="56">
    <w:abstractNumId w:val="7"/>
  </w:num>
  <w:num w:numId="57">
    <w:abstractNumId w:val="67"/>
  </w:num>
  <w:num w:numId="58">
    <w:abstractNumId w:val="63"/>
  </w:num>
  <w:num w:numId="59">
    <w:abstractNumId w:val="29"/>
  </w:num>
  <w:num w:numId="60">
    <w:abstractNumId w:val="86"/>
  </w:num>
  <w:num w:numId="61">
    <w:abstractNumId w:val="52"/>
  </w:num>
  <w:num w:numId="62">
    <w:abstractNumId w:val="49"/>
  </w:num>
  <w:num w:numId="63">
    <w:abstractNumId w:val="1"/>
  </w:num>
  <w:num w:numId="64">
    <w:abstractNumId w:val="2"/>
  </w:num>
  <w:num w:numId="65">
    <w:abstractNumId w:val="47"/>
  </w:num>
  <w:num w:numId="66">
    <w:abstractNumId w:val="82"/>
  </w:num>
  <w:num w:numId="67">
    <w:abstractNumId w:val="61"/>
  </w:num>
  <w:num w:numId="68">
    <w:abstractNumId w:val="56"/>
  </w:num>
  <w:num w:numId="69">
    <w:abstractNumId w:val="35"/>
  </w:num>
  <w:num w:numId="70">
    <w:abstractNumId w:val="10"/>
  </w:num>
  <w:num w:numId="71">
    <w:abstractNumId w:val="60"/>
  </w:num>
  <w:num w:numId="72">
    <w:abstractNumId w:val="79"/>
  </w:num>
  <w:num w:numId="73">
    <w:abstractNumId w:val="83"/>
  </w:num>
  <w:num w:numId="74">
    <w:abstractNumId w:val="65"/>
  </w:num>
  <w:num w:numId="75">
    <w:abstractNumId w:val="57"/>
  </w:num>
  <w:num w:numId="76">
    <w:abstractNumId w:val="69"/>
  </w:num>
  <w:num w:numId="77">
    <w:abstractNumId w:val="25"/>
  </w:num>
  <w:num w:numId="78">
    <w:abstractNumId w:val="96"/>
  </w:num>
  <w:num w:numId="79">
    <w:abstractNumId w:val="36"/>
  </w:num>
  <w:num w:numId="80">
    <w:abstractNumId w:val="59"/>
  </w:num>
  <w:num w:numId="81">
    <w:abstractNumId w:val="53"/>
  </w:num>
  <w:num w:numId="82">
    <w:abstractNumId w:val="51"/>
  </w:num>
  <w:num w:numId="83">
    <w:abstractNumId w:val="26"/>
  </w:num>
  <w:num w:numId="84">
    <w:abstractNumId w:val="20"/>
  </w:num>
  <w:num w:numId="85">
    <w:abstractNumId w:val="68"/>
  </w:num>
  <w:num w:numId="86">
    <w:abstractNumId w:val="50"/>
  </w:num>
  <w:num w:numId="87">
    <w:abstractNumId w:val="64"/>
  </w:num>
  <w:num w:numId="88">
    <w:abstractNumId w:val="44"/>
  </w:num>
  <w:num w:numId="89">
    <w:abstractNumId w:val="74"/>
  </w:num>
  <w:num w:numId="90">
    <w:abstractNumId w:val="43"/>
  </w:num>
  <w:num w:numId="91">
    <w:abstractNumId w:val="72"/>
  </w:num>
  <w:num w:numId="92">
    <w:abstractNumId w:val="98"/>
  </w:num>
  <w:num w:numId="93">
    <w:abstractNumId w:val="54"/>
  </w:num>
  <w:num w:numId="9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1"/>
  </w:num>
  <w:num w:numId="96">
    <w:abstractNumId w:val="17"/>
  </w:num>
  <w:num w:numId="97">
    <w:abstractNumId w:val="84"/>
  </w:num>
  <w:num w:numId="98">
    <w:abstractNumId w:val="39"/>
  </w:num>
  <w:num w:numId="99">
    <w:abstractNumId w:val="92"/>
  </w:num>
  <w:num w:numId="100">
    <w:abstractNumId w:val="5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D1"/>
    <w:rsid w:val="0002736D"/>
    <w:rsid w:val="0004270A"/>
    <w:rsid w:val="00055B46"/>
    <w:rsid w:val="00056549"/>
    <w:rsid w:val="000753B6"/>
    <w:rsid w:val="00077CCE"/>
    <w:rsid w:val="00095D91"/>
    <w:rsid w:val="000A3E45"/>
    <w:rsid w:val="000B3757"/>
    <w:rsid w:val="000C039C"/>
    <w:rsid w:val="000C574D"/>
    <w:rsid w:val="000C69B3"/>
    <w:rsid w:val="000D184C"/>
    <w:rsid w:val="000D4589"/>
    <w:rsid w:val="000E0E56"/>
    <w:rsid w:val="000E373F"/>
    <w:rsid w:val="000F458E"/>
    <w:rsid w:val="00103220"/>
    <w:rsid w:val="001161E8"/>
    <w:rsid w:val="00135C77"/>
    <w:rsid w:val="00141812"/>
    <w:rsid w:val="001440B5"/>
    <w:rsid w:val="0015059E"/>
    <w:rsid w:val="00165C4A"/>
    <w:rsid w:val="00166F59"/>
    <w:rsid w:val="00167988"/>
    <w:rsid w:val="00180A34"/>
    <w:rsid w:val="001815D9"/>
    <w:rsid w:val="00193051"/>
    <w:rsid w:val="00194E4A"/>
    <w:rsid w:val="001A0D64"/>
    <w:rsid w:val="001B420F"/>
    <w:rsid w:val="001D6C68"/>
    <w:rsid w:val="001F23DF"/>
    <w:rsid w:val="001F5538"/>
    <w:rsid w:val="00205007"/>
    <w:rsid w:val="00210DE9"/>
    <w:rsid w:val="0022160A"/>
    <w:rsid w:val="002314E0"/>
    <w:rsid w:val="00241808"/>
    <w:rsid w:val="0027232A"/>
    <w:rsid w:val="002832B5"/>
    <w:rsid w:val="002873DD"/>
    <w:rsid w:val="002B0CD1"/>
    <w:rsid w:val="002B45B5"/>
    <w:rsid w:val="002C2CA3"/>
    <w:rsid w:val="002C570A"/>
    <w:rsid w:val="002F497A"/>
    <w:rsid w:val="00301F1D"/>
    <w:rsid w:val="00304373"/>
    <w:rsid w:val="00307EB1"/>
    <w:rsid w:val="00312639"/>
    <w:rsid w:val="00323489"/>
    <w:rsid w:val="00331F71"/>
    <w:rsid w:val="00347D59"/>
    <w:rsid w:val="00351C53"/>
    <w:rsid w:val="003600A5"/>
    <w:rsid w:val="00361EBD"/>
    <w:rsid w:val="0037064D"/>
    <w:rsid w:val="00380853"/>
    <w:rsid w:val="00383666"/>
    <w:rsid w:val="003A191A"/>
    <w:rsid w:val="003A2796"/>
    <w:rsid w:val="003A36E2"/>
    <w:rsid w:val="003A3DC4"/>
    <w:rsid w:val="003B0C07"/>
    <w:rsid w:val="003B2214"/>
    <w:rsid w:val="003D3676"/>
    <w:rsid w:val="003D65ED"/>
    <w:rsid w:val="003F263F"/>
    <w:rsid w:val="003F72AF"/>
    <w:rsid w:val="003F7421"/>
    <w:rsid w:val="00426FE9"/>
    <w:rsid w:val="004300D0"/>
    <w:rsid w:val="00443DF6"/>
    <w:rsid w:val="00446C84"/>
    <w:rsid w:val="00452F81"/>
    <w:rsid w:val="00467FDA"/>
    <w:rsid w:val="00487F30"/>
    <w:rsid w:val="004A6E83"/>
    <w:rsid w:val="004B2A71"/>
    <w:rsid w:val="004C0DEF"/>
    <w:rsid w:val="004C426E"/>
    <w:rsid w:val="004C62BA"/>
    <w:rsid w:val="004C77CC"/>
    <w:rsid w:val="004D4659"/>
    <w:rsid w:val="004E50D5"/>
    <w:rsid w:val="004F30BC"/>
    <w:rsid w:val="00502B0F"/>
    <w:rsid w:val="00506940"/>
    <w:rsid w:val="005137AD"/>
    <w:rsid w:val="0052249A"/>
    <w:rsid w:val="00526E92"/>
    <w:rsid w:val="00537ED0"/>
    <w:rsid w:val="00563AAD"/>
    <w:rsid w:val="005854A9"/>
    <w:rsid w:val="00591CDE"/>
    <w:rsid w:val="005A4F28"/>
    <w:rsid w:val="005B2095"/>
    <w:rsid w:val="005B294D"/>
    <w:rsid w:val="005B67B4"/>
    <w:rsid w:val="005C5A09"/>
    <w:rsid w:val="005C6C43"/>
    <w:rsid w:val="005D797B"/>
    <w:rsid w:val="005F2F18"/>
    <w:rsid w:val="006009F1"/>
    <w:rsid w:val="0061240B"/>
    <w:rsid w:val="006176C4"/>
    <w:rsid w:val="00617B7C"/>
    <w:rsid w:val="00623DBC"/>
    <w:rsid w:val="006264B6"/>
    <w:rsid w:val="0062747A"/>
    <w:rsid w:val="00630B5B"/>
    <w:rsid w:val="006408A3"/>
    <w:rsid w:val="00655DC7"/>
    <w:rsid w:val="00663769"/>
    <w:rsid w:val="00681781"/>
    <w:rsid w:val="00690813"/>
    <w:rsid w:val="006B7C85"/>
    <w:rsid w:val="006C0100"/>
    <w:rsid w:val="006D266C"/>
    <w:rsid w:val="006F6FBC"/>
    <w:rsid w:val="007019FA"/>
    <w:rsid w:val="00703C7B"/>
    <w:rsid w:val="0070596B"/>
    <w:rsid w:val="00723A45"/>
    <w:rsid w:val="0072571D"/>
    <w:rsid w:val="00730782"/>
    <w:rsid w:val="0073355C"/>
    <w:rsid w:val="007357F2"/>
    <w:rsid w:val="00764D76"/>
    <w:rsid w:val="00764D77"/>
    <w:rsid w:val="0076619A"/>
    <w:rsid w:val="00784C8C"/>
    <w:rsid w:val="007938C9"/>
    <w:rsid w:val="007E2618"/>
    <w:rsid w:val="0080085E"/>
    <w:rsid w:val="00801D4A"/>
    <w:rsid w:val="00816EFD"/>
    <w:rsid w:val="00824911"/>
    <w:rsid w:val="00825E5D"/>
    <w:rsid w:val="00833007"/>
    <w:rsid w:val="0083607B"/>
    <w:rsid w:val="00843280"/>
    <w:rsid w:val="0084613C"/>
    <w:rsid w:val="00860534"/>
    <w:rsid w:val="008759A3"/>
    <w:rsid w:val="008912AD"/>
    <w:rsid w:val="008915E4"/>
    <w:rsid w:val="008A3607"/>
    <w:rsid w:val="008A7C4E"/>
    <w:rsid w:val="008B0A30"/>
    <w:rsid w:val="008F25B0"/>
    <w:rsid w:val="00920E20"/>
    <w:rsid w:val="00926A25"/>
    <w:rsid w:val="0093180B"/>
    <w:rsid w:val="00936DD2"/>
    <w:rsid w:val="009407E3"/>
    <w:rsid w:val="00942A7D"/>
    <w:rsid w:val="0097569F"/>
    <w:rsid w:val="009912CD"/>
    <w:rsid w:val="009A496C"/>
    <w:rsid w:val="009B5836"/>
    <w:rsid w:val="009C13EF"/>
    <w:rsid w:val="009C6A3B"/>
    <w:rsid w:val="00A232AC"/>
    <w:rsid w:val="00A25046"/>
    <w:rsid w:val="00A359DD"/>
    <w:rsid w:val="00A36441"/>
    <w:rsid w:val="00A47EAD"/>
    <w:rsid w:val="00A63D59"/>
    <w:rsid w:val="00A67D66"/>
    <w:rsid w:val="00A705B7"/>
    <w:rsid w:val="00A7406A"/>
    <w:rsid w:val="00A74E71"/>
    <w:rsid w:val="00A86BED"/>
    <w:rsid w:val="00A91EF7"/>
    <w:rsid w:val="00AA296A"/>
    <w:rsid w:val="00AC068C"/>
    <w:rsid w:val="00AC29F9"/>
    <w:rsid w:val="00AD70A9"/>
    <w:rsid w:val="00AE2DF7"/>
    <w:rsid w:val="00B03264"/>
    <w:rsid w:val="00B178B3"/>
    <w:rsid w:val="00B23364"/>
    <w:rsid w:val="00B34ACE"/>
    <w:rsid w:val="00B55753"/>
    <w:rsid w:val="00B6064E"/>
    <w:rsid w:val="00B672F6"/>
    <w:rsid w:val="00B8247E"/>
    <w:rsid w:val="00BA5C65"/>
    <w:rsid w:val="00BD354C"/>
    <w:rsid w:val="00BE598F"/>
    <w:rsid w:val="00BF4DC6"/>
    <w:rsid w:val="00BF73F3"/>
    <w:rsid w:val="00C0084A"/>
    <w:rsid w:val="00C11741"/>
    <w:rsid w:val="00C144AA"/>
    <w:rsid w:val="00C20AEA"/>
    <w:rsid w:val="00C22D43"/>
    <w:rsid w:val="00C25A94"/>
    <w:rsid w:val="00C2798C"/>
    <w:rsid w:val="00C3008B"/>
    <w:rsid w:val="00C30860"/>
    <w:rsid w:val="00C349D4"/>
    <w:rsid w:val="00C50821"/>
    <w:rsid w:val="00C55938"/>
    <w:rsid w:val="00C77B5D"/>
    <w:rsid w:val="00C80C47"/>
    <w:rsid w:val="00C82D45"/>
    <w:rsid w:val="00C911D9"/>
    <w:rsid w:val="00C9638C"/>
    <w:rsid w:val="00CA1B13"/>
    <w:rsid w:val="00CA1C8B"/>
    <w:rsid w:val="00CA5A02"/>
    <w:rsid w:val="00CA7E2A"/>
    <w:rsid w:val="00CB2600"/>
    <w:rsid w:val="00CB5EA7"/>
    <w:rsid w:val="00CD4345"/>
    <w:rsid w:val="00CE16F9"/>
    <w:rsid w:val="00CE423D"/>
    <w:rsid w:val="00CF69A2"/>
    <w:rsid w:val="00D00C1D"/>
    <w:rsid w:val="00D0590D"/>
    <w:rsid w:val="00D06981"/>
    <w:rsid w:val="00D10A2D"/>
    <w:rsid w:val="00D3332E"/>
    <w:rsid w:val="00D411A0"/>
    <w:rsid w:val="00D42380"/>
    <w:rsid w:val="00D56656"/>
    <w:rsid w:val="00D571EE"/>
    <w:rsid w:val="00D57A60"/>
    <w:rsid w:val="00D6484D"/>
    <w:rsid w:val="00D70601"/>
    <w:rsid w:val="00D70C36"/>
    <w:rsid w:val="00D85CC0"/>
    <w:rsid w:val="00D96BCD"/>
    <w:rsid w:val="00DA796C"/>
    <w:rsid w:val="00DC0179"/>
    <w:rsid w:val="00DC5DCA"/>
    <w:rsid w:val="00DD0A9E"/>
    <w:rsid w:val="00DE0846"/>
    <w:rsid w:val="00E0438A"/>
    <w:rsid w:val="00E10A0B"/>
    <w:rsid w:val="00E13F8B"/>
    <w:rsid w:val="00E26CDF"/>
    <w:rsid w:val="00E30C59"/>
    <w:rsid w:val="00E3601F"/>
    <w:rsid w:val="00E61901"/>
    <w:rsid w:val="00E815A6"/>
    <w:rsid w:val="00EA4ED3"/>
    <w:rsid w:val="00EB046D"/>
    <w:rsid w:val="00EB05C7"/>
    <w:rsid w:val="00ED5180"/>
    <w:rsid w:val="00F00BF7"/>
    <w:rsid w:val="00F10AE6"/>
    <w:rsid w:val="00F13B30"/>
    <w:rsid w:val="00F14A3B"/>
    <w:rsid w:val="00F15183"/>
    <w:rsid w:val="00F33F8D"/>
    <w:rsid w:val="00F36376"/>
    <w:rsid w:val="00F453C0"/>
    <w:rsid w:val="00F55D5A"/>
    <w:rsid w:val="00F6040D"/>
    <w:rsid w:val="00F701A1"/>
    <w:rsid w:val="00F84A9C"/>
    <w:rsid w:val="00F878D7"/>
    <w:rsid w:val="00F93DF3"/>
    <w:rsid w:val="00F9612D"/>
    <w:rsid w:val="00FA51EB"/>
    <w:rsid w:val="00FA6821"/>
    <w:rsid w:val="00FB6CBE"/>
    <w:rsid w:val="00FD0F3B"/>
    <w:rsid w:val="00FE5BE9"/>
    <w:rsid w:val="00FE7A95"/>
    <w:rsid w:val="219D26B3"/>
    <w:rsid w:val="430E1F21"/>
    <w:rsid w:val="464462F0"/>
    <w:rsid w:val="498176A7"/>
    <w:rsid w:val="4BC708C6"/>
  </w:rsids>
  <m:mathPr>
    <m:mathFont m:val="Cambria Math"/>
    <m:brkBin m:val="before"/>
    <m:brkBinSub m:val="--"/>
    <m:smallFrac m:val="0"/>
    <m:dispDef/>
    <m:lMargin m:val="0"/>
    <m:rMargin m:val="0"/>
    <m:defJc m:val="centerGroup"/>
    <m:wrapIndent m:val="1440"/>
    <m:intLim m:val="subSup"/>
    <m:naryLim m:val="undOvr"/>
  </m:mathPr>
  <w:themeFontLang w:val="bg-BG"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11DD"/>
  <w15:docId w15:val="{BAFECEA8-9B56-4CF0-B9D8-58E8927A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uiPriority="0" w:qFormat="1"/>
    <w:lsdException w:name="annotation text" w:semiHidden="1" w:qFormat="1"/>
    <w:lsdException w:name="header" w:unhideWhenUsed="1" w:qFormat="1"/>
    <w:lsdException w:name="footer" w:unhideWhenUsed="1" w:qFormat="1"/>
    <w:lsdException w:name="index heading" w:semiHidden="1" w:unhideWhenUsed="1"/>
    <w:lsdException w:name="caption" w:unhideWhenUsed="1" w:qFormat="1"/>
    <w:lsdException w:name="table of figures" w:semiHidden="1" w:qFormat="1"/>
    <w:lsdException w:name="envelope address" w:semiHidden="1" w:unhideWhenUsed="1"/>
    <w:lsdException w:name="envelope return" w:semiHidden="1" w:unhideWhenUsed="1"/>
    <w:lsdException w:name="footnote reference" w:uiPriority="0"/>
    <w:lsdException w:name="annotation reference" w:semiHidden="1" w:qFormat="1"/>
    <w:lsdException w:name="line number" w:semiHidden="1" w:unhideWhenUsed="1" w:qFormat="1"/>
    <w:lsdException w:name="page number" w:uiPriority="0" w:qFormat="1"/>
    <w:lsdException w:name="endnote reference" w:uiPriority="0"/>
    <w:lsdException w:name="endnote text" w:qFormat="1"/>
    <w:lsdException w:name="table of authorities" w:semiHidden="1" w:unhideWhenUsed="1"/>
    <w:lsdException w:name="macro" w:semiHidden="1" w:unhideWhenUsed="1"/>
    <w:lsdException w:name="toa heading" w:semiHidden="1" w:unhideWhenUsed="1"/>
    <w:lsdException w:name="List" w:uiPriority="0"/>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Theme="minorHAnsi" w:eastAsiaTheme="minorHAnsi" w:hAnsiTheme="minorHAnsi" w:cstheme="minorBidi"/>
      <w:sz w:val="22"/>
      <w:szCs w:val="22"/>
      <w:lang w:val="bg-BG"/>
    </w:rPr>
  </w:style>
  <w:style w:type="paragraph" w:styleId="Heading1">
    <w:name w:val="heading 1"/>
    <w:basedOn w:val="Normal"/>
    <w:next w:val="Normal"/>
    <w:link w:val="Heading1Char1"/>
    <w:autoRedefine/>
    <w:uiPriority w:val="99"/>
    <w:qFormat/>
    <w:pPr>
      <w:keepNext/>
      <w:numPr>
        <w:numId w:val="1"/>
      </w:numPr>
      <w:tabs>
        <w:tab w:val="left" w:pos="-1985"/>
      </w:tabs>
      <w:snapToGrid w:val="0"/>
      <w:spacing w:after="0" w:line="288" w:lineRule="auto"/>
      <w:jc w:val="both"/>
      <w:outlineLvl w:val="0"/>
    </w:pPr>
    <w:rPr>
      <w:rFonts w:ascii="Times New Roman" w:eastAsia="Batang" w:hAnsi="Times New Roman" w:cs="Times New Roman"/>
      <w:b/>
      <w:i/>
      <w:szCs w:val="24"/>
      <w:lang w:val="ru-RU" w:eastAsia="ko-KR"/>
    </w:rPr>
  </w:style>
  <w:style w:type="paragraph" w:styleId="Heading2">
    <w:name w:val="heading 2"/>
    <w:basedOn w:val="Normal"/>
    <w:next w:val="Normal"/>
    <w:link w:val="Heading2Char"/>
    <w:uiPriority w:val="99"/>
    <w:qFormat/>
    <w:pPr>
      <w:keepNext/>
      <w:numPr>
        <w:ilvl w:val="1"/>
        <w:numId w:val="2"/>
      </w:numPr>
      <w:spacing w:after="280" w:line="280" w:lineRule="atLeast"/>
      <w:outlineLvl w:val="1"/>
    </w:pPr>
    <w:rPr>
      <w:rFonts w:ascii="Times New Roman" w:eastAsia="Times New Roman" w:hAnsi="Times New Roman" w:cs="Arial"/>
      <w:bCs/>
      <w:iCs/>
      <w:color w:val="0A55A3"/>
      <w:sz w:val="28"/>
      <w:szCs w:val="28"/>
    </w:rPr>
  </w:style>
  <w:style w:type="paragraph" w:styleId="Heading3">
    <w:name w:val="heading 3"/>
    <w:basedOn w:val="Normal"/>
    <w:next w:val="Normal"/>
    <w:link w:val="Heading3Char"/>
    <w:uiPriority w:val="99"/>
    <w:qFormat/>
    <w:pPr>
      <w:keepNext/>
      <w:numPr>
        <w:ilvl w:val="2"/>
        <w:numId w:val="2"/>
      </w:numPr>
      <w:spacing w:after="280" w:line="280" w:lineRule="atLeast"/>
      <w:outlineLvl w:val="2"/>
    </w:pPr>
    <w:rPr>
      <w:rFonts w:ascii="Times New Roman" w:eastAsia="Times New Roman" w:hAnsi="Times New Roman" w:cs="Arial"/>
      <w:bCs/>
      <w:color w:val="0A55A3"/>
      <w:szCs w:val="26"/>
    </w:rPr>
  </w:style>
  <w:style w:type="paragraph" w:styleId="Heading4">
    <w:name w:val="heading 4"/>
    <w:basedOn w:val="Normal"/>
    <w:next w:val="Normal"/>
    <w:link w:val="Heading4Char"/>
    <w:uiPriority w:val="99"/>
    <w:qFormat/>
    <w:pPr>
      <w:keepNext/>
      <w:numPr>
        <w:ilvl w:val="3"/>
        <w:numId w:val="2"/>
      </w:numPr>
      <w:spacing w:after="0" w:line="280" w:lineRule="atLeast"/>
      <w:outlineLvl w:val="3"/>
    </w:pPr>
    <w:rPr>
      <w:rFonts w:ascii="Times New Roman" w:eastAsia="Times New Roman" w:hAnsi="Times New Roman" w:cs="Times New Roman"/>
      <w:bCs/>
      <w:i/>
      <w:color w:val="0A55A3"/>
      <w:szCs w:val="28"/>
    </w:rPr>
  </w:style>
  <w:style w:type="paragraph" w:styleId="Heading5">
    <w:name w:val="heading 5"/>
    <w:basedOn w:val="Normal"/>
    <w:next w:val="Normal"/>
    <w:link w:val="Heading5Char"/>
    <w:uiPriority w:val="99"/>
    <w:qFormat/>
    <w:pPr>
      <w:keepNext/>
      <w:numPr>
        <w:ilvl w:val="4"/>
        <w:numId w:val="2"/>
      </w:numPr>
      <w:spacing w:after="0" w:line="280" w:lineRule="atLeast"/>
      <w:jc w:val="both"/>
      <w:outlineLvl w:val="4"/>
    </w:pPr>
    <w:rPr>
      <w:rFonts w:ascii="Times New Roman" w:eastAsia="Times New Roman" w:hAnsi="Times New Roman" w:cs="Times New Roman"/>
      <w:i/>
      <w:szCs w:val="24"/>
      <w:lang w:val="en-US"/>
    </w:rPr>
  </w:style>
  <w:style w:type="paragraph" w:styleId="Heading6">
    <w:name w:val="heading 6"/>
    <w:basedOn w:val="Normal"/>
    <w:next w:val="Normal"/>
    <w:link w:val="Heading6Char"/>
    <w:uiPriority w:val="99"/>
    <w:qFormat/>
    <w:pPr>
      <w:keepNext/>
      <w:numPr>
        <w:ilvl w:val="5"/>
        <w:numId w:val="2"/>
      </w:numPr>
      <w:spacing w:after="0" w:line="240" w:lineRule="auto"/>
      <w:jc w:val="both"/>
      <w:outlineLvl w:val="5"/>
    </w:pPr>
    <w:rPr>
      <w:rFonts w:ascii="Times New Roman" w:eastAsia="Times New Roman" w:hAnsi="Times New Roman" w:cs="Times New Roman"/>
      <w:i/>
      <w:sz w:val="24"/>
      <w:szCs w:val="24"/>
      <w:lang w:val="en-US"/>
    </w:rPr>
  </w:style>
  <w:style w:type="paragraph" w:styleId="Heading7">
    <w:name w:val="heading 7"/>
    <w:basedOn w:val="Normal"/>
    <w:next w:val="Normal"/>
    <w:link w:val="Heading7Char"/>
    <w:uiPriority w:val="99"/>
    <w:qFormat/>
    <w:pPr>
      <w:keepNext/>
      <w:numPr>
        <w:ilvl w:val="6"/>
        <w:numId w:val="2"/>
      </w:numPr>
      <w:spacing w:after="0" w:line="280" w:lineRule="atLeast"/>
      <w:outlineLvl w:val="6"/>
    </w:pPr>
    <w:rPr>
      <w:rFonts w:ascii="Times New Roman" w:eastAsia="Times New Roman" w:hAnsi="Times New Roman" w:cs="Times New Roman"/>
      <w:i/>
      <w:szCs w:val="24"/>
    </w:rPr>
  </w:style>
  <w:style w:type="paragraph" w:styleId="Heading8">
    <w:name w:val="heading 8"/>
    <w:basedOn w:val="Normal"/>
    <w:next w:val="Normal"/>
    <w:link w:val="Heading8Char"/>
    <w:uiPriority w:val="99"/>
    <w:qFormat/>
    <w:pPr>
      <w:keepNext/>
      <w:numPr>
        <w:ilvl w:val="7"/>
        <w:numId w:val="2"/>
      </w:numPr>
      <w:spacing w:after="0" w:line="280" w:lineRule="atLeast"/>
      <w:jc w:val="both"/>
      <w:outlineLvl w:val="7"/>
    </w:pPr>
    <w:rPr>
      <w:rFonts w:ascii="Times New Roman" w:eastAsia="Times New Roman" w:hAnsi="Times New Roman" w:cs="Times New Roman"/>
      <w:b/>
      <w:color w:val="000000"/>
      <w:szCs w:val="24"/>
    </w:rPr>
  </w:style>
  <w:style w:type="paragraph" w:styleId="Heading9">
    <w:name w:val="heading 9"/>
    <w:basedOn w:val="Normal"/>
    <w:next w:val="Normal"/>
    <w:link w:val="Heading9Char"/>
    <w:uiPriority w:val="99"/>
    <w:qFormat/>
    <w:pPr>
      <w:keepNext/>
      <w:numPr>
        <w:ilvl w:val="8"/>
        <w:numId w:val="2"/>
      </w:numPr>
      <w:spacing w:after="0" w:line="240" w:lineRule="auto"/>
      <w:jc w:val="both"/>
      <w:outlineLvl w:val="8"/>
    </w:pPr>
    <w:rPr>
      <w:rFonts w:ascii="Times New Roman" w:eastAsia="Times New Roman" w:hAnsi="Times New Roman" w:cs="Times New Roman"/>
      <w:b/>
      <w:bCs/>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lockText">
    <w:name w:val="Block Text"/>
    <w:basedOn w:val="Normal"/>
    <w:uiPriority w:val="99"/>
    <w:qFormat/>
    <w:pPr>
      <w:spacing w:after="0" w:line="280" w:lineRule="atLeast"/>
      <w:ind w:left="567"/>
    </w:pPr>
    <w:rPr>
      <w:rFonts w:ascii="Arial" w:eastAsia="Times New Roman" w:hAnsi="Arial" w:cs="Times New Roman"/>
      <w:color w:val="0A55A3"/>
      <w:sz w:val="16"/>
      <w:szCs w:val="24"/>
    </w:rPr>
  </w:style>
  <w:style w:type="paragraph" w:styleId="BodyText">
    <w:name w:val="Body Text"/>
    <w:basedOn w:val="Normal"/>
    <w:link w:val="BodyTextChar"/>
    <w:uiPriority w:val="99"/>
    <w:qFormat/>
    <w:pPr>
      <w:spacing w:after="0" w:line="280" w:lineRule="atLeast"/>
      <w:jc w:val="both"/>
    </w:pPr>
    <w:rPr>
      <w:rFonts w:ascii="Times New Roman" w:eastAsia="Times New Roman" w:hAnsi="Times New Roman" w:cs="Times New Roman"/>
      <w:szCs w:val="24"/>
      <w:lang w:val="en-US"/>
    </w:rPr>
  </w:style>
  <w:style w:type="paragraph" w:styleId="BodyText2">
    <w:name w:val="Body Text 2"/>
    <w:basedOn w:val="Normal"/>
    <w:link w:val="BodyText2Char"/>
    <w:uiPriority w:val="99"/>
    <w:qFormat/>
    <w:pPr>
      <w:spacing w:after="0" w:line="240" w:lineRule="auto"/>
      <w:jc w:val="both"/>
    </w:pPr>
    <w:rPr>
      <w:rFonts w:ascii="Times New Roman" w:eastAsia="Times New Roman" w:hAnsi="Times New Roman" w:cs="Times New Roman"/>
      <w:szCs w:val="20"/>
      <w:lang w:val="en-US"/>
    </w:rPr>
  </w:style>
  <w:style w:type="paragraph" w:styleId="BodyText3">
    <w:name w:val="Body Text 3"/>
    <w:basedOn w:val="Normal"/>
    <w:link w:val="BodyText3Char"/>
    <w:uiPriority w:val="99"/>
    <w:qFormat/>
    <w:pPr>
      <w:spacing w:after="0" w:line="240" w:lineRule="auto"/>
    </w:pPr>
    <w:rPr>
      <w:rFonts w:ascii="Times New Roman" w:eastAsia="Times New Roman" w:hAnsi="Times New Roman" w:cs="Times New Roman"/>
      <w:i/>
      <w:iCs/>
      <w:sz w:val="20"/>
      <w:szCs w:val="20"/>
      <w:lang w:val="en-US"/>
    </w:rPr>
  </w:style>
  <w:style w:type="paragraph" w:styleId="BodyTextIndent">
    <w:name w:val="Body Text Indent"/>
    <w:basedOn w:val="Normal"/>
    <w:link w:val="BodyTextIndentChar"/>
    <w:uiPriority w:val="99"/>
    <w:qFormat/>
    <w:pPr>
      <w:spacing w:after="0" w:line="280" w:lineRule="atLeast"/>
      <w:ind w:left="-130"/>
      <w:jc w:val="both"/>
    </w:pPr>
    <w:rPr>
      <w:rFonts w:ascii="Times New Roman" w:eastAsia="Times New Roman" w:hAnsi="Times New Roman" w:cs="Times New Roman"/>
      <w:sz w:val="18"/>
      <w:szCs w:val="24"/>
    </w:rPr>
  </w:style>
  <w:style w:type="paragraph" w:styleId="BodyTextIndent2">
    <w:name w:val="Body Text Indent 2"/>
    <w:basedOn w:val="Normal"/>
    <w:link w:val="BodyTextIndent2Char"/>
    <w:uiPriority w:val="99"/>
    <w:qFormat/>
    <w:pPr>
      <w:spacing w:after="0" w:line="280" w:lineRule="atLeast"/>
      <w:ind w:left="-28"/>
    </w:pPr>
    <w:rPr>
      <w:rFonts w:ascii="Times New Roman" w:eastAsia="Times New Roman" w:hAnsi="Times New Roman" w:cs="Times New Roman"/>
      <w:sz w:val="18"/>
      <w:szCs w:val="24"/>
    </w:rPr>
  </w:style>
  <w:style w:type="paragraph" w:styleId="BodyTextIndent3">
    <w:name w:val="Body Text Indent 3"/>
    <w:basedOn w:val="Normal"/>
    <w:link w:val="BodyTextIndent3Char"/>
    <w:uiPriority w:val="99"/>
    <w:qFormat/>
    <w:pPr>
      <w:spacing w:after="0" w:line="280" w:lineRule="atLeast"/>
      <w:ind w:left="286" w:hanging="286"/>
      <w:jc w:val="both"/>
    </w:pPr>
    <w:rPr>
      <w:rFonts w:ascii="Times New Roman" w:eastAsia="Times New Roman" w:hAnsi="Times New Roman" w:cs="Times New Roman"/>
      <w:sz w:val="18"/>
      <w:szCs w:val="24"/>
    </w:rPr>
  </w:style>
  <w:style w:type="paragraph" w:styleId="Caption">
    <w:name w:val="caption"/>
    <w:basedOn w:val="Normal"/>
    <w:next w:val="Normal"/>
    <w:uiPriority w:val="99"/>
    <w:unhideWhenUsed/>
    <w:qFormat/>
    <w:pPr>
      <w:spacing w:line="240" w:lineRule="auto"/>
    </w:pPr>
    <w:rPr>
      <w:b/>
      <w:bCs/>
      <w:color w:val="FDA023" w:themeColor="accent1"/>
      <w:sz w:val="18"/>
      <w:szCs w:val="18"/>
    </w:rPr>
  </w:style>
  <w:style w:type="character" w:styleId="CommentReference">
    <w:name w:val="annotation reference"/>
    <w:uiPriority w:val="99"/>
    <w:semiHidden/>
    <w:qFormat/>
    <w:rPr>
      <w:rFonts w:cs="Times New Roman"/>
      <w:sz w:val="16"/>
    </w:rPr>
  </w:style>
  <w:style w:type="paragraph" w:styleId="CommentText">
    <w:name w:val="annotation text"/>
    <w:basedOn w:val="Normal"/>
    <w:link w:val="CommentTextChar"/>
    <w:uiPriority w:val="99"/>
    <w:semiHidden/>
    <w:qFormat/>
    <w:pPr>
      <w:spacing w:after="0" w:line="240" w:lineRule="auto"/>
    </w:pPr>
    <w:rPr>
      <w:rFonts w:ascii="Arial Narrow" w:eastAsia="Times New Roman" w:hAnsi="Arial Narrow" w:cs="Times New Roman"/>
      <w:sz w:val="20"/>
      <w:szCs w:val="20"/>
      <w:lang w:eastAsia="bg-BG"/>
    </w:rPr>
  </w:style>
  <w:style w:type="paragraph" w:styleId="CommentSubject">
    <w:name w:val="annotation subject"/>
    <w:basedOn w:val="CommentText"/>
    <w:next w:val="CommentText"/>
    <w:link w:val="CommentSubjectChar"/>
    <w:uiPriority w:val="99"/>
    <w:semiHidden/>
    <w:qFormat/>
    <w:pPr>
      <w:spacing w:line="280" w:lineRule="atLeast"/>
    </w:pPr>
    <w:rPr>
      <w:rFonts w:ascii="Times New Roman" w:hAnsi="Times New Roman"/>
      <w:b/>
      <w:bCs/>
      <w:lang w:eastAsia="en-US"/>
    </w:rPr>
  </w:style>
  <w:style w:type="paragraph" w:styleId="DocumentMap">
    <w:name w:val="Document Map"/>
    <w:basedOn w:val="Normal"/>
    <w:link w:val="DocumentMapChar"/>
    <w:uiPriority w:val="99"/>
    <w:semiHidden/>
    <w:qFormat/>
    <w:pPr>
      <w:shd w:val="clear" w:color="auto" w:fill="000080"/>
      <w:spacing w:after="0" w:line="240" w:lineRule="auto"/>
    </w:pPr>
    <w:rPr>
      <w:rFonts w:ascii="Tahoma" w:eastAsia="Times New Roman" w:hAnsi="Tahoma" w:cs="Tahoma"/>
      <w:sz w:val="20"/>
      <w:szCs w:val="20"/>
      <w:lang w:eastAsia="bg-BG"/>
    </w:rPr>
  </w:style>
  <w:style w:type="character" w:styleId="Emphasis">
    <w:name w:val="Emphasis"/>
    <w:uiPriority w:val="99"/>
    <w:qFormat/>
    <w:rPr>
      <w:rFonts w:cs="Times New Roman"/>
      <w:i/>
    </w:rPr>
  </w:style>
  <w:style w:type="character" w:styleId="EndnoteReference">
    <w:name w:val="endnote reference"/>
    <w:rPr>
      <w:rFonts w:cs="Times New Roman"/>
      <w:vertAlign w:val="superscript"/>
    </w:rPr>
  </w:style>
  <w:style w:type="paragraph" w:styleId="EndnoteText">
    <w:name w:val="endnote text"/>
    <w:basedOn w:val="Normal"/>
    <w:link w:val="EndnoteTextChar1"/>
    <w:uiPriority w:val="99"/>
    <w:qFormat/>
    <w:pPr>
      <w:spacing w:after="0" w:line="240" w:lineRule="auto"/>
    </w:pPr>
    <w:rPr>
      <w:rFonts w:ascii="Calibri" w:eastAsia="Calibri" w:hAnsi="Calibri" w:cs="Times New Roman"/>
      <w:sz w:val="24"/>
      <w:szCs w:val="20"/>
      <w:lang w:val="en-US" w:eastAsia="bg-BG"/>
    </w:rPr>
  </w:style>
  <w:style w:type="character" w:styleId="FollowedHyperlink">
    <w:name w:val="FollowedHyperlink"/>
    <w:uiPriority w:val="99"/>
    <w:qFormat/>
    <w:rPr>
      <w:rFonts w:cs="Times New Roman"/>
      <w:color w:val="800080"/>
      <w:u w:val="single"/>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character" w:styleId="FootnoteReference">
    <w:name w:val="footnote reference"/>
    <w:rPr>
      <w:rFonts w:cs="Times New Roman"/>
      <w:vertAlign w:val="superscript"/>
    </w:rPr>
  </w:style>
  <w:style w:type="paragraph" w:styleId="FootnoteText">
    <w:name w:val="footnote text"/>
    <w:basedOn w:val="Normal"/>
    <w:link w:val="FootnoteTextChar"/>
    <w:qFormat/>
    <w:pPr>
      <w:spacing w:after="0" w:line="240" w:lineRule="auto"/>
    </w:pPr>
    <w:rPr>
      <w:rFonts w:ascii="Times New Roman" w:eastAsia="Times New Roman" w:hAnsi="Times New Roman" w:cs="Times New Roman"/>
      <w:sz w:val="20"/>
      <w:szCs w:val="20"/>
      <w:lang w:eastAsia="bg-BG"/>
    </w:rPr>
  </w:style>
  <w:style w:type="paragraph" w:styleId="Header">
    <w:name w:val="header"/>
    <w:basedOn w:val="Normal"/>
    <w:link w:val="HeaderChar"/>
    <w:uiPriority w:val="99"/>
    <w:unhideWhenUsed/>
    <w:qFormat/>
    <w:pPr>
      <w:tabs>
        <w:tab w:val="center" w:pos="4536"/>
        <w:tab w:val="right" w:pos="9072"/>
      </w:tabs>
      <w:spacing w:after="0" w:line="240" w:lineRule="auto"/>
    </w:pPr>
  </w:style>
  <w:style w:type="character" w:styleId="Hyperlink">
    <w:name w:val="Hyperlink"/>
    <w:uiPriority w:val="99"/>
    <w:qFormat/>
    <w:rPr>
      <w:rFonts w:cs="Times New Roman"/>
      <w:color w:val="0000FF"/>
      <w:u w:val="single"/>
    </w:rPr>
  </w:style>
  <w:style w:type="character" w:styleId="LineNumber">
    <w:name w:val="line number"/>
    <w:basedOn w:val="DefaultParagraphFont"/>
    <w:uiPriority w:val="99"/>
    <w:semiHidden/>
    <w:unhideWhenUsed/>
    <w:qFormat/>
  </w:style>
  <w:style w:type="paragraph" w:styleId="List">
    <w:name w:val="List"/>
    <w:basedOn w:val="BodyText"/>
    <w:rPr>
      <w:rFonts w:cs="Arial Unicode MS"/>
    </w:rPr>
  </w:style>
  <w:style w:type="paragraph" w:styleId="ListBullet">
    <w:name w:val="List Bullet"/>
    <w:basedOn w:val="Normal"/>
    <w:link w:val="ListBulletChar"/>
    <w:autoRedefine/>
    <w:uiPriority w:val="99"/>
    <w:qFormat/>
    <w:pPr>
      <w:spacing w:after="0" w:line="280" w:lineRule="atLeast"/>
      <w:jc w:val="both"/>
    </w:pPr>
    <w:rPr>
      <w:rFonts w:ascii="MS Sans Serif" w:eastAsia="Calibri" w:hAnsi="MS Sans Serif" w:cs="Times New Roman"/>
      <w:sz w:val="24"/>
      <w:szCs w:val="20"/>
      <w:u w:val="single"/>
      <w:lang w:eastAsia="bg-BG"/>
    </w:rPr>
  </w:style>
  <w:style w:type="paragraph" w:styleId="ListBullet2">
    <w:name w:val="List Bullet 2"/>
    <w:basedOn w:val="Normal"/>
    <w:uiPriority w:val="99"/>
    <w:qFormat/>
    <w:pPr>
      <w:tabs>
        <w:tab w:val="left" w:pos="717"/>
      </w:tabs>
      <w:spacing w:after="0" w:line="280" w:lineRule="atLeast"/>
      <w:ind w:left="717" w:hanging="360"/>
    </w:pPr>
    <w:rPr>
      <w:rFonts w:ascii="Times New Roman" w:eastAsia="Times New Roman" w:hAnsi="Times New Roman" w:cs="Times New Roman"/>
      <w:szCs w:val="24"/>
    </w:rPr>
  </w:style>
  <w:style w:type="paragraph" w:styleId="ListNumber">
    <w:name w:val="List Number"/>
    <w:basedOn w:val="Normal"/>
    <w:uiPriority w:val="99"/>
    <w:qFormat/>
    <w:pPr>
      <w:numPr>
        <w:numId w:val="3"/>
      </w:numPr>
      <w:tabs>
        <w:tab w:val="left" w:pos="360"/>
      </w:tabs>
      <w:spacing w:after="0" w:line="240" w:lineRule="auto"/>
      <w:ind w:left="360" w:firstLine="0"/>
    </w:pPr>
    <w:rPr>
      <w:rFonts w:ascii="Times New Roman" w:eastAsia="Times New Roman" w:hAnsi="Times New Roman" w:cs="Times New Roman"/>
      <w:sz w:val="24"/>
      <w:szCs w:val="24"/>
      <w:lang w:eastAsia="bg-BG"/>
    </w:rPr>
  </w:style>
  <w:style w:type="paragraph" w:styleId="ListNumber2">
    <w:name w:val="List Number 2"/>
    <w:basedOn w:val="Normal"/>
    <w:uiPriority w:val="99"/>
    <w:qFormat/>
    <w:pPr>
      <w:numPr>
        <w:numId w:val="4"/>
      </w:numPr>
      <w:spacing w:after="0" w:line="280" w:lineRule="atLeast"/>
    </w:pPr>
    <w:rPr>
      <w:rFonts w:ascii="Times New Roman" w:eastAsia="Times New Roman" w:hAnsi="Times New Roman" w:cs="Times New Roman"/>
      <w:szCs w:val="24"/>
    </w:rPr>
  </w:style>
  <w:style w:type="paragraph" w:styleId="ListNumber3">
    <w:name w:val="List Number 3"/>
    <w:basedOn w:val="Normal"/>
    <w:uiPriority w:val="99"/>
    <w:qFormat/>
    <w:pPr>
      <w:numPr>
        <w:numId w:val="5"/>
      </w:numPr>
      <w:spacing w:after="0" w:line="240" w:lineRule="auto"/>
      <w:ind w:left="926" w:firstLine="0"/>
    </w:pPr>
    <w:rPr>
      <w:rFonts w:ascii="Arial Narrow" w:eastAsia="Times New Roman" w:hAnsi="Arial Narrow" w:cs="Times New Roman"/>
      <w:sz w:val="24"/>
      <w:szCs w:val="24"/>
      <w:lang w:eastAsia="bg-BG"/>
    </w:rPr>
  </w:style>
  <w:style w:type="paragraph" w:styleId="NormalWeb">
    <w:name w:val="Normal (Web)"/>
    <w:basedOn w:val="Normal"/>
    <w:uiPriority w:val="99"/>
    <w:qFormat/>
    <w:pPr>
      <w:spacing w:beforeAutospacing="1" w:afterAutospacing="1" w:line="240" w:lineRule="auto"/>
    </w:pPr>
    <w:rPr>
      <w:rFonts w:ascii="Times New Roman" w:eastAsia="Times New Roman" w:hAnsi="Times New Roman" w:cs="Times New Roman"/>
      <w:sz w:val="24"/>
      <w:szCs w:val="24"/>
    </w:rPr>
  </w:style>
  <w:style w:type="paragraph" w:styleId="NormalIndent">
    <w:name w:val="Normal Indent"/>
    <w:basedOn w:val="Normal"/>
    <w:uiPriority w:val="99"/>
    <w:qFormat/>
    <w:pPr>
      <w:spacing w:after="0" w:line="240" w:lineRule="auto"/>
      <w:ind w:left="720"/>
    </w:pPr>
    <w:rPr>
      <w:rFonts w:ascii="Times New Roman" w:eastAsia="Times New Roman" w:hAnsi="Times New Roman" w:cs="Times New Roman"/>
      <w:sz w:val="20"/>
      <w:szCs w:val="20"/>
      <w:lang w:val="en-GB" w:eastAsia="bg-BG"/>
    </w:rPr>
  </w:style>
  <w:style w:type="character" w:styleId="PageNumber">
    <w:name w:val="page number"/>
    <w:qFormat/>
    <w:rPr>
      <w:rFonts w:ascii="Arial" w:hAnsi="Arial" w:cs="Times New Roman"/>
      <w:sz w:val="16"/>
    </w:rPr>
  </w:style>
  <w:style w:type="paragraph" w:styleId="PlainText">
    <w:name w:val="Plain Text"/>
    <w:basedOn w:val="Normal"/>
    <w:link w:val="PlainTextChar"/>
    <w:uiPriority w:val="99"/>
    <w:qFormat/>
    <w:pPr>
      <w:spacing w:after="0" w:line="240" w:lineRule="auto"/>
    </w:pPr>
    <w:rPr>
      <w:rFonts w:ascii="Courier New" w:eastAsia="Times New Roman" w:hAnsi="Courier New" w:cs="Times New Roman"/>
      <w:sz w:val="20"/>
      <w:szCs w:val="24"/>
      <w:lang w:val="en-US"/>
    </w:rPr>
  </w:style>
  <w:style w:type="character" w:styleId="Strong">
    <w:name w:val="Strong"/>
    <w:uiPriority w:val="22"/>
    <w:qFormat/>
    <w:rPr>
      <w:rFonts w:cs="Times New Roman"/>
      <w:b/>
    </w:rPr>
  </w:style>
  <w:style w:type="paragraph" w:styleId="Subtitle">
    <w:name w:val="Subtitle"/>
    <w:basedOn w:val="Normal"/>
    <w:link w:val="SubtitleChar"/>
    <w:uiPriority w:val="99"/>
    <w:qFormat/>
    <w:pPr>
      <w:spacing w:after="280" w:line="280" w:lineRule="atLeast"/>
    </w:pPr>
    <w:rPr>
      <w:rFonts w:ascii="Times New Roman" w:eastAsia="Times New Roman" w:hAnsi="Times New Roman" w:cs="Arial"/>
      <w:color w:val="0A55A3"/>
      <w:sz w:val="28"/>
      <w:szCs w:val="24"/>
    </w:rPr>
  </w:style>
  <w:style w:type="table" w:styleId="TableGrid">
    <w:name w:val="Table Grid"/>
    <w:basedOn w:val="TableNormal"/>
    <w:uiPriority w:val="99"/>
    <w:qFormat/>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qFormat/>
    <w:pPr>
      <w:tabs>
        <w:tab w:val="left" w:pos="1134"/>
        <w:tab w:val="right" w:pos="7938"/>
      </w:tabs>
      <w:spacing w:after="0" w:line="280" w:lineRule="atLeast"/>
      <w:ind w:left="1134" w:right="567" w:hanging="1134"/>
    </w:pPr>
    <w:rPr>
      <w:rFonts w:ascii="Times New Roman" w:eastAsia="Times New Roman" w:hAnsi="Times New Roman" w:cs="Times New Roman"/>
      <w:szCs w:val="24"/>
    </w:rPr>
  </w:style>
  <w:style w:type="paragraph" w:styleId="Title">
    <w:name w:val="Title"/>
    <w:basedOn w:val="Normal"/>
    <w:link w:val="TitleChar"/>
    <w:uiPriority w:val="99"/>
    <w:qFormat/>
    <w:pPr>
      <w:spacing w:after="280" w:line="280" w:lineRule="atLeast"/>
    </w:pPr>
    <w:rPr>
      <w:rFonts w:ascii="Times New Roman" w:eastAsia="Times New Roman" w:hAnsi="Times New Roman" w:cs="Arial"/>
      <w:bCs/>
      <w:color w:val="0A55A3"/>
      <w:sz w:val="42"/>
      <w:szCs w:val="32"/>
    </w:rPr>
  </w:style>
  <w:style w:type="paragraph" w:styleId="TOC1">
    <w:name w:val="toc 1"/>
    <w:basedOn w:val="Normal"/>
    <w:next w:val="Normal"/>
    <w:uiPriority w:val="99"/>
    <w:semiHidden/>
    <w:qFormat/>
    <w:pPr>
      <w:tabs>
        <w:tab w:val="left" w:pos="284"/>
        <w:tab w:val="right" w:pos="7938"/>
      </w:tabs>
      <w:spacing w:before="280" w:after="0" w:line="280" w:lineRule="atLeast"/>
      <w:ind w:left="284" w:right="567" w:hanging="284"/>
    </w:pPr>
    <w:rPr>
      <w:rFonts w:ascii="Times New Roman" w:eastAsia="Times New Roman" w:hAnsi="Times New Roman" w:cs="Times New Roman"/>
      <w:b/>
      <w:color w:val="0A55A3"/>
      <w:szCs w:val="24"/>
    </w:rPr>
  </w:style>
  <w:style w:type="paragraph" w:styleId="TOC2">
    <w:name w:val="toc 2"/>
    <w:basedOn w:val="Normal"/>
    <w:next w:val="Normal"/>
    <w:uiPriority w:val="99"/>
    <w:semiHidden/>
    <w:qFormat/>
    <w:pPr>
      <w:tabs>
        <w:tab w:val="left" w:pos="709"/>
        <w:tab w:val="right" w:pos="7938"/>
      </w:tabs>
      <w:spacing w:after="0" w:line="280" w:lineRule="atLeast"/>
      <w:ind w:left="709" w:right="567" w:hanging="425"/>
    </w:pPr>
    <w:rPr>
      <w:rFonts w:ascii="Times New Roman" w:eastAsia="Times New Roman" w:hAnsi="Times New Roman" w:cs="Times New Roman"/>
      <w:szCs w:val="24"/>
    </w:rPr>
  </w:style>
  <w:style w:type="paragraph" w:styleId="TOC3">
    <w:name w:val="toc 3"/>
    <w:basedOn w:val="Normal"/>
    <w:next w:val="Normal"/>
    <w:uiPriority w:val="99"/>
    <w:semiHidden/>
    <w:qFormat/>
    <w:pPr>
      <w:tabs>
        <w:tab w:val="left" w:pos="1276"/>
        <w:tab w:val="right" w:pos="7938"/>
      </w:tabs>
      <w:spacing w:after="0" w:line="280" w:lineRule="atLeast"/>
      <w:ind w:left="1276" w:right="567" w:hanging="567"/>
    </w:pPr>
    <w:rPr>
      <w:rFonts w:ascii="Times New Roman" w:eastAsia="Times New Roman" w:hAnsi="Times New Roman" w:cs="Times New Roman"/>
      <w:szCs w:val="24"/>
    </w:rPr>
  </w:style>
  <w:style w:type="paragraph" w:styleId="TOC4">
    <w:name w:val="toc 4"/>
    <w:basedOn w:val="Normal"/>
    <w:next w:val="Normal"/>
    <w:autoRedefine/>
    <w:uiPriority w:val="99"/>
    <w:semiHidden/>
    <w:qFormat/>
    <w:pPr>
      <w:tabs>
        <w:tab w:val="left" w:pos="364"/>
        <w:tab w:val="left" w:pos="1680"/>
        <w:tab w:val="right" w:pos="9932"/>
      </w:tabs>
      <w:spacing w:after="0" w:line="240" w:lineRule="auto"/>
      <w:ind w:left="988" w:right="-183" w:hanging="650"/>
    </w:pPr>
    <w:rPr>
      <w:rFonts w:ascii="Times New Roman" w:eastAsia="Times New Roman" w:hAnsi="Times New Roman" w:cs="Times New Roman"/>
      <w:sz w:val="18"/>
      <w:szCs w:val="24"/>
      <w:lang w:val="en-US"/>
    </w:rPr>
  </w:style>
  <w:style w:type="paragraph" w:styleId="TOC5">
    <w:name w:val="toc 5"/>
    <w:basedOn w:val="Normal"/>
    <w:next w:val="Normal"/>
    <w:autoRedefine/>
    <w:uiPriority w:val="99"/>
    <w:semiHidden/>
    <w:qFormat/>
    <w:pPr>
      <w:tabs>
        <w:tab w:val="left" w:pos="1920"/>
        <w:tab w:val="right" w:pos="9438"/>
      </w:tabs>
      <w:spacing w:after="0" w:line="240" w:lineRule="auto"/>
      <w:ind w:left="1690" w:right="-1" w:hanging="730"/>
    </w:pPr>
    <w:rPr>
      <w:rFonts w:ascii="Times New Roman" w:eastAsia="Times New Roman" w:hAnsi="Times New Roman" w:cs="Times New Roman"/>
      <w:sz w:val="18"/>
      <w:szCs w:val="18"/>
      <w:lang w:val="ru-RU"/>
    </w:rPr>
  </w:style>
  <w:style w:type="paragraph" w:styleId="TOC6">
    <w:name w:val="toc 6"/>
    <w:basedOn w:val="Normal"/>
    <w:next w:val="Normal"/>
    <w:autoRedefine/>
    <w:uiPriority w:val="99"/>
    <w:semiHidden/>
    <w:qFormat/>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qFormat/>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qFormat/>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qFormat/>
    <w:pPr>
      <w:spacing w:after="0" w:line="240" w:lineRule="auto"/>
      <w:ind w:left="1920"/>
    </w:pPr>
    <w:rPr>
      <w:rFonts w:ascii="Times New Roman" w:eastAsia="Times New Roman" w:hAnsi="Times New Roman" w:cs="Times New Roman"/>
      <w:sz w:val="24"/>
      <w:szCs w:val="24"/>
      <w:lang w:val="en-US"/>
    </w:rPr>
  </w:style>
  <w:style w:type="character" w:customStyle="1" w:styleId="EndnoteCharacters">
    <w:name w:val="Endnote Characters"/>
    <w:uiPriority w:val="99"/>
    <w:qFormat/>
    <w:rPr>
      <w:rFonts w:cs="Times New Roman"/>
      <w:vertAlign w:val="superscript"/>
    </w:rPr>
  </w:style>
  <w:style w:type="character" w:customStyle="1" w:styleId="FootnoteCharacters">
    <w:name w:val="Footnote Characters"/>
    <w:qFormat/>
    <w:rPr>
      <w:rFonts w:cs="Times New Roman"/>
      <w:vertAlign w:val="superscript"/>
    </w:rPr>
  </w:style>
  <w:style w:type="character" w:customStyle="1" w:styleId="Heading1Char">
    <w:name w:val="Heading 1 Char"/>
    <w:basedOn w:val="DefaultParagraphFont"/>
    <w:uiPriority w:val="99"/>
    <w:qFormat/>
    <w:rPr>
      <w:rFonts w:asciiTheme="majorHAnsi" w:eastAsiaTheme="majorEastAsia" w:hAnsiTheme="majorHAnsi" w:cstheme="majorBidi"/>
      <w:b/>
      <w:bCs/>
      <w:color w:val="D57B02" w:themeColor="accent1" w:themeShade="BF"/>
      <w:sz w:val="28"/>
      <w:szCs w:val="28"/>
    </w:rPr>
  </w:style>
  <w:style w:type="character" w:customStyle="1" w:styleId="Heading2Char">
    <w:name w:val="Heading 2 Char"/>
    <w:basedOn w:val="DefaultParagraphFont"/>
    <w:link w:val="Heading2"/>
    <w:uiPriority w:val="99"/>
    <w:qFormat/>
    <w:rPr>
      <w:rFonts w:eastAsia="Times New Roman" w:cs="Arial"/>
      <w:bCs/>
      <w:iCs/>
      <w:color w:val="0A55A3"/>
      <w:sz w:val="28"/>
      <w:szCs w:val="28"/>
      <w:lang w:val="bg-BG"/>
    </w:rPr>
  </w:style>
  <w:style w:type="character" w:customStyle="1" w:styleId="Heading3Char">
    <w:name w:val="Heading 3 Char"/>
    <w:basedOn w:val="DefaultParagraphFont"/>
    <w:link w:val="Heading3"/>
    <w:uiPriority w:val="99"/>
    <w:qFormat/>
    <w:rPr>
      <w:rFonts w:eastAsia="Times New Roman" w:cs="Arial"/>
      <w:bCs/>
      <w:color w:val="0A55A3"/>
      <w:sz w:val="22"/>
      <w:szCs w:val="26"/>
      <w:lang w:val="bg-BG"/>
    </w:rPr>
  </w:style>
  <w:style w:type="character" w:customStyle="1" w:styleId="Heading4Char">
    <w:name w:val="Heading 4 Char"/>
    <w:basedOn w:val="DefaultParagraphFont"/>
    <w:link w:val="Heading4"/>
    <w:uiPriority w:val="99"/>
    <w:qFormat/>
    <w:rPr>
      <w:rFonts w:eastAsia="Times New Roman"/>
      <w:bCs/>
      <w:i/>
      <w:color w:val="0A55A3"/>
      <w:sz w:val="22"/>
      <w:szCs w:val="28"/>
      <w:lang w:val="bg-BG"/>
    </w:rPr>
  </w:style>
  <w:style w:type="character" w:customStyle="1" w:styleId="Heading5Char">
    <w:name w:val="Heading 5 Char"/>
    <w:basedOn w:val="DefaultParagraphFont"/>
    <w:link w:val="Heading5"/>
    <w:uiPriority w:val="99"/>
    <w:qFormat/>
    <w:rPr>
      <w:rFonts w:eastAsia="Times New Roman"/>
      <w:i/>
      <w:sz w:val="22"/>
      <w:szCs w:val="24"/>
    </w:rPr>
  </w:style>
  <w:style w:type="character" w:customStyle="1" w:styleId="Heading6Char">
    <w:name w:val="Heading 6 Char"/>
    <w:basedOn w:val="DefaultParagraphFont"/>
    <w:link w:val="Heading6"/>
    <w:uiPriority w:val="99"/>
    <w:qFormat/>
    <w:rPr>
      <w:rFonts w:eastAsia="Times New Roman"/>
      <w:i/>
      <w:sz w:val="24"/>
      <w:szCs w:val="24"/>
    </w:rPr>
  </w:style>
  <w:style w:type="character" w:customStyle="1" w:styleId="Heading7Char">
    <w:name w:val="Heading 7 Char"/>
    <w:basedOn w:val="DefaultParagraphFont"/>
    <w:link w:val="Heading7"/>
    <w:uiPriority w:val="99"/>
    <w:qFormat/>
    <w:rPr>
      <w:rFonts w:eastAsia="Times New Roman"/>
      <w:i/>
      <w:sz w:val="22"/>
      <w:szCs w:val="24"/>
      <w:lang w:val="bg-BG"/>
    </w:rPr>
  </w:style>
  <w:style w:type="character" w:customStyle="1" w:styleId="Heading8Char">
    <w:name w:val="Heading 8 Char"/>
    <w:basedOn w:val="DefaultParagraphFont"/>
    <w:link w:val="Heading8"/>
    <w:uiPriority w:val="99"/>
    <w:qFormat/>
    <w:rPr>
      <w:rFonts w:eastAsia="Times New Roman"/>
      <w:b/>
      <w:color w:val="000000"/>
      <w:sz w:val="22"/>
      <w:szCs w:val="24"/>
      <w:lang w:val="bg-BG"/>
    </w:rPr>
  </w:style>
  <w:style w:type="character" w:customStyle="1" w:styleId="Heading9Char">
    <w:name w:val="Heading 9 Char"/>
    <w:basedOn w:val="DefaultParagraphFont"/>
    <w:link w:val="Heading9"/>
    <w:uiPriority w:val="99"/>
    <w:qFormat/>
    <w:rPr>
      <w:rFonts w:eastAsia="Times New Roman"/>
      <w:b/>
      <w:bCs/>
      <w:i/>
      <w:iC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itleChar">
    <w:name w:val="Title Char"/>
    <w:basedOn w:val="DefaultParagraphFont"/>
    <w:link w:val="Title"/>
    <w:uiPriority w:val="99"/>
    <w:qFormat/>
    <w:rPr>
      <w:rFonts w:ascii="Times New Roman" w:eastAsia="Times New Roman" w:hAnsi="Times New Roman" w:cs="Arial"/>
      <w:bCs/>
      <w:color w:val="0A55A3"/>
      <w:sz w:val="42"/>
      <w:szCs w:val="32"/>
    </w:rPr>
  </w:style>
  <w:style w:type="character" w:customStyle="1" w:styleId="Heading1Char1">
    <w:name w:val="Heading 1 Char1"/>
    <w:link w:val="Heading1"/>
    <w:uiPriority w:val="99"/>
    <w:qFormat/>
    <w:locked/>
    <w:rPr>
      <w:rFonts w:eastAsia="Batang"/>
      <w:b/>
      <w:i/>
      <w:sz w:val="22"/>
      <w:szCs w:val="24"/>
      <w:lang w:val="ru-RU" w:eastAsia="ko-KR"/>
    </w:rPr>
  </w:style>
  <w:style w:type="character" w:customStyle="1" w:styleId="SubtitleChar">
    <w:name w:val="Subtitle Char"/>
    <w:basedOn w:val="DefaultParagraphFont"/>
    <w:link w:val="Subtitle"/>
    <w:uiPriority w:val="99"/>
    <w:qFormat/>
    <w:rPr>
      <w:rFonts w:ascii="Times New Roman" w:eastAsia="Times New Roman" w:hAnsi="Times New Roman" w:cs="Arial"/>
      <w:color w:val="0A55A3"/>
      <w:sz w:val="28"/>
      <w:szCs w:val="24"/>
    </w:rPr>
  </w:style>
  <w:style w:type="character" w:customStyle="1" w:styleId="BodyTextChar">
    <w:name w:val="Body Text Char"/>
    <w:basedOn w:val="DefaultParagraphFont"/>
    <w:link w:val="BodyText"/>
    <w:uiPriority w:val="99"/>
    <w:qFormat/>
    <w:rPr>
      <w:rFonts w:ascii="Times New Roman" w:eastAsia="Times New Roman" w:hAnsi="Times New Roman" w:cs="Times New Roman"/>
      <w:szCs w:val="24"/>
      <w:lang w:val="en-US"/>
    </w:rPr>
  </w:style>
  <w:style w:type="character" w:customStyle="1" w:styleId="BodyText3Char">
    <w:name w:val="Body Text 3 Char"/>
    <w:basedOn w:val="DefaultParagraphFont"/>
    <w:link w:val="BodyText3"/>
    <w:uiPriority w:val="99"/>
    <w:qFormat/>
    <w:rPr>
      <w:rFonts w:ascii="Times New Roman" w:eastAsia="Times New Roman" w:hAnsi="Times New Roman" w:cs="Times New Roman"/>
      <w:i/>
      <w:iCs/>
      <w:sz w:val="20"/>
      <w:szCs w:val="20"/>
      <w:lang w:val="en-US"/>
    </w:rPr>
  </w:style>
  <w:style w:type="character" w:customStyle="1" w:styleId="BodyText2Char">
    <w:name w:val="Body Text 2 Char"/>
    <w:basedOn w:val="DefaultParagraphFont"/>
    <w:link w:val="BodyText2"/>
    <w:uiPriority w:val="99"/>
    <w:qFormat/>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uiPriority w:val="99"/>
    <w:qFormat/>
    <w:rPr>
      <w:rFonts w:ascii="Times New Roman" w:eastAsia="Times New Roman" w:hAnsi="Times New Roman" w:cs="Times New Roman"/>
      <w:sz w:val="18"/>
      <w:szCs w:val="24"/>
    </w:rPr>
  </w:style>
  <w:style w:type="character" w:customStyle="1" w:styleId="BodyTextIndent2Char">
    <w:name w:val="Body Text Indent 2 Char"/>
    <w:basedOn w:val="DefaultParagraphFont"/>
    <w:link w:val="BodyTextIndent2"/>
    <w:uiPriority w:val="99"/>
    <w:qFormat/>
    <w:rPr>
      <w:rFonts w:ascii="Times New Roman" w:eastAsia="Times New Roman" w:hAnsi="Times New Roman" w:cs="Times New Roman"/>
      <w:sz w:val="18"/>
      <w:szCs w:val="24"/>
    </w:rPr>
  </w:style>
  <w:style w:type="character" w:customStyle="1" w:styleId="BodyTextIndent3Char">
    <w:name w:val="Body Text Indent 3 Char"/>
    <w:basedOn w:val="DefaultParagraphFont"/>
    <w:link w:val="BodyTextIndent3"/>
    <w:uiPriority w:val="99"/>
    <w:qFormat/>
    <w:rPr>
      <w:rFonts w:ascii="Times New Roman" w:eastAsia="Times New Roman" w:hAnsi="Times New Roman" w:cs="Times New Roman"/>
      <w:sz w:val="18"/>
      <w:szCs w:val="24"/>
    </w:rPr>
  </w:style>
  <w:style w:type="character" w:customStyle="1" w:styleId="mainpageitems1">
    <w:name w:val="main_page_items1"/>
    <w:uiPriority w:val="99"/>
    <w:qFormat/>
    <w:rPr>
      <w:rFonts w:ascii="Verdana" w:hAnsi="Verdana"/>
      <w:b/>
      <w:color w:val="000000"/>
      <w:sz w:val="24"/>
    </w:rPr>
  </w:style>
  <w:style w:type="character" w:customStyle="1" w:styleId="PlainTextChar">
    <w:name w:val="Plain Text Char"/>
    <w:basedOn w:val="DefaultParagraphFont"/>
    <w:link w:val="PlainText"/>
    <w:uiPriority w:val="99"/>
    <w:qFormat/>
    <w:rPr>
      <w:rFonts w:ascii="Courier New" w:eastAsia="Times New Roman" w:hAnsi="Courier New" w:cs="Times New Roman"/>
      <w:sz w:val="20"/>
      <w:szCs w:val="24"/>
      <w:lang w:val="en-US"/>
    </w:rPr>
  </w:style>
  <w:style w:type="character" w:customStyle="1" w:styleId="text">
    <w:name w:val="text"/>
    <w:uiPriority w:val="99"/>
    <w:qFormat/>
    <w:rPr>
      <w:rFonts w:ascii="Verdana" w:hAnsi="Verdana"/>
      <w:color w:val="000000"/>
      <w:sz w:val="18"/>
    </w:rPr>
  </w:style>
  <w:style w:type="character" w:customStyle="1" w:styleId="ListBulletChar">
    <w:name w:val="List Bullet Char"/>
    <w:link w:val="ListBullet"/>
    <w:uiPriority w:val="99"/>
    <w:qFormat/>
    <w:locked/>
    <w:rPr>
      <w:rFonts w:ascii="MS Sans Serif" w:eastAsia="Calibri" w:hAnsi="MS Sans Serif" w:cs="Times New Roman"/>
      <w:sz w:val="24"/>
      <w:szCs w:val="20"/>
      <w:u w:val="single"/>
      <w:lang w:eastAsia="bg-BG"/>
    </w:rPr>
  </w:style>
  <w:style w:type="character" w:customStyle="1" w:styleId="CommentTextChar">
    <w:name w:val="Comment Text Char"/>
    <w:basedOn w:val="DefaultParagraphFont"/>
    <w:link w:val="CommentText"/>
    <w:uiPriority w:val="99"/>
    <w:semiHidden/>
    <w:qFormat/>
    <w:rPr>
      <w:rFonts w:ascii="Arial Narrow" w:eastAsia="Times New Roman" w:hAnsi="Arial Narrow" w:cs="Times New Roman"/>
      <w:sz w:val="20"/>
      <w:szCs w:val="20"/>
      <w:lang w:eastAsia="bg-BG"/>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eastAsia="bg-BG"/>
    </w:rPr>
  </w:style>
  <w:style w:type="character" w:customStyle="1" w:styleId="EndnoteTextChar">
    <w:name w:val="Endnote Text Char"/>
    <w:uiPriority w:val="99"/>
    <w:qFormat/>
    <w:locked/>
    <w:rPr>
      <w:sz w:val="24"/>
      <w:lang w:val="en-US"/>
    </w:rPr>
  </w:style>
  <w:style w:type="character" w:customStyle="1" w:styleId="FontStyle113">
    <w:name w:val="Font Style113"/>
    <w:uiPriority w:val="99"/>
    <w:qFormat/>
    <w:rPr>
      <w:rFonts w:ascii="Bookman Old Style" w:hAnsi="Bookman Old Style"/>
      <w:sz w:val="26"/>
    </w:rPr>
  </w:style>
  <w:style w:type="character" w:customStyle="1" w:styleId="FontStyle109">
    <w:name w:val="Font Style109"/>
    <w:uiPriority w:val="99"/>
    <w:qFormat/>
    <w:rPr>
      <w:rFonts w:ascii="Bookman Old Style" w:hAnsi="Bookman Old Style"/>
      <w:b/>
      <w:sz w:val="26"/>
    </w:rPr>
  </w:style>
  <w:style w:type="character" w:customStyle="1" w:styleId="EndnoteTextChar1">
    <w:name w:val="Endnote Text Char1"/>
    <w:basedOn w:val="DefaultParagraphFont"/>
    <w:link w:val="EndnoteText"/>
    <w:uiPriority w:val="99"/>
    <w:qFormat/>
    <w:rPr>
      <w:rFonts w:ascii="Calibri" w:eastAsia="Calibri" w:hAnsi="Calibri" w:cs="Times New Roman"/>
      <w:sz w:val="24"/>
      <w:szCs w:val="20"/>
      <w:lang w:val="en-US" w:eastAsia="bg-BG"/>
    </w:rPr>
  </w:style>
  <w:style w:type="character" w:customStyle="1" w:styleId="longtext1">
    <w:name w:val="long_text1"/>
    <w:uiPriority w:val="99"/>
    <w:qFormat/>
    <w:rPr>
      <w:sz w:val="20"/>
    </w:rPr>
  </w:style>
  <w:style w:type="character" w:customStyle="1" w:styleId="hps">
    <w:name w:val="hps"/>
    <w:uiPriority w:val="99"/>
    <w:qFormat/>
    <w:rPr>
      <w:rFonts w:cs="Times New Roman"/>
    </w:rPr>
  </w:style>
  <w:style w:type="character" w:customStyle="1" w:styleId="DocumentMapChar">
    <w:name w:val="Document Map Char"/>
    <w:basedOn w:val="DefaultParagraphFont"/>
    <w:link w:val="DocumentMap"/>
    <w:uiPriority w:val="99"/>
    <w:semiHidden/>
    <w:qFormat/>
    <w:rPr>
      <w:rFonts w:ascii="Tahoma" w:eastAsia="Times New Roman" w:hAnsi="Tahoma" w:cs="Tahoma"/>
      <w:sz w:val="20"/>
      <w:szCs w:val="20"/>
      <w:shd w:val="clear" w:color="auto" w:fill="000080"/>
      <w:lang w:eastAsia="bg-BG"/>
    </w:rPr>
  </w:style>
  <w:style w:type="character" w:customStyle="1" w:styleId="1">
    <w:name w:val="Интензивно акцентиран1"/>
    <w:basedOn w:val="DefaultParagraphFont"/>
    <w:uiPriority w:val="21"/>
    <w:qFormat/>
    <w:rPr>
      <w:b/>
      <w:bCs/>
      <w:i/>
      <w:iCs/>
      <w:color w:val="FDA023" w:themeColor="accent1"/>
    </w:r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lang w:eastAsia="bg-BG"/>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customStyle="1" w:styleId="BlockTitle">
    <w:name w:val="Block Title"/>
    <w:basedOn w:val="BlockText"/>
    <w:next w:val="BlockText"/>
    <w:uiPriority w:val="99"/>
    <w:qFormat/>
    <w:pPr>
      <w:keepNext/>
    </w:pPr>
    <w:rPr>
      <w:b/>
      <w:bCs/>
    </w:rPr>
  </w:style>
  <w:style w:type="paragraph" w:customStyle="1" w:styleId="HeadingOther1">
    <w:name w:val="Heading Other 1"/>
    <w:basedOn w:val="Heading1"/>
    <w:next w:val="Normal"/>
    <w:uiPriority w:val="99"/>
    <w:qFormat/>
    <w:pPr>
      <w:numPr>
        <w:numId w:val="0"/>
      </w:numPr>
      <w:outlineLvl w:val="9"/>
    </w:pPr>
  </w:style>
  <w:style w:type="paragraph" w:customStyle="1" w:styleId="HeadingOther2">
    <w:name w:val="Heading Other 2"/>
    <w:basedOn w:val="Heading2"/>
    <w:next w:val="Normal"/>
    <w:uiPriority w:val="99"/>
    <w:qFormat/>
    <w:pPr>
      <w:numPr>
        <w:ilvl w:val="0"/>
        <w:numId w:val="0"/>
      </w:numPr>
      <w:outlineLvl w:val="9"/>
    </w:pPr>
  </w:style>
  <w:style w:type="paragraph" w:customStyle="1" w:styleId="TableText">
    <w:name w:val="Table Text"/>
    <w:basedOn w:val="Normal"/>
    <w:uiPriority w:val="99"/>
    <w:qFormat/>
    <w:pPr>
      <w:spacing w:after="0" w:line="280" w:lineRule="atLeast"/>
    </w:pPr>
    <w:rPr>
      <w:rFonts w:ascii="Arial" w:eastAsia="Times New Roman" w:hAnsi="Arial" w:cs="Times New Roman"/>
      <w:sz w:val="16"/>
      <w:szCs w:val="24"/>
    </w:rPr>
  </w:style>
  <w:style w:type="paragraph" w:customStyle="1" w:styleId="TableContents">
    <w:name w:val="Table Contents"/>
    <w:basedOn w:val="Normal"/>
    <w:qFormat/>
  </w:style>
  <w:style w:type="paragraph" w:customStyle="1" w:styleId="TableHeading">
    <w:name w:val="Table Heading"/>
    <w:basedOn w:val="TableText"/>
    <w:uiPriority w:val="99"/>
    <w:qFormat/>
    <w:pPr>
      <w:keepNext/>
    </w:pPr>
    <w:rPr>
      <w:b/>
    </w:rPr>
  </w:style>
  <w:style w:type="paragraph" w:customStyle="1" w:styleId="MarginText">
    <w:name w:val="Margin Text"/>
    <w:basedOn w:val="Normal"/>
    <w:uiPriority w:val="99"/>
    <w:qFormat/>
    <w:pPr>
      <w:spacing w:after="0" w:line="200" w:lineRule="atLeast"/>
    </w:pPr>
    <w:rPr>
      <w:rFonts w:ascii="Arial" w:eastAsia="Times New Roman" w:hAnsi="Arial" w:cs="Times New Roman"/>
      <w:color w:val="0A55A3"/>
      <w:sz w:val="14"/>
      <w:szCs w:val="24"/>
    </w:rPr>
  </w:style>
  <w:style w:type="paragraph" w:customStyle="1" w:styleId="BoldItalic">
    <w:name w:val="Bold+Italic"/>
    <w:basedOn w:val="Normal"/>
    <w:uiPriority w:val="99"/>
    <w:qFormat/>
    <w:pPr>
      <w:spacing w:after="0" w:line="240" w:lineRule="auto"/>
      <w:jc w:val="both"/>
    </w:pPr>
    <w:rPr>
      <w:rFonts w:ascii="Times New Roman" w:eastAsia="Times New Roman" w:hAnsi="Times New Roman" w:cs="Times New Roman"/>
      <w:b/>
      <w:i/>
      <w:sz w:val="24"/>
      <w:szCs w:val="20"/>
    </w:rPr>
  </w:style>
  <w:style w:type="paragraph" w:customStyle="1" w:styleId="Tabelkop">
    <w:name w:val="Tabelkop"/>
    <w:basedOn w:val="Normal"/>
    <w:uiPriority w:val="99"/>
    <w:qFormat/>
    <w:pPr>
      <w:spacing w:after="0" w:line="240" w:lineRule="auto"/>
    </w:pPr>
    <w:rPr>
      <w:rFonts w:ascii="Times New Roman" w:eastAsia="Times New Roman" w:hAnsi="Times New Roman" w:cs="Times New Roman"/>
      <w:sz w:val="20"/>
      <w:szCs w:val="20"/>
    </w:rPr>
  </w:style>
  <w:style w:type="paragraph" w:customStyle="1" w:styleId="standard3">
    <w:name w:val="standard3"/>
    <w:basedOn w:val="Normal"/>
    <w:uiPriority w:val="99"/>
    <w:qFormat/>
    <w:pPr>
      <w:numPr>
        <w:numId w:val="6"/>
      </w:numPr>
      <w:spacing w:before="120" w:after="120" w:line="260" w:lineRule="atLeast"/>
      <w:jc w:val="both"/>
    </w:pPr>
    <w:rPr>
      <w:rFonts w:ascii="Arial" w:eastAsia="Times New Roman" w:hAnsi="Arial" w:cs="Times New Roman"/>
      <w:sz w:val="20"/>
      <w:szCs w:val="20"/>
      <w:lang w:val="en-GB"/>
    </w:rPr>
  </w:style>
  <w:style w:type="paragraph" w:customStyle="1" w:styleId="10">
    <w:name w:val="1"/>
    <w:basedOn w:val="Normal"/>
    <w:next w:val="Normal"/>
    <w:uiPriority w:val="99"/>
    <w:qFormat/>
    <w:pPr>
      <w:spacing w:after="0" w:line="240" w:lineRule="auto"/>
      <w:ind w:firstLine="283"/>
      <w:jc w:val="both"/>
    </w:pPr>
    <w:rPr>
      <w:rFonts w:ascii="Arial" w:eastAsia="Times New Roman" w:hAnsi="Arial" w:cs="Arial"/>
      <w:color w:val="000000"/>
      <w:sz w:val="20"/>
      <w:szCs w:val="20"/>
      <w:lang w:val="en-US"/>
    </w:rPr>
  </w:style>
  <w:style w:type="paragraph" w:customStyle="1" w:styleId="Num-DocParagraph">
    <w:name w:val="Num-Doc Paragraph"/>
    <w:basedOn w:val="BodyText"/>
    <w:uiPriority w:val="99"/>
    <w:qFormat/>
    <w:pPr>
      <w:tabs>
        <w:tab w:val="left" w:pos="851"/>
        <w:tab w:val="left" w:pos="1191"/>
        <w:tab w:val="left" w:pos="1531"/>
      </w:tabs>
      <w:spacing w:after="240" w:line="240" w:lineRule="auto"/>
    </w:pPr>
    <w:rPr>
      <w:rFonts w:ascii="Times" w:hAnsi="Times"/>
      <w:spacing w:val="-5"/>
      <w:sz w:val="24"/>
      <w:szCs w:val="20"/>
      <w:lang w:val="en-GB"/>
    </w:rPr>
  </w:style>
  <w:style w:type="paragraph" w:customStyle="1" w:styleId="Bold">
    <w:name w:val="Bold"/>
    <w:basedOn w:val="Normal"/>
    <w:next w:val="Normal"/>
    <w:uiPriority w:val="99"/>
    <w:qFormat/>
    <w:pPr>
      <w:spacing w:after="0" w:line="240" w:lineRule="auto"/>
      <w:jc w:val="both"/>
    </w:pPr>
    <w:rPr>
      <w:rFonts w:ascii="Times New Roman" w:eastAsia="Times New Roman" w:hAnsi="Times New Roman" w:cs="Times New Roman"/>
      <w:b/>
      <w:sz w:val="24"/>
      <w:szCs w:val="20"/>
    </w:rPr>
  </w:style>
  <w:style w:type="paragraph" w:customStyle="1" w:styleId="xl25">
    <w:name w:val="xl25"/>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26">
    <w:name w:val="xl26"/>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27">
    <w:name w:val="xl27"/>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28">
    <w:name w:val="xl28"/>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29">
    <w:name w:val="xl29"/>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30">
    <w:name w:val="xl3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31">
    <w:name w:val="xl31"/>
    <w:basedOn w:val="Normal"/>
    <w:uiPriority w:val="99"/>
    <w:qFormat/>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32">
    <w:name w:val="xl32"/>
    <w:basedOn w:val="Normal"/>
    <w:uiPriority w:val="99"/>
    <w:qFormat/>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33">
    <w:name w:val="xl33"/>
    <w:basedOn w:val="Normal"/>
    <w:uiPriority w:val="99"/>
    <w:qFormat/>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34">
    <w:name w:val="xl34"/>
    <w:basedOn w:val="Normal"/>
    <w:uiPriority w:val="99"/>
    <w:qFormat/>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35">
    <w:name w:val="xl35"/>
    <w:basedOn w:val="Normal"/>
    <w:uiPriority w:val="99"/>
    <w:qFormat/>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36">
    <w:name w:val="xl36"/>
    <w:basedOn w:val="Normal"/>
    <w:uiPriority w:val="99"/>
    <w:qFormat/>
    <w:pPr>
      <w:pBdr>
        <w:top w:val="single" w:sz="4" w:space="0" w:color="000000"/>
        <w:left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37">
    <w:name w:val="xl37"/>
    <w:basedOn w:val="Normal"/>
    <w:uiPriority w:val="99"/>
    <w:qFormat/>
    <w:pPr>
      <w:pBdr>
        <w:top w:val="single" w:sz="4" w:space="0" w:color="000000"/>
        <w:left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38">
    <w:name w:val="xl38"/>
    <w:basedOn w:val="Normal"/>
    <w:uiPriority w:val="99"/>
    <w:qFormat/>
    <w:pPr>
      <w:pBdr>
        <w:top w:val="single" w:sz="4" w:space="0" w:color="000000"/>
        <w:left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39">
    <w:name w:val="xl39"/>
    <w:basedOn w:val="Normal"/>
    <w:uiPriority w:val="99"/>
    <w:qFormat/>
    <w:pPr>
      <w:pBdr>
        <w:top w:val="single" w:sz="4" w:space="0" w:color="000000"/>
        <w:left w:val="single" w:sz="4" w:space="0" w:color="000000"/>
        <w:bottom w:val="single" w:sz="8"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40">
    <w:name w:val="xl40"/>
    <w:basedOn w:val="Normal"/>
    <w:uiPriority w:val="99"/>
    <w:qFormat/>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41">
    <w:name w:val="xl41"/>
    <w:basedOn w:val="Normal"/>
    <w:uiPriority w:val="99"/>
    <w:qFormat/>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42">
    <w:name w:val="xl42"/>
    <w:basedOn w:val="Normal"/>
    <w:uiPriority w:val="99"/>
    <w:qFormat/>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43">
    <w:name w:val="xl43"/>
    <w:basedOn w:val="Normal"/>
    <w:uiPriority w:val="99"/>
    <w:qFormat/>
    <w:pPr>
      <w:pBdr>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44">
    <w:name w:val="xl44"/>
    <w:basedOn w:val="Normal"/>
    <w:uiPriority w:val="99"/>
    <w:qFormat/>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45">
    <w:name w:val="xl45"/>
    <w:basedOn w:val="Normal"/>
    <w:uiPriority w:val="99"/>
    <w:qFormat/>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46">
    <w:name w:val="xl46"/>
    <w:basedOn w:val="Normal"/>
    <w:uiPriority w:val="99"/>
    <w:qFormat/>
    <w:pPr>
      <w:pBdr>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47">
    <w:name w:val="xl47"/>
    <w:basedOn w:val="Normal"/>
    <w:uiPriority w:val="99"/>
    <w:qFormat/>
    <w:pPr>
      <w:pBdr>
        <w:left w:val="single" w:sz="8" w:space="0" w:color="000000"/>
        <w:bottom w:val="single" w:sz="4" w:space="0" w:color="000000"/>
        <w:right w:val="single" w:sz="4" w:space="0" w:color="000000"/>
      </w:pBdr>
      <w:shd w:val="clear" w:color="auto" w:fill="FFFF99"/>
      <w:spacing w:beforeAutospacing="1" w:afterAutospacing="1" w:line="240" w:lineRule="auto"/>
      <w:textAlignment w:val="top"/>
    </w:pPr>
    <w:rPr>
      <w:rFonts w:ascii="Times New Roman" w:eastAsia="Times New Roman" w:hAnsi="Times New Roman" w:cs="Times New Roman"/>
      <w:sz w:val="24"/>
      <w:szCs w:val="24"/>
      <w:lang w:eastAsia="bg-BG"/>
    </w:rPr>
  </w:style>
  <w:style w:type="paragraph" w:customStyle="1" w:styleId="xl48">
    <w:name w:val="xl48"/>
    <w:basedOn w:val="Normal"/>
    <w:uiPriority w:val="99"/>
    <w:qFormat/>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49">
    <w:name w:val="xl49"/>
    <w:basedOn w:val="Normal"/>
    <w:uiPriority w:val="99"/>
    <w:qFormat/>
    <w:pPr>
      <w:pBdr>
        <w:top w:val="single" w:sz="4"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50">
    <w:name w:val="xl50"/>
    <w:basedOn w:val="Normal"/>
    <w:uiPriority w:val="99"/>
    <w:qFormat/>
    <w:pPr>
      <w:pBdr>
        <w:top w:val="single" w:sz="4" w:space="0" w:color="000000"/>
        <w:left w:val="single" w:sz="8" w:space="0" w:color="000000"/>
        <w:bottom w:val="single" w:sz="4" w:space="0" w:color="000000"/>
        <w:right w:val="single" w:sz="4" w:space="0" w:color="000000"/>
      </w:pBdr>
      <w:shd w:val="clear" w:color="auto" w:fill="FFFF99"/>
      <w:spacing w:beforeAutospacing="1" w:afterAutospacing="1" w:line="240" w:lineRule="auto"/>
      <w:textAlignment w:val="top"/>
    </w:pPr>
    <w:rPr>
      <w:rFonts w:ascii="Times New Roman" w:eastAsia="Times New Roman" w:hAnsi="Times New Roman" w:cs="Times New Roman"/>
      <w:sz w:val="24"/>
      <w:szCs w:val="24"/>
      <w:lang w:eastAsia="bg-BG"/>
    </w:rPr>
  </w:style>
  <w:style w:type="paragraph" w:customStyle="1" w:styleId="xl51">
    <w:name w:val="xl51"/>
    <w:basedOn w:val="Normal"/>
    <w:uiPriority w:val="99"/>
    <w:qFormat/>
    <w:pPr>
      <w:pBdr>
        <w:top w:val="single" w:sz="4" w:space="0" w:color="000000"/>
        <w:left w:val="single" w:sz="8" w:space="0" w:color="000000"/>
        <w:bottom w:val="single" w:sz="4" w:space="0" w:color="000000"/>
        <w:right w:val="single" w:sz="4" w:space="0" w:color="000000"/>
      </w:pBdr>
      <w:shd w:val="clear" w:color="auto" w:fill="CCFFFF"/>
      <w:spacing w:beforeAutospacing="1" w:afterAutospacing="1" w:line="240" w:lineRule="auto"/>
      <w:textAlignment w:val="top"/>
    </w:pPr>
    <w:rPr>
      <w:rFonts w:ascii="Times New Roman" w:eastAsia="Times New Roman" w:hAnsi="Times New Roman" w:cs="Times New Roman"/>
      <w:sz w:val="24"/>
      <w:szCs w:val="24"/>
      <w:lang w:eastAsia="bg-BG"/>
    </w:rPr>
  </w:style>
  <w:style w:type="paragraph" w:customStyle="1" w:styleId="xl52">
    <w:name w:val="xl52"/>
    <w:basedOn w:val="Normal"/>
    <w:uiPriority w:val="99"/>
    <w:qFormat/>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53">
    <w:name w:val="xl53"/>
    <w:basedOn w:val="Normal"/>
    <w:uiPriority w:val="99"/>
    <w:qFormat/>
    <w:pPr>
      <w:pBdr>
        <w:top w:val="single" w:sz="4" w:space="0" w:color="000000"/>
        <w:left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bg-BG"/>
    </w:rPr>
  </w:style>
  <w:style w:type="paragraph" w:customStyle="1" w:styleId="xl54">
    <w:name w:val="xl54"/>
    <w:basedOn w:val="Normal"/>
    <w:uiPriority w:val="99"/>
    <w:qFormat/>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55">
    <w:name w:val="xl55"/>
    <w:basedOn w:val="Normal"/>
    <w:uiPriority w:val="99"/>
    <w:qFormat/>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56">
    <w:name w:val="xl56"/>
    <w:basedOn w:val="Normal"/>
    <w:uiPriority w:val="99"/>
    <w:qFormat/>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bg-BG"/>
    </w:rPr>
  </w:style>
  <w:style w:type="paragraph" w:customStyle="1" w:styleId="xl57">
    <w:name w:val="xl57"/>
    <w:basedOn w:val="Normal"/>
    <w:uiPriority w:val="99"/>
    <w:qFormat/>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bg-BG"/>
    </w:rPr>
  </w:style>
  <w:style w:type="paragraph" w:customStyle="1" w:styleId="xl58">
    <w:name w:val="xl58"/>
    <w:basedOn w:val="Normal"/>
    <w:uiPriority w:val="99"/>
    <w:qFormat/>
    <w:pPr>
      <w:pBdr>
        <w:top w:val="single" w:sz="8"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59">
    <w:name w:val="xl59"/>
    <w:basedOn w:val="Normal"/>
    <w:uiPriority w:val="99"/>
    <w:qFormat/>
    <w:pPr>
      <w:pBdr>
        <w:top w:val="single" w:sz="8" w:space="0" w:color="000000"/>
        <w:left w:val="single" w:sz="8" w:space="24" w:color="000000"/>
        <w:bottom w:val="single" w:sz="8" w:space="0" w:color="000000"/>
        <w:right w:val="single" w:sz="4" w:space="0" w:color="000000"/>
      </w:pBdr>
      <w:shd w:val="clear" w:color="auto" w:fill="FFFFFF"/>
      <w:spacing w:beforeAutospacing="1" w:afterAutospacing="1" w:line="240" w:lineRule="auto"/>
      <w:ind w:firstLine="200"/>
    </w:pPr>
    <w:rPr>
      <w:rFonts w:ascii="Times New Roman" w:eastAsia="Times New Roman" w:hAnsi="Times New Roman" w:cs="Times New Roman"/>
      <w:b/>
      <w:bCs/>
      <w:sz w:val="24"/>
      <w:szCs w:val="24"/>
      <w:lang w:eastAsia="bg-BG"/>
    </w:rPr>
  </w:style>
  <w:style w:type="paragraph" w:customStyle="1" w:styleId="xl60">
    <w:name w:val="xl60"/>
    <w:basedOn w:val="Normal"/>
    <w:uiPriority w:val="99"/>
    <w:qFormat/>
    <w:pPr>
      <w:pBdr>
        <w:top w:val="single" w:sz="4" w:space="0" w:color="000000"/>
        <w:left w:val="single" w:sz="4" w:space="0" w:color="000000"/>
        <w:right w:val="single" w:sz="8" w:space="0" w:color="000000"/>
      </w:pBdr>
      <w:spacing w:beforeAutospacing="1" w:afterAutospacing="1" w:line="240" w:lineRule="auto"/>
    </w:pPr>
    <w:rPr>
      <w:rFonts w:ascii="Times New Roman" w:eastAsia="Times New Roman" w:hAnsi="Times New Roman" w:cs="Times New Roman"/>
      <w:sz w:val="18"/>
      <w:szCs w:val="18"/>
      <w:lang w:eastAsia="bg-BG"/>
    </w:rPr>
  </w:style>
  <w:style w:type="paragraph" w:customStyle="1" w:styleId="xl61">
    <w:name w:val="xl61"/>
    <w:basedOn w:val="Normal"/>
    <w:uiPriority w:val="99"/>
    <w:qFormat/>
    <w:pPr>
      <w:pBdr>
        <w:top w:val="single" w:sz="4" w:space="0" w:color="000000"/>
        <w:left w:val="single" w:sz="8" w:space="0" w:color="000000"/>
        <w:bottom w:val="single" w:sz="4" w:space="0" w:color="000000"/>
        <w:right w:val="single" w:sz="4" w:space="0" w:color="000000"/>
      </w:pBdr>
      <w:shd w:val="clear" w:color="auto" w:fill="CCFFFF"/>
      <w:spacing w:beforeAutospacing="1" w:afterAutospacing="1" w:line="240" w:lineRule="auto"/>
      <w:textAlignment w:val="top"/>
    </w:pPr>
    <w:rPr>
      <w:rFonts w:ascii="Times New Roman" w:eastAsia="Times New Roman" w:hAnsi="Times New Roman" w:cs="Times New Roman"/>
      <w:sz w:val="18"/>
      <w:szCs w:val="18"/>
      <w:lang w:eastAsia="bg-BG"/>
    </w:rPr>
  </w:style>
  <w:style w:type="paragraph" w:customStyle="1" w:styleId="xl62">
    <w:name w:val="xl62"/>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8"/>
      <w:szCs w:val="18"/>
      <w:lang w:eastAsia="bg-BG"/>
    </w:rPr>
  </w:style>
  <w:style w:type="paragraph" w:customStyle="1" w:styleId="xl63">
    <w:name w:val="xl63"/>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8"/>
      <w:szCs w:val="18"/>
      <w:lang w:eastAsia="bg-BG"/>
    </w:rPr>
  </w:style>
  <w:style w:type="paragraph" w:customStyle="1" w:styleId="xl64">
    <w:name w:val="xl64"/>
    <w:basedOn w:val="Normal"/>
    <w:uiPriority w:val="99"/>
    <w:qFormat/>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18"/>
      <w:szCs w:val="18"/>
      <w:lang w:eastAsia="bg-BG"/>
    </w:rPr>
  </w:style>
  <w:style w:type="paragraph" w:customStyle="1" w:styleId="a0">
    <w:name w:val="Стил"/>
    <w:uiPriority w:val="99"/>
    <w:qFormat/>
    <w:pPr>
      <w:suppressAutoHyphens/>
      <w:ind w:left="140" w:right="140" w:firstLine="840"/>
      <w:jc w:val="both"/>
    </w:pPr>
    <w:rPr>
      <w:rFonts w:eastAsia="Times New Roman"/>
      <w:sz w:val="24"/>
      <w:szCs w:val="24"/>
      <w:lang w:val="bg-BG" w:eastAsia="bg-BG"/>
    </w:rPr>
  </w:style>
  <w:style w:type="paragraph" w:customStyle="1" w:styleId="11">
    <w:name w:val="Κείμενο 1"/>
    <w:basedOn w:val="Normal"/>
    <w:uiPriority w:val="99"/>
    <w:qFormat/>
    <w:pPr>
      <w:spacing w:after="0" w:line="240" w:lineRule="auto"/>
      <w:jc w:val="both"/>
    </w:pPr>
    <w:rPr>
      <w:rFonts w:ascii="Times New Roman" w:eastAsia="Times New Roman" w:hAnsi="Times New Roman" w:cs="Times New Roman"/>
      <w:sz w:val="24"/>
      <w:szCs w:val="20"/>
      <w:lang w:val="el-GR"/>
    </w:rPr>
  </w:style>
  <w:style w:type="paragraph" w:customStyle="1" w:styleId="style0">
    <w:name w:val="style0"/>
    <w:basedOn w:val="Normal"/>
    <w:uiPriority w:val="99"/>
    <w:qFormat/>
    <w:pPr>
      <w:spacing w:after="0" w:line="240" w:lineRule="auto"/>
      <w:ind w:firstLine="1200"/>
      <w:jc w:val="both"/>
    </w:pPr>
    <w:rPr>
      <w:rFonts w:ascii="Times New Roman" w:eastAsia="Times New Roman" w:hAnsi="Times New Roman" w:cs="Times New Roman"/>
      <w:sz w:val="24"/>
      <w:szCs w:val="24"/>
      <w:lang w:eastAsia="bg-BG"/>
    </w:rPr>
  </w:style>
  <w:style w:type="paragraph" w:customStyle="1" w:styleId="CharCharChar1CharChar">
    <w:name w:val="Char Знак Char Char1 Знак Знак Знак Char Char"/>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
    <w:name w:val="Char Знак Char Char"/>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
    <w:name w:val="Char"/>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a1">
    <w:name w:val="Знак"/>
    <w:basedOn w:val="Normal"/>
    <w:qFormat/>
    <w:pPr>
      <w:spacing w:after="160" w:line="240" w:lineRule="exact"/>
    </w:pPr>
    <w:rPr>
      <w:rFonts w:ascii="Tahoma" w:eastAsia="Times New Roman" w:hAnsi="Tahoma" w:cs="Times New Roman"/>
      <w:sz w:val="20"/>
      <w:szCs w:val="20"/>
      <w:lang w:val="en-US"/>
    </w:rPr>
  </w:style>
  <w:style w:type="paragraph" w:customStyle="1" w:styleId="CharCharChar1Char">
    <w:name w:val="Char Знак Char Char1 Знак Char Знак"/>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style">
    <w:name w:val="style"/>
    <w:basedOn w:val="Normal"/>
    <w:uiPriority w:val="99"/>
    <w:qFormat/>
    <w:pPr>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Char1CharChar0">
    <w:name w:val="Char Знак Char Char1 Знак Знак Знак Char Char Знак"/>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
    <w:name w:val="Char Char Знак"/>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1">
    <w:name w:val="Char Знак Char Char1 Знак"/>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0">
    <w:name w:val="Char Знак"/>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Style1">
    <w:name w:val="Style"/>
    <w:qFormat/>
    <w:pPr>
      <w:widowControl w:val="0"/>
      <w:suppressAutoHyphens/>
      <w:ind w:left="140" w:right="140" w:firstLine="840"/>
      <w:jc w:val="both"/>
    </w:pPr>
    <w:rPr>
      <w:rFonts w:eastAsia="Times New Roman"/>
      <w:sz w:val="24"/>
      <w:szCs w:val="24"/>
    </w:rPr>
  </w:style>
  <w:style w:type="paragraph" w:customStyle="1" w:styleId="Table">
    <w:name w:val="Table"/>
    <w:basedOn w:val="Normal"/>
    <w:uiPriority w:val="99"/>
    <w:qFormat/>
    <w:pPr>
      <w:keepLines/>
      <w:spacing w:after="0" w:line="240" w:lineRule="auto"/>
    </w:pPr>
    <w:rPr>
      <w:rFonts w:ascii="Arial Narrow" w:eastAsia="Times New Roman" w:hAnsi="Arial Narrow" w:cs="Arial"/>
      <w:sz w:val="20"/>
      <w:szCs w:val="24"/>
    </w:rPr>
  </w:style>
  <w:style w:type="paragraph" w:customStyle="1" w:styleId="Default">
    <w:name w:val="Default"/>
    <w:qFormat/>
    <w:pPr>
      <w:widowControl w:val="0"/>
      <w:suppressAutoHyphens/>
    </w:pPr>
    <w:rPr>
      <w:rFonts w:eastAsia="Times New Roman"/>
      <w:color w:val="000000"/>
      <w:sz w:val="24"/>
      <w:szCs w:val="24"/>
      <w:lang w:val="bg-BG" w:eastAsia="bg-BG"/>
    </w:rPr>
  </w:style>
  <w:style w:type="paragraph" w:customStyle="1" w:styleId="CM59">
    <w:name w:val="CM59"/>
    <w:basedOn w:val="Default"/>
    <w:next w:val="Default"/>
    <w:qFormat/>
    <w:pPr>
      <w:spacing w:after="113"/>
    </w:pPr>
    <w:rPr>
      <w:color w:val="auto"/>
    </w:rPr>
  </w:style>
  <w:style w:type="paragraph" w:customStyle="1" w:styleId="CharCharCharCharCharChar">
    <w:name w:val="Char Char Char Char Char Char"/>
    <w:basedOn w:val="Normal"/>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DefaultParagraphFont1Char">
    <w:name w:val="Default Paragraph Font1 Char"/>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2">
    <w:name w:val="Знак2"/>
    <w:basedOn w:val="Normal"/>
    <w:uiPriority w:val="99"/>
    <w:qFormat/>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0">
    <w:name w:val="Char Char Char Знак"/>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Char">
    <w:name w:val="Char Char Знак Знак1 Знак Знак Знак Знак Char Char Char"/>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2">
    <w:name w:val="Char Char Char Char Char Char2"/>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styleId="ListParagraph">
    <w:name w:val="List Paragraph"/>
    <w:basedOn w:val="Normal"/>
    <w:uiPriority w:val="34"/>
    <w:qFormat/>
    <w:pPr>
      <w:ind w:left="720"/>
      <w:contextualSpacing/>
    </w:pPr>
    <w:rPr>
      <w:rFonts w:ascii="Calibri" w:eastAsia="Calibri" w:hAnsi="Calibri" w:cs="Times New Roman"/>
    </w:rPr>
  </w:style>
  <w:style w:type="paragraph" w:customStyle="1" w:styleId="Style6">
    <w:name w:val="Style6"/>
    <w:basedOn w:val="Normal"/>
    <w:uiPriority w:val="99"/>
    <w:qFormat/>
    <w:pPr>
      <w:widowControl w:val="0"/>
      <w:spacing w:after="0" w:line="336" w:lineRule="exact"/>
      <w:ind w:firstLine="566"/>
      <w:jc w:val="both"/>
    </w:pPr>
    <w:rPr>
      <w:rFonts w:ascii="Bookman Old Style" w:eastAsia="Times New Roman" w:hAnsi="Bookman Old Style" w:cs="Times New Roman"/>
      <w:sz w:val="24"/>
      <w:szCs w:val="24"/>
      <w:lang w:val="en-US"/>
    </w:rPr>
  </w:style>
  <w:style w:type="paragraph" w:customStyle="1" w:styleId="Style12">
    <w:name w:val="Style12"/>
    <w:basedOn w:val="Normal"/>
    <w:uiPriority w:val="99"/>
    <w:qFormat/>
    <w:pPr>
      <w:widowControl w:val="0"/>
      <w:spacing w:after="0" w:line="336" w:lineRule="exact"/>
      <w:jc w:val="both"/>
    </w:pPr>
    <w:rPr>
      <w:rFonts w:ascii="Bookman Old Style" w:eastAsia="Times New Roman" w:hAnsi="Bookman Old Style" w:cs="Times New Roman"/>
      <w:sz w:val="24"/>
      <w:szCs w:val="24"/>
      <w:lang w:val="en-US"/>
    </w:rPr>
  </w:style>
  <w:style w:type="paragraph" w:customStyle="1" w:styleId="ListNumber1">
    <w:name w:val="List Number1"/>
    <w:basedOn w:val="ListNumber2"/>
    <w:uiPriority w:val="99"/>
    <w:qFormat/>
    <w:pPr>
      <w:numPr>
        <w:numId w:val="7"/>
      </w:numPr>
      <w:tabs>
        <w:tab w:val="left" w:pos="1069"/>
      </w:tabs>
      <w:spacing w:line="240" w:lineRule="auto"/>
      <w:jc w:val="both"/>
    </w:pPr>
    <w:rPr>
      <w:sz w:val="24"/>
      <w:szCs w:val="22"/>
    </w:rPr>
  </w:style>
  <w:style w:type="paragraph" w:customStyle="1" w:styleId="ListNumber10">
    <w:name w:val="List Number 1"/>
    <w:basedOn w:val="Normal"/>
    <w:uiPriority w:val="99"/>
    <w:qFormat/>
    <w:pPr>
      <w:numPr>
        <w:numId w:val="8"/>
      </w:numPr>
      <w:spacing w:after="0" w:line="240" w:lineRule="auto"/>
      <w:jc w:val="both"/>
    </w:pPr>
    <w:rPr>
      <w:rFonts w:ascii="Times New Roman" w:eastAsia="Times New Roman" w:hAnsi="Times New Roman" w:cs="Times New Roman"/>
      <w:sz w:val="24"/>
    </w:rPr>
  </w:style>
  <w:style w:type="paragraph" w:customStyle="1" w:styleId="ListBullet1">
    <w:name w:val="List Bullet 1"/>
    <w:basedOn w:val="ListBullet2"/>
    <w:uiPriority w:val="99"/>
    <w:qFormat/>
    <w:pPr>
      <w:tabs>
        <w:tab w:val="clear" w:pos="717"/>
        <w:tab w:val="left" w:pos="927"/>
      </w:tabs>
      <w:spacing w:line="240" w:lineRule="auto"/>
      <w:ind w:left="927"/>
      <w:jc w:val="both"/>
    </w:pPr>
    <w:rPr>
      <w:sz w:val="24"/>
      <w:szCs w:val="22"/>
    </w:rPr>
  </w:style>
  <w:style w:type="paragraph" w:customStyle="1" w:styleId="BodyTextIndent1">
    <w:name w:val="Body Text Indent1"/>
    <w:basedOn w:val="Normal"/>
    <w:next w:val="Normal"/>
    <w:qFormat/>
    <w:pPr>
      <w:spacing w:after="0" w:line="240" w:lineRule="auto"/>
    </w:pPr>
    <w:rPr>
      <w:rFonts w:ascii="Times New Roman" w:eastAsia="Times New Roman" w:hAnsi="Times New Roman" w:cs="Times New Roman"/>
      <w:sz w:val="24"/>
      <w:szCs w:val="24"/>
      <w:lang w:eastAsia="bg-BG"/>
    </w:rPr>
  </w:style>
  <w:style w:type="paragraph" w:customStyle="1" w:styleId="CharCharCharCharCharCharCharCharCharChar">
    <w:name w:val="Char Char Char Char Char Char Char Char Char Char"/>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7">
    <w:name w:val="Знак Знак7"/>
    <w:basedOn w:val="Normal"/>
    <w:uiPriority w:val="99"/>
    <w:qFormat/>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1CharCharCharCharCharCharChar">
    <w:name w:val="Char Char Char Char Char1 Char Char Char Char Char Char Char"/>
    <w:basedOn w:val="Normal"/>
    <w:autoRedefine/>
    <w:uiPriority w:val="99"/>
    <w:qFormat/>
    <w:pPr>
      <w:spacing w:after="120" w:line="240" w:lineRule="auto"/>
    </w:pPr>
    <w:rPr>
      <w:rFonts w:ascii="Futura Bk" w:eastAsia="Times New Roman" w:hAnsi="Futura Bk" w:cs="Times New Roman"/>
      <w:sz w:val="20"/>
      <w:szCs w:val="24"/>
      <w:lang w:val="en-US" w:eastAsia="pl-PL"/>
    </w:rPr>
  </w:style>
  <w:style w:type="paragraph" w:customStyle="1" w:styleId="CharChar2">
    <w:name w:val="Char Char2"/>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1CharChar1">
    <w:name w:val="Char Знак Char Char1 Знак Знак Знак Char Char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10">
    <w:name w:val="Char Знак Char Char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1">
    <w:name w:val="Char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12">
    <w:name w:val="Знак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1Char1">
    <w:name w:val="Char Знак Char Char1 Знак Char Знак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1CharChar10">
    <w:name w:val="Char Знак Char Char1 Знак Знак Знак Char Char Знак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1">
    <w:name w:val="Char Char Знак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11">
    <w:name w:val="Char Знак Char Char1 Знак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10">
    <w:name w:val="Char Знак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CharCharCharChar1">
    <w:name w:val="Char Char Char Char Char Char1"/>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2">
    <w:name w:val="Char Char Char Знак1"/>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Char1">
    <w:name w:val="Char Char Знак Знак1 Знак Знак Знак Знак Char Char Char1"/>
    <w:basedOn w:val="Normal"/>
    <w:uiPriority w:val="99"/>
    <w:qFormat/>
    <w:pPr>
      <w:tabs>
        <w:tab w:val="left" w:pos="709"/>
      </w:tabs>
      <w:spacing w:after="0" w:line="240" w:lineRule="auto"/>
    </w:pPr>
    <w:rPr>
      <w:rFonts w:ascii="Tahoma" w:eastAsia="Times New Roman" w:hAnsi="Tahoma" w:cs="Times New Roman"/>
      <w:sz w:val="24"/>
      <w:szCs w:val="24"/>
      <w:lang w:val="pl-PL" w:eastAsia="pl-PL"/>
    </w:rPr>
  </w:style>
  <w:style w:type="paragraph" w:customStyle="1" w:styleId="71">
    <w:name w:val="Знак Знак71"/>
    <w:basedOn w:val="Normal"/>
    <w:uiPriority w:val="99"/>
    <w:qFormat/>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1CharCharCharCharCharCharChar1">
    <w:name w:val="Char Char Char Char Char1 Char Char Char Char Char Char Char1"/>
    <w:basedOn w:val="Normal"/>
    <w:autoRedefine/>
    <w:uiPriority w:val="99"/>
    <w:qFormat/>
    <w:pPr>
      <w:spacing w:after="120" w:line="240" w:lineRule="auto"/>
    </w:pPr>
    <w:rPr>
      <w:rFonts w:ascii="Futura Bk" w:eastAsia="Times New Roman" w:hAnsi="Futura Bk" w:cs="Times New Roman"/>
      <w:sz w:val="20"/>
      <w:szCs w:val="24"/>
      <w:lang w:val="en-US" w:eastAsia="pl-PL"/>
    </w:rPr>
  </w:style>
  <w:style w:type="paragraph" w:customStyle="1" w:styleId="CharChar21">
    <w:name w:val="Char Char21"/>
    <w:basedOn w:val="Normal"/>
    <w:uiPriority w:val="99"/>
    <w:qFormat/>
    <w:pPr>
      <w:spacing w:after="160" w:line="240" w:lineRule="exact"/>
    </w:pPr>
    <w:rPr>
      <w:rFonts w:ascii="Tahoma" w:eastAsia="Times New Roman" w:hAnsi="Tahoma" w:cs="Times New Roman"/>
      <w:sz w:val="20"/>
      <w:szCs w:val="20"/>
      <w:lang w:val="en-US"/>
    </w:rPr>
  </w:style>
  <w:style w:type="paragraph" w:customStyle="1" w:styleId="CharChar1CharChar">
    <w:name w:val="Char Char Знак Знак1 Знак Знак Знак Знак Char Char"/>
    <w:basedOn w:val="Normal"/>
    <w:qFormat/>
    <w:pPr>
      <w:tabs>
        <w:tab w:val="left" w:pos="709"/>
      </w:tabs>
      <w:spacing w:after="0" w:line="240" w:lineRule="auto"/>
    </w:pPr>
    <w:rPr>
      <w:rFonts w:ascii="Tahoma" w:eastAsia="Times New Roman" w:hAnsi="Tahoma" w:cs="Times New Roman"/>
      <w:sz w:val="24"/>
      <w:szCs w:val="24"/>
      <w:lang w:val="pl-PL" w:eastAsia="pl-PL"/>
    </w:rPr>
  </w:style>
  <w:style w:type="paragraph" w:styleId="NoSpacing">
    <w:name w:val="No Spacing"/>
    <w:uiPriority w:val="1"/>
    <w:qFormat/>
    <w:pPr>
      <w:suppressAutoHyphens/>
    </w:pPr>
    <w:rPr>
      <w:rFonts w:asciiTheme="minorHAnsi" w:eastAsiaTheme="minorHAnsi" w:hAnsiTheme="minorHAnsi" w:cstheme="minorBidi"/>
      <w:sz w:val="22"/>
      <w:szCs w:val="22"/>
      <w:lang w:val="bg-BG"/>
    </w:rPr>
  </w:style>
  <w:style w:type="paragraph" w:customStyle="1" w:styleId="A">
    <w:name w:val="A"/>
    <w:basedOn w:val="Normal"/>
    <w:autoRedefine/>
    <w:qFormat/>
    <w:pPr>
      <w:numPr>
        <w:numId w:val="9"/>
      </w:numPr>
      <w:tabs>
        <w:tab w:val="left" w:pos="142"/>
        <w:tab w:val="right" w:pos="709"/>
      </w:tabs>
      <w:spacing w:after="0" w:line="240" w:lineRule="auto"/>
      <w:ind w:left="1843" w:firstLine="0"/>
      <w:jc w:val="both"/>
    </w:pPr>
    <w:rPr>
      <w:rFonts w:ascii="Times New Roman" w:eastAsia="SimSun" w:hAnsi="Times New Roman" w:cs="Times New Roman"/>
      <w:color w:val="FF0000"/>
      <w:sz w:val="24"/>
      <w:szCs w:val="24"/>
      <w:lang w:eastAsia="de-DE"/>
    </w:rPr>
  </w:style>
  <w:style w:type="paragraph" w:customStyle="1" w:styleId="font5">
    <w:name w:val="font5"/>
    <w:basedOn w:val="Normal"/>
    <w:qFormat/>
    <w:pPr>
      <w:spacing w:beforeAutospacing="1" w:afterAutospacing="1" w:line="240" w:lineRule="auto"/>
    </w:pPr>
    <w:rPr>
      <w:rFonts w:ascii="Times New Roman" w:eastAsia="Times New Roman" w:hAnsi="Times New Roman" w:cs="Times New Roman"/>
      <w:b/>
      <w:bCs/>
      <w:color w:val="000000"/>
      <w:sz w:val="12"/>
      <w:szCs w:val="12"/>
      <w:lang w:eastAsia="bg-BG"/>
    </w:rPr>
  </w:style>
  <w:style w:type="paragraph" w:customStyle="1" w:styleId="font6">
    <w:name w:val="font6"/>
    <w:basedOn w:val="Normal"/>
    <w:qFormat/>
    <w:pPr>
      <w:spacing w:beforeAutospacing="1" w:afterAutospacing="1" w:line="240" w:lineRule="auto"/>
    </w:pPr>
    <w:rPr>
      <w:rFonts w:ascii="Times New Roman" w:eastAsia="Times New Roman" w:hAnsi="Times New Roman" w:cs="Times New Roman"/>
      <w:b/>
      <w:bCs/>
      <w:color w:val="000000"/>
      <w:sz w:val="12"/>
      <w:szCs w:val="12"/>
      <w:lang w:eastAsia="bg-BG"/>
    </w:rPr>
  </w:style>
  <w:style w:type="paragraph" w:customStyle="1" w:styleId="xl65">
    <w:name w:val="xl65"/>
    <w:basedOn w:val="Normal"/>
    <w:qFormat/>
    <w:pPr>
      <w:spacing w:beforeAutospacing="1" w:afterAutospacing="1" w:line="240" w:lineRule="auto"/>
      <w:textAlignment w:val="center"/>
    </w:pPr>
    <w:rPr>
      <w:rFonts w:ascii="Times New Roman" w:eastAsia="Times New Roman" w:hAnsi="Times New Roman" w:cs="Times New Roman"/>
      <w:sz w:val="12"/>
      <w:szCs w:val="12"/>
      <w:lang w:eastAsia="bg-BG"/>
    </w:rPr>
  </w:style>
  <w:style w:type="paragraph" w:customStyle="1" w:styleId="xl66">
    <w:name w:val="xl66"/>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67">
    <w:name w:val="xl67"/>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color w:val="000000"/>
      <w:sz w:val="12"/>
      <w:szCs w:val="12"/>
      <w:lang w:eastAsia="bg-BG"/>
    </w:rPr>
  </w:style>
  <w:style w:type="paragraph" w:customStyle="1" w:styleId="xl68">
    <w:name w:val="xl68"/>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i/>
      <w:iCs/>
      <w:color w:val="000000"/>
      <w:sz w:val="12"/>
      <w:szCs w:val="12"/>
      <w:lang w:eastAsia="bg-BG"/>
    </w:rPr>
  </w:style>
  <w:style w:type="paragraph" w:customStyle="1" w:styleId="xl69">
    <w:name w:val="xl69"/>
    <w:basedOn w:val="Normal"/>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center"/>
    </w:pPr>
    <w:rPr>
      <w:rFonts w:ascii="Times New Roman" w:eastAsia="Times New Roman" w:hAnsi="Times New Roman" w:cs="Times New Roman"/>
      <w:b/>
      <w:bCs/>
      <w:color w:val="000000"/>
      <w:sz w:val="12"/>
      <w:szCs w:val="12"/>
      <w:lang w:eastAsia="bg-BG"/>
    </w:rPr>
  </w:style>
  <w:style w:type="paragraph" w:customStyle="1" w:styleId="xl70">
    <w:name w:val="xl70"/>
    <w:basedOn w:val="Normal"/>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color w:val="000000"/>
      <w:sz w:val="12"/>
      <w:szCs w:val="12"/>
      <w:lang w:eastAsia="bg-BG"/>
    </w:rPr>
  </w:style>
  <w:style w:type="paragraph" w:customStyle="1" w:styleId="xl71">
    <w:name w:val="xl71"/>
    <w:basedOn w:val="Normal"/>
    <w:qFormat/>
    <w:pPr>
      <w:pBdr>
        <w:top w:val="single" w:sz="4" w:space="0" w:color="000000"/>
        <w:left w:val="single" w:sz="4" w:space="0" w:color="000000"/>
        <w:bottom w:val="single" w:sz="4" w:space="0" w:color="000000"/>
        <w:right w:val="single" w:sz="4" w:space="0" w:color="000000"/>
      </w:pBdr>
      <w:shd w:val="clear" w:color="000000" w:fill="FABF8F"/>
      <w:spacing w:beforeAutospacing="1" w:afterAutospacing="1" w:line="240" w:lineRule="auto"/>
      <w:textAlignment w:val="center"/>
    </w:pPr>
    <w:rPr>
      <w:rFonts w:ascii="Times New Roman" w:eastAsia="Times New Roman" w:hAnsi="Times New Roman" w:cs="Times New Roman"/>
      <w:b/>
      <w:bCs/>
      <w:color w:val="000000"/>
      <w:sz w:val="12"/>
      <w:szCs w:val="12"/>
      <w:lang w:eastAsia="bg-BG"/>
    </w:rPr>
  </w:style>
  <w:style w:type="paragraph" w:customStyle="1" w:styleId="xl72">
    <w:name w:val="xl72"/>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right"/>
      <w:textAlignment w:val="center"/>
    </w:pPr>
    <w:rPr>
      <w:rFonts w:ascii="Times New Roman" w:eastAsia="Times New Roman" w:hAnsi="Times New Roman" w:cs="Times New Roman"/>
      <w:b/>
      <w:bCs/>
      <w:color w:val="000000"/>
      <w:sz w:val="12"/>
      <w:szCs w:val="12"/>
      <w:lang w:eastAsia="bg-BG"/>
    </w:rPr>
  </w:style>
  <w:style w:type="paragraph" w:customStyle="1" w:styleId="xl73">
    <w:name w:val="xl73"/>
    <w:basedOn w:val="Normal"/>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000000"/>
      <w:sz w:val="12"/>
      <w:szCs w:val="12"/>
      <w:lang w:eastAsia="bg-BG"/>
    </w:rPr>
  </w:style>
  <w:style w:type="paragraph" w:customStyle="1" w:styleId="xl74">
    <w:name w:val="xl74"/>
    <w:basedOn w:val="Normal"/>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color w:val="000000"/>
      <w:sz w:val="12"/>
      <w:szCs w:val="12"/>
      <w:lang w:eastAsia="bg-BG"/>
    </w:rPr>
  </w:style>
  <w:style w:type="paragraph" w:customStyle="1" w:styleId="xl75">
    <w:name w:val="xl75"/>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76">
    <w:name w:val="xl76"/>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both"/>
      <w:textAlignment w:val="center"/>
    </w:pPr>
    <w:rPr>
      <w:rFonts w:ascii="Times New Roman" w:eastAsia="Times New Roman" w:hAnsi="Times New Roman" w:cs="Times New Roman"/>
      <w:b/>
      <w:bCs/>
      <w:color w:val="000000"/>
      <w:sz w:val="12"/>
      <w:szCs w:val="12"/>
      <w:lang w:eastAsia="bg-BG"/>
    </w:rPr>
  </w:style>
  <w:style w:type="paragraph" w:customStyle="1" w:styleId="xl77">
    <w:name w:val="xl77"/>
    <w:basedOn w:val="Normal"/>
    <w:qFormat/>
    <w:pPr>
      <w:pBdr>
        <w:top w:val="single" w:sz="4" w:space="0" w:color="000000"/>
        <w:left w:val="single" w:sz="4" w:space="0" w:color="000000"/>
        <w:bottom w:val="single" w:sz="4" w:space="0" w:color="000000"/>
        <w:right w:val="single" w:sz="4" w:space="0" w:color="000000"/>
      </w:pBdr>
      <w:shd w:val="clear" w:color="000000" w:fill="FABF8F"/>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78">
    <w:name w:val="xl78"/>
    <w:basedOn w:val="Normal"/>
    <w:qFormat/>
    <w:pPr>
      <w:pBdr>
        <w:top w:val="single" w:sz="4" w:space="0" w:color="000000"/>
        <w:left w:val="single" w:sz="4" w:space="0" w:color="000000"/>
        <w:bottom w:val="single" w:sz="4" w:space="0" w:color="000000"/>
        <w:right w:val="single" w:sz="4" w:space="0" w:color="000000"/>
      </w:pBdr>
      <w:shd w:val="clear" w:color="000000" w:fill="FABF8F"/>
      <w:spacing w:beforeAutospacing="1" w:afterAutospacing="1" w:line="240" w:lineRule="auto"/>
      <w:textAlignment w:val="center"/>
    </w:pPr>
    <w:rPr>
      <w:rFonts w:ascii="Times New Roman" w:eastAsia="Times New Roman" w:hAnsi="Times New Roman" w:cs="Times New Roman"/>
      <w:b/>
      <w:bCs/>
      <w:color w:val="000000"/>
      <w:sz w:val="12"/>
      <w:szCs w:val="12"/>
      <w:lang w:eastAsia="bg-BG"/>
    </w:rPr>
  </w:style>
  <w:style w:type="paragraph" w:customStyle="1" w:styleId="xl79">
    <w:name w:val="xl79"/>
    <w:basedOn w:val="Normal"/>
    <w:qFormat/>
    <w:pPr>
      <w:pBdr>
        <w:top w:val="single" w:sz="4" w:space="0" w:color="000000"/>
        <w:left w:val="single" w:sz="4" w:space="0" w:color="000000"/>
        <w:bottom w:val="single" w:sz="4" w:space="0" w:color="000000"/>
        <w:right w:val="single" w:sz="4" w:space="0" w:color="000000"/>
      </w:pBdr>
      <w:shd w:val="clear" w:color="000000" w:fill="FABF8F"/>
      <w:spacing w:beforeAutospacing="1" w:afterAutospacing="1" w:line="240" w:lineRule="auto"/>
      <w:jc w:val="right"/>
      <w:textAlignment w:val="center"/>
    </w:pPr>
    <w:rPr>
      <w:rFonts w:ascii="Times New Roman" w:eastAsia="Times New Roman" w:hAnsi="Times New Roman" w:cs="Times New Roman"/>
      <w:b/>
      <w:bCs/>
      <w:color w:val="000000"/>
      <w:sz w:val="12"/>
      <w:szCs w:val="12"/>
      <w:lang w:eastAsia="bg-BG"/>
    </w:rPr>
  </w:style>
  <w:style w:type="paragraph" w:customStyle="1" w:styleId="xl80">
    <w:name w:val="xl80"/>
    <w:basedOn w:val="Normal"/>
    <w:qFormat/>
    <w:pPr>
      <w:spacing w:beforeAutospacing="1" w:afterAutospacing="1" w:line="240" w:lineRule="auto"/>
    </w:pPr>
    <w:rPr>
      <w:rFonts w:ascii="Times New Roman" w:eastAsia="Times New Roman" w:hAnsi="Times New Roman" w:cs="Times New Roman"/>
      <w:sz w:val="12"/>
      <w:szCs w:val="12"/>
      <w:lang w:eastAsia="bg-BG"/>
    </w:rPr>
  </w:style>
  <w:style w:type="paragraph" w:customStyle="1" w:styleId="xl81">
    <w:name w:val="xl81"/>
    <w:basedOn w:val="Normal"/>
    <w:qFormat/>
    <w:pPr>
      <w:spacing w:beforeAutospacing="1" w:afterAutospacing="1" w:line="240" w:lineRule="auto"/>
      <w:textAlignment w:val="center"/>
    </w:pPr>
    <w:rPr>
      <w:rFonts w:ascii="Arial" w:eastAsia="Times New Roman" w:hAnsi="Arial" w:cs="Arial"/>
      <w:sz w:val="12"/>
      <w:szCs w:val="12"/>
      <w:lang w:eastAsia="bg-BG"/>
    </w:rPr>
  </w:style>
  <w:style w:type="paragraph" w:customStyle="1" w:styleId="xl82">
    <w:name w:val="xl82"/>
    <w:basedOn w:val="Normal"/>
    <w:qFormat/>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color w:val="000000"/>
      <w:sz w:val="12"/>
      <w:szCs w:val="12"/>
      <w:lang w:eastAsia="bg-BG"/>
    </w:rPr>
  </w:style>
  <w:style w:type="paragraph" w:customStyle="1" w:styleId="xl83">
    <w:name w:val="xl83"/>
    <w:basedOn w:val="Normal"/>
    <w:qFormat/>
    <w:pPr>
      <w:spacing w:beforeAutospacing="1" w:afterAutospacing="1" w:line="240" w:lineRule="auto"/>
      <w:jc w:val="both"/>
      <w:textAlignment w:val="center"/>
    </w:pPr>
    <w:rPr>
      <w:rFonts w:ascii="Times New Roman" w:eastAsia="Times New Roman" w:hAnsi="Times New Roman" w:cs="Times New Roman"/>
      <w:sz w:val="12"/>
      <w:szCs w:val="12"/>
      <w:lang w:eastAsia="bg-BG"/>
    </w:rPr>
  </w:style>
  <w:style w:type="paragraph" w:customStyle="1" w:styleId="xl84">
    <w:name w:val="xl84"/>
    <w:basedOn w:val="Normal"/>
    <w:qFormat/>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line="240" w:lineRule="auto"/>
      <w:jc w:val="center"/>
      <w:textAlignment w:val="center"/>
    </w:pPr>
    <w:rPr>
      <w:rFonts w:ascii="Times New Roman" w:eastAsia="Times New Roman" w:hAnsi="Times New Roman" w:cs="Times New Roman"/>
      <w:i/>
      <w:iCs/>
      <w:color w:val="000000"/>
      <w:sz w:val="12"/>
      <w:szCs w:val="12"/>
      <w:lang w:eastAsia="bg-BG"/>
    </w:rPr>
  </w:style>
  <w:style w:type="paragraph" w:customStyle="1" w:styleId="xl85">
    <w:name w:val="xl85"/>
    <w:basedOn w:val="Normal"/>
    <w:qFormat/>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line="240" w:lineRule="auto"/>
      <w:jc w:val="right"/>
      <w:textAlignment w:val="center"/>
    </w:pPr>
    <w:rPr>
      <w:rFonts w:ascii="Times New Roman" w:eastAsia="Times New Roman" w:hAnsi="Times New Roman" w:cs="Times New Roman"/>
      <w:b/>
      <w:bCs/>
      <w:i/>
      <w:iCs/>
      <w:color w:val="000000"/>
      <w:sz w:val="12"/>
      <w:szCs w:val="12"/>
      <w:lang w:eastAsia="bg-BG"/>
    </w:rPr>
  </w:style>
  <w:style w:type="paragraph" w:customStyle="1" w:styleId="xl86">
    <w:name w:val="xl86"/>
    <w:basedOn w:val="Normal"/>
    <w:qFormat/>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line="240" w:lineRule="auto"/>
      <w:jc w:val="right"/>
      <w:textAlignment w:val="center"/>
    </w:pPr>
    <w:rPr>
      <w:rFonts w:ascii="Times New Roman" w:eastAsia="Times New Roman" w:hAnsi="Times New Roman" w:cs="Times New Roman"/>
      <w:i/>
      <w:iCs/>
      <w:color w:val="000000"/>
      <w:sz w:val="12"/>
      <w:szCs w:val="12"/>
      <w:lang w:eastAsia="bg-BG"/>
    </w:rPr>
  </w:style>
  <w:style w:type="paragraph" w:customStyle="1" w:styleId="xl87">
    <w:name w:val="xl87"/>
    <w:basedOn w:val="Normal"/>
    <w:qFormat/>
    <w:pPr>
      <w:pBdr>
        <w:top w:val="single" w:sz="4" w:space="0" w:color="000000"/>
        <w:left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88">
    <w:name w:val="xl88"/>
    <w:basedOn w:val="Normal"/>
    <w:qFormat/>
    <w:pPr>
      <w:pBdr>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89">
    <w:name w:val="xl89"/>
    <w:basedOn w:val="Normal"/>
    <w:qFormat/>
    <w:pPr>
      <w:pBdr>
        <w:top w:val="single" w:sz="4" w:space="0" w:color="000000"/>
        <w:lef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0">
    <w:name w:val="xl90"/>
    <w:basedOn w:val="Normal"/>
    <w:qFormat/>
    <w:pPr>
      <w:pBdr>
        <w:top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1">
    <w:name w:val="xl91"/>
    <w:basedOn w:val="Normal"/>
    <w:qFormat/>
    <w:pPr>
      <w:pBdr>
        <w:top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2">
    <w:name w:val="xl92"/>
    <w:basedOn w:val="Normal"/>
    <w:qFormat/>
    <w:pPr>
      <w:pBdr>
        <w:left w:val="single" w:sz="4" w:space="0" w:color="000000"/>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3">
    <w:name w:val="xl93"/>
    <w:basedOn w:val="Normal"/>
    <w:qFormat/>
    <w:pPr>
      <w:pBdr>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4">
    <w:name w:val="xl94"/>
    <w:basedOn w:val="Normal"/>
    <w:qFormat/>
    <w:pPr>
      <w:pBdr>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msonormal0">
    <w:name w:val="msonormal"/>
    <w:basedOn w:val="Normal"/>
    <w:qFormat/>
    <w:pPr>
      <w:spacing w:beforeAutospacing="1" w:afterAutospacing="1" w:line="240" w:lineRule="auto"/>
    </w:pPr>
    <w:rPr>
      <w:rFonts w:ascii="Times New Roman" w:eastAsia="Times New Roman" w:hAnsi="Times New Roman" w:cs="Times New Roman"/>
      <w:sz w:val="24"/>
      <w:szCs w:val="24"/>
      <w:lang w:eastAsia="bg-BG"/>
    </w:rPr>
  </w:style>
  <w:style w:type="paragraph" w:customStyle="1" w:styleId="xl95">
    <w:name w:val="xl95"/>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i/>
      <w:iCs/>
      <w:color w:val="000000"/>
      <w:sz w:val="12"/>
      <w:szCs w:val="12"/>
      <w:lang w:eastAsia="bg-BG"/>
    </w:rPr>
  </w:style>
  <w:style w:type="paragraph" w:customStyle="1" w:styleId="xl96">
    <w:name w:val="xl96"/>
    <w:basedOn w:val="Normal"/>
    <w:qFormat/>
    <w:pPr>
      <w:pBdr>
        <w:top w:val="single" w:sz="4" w:space="0" w:color="000000"/>
        <w:lef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7">
    <w:name w:val="xl97"/>
    <w:basedOn w:val="Normal"/>
    <w:qFormat/>
    <w:pPr>
      <w:pBdr>
        <w:top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8">
    <w:name w:val="xl98"/>
    <w:basedOn w:val="Normal"/>
    <w:qFormat/>
    <w:pPr>
      <w:pBdr>
        <w:top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99">
    <w:name w:val="xl99"/>
    <w:basedOn w:val="Normal"/>
    <w:qFormat/>
    <w:pPr>
      <w:pBdr>
        <w:left w:val="single" w:sz="4" w:space="0" w:color="000000"/>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0">
    <w:name w:val="xl100"/>
    <w:basedOn w:val="Normal"/>
    <w:qFormat/>
    <w:pPr>
      <w:pBdr>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1">
    <w:name w:val="xl101"/>
    <w:basedOn w:val="Normal"/>
    <w:qFormat/>
    <w:pPr>
      <w:pBdr>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2">
    <w:name w:val="xl102"/>
    <w:basedOn w:val="Normal"/>
    <w:qFormat/>
    <w:pPr>
      <w:pBdr>
        <w:top w:val="single" w:sz="4" w:space="0" w:color="000000"/>
        <w:lef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3">
    <w:name w:val="xl103"/>
    <w:basedOn w:val="Normal"/>
    <w:qFormat/>
    <w:pPr>
      <w:pBdr>
        <w:top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4">
    <w:name w:val="xl104"/>
    <w:basedOn w:val="Normal"/>
    <w:qFormat/>
    <w:pPr>
      <w:pBdr>
        <w:top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5">
    <w:name w:val="xl105"/>
    <w:basedOn w:val="Normal"/>
    <w:qFormat/>
    <w:pPr>
      <w:pBdr>
        <w:left w:val="single" w:sz="4" w:space="0" w:color="000000"/>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6">
    <w:name w:val="xl106"/>
    <w:basedOn w:val="Normal"/>
    <w:qFormat/>
    <w:pPr>
      <w:pBdr>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7">
    <w:name w:val="xl107"/>
    <w:basedOn w:val="Normal"/>
    <w:qFormat/>
    <w:pPr>
      <w:pBdr>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12"/>
      <w:szCs w:val="12"/>
      <w:lang w:eastAsia="bg-BG"/>
    </w:rPr>
  </w:style>
  <w:style w:type="paragraph" w:customStyle="1" w:styleId="xl108">
    <w:name w:val="xl108"/>
    <w:basedOn w:val="Normal"/>
    <w:qFormat/>
    <w:pPr>
      <w:pBdr>
        <w:bottom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20"/>
      <w:szCs w:val="20"/>
      <w:lang w:val="en-US"/>
    </w:rPr>
  </w:style>
  <w:style w:type="paragraph" w:customStyle="1" w:styleId="xl109">
    <w:name w:val="xl109"/>
    <w:basedOn w:val="Normal"/>
    <w:qFormat/>
    <w:pPr>
      <w:pBdr>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20"/>
      <w:szCs w:val="20"/>
      <w:lang w:val="en-US"/>
    </w:rPr>
  </w:style>
  <w:style w:type="paragraph" w:customStyle="1" w:styleId="xl110">
    <w:name w:val="xl110"/>
    <w:basedOn w:val="Normal"/>
    <w:qFormat/>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line="240" w:lineRule="auto"/>
      <w:jc w:val="center"/>
      <w:textAlignment w:val="center"/>
    </w:pPr>
    <w:rPr>
      <w:rFonts w:ascii="Times New Roman" w:eastAsia="Times New Roman" w:hAnsi="Times New Roman" w:cs="Times New Roman"/>
      <w:b/>
      <w:bCs/>
      <w:color w:val="000000"/>
      <w:sz w:val="20"/>
      <w:szCs w:val="20"/>
      <w:lang w:val="en-US"/>
    </w:rPr>
  </w:style>
  <w:style w:type="paragraph" w:customStyle="1" w:styleId="FrameContents">
    <w:name w:val="Frame Contents"/>
    <w:basedOn w:val="Normal"/>
    <w:qFormat/>
  </w:style>
  <w:style w:type="table" w:customStyle="1" w:styleId="TableGrid1">
    <w:name w:val="Table Grid1"/>
    <w:uiPriority w:val="99"/>
    <w:qFormat/>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qFormat/>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qFormat/>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1994">
      <w:bodyDiv w:val="1"/>
      <w:marLeft w:val="0"/>
      <w:marRight w:val="0"/>
      <w:marTop w:val="0"/>
      <w:marBottom w:val="0"/>
      <w:divBdr>
        <w:top w:val="none" w:sz="0" w:space="0" w:color="auto"/>
        <w:left w:val="none" w:sz="0" w:space="0" w:color="auto"/>
        <w:bottom w:val="none" w:sz="0" w:space="0" w:color="auto"/>
        <w:right w:val="none" w:sz="0" w:space="0" w:color="auto"/>
      </w:divBdr>
    </w:div>
    <w:div w:id="145830061">
      <w:bodyDiv w:val="1"/>
      <w:marLeft w:val="0"/>
      <w:marRight w:val="0"/>
      <w:marTop w:val="0"/>
      <w:marBottom w:val="0"/>
      <w:divBdr>
        <w:top w:val="none" w:sz="0" w:space="0" w:color="auto"/>
        <w:left w:val="none" w:sz="0" w:space="0" w:color="auto"/>
        <w:bottom w:val="none" w:sz="0" w:space="0" w:color="auto"/>
        <w:right w:val="none" w:sz="0" w:space="0" w:color="auto"/>
      </w:divBdr>
    </w:div>
    <w:div w:id="147550577">
      <w:bodyDiv w:val="1"/>
      <w:marLeft w:val="0"/>
      <w:marRight w:val="0"/>
      <w:marTop w:val="0"/>
      <w:marBottom w:val="0"/>
      <w:divBdr>
        <w:top w:val="none" w:sz="0" w:space="0" w:color="auto"/>
        <w:left w:val="none" w:sz="0" w:space="0" w:color="auto"/>
        <w:bottom w:val="none" w:sz="0" w:space="0" w:color="auto"/>
        <w:right w:val="none" w:sz="0" w:space="0" w:color="auto"/>
      </w:divBdr>
    </w:div>
    <w:div w:id="402485539">
      <w:bodyDiv w:val="1"/>
      <w:marLeft w:val="0"/>
      <w:marRight w:val="0"/>
      <w:marTop w:val="0"/>
      <w:marBottom w:val="0"/>
      <w:divBdr>
        <w:top w:val="none" w:sz="0" w:space="0" w:color="auto"/>
        <w:left w:val="none" w:sz="0" w:space="0" w:color="auto"/>
        <w:bottom w:val="none" w:sz="0" w:space="0" w:color="auto"/>
        <w:right w:val="none" w:sz="0" w:space="0" w:color="auto"/>
      </w:divBdr>
    </w:div>
    <w:div w:id="471412025">
      <w:bodyDiv w:val="1"/>
      <w:marLeft w:val="0"/>
      <w:marRight w:val="0"/>
      <w:marTop w:val="0"/>
      <w:marBottom w:val="0"/>
      <w:divBdr>
        <w:top w:val="none" w:sz="0" w:space="0" w:color="auto"/>
        <w:left w:val="none" w:sz="0" w:space="0" w:color="auto"/>
        <w:bottom w:val="none" w:sz="0" w:space="0" w:color="auto"/>
        <w:right w:val="none" w:sz="0" w:space="0" w:color="auto"/>
      </w:divBdr>
    </w:div>
    <w:div w:id="594091578">
      <w:bodyDiv w:val="1"/>
      <w:marLeft w:val="0"/>
      <w:marRight w:val="0"/>
      <w:marTop w:val="0"/>
      <w:marBottom w:val="0"/>
      <w:divBdr>
        <w:top w:val="none" w:sz="0" w:space="0" w:color="auto"/>
        <w:left w:val="none" w:sz="0" w:space="0" w:color="auto"/>
        <w:bottom w:val="none" w:sz="0" w:space="0" w:color="auto"/>
        <w:right w:val="none" w:sz="0" w:space="0" w:color="auto"/>
      </w:divBdr>
    </w:div>
    <w:div w:id="596057696">
      <w:bodyDiv w:val="1"/>
      <w:marLeft w:val="0"/>
      <w:marRight w:val="0"/>
      <w:marTop w:val="0"/>
      <w:marBottom w:val="0"/>
      <w:divBdr>
        <w:top w:val="none" w:sz="0" w:space="0" w:color="auto"/>
        <w:left w:val="none" w:sz="0" w:space="0" w:color="auto"/>
        <w:bottom w:val="none" w:sz="0" w:space="0" w:color="auto"/>
        <w:right w:val="none" w:sz="0" w:space="0" w:color="auto"/>
      </w:divBdr>
    </w:div>
    <w:div w:id="618683117">
      <w:bodyDiv w:val="1"/>
      <w:marLeft w:val="0"/>
      <w:marRight w:val="0"/>
      <w:marTop w:val="0"/>
      <w:marBottom w:val="0"/>
      <w:divBdr>
        <w:top w:val="none" w:sz="0" w:space="0" w:color="auto"/>
        <w:left w:val="none" w:sz="0" w:space="0" w:color="auto"/>
        <w:bottom w:val="none" w:sz="0" w:space="0" w:color="auto"/>
        <w:right w:val="none" w:sz="0" w:space="0" w:color="auto"/>
      </w:divBdr>
    </w:div>
    <w:div w:id="666514505">
      <w:bodyDiv w:val="1"/>
      <w:marLeft w:val="0"/>
      <w:marRight w:val="0"/>
      <w:marTop w:val="0"/>
      <w:marBottom w:val="0"/>
      <w:divBdr>
        <w:top w:val="none" w:sz="0" w:space="0" w:color="auto"/>
        <w:left w:val="none" w:sz="0" w:space="0" w:color="auto"/>
        <w:bottom w:val="none" w:sz="0" w:space="0" w:color="auto"/>
        <w:right w:val="none" w:sz="0" w:space="0" w:color="auto"/>
      </w:divBdr>
    </w:div>
    <w:div w:id="773212784">
      <w:bodyDiv w:val="1"/>
      <w:marLeft w:val="0"/>
      <w:marRight w:val="0"/>
      <w:marTop w:val="0"/>
      <w:marBottom w:val="0"/>
      <w:divBdr>
        <w:top w:val="none" w:sz="0" w:space="0" w:color="auto"/>
        <w:left w:val="none" w:sz="0" w:space="0" w:color="auto"/>
        <w:bottom w:val="none" w:sz="0" w:space="0" w:color="auto"/>
        <w:right w:val="none" w:sz="0" w:space="0" w:color="auto"/>
      </w:divBdr>
    </w:div>
    <w:div w:id="806168379">
      <w:bodyDiv w:val="1"/>
      <w:marLeft w:val="0"/>
      <w:marRight w:val="0"/>
      <w:marTop w:val="0"/>
      <w:marBottom w:val="0"/>
      <w:divBdr>
        <w:top w:val="none" w:sz="0" w:space="0" w:color="auto"/>
        <w:left w:val="none" w:sz="0" w:space="0" w:color="auto"/>
        <w:bottom w:val="none" w:sz="0" w:space="0" w:color="auto"/>
        <w:right w:val="none" w:sz="0" w:space="0" w:color="auto"/>
      </w:divBdr>
    </w:div>
    <w:div w:id="815411571">
      <w:bodyDiv w:val="1"/>
      <w:marLeft w:val="0"/>
      <w:marRight w:val="0"/>
      <w:marTop w:val="0"/>
      <w:marBottom w:val="0"/>
      <w:divBdr>
        <w:top w:val="none" w:sz="0" w:space="0" w:color="auto"/>
        <w:left w:val="none" w:sz="0" w:space="0" w:color="auto"/>
        <w:bottom w:val="none" w:sz="0" w:space="0" w:color="auto"/>
        <w:right w:val="none" w:sz="0" w:space="0" w:color="auto"/>
      </w:divBdr>
    </w:div>
    <w:div w:id="867714940">
      <w:bodyDiv w:val="1"/>
      <w:marLeft w:val="0"/>
      <w:marRight w:val="0"/>
      <w:marTop w:val="0"/>
      <w:marBottom w:val="0"/>
      <w:divBdr>
        <w:top w:val="none" w:sz="0" w:space="0" w:color="auto"/>
        <w:left w:val="none" w:sz="0" w:space="0" w:color="auto"/>
        <w:bottom w:val="none" w:sz="0" w:space="0" w:color="auto"/>
        <w:right w:val="none" w:sz="0" w:space="0" w:color="auto"/>
      </w:divBdr>
    </w:div>
    <w:div w:id="1022784005">
      <w:bodyDiv w:val="1"/>
      <w:marLeft w:val="0"/>
      <w:marRight w:val="0"/>
      <w:marTop w:val="0"/>
      <w:marBottom w:val="0"/>
      <w:divBdr>
        <w:top w:val="none" w:sz="0" w:space="0" w:color="auto"/>
        <w:left w:val="none" w:sz="0" w:space="0" w:color="auto"/>
        <w:bottom w:val="none" w:sz="0" w:space="0" w:color="auto"/>
        <w:right w:val="none" w:sz="0" w:space="0" w:color="auto"/>
      </w:divBdr>
    </w:div>
    <w:div w:id="1026949553">
      <w:bodyDiv w:val="1"/>
      <w:marLeft w:val="0"/>
      <w:marRight w:val="0"/>
      <w:marTop w:val="0"/>
      <w:marBottom w:val="0"/>
      <w:divBdr>
        <w:top w:val="none" w:sz="0" w:space="0" w:color="auto"/>
        <w:left w:val="none" w:sz="0" w:space="0" w:color="auto"/>
        <w:bottom w:val="none" w:sz="0" w:space="0" w:color="auto"/>
        <w:right w:val="none" w:sz="0" w:space="0" w:color="auto"/>
      </w:divBdr>
    </w:div>
    <w:div w:id="1028870877">
      <w:bodyDiv w:val="1"/>
      <w:marLeft w:val="0"/>
      <w:marRight w:val="0"/>
      <w:marTop w:val="0"/>
      <w:marBottom w:val="0"/>
      <w:divBdr>
        <w:top w:val="none" w:sz="0" w:space="0" w:color="auto"/>
        <w:left w:val="none" w:sz="0" w:space="0" w:color="auto"/>
        <w:bottom w:val="none" w:sz="0" w:space="0" w:color="auto"/>
        <w:right w:val="none" w:sz="0" w:space="0" w:color="auto"/>
      </w:divBdr>
    </w:div>
    <w:div w:id="1085033937">
      <w:bodyDiv w:val="1"/>
      <w:marLeft w:val="0"/>
      <w:marRight w:val="0"/>
      <w:marTop w:val="0"/>
      <w:marBottom w:val="0"/>
      <w:divBdr>
        <w:top w:val="none" w:sz="0" w:space="0" w:color="auto"/>
        <w:left w:val="none" w:sz="0" w:space="0" w:color="auto"/>
        <w:bottom w:val="none" w:sz="0" w:space="0" w:color="auto"/>
        <w:right w:val="none" w:sz="0" w:space="0" w:color="auto"/>
      </w:divBdr>
    </w:div>
    <w:div w:id="1094085098">
      <w:bodyDiv w:val="1"/>
      <w:marLeft w:val="0"/>
      <w:marRight w:val="0"/>
      <w:marTop w:val="0"/>
      <w:marBottom w:val="0"/>
      <w:divBdr>
        <w:top w:val="none" w:sz="0" w:space="0" w:color="auto"/>
        <w:left w:val="none" w:sz="0" w:space="0" w:color="auto"/>
        <w:bottom w:val="none" w:sz="0" w:space="0" w:color="auto"/>
        <w:right w:val="none" w:sz="0" w:space="0" w:color="auto"/>
      </w:divBdr>
    </w:div>
    <w:div w:id="1184515091">
      <w:bodyDiv w:val="1"/>
      <w:marLeft w:val="0"/>
      <w:marRight w:val="0"/>
      <w:marTop w:val="0"/>
      <w:marBottom w:val="0"/>
      <w:divBdr>
        <w:top w:val="none" w:sz="0" w:space="0" w:color="auto"/>
        <w:left w:val="none" w:sz="0" w:space="0" w:color="auto"/>
        <w:bottom w:val="none" w:sz="0" w:space="0" w:color="auto"/>
        <w:right w:val="none" w:sz="0" w:space="0" w:color="auto"/>
      </w:divBdr>
    </w:div>
    <w:div w:id="1237669364">
      <w:bodyDiv w:val="1"/>
      <w:marLeft w:val="0"/>
      <w:marRight w:val="0"/>
      <w:marTop w:val="0"/>
      <w:marBottom w:val="0"/>
      <w:divBdr>
        <w:top w:val="none" w:sz="0" w:space="0" w:color="auto"/>
        <w:left w:val="none" w:sz="0" w:space="0" w:color="auto"/>
        <w:bottom w:val="none" w:sz="0" w:space="0" w:color="auto"/>
        <w:right w:val="none" w:sz="0" w:space="0" w:color="auto"/>
      </w:divBdr>
    </w:div>
    <w:div w:id="1347634951">
      <w:bodyDiv w:val="1"/>
      <w:marLeft w:val="0"/>
      <w:marRight w:val="0"/>
      <w:marTop w:val="0"/>
      <w:marBottom w:val="0"/>
      <w:divBdr>
        <w:top w:val="none" w:sz="0" w:space="0" w:color="auto"/>
        <w:left w:val="none" w:sz="0" w:space="0" w:color="auto"/>
        <w:bottom w:val="none" w:sz="0" w:space="0" w:color="auto"/>
        <w:right w:val="none" w:sz="0" w:space="0" w:color="auto"/>
      </w:divBdr>
    </w:div>
    <w:div w:id="1370109037">
      <w:bodyDiv w:val="1"/>
      <w:marLeft w:val="0"/>
      <w:marRight w:val="0"/>
      <w:marTop w:val="0"/>
      <w:marBottom w:val="0"/>
      <w:divBdr>
        <w:top w:val="none" w:sz="0" w:space="0" w:color="auto"/>
        <w:left w:val="none" w:sz="0" w:space="0" w:color="auto"/>
        <w:bottom w:val="none" w:sz="0" w:space="0" w:color="auto"/>
        <w:right w:val="none" w:sz="0" w:space="0" w:color="auto"/>
      </w:divBdr>
    </w:div>
    <w:div w:id="1437018659">
      <w:bodyDiv w:val="1"/>
      <w:marLeft w:val="0"/>
      <w:marRight w:val="0"/>
      <w:marTop w:val="0"/>
      <w:marBottom w:val="0"/>
      <w:divBdr>
        <w:top w:val="none" w:sz="0" w:space="0" w:color="auto"/>
        <w:left w:val="none" w:sz="0" w:space="0" w:color="auto"/>
        <w:bottom w:val="none" w:sz="0" w:space="0" w:color="auto"/>
        <w:right w:val="none" w:sz="0" w:space="0" w:color="auto"/>
      </w:divBdr>
    </w:div>
    <w:div w:id="1489982409">
      <w:bodyDiv w:val="1"/>
      <w:marLeft w:val="0"/>
      <w:marRight w:val="0"/>
      <w:marTop w:val="0"/>
      <w:marBottom w:val="0"/>
      <w:divBdr>
        <w:top w:val="none" w:sz="0" w:space="0" w:color="auto"/>
        <w:left w:val="none" w:sz="0" w:space="0" w:color="auto"/>
        <w:bottom w:val="none" w:sz="0" w:space="0" w:color="auto"/>
        <w:right w:val="none" w:sz="0" w:space="0" w:color="auto"/>
      </w:divBdr>
    </w:div>
    <w:div w:id="1521814396">
      <w:bodyDiv w:val="1"/>
      <w:marLeft w:val="0"/>
      <w:marRight w:val="0"/>
      <w:marTop w:val="0"/>
      <w:marBottom w:val="0"/>
      <w:divBdr>
        <w:top w:val="none" w:sz="0" w:space="0" w:color="auto"/>
        <w:left w:val="none" w:sz="0" w:space="0" w:color="auto"/>
        <w:bottom w:val="none" w:sz="0" w:space="0" w:color="auto"/>
        <w:right w:val="none" w:sz="0" w:space="0" w:color="auto"/>
      </w:divBdr>
    </w:div>
    <w:div w:id="1529565111">
      <w:bodyDiv w:val="1"/>
      <w:marLeft w:val="0"/>
      <w:marRight w:val="0"/>
      <w:marTop w:val="0"/>
      <w:marBottom w:val="0"/>
      <w:divBdr>
        <w:top w:val="none" w:sz="0" w:space="0" w:color="auto"/>
        <w:left w:val="none" w:sz="0" w:space="0" w:color="auto"/>
        <w:bottom w:val="none" w:sz="0" w:space="0" w:color="auto"/>
        <w:right w:val="none" w:sz="0" w:space="0" w:color="auto"/>
      </w:divBdr>
    </w:div>
    <w:div w:id="1541935203">
      <w:bodyDiv w:val="1"/>
      <w:marLeft w:val="0"/>
      <w:marRight w:val="0"/>
      <w:marTop w:val="0"/>
      <w:marBottom w:val="0"/>
      <w:divBdr>
        <w:top w:val="none" w:sz="0" w:space="0" w:color="auto"/>
        <w:left w:val="none" w:sz="0" w:space="0" w:color="auto"/>
        <w:bottom w:val="none" w:sz="0" w:space="0" w:color="auto"/>
        <w:right w:val="none" w:sz="0" w:space="0" w:color="auto"/>
      </w:divBdr>
    </w:div>
    <w:div w:id="1568030027">
      <w:bodyDiv w:val="1"/>
      <w:marLeft w:val="0"/>
      <w:marRight w:val="0"/>
      <w:marTop w:val="0"/>
      <w:marBottom w:val="0"/>
      <w:divBdr>
        <w:top w:val="none" w:sz="0" w:space="0" w:color="auto"/>
        <w:left w:val="none" w:sz="0" w:space="0" w:color="auto"/>
        <w:bottom w:val="none" w:sz="0" w:space="0" w:color="auto"/>
        <w:right w:val="none" w:sz="0" w:space="0" w:color="auto"/>
      </w:divBdr>
    </w:div>
    <w:div w:id="1619095926">
      <w:bodyDiv w:val="1"/>
      <w:marLeft w:val="0"/>
      <w:marRight w:val="0"/>
      <w:marTop w:val="0"/>
      <w:marBottom w:val="0"/>
      <w:divBdr>
        <w:top w:val="none" w:sz="0" w:space="0" w:color="auto"/>
        <w:left w:val="none" w:sz="0" w:space="0" w:color="auto"/>
        <w:bottom w:val="none" w:sz="0" w:space="0" w:color="auto"/>
        <w:right w:val="none" w:sz="0" w:space="0" w:color="auto"/>
      </w:divBdr>
    </w:div>
    <w:div w:id="1821729120">
      <w:bodyDiv w:val="1"/>
      <w:marLeft w:val="0"/>
      <w:marRight w:val="0"/>
      <w:marTop w:val="0"/>
      <w:marBottom w:val="0"/>
      <w:divBdr>
        <w:top w:val="none" w:sz="0" w:space="0" w:color="auto"/>
        <w:left w:val="none" w:sz="0" w:space="0" w:color="auto"/>
        <w:bottom w:val="none" w:sz="0" w:space="0" w:color="auto"/>
        <w:right w:val="none" w:sz="0" w:space="0" w:color="auto"/>
      </w:divBdr>
    </w:div>
    <w:div w:id="1835220971">
      <w:bodyDiv w:val="1"/>
      <w:marLeft w:val="0"/>
      <w:marRight w:val="0"/>
      <w:marTop w:val="0"/>
      <w:marBottom w:val="0"/>
      <w:divBdr>
        <w:top w:val="none" w:sz="0" w:space="0" w:color="auto"/>
        <w:left w:val="none" w:sz="0" w:space="0" w:color="auto"/>
        <w:bottom w:val="none" w:sz="0" w:space="0" w:color="auto"/>
        <w:right w:val="none" w:sz="0" w:space="0" w:color="auto"/>
      </w:divBdr>
    </w:div>
    <w:div w:id="1857183845">
      <w:bodyDiv w:val="1"/>
      <w:marLeft w:val="0"/>
      <w:marRight w:val="0"/>
      <w:marTop w:val="0"/>
      <w:marBottom w:val="0"/>
      <w:divBdr>
        <w:top w:val="none" w:sz="0" w:space="0" w:color="auto"/>
        <w:left w:val="none" w:sz="0" w:space="0" w:color="auto"/>
        <w:bottom w:val="none" w:sz="0" w:space="0" w:color="auto"/>
        <w:right w:val="none" w:sz="0" w:space="0" w:color="auto"/>
      </w:divBdr>
    </w:div>
    <w:div w:id="1895122523">
      <w:bodyDiv w:val="1"/>
      <w:marLeft w:val="0"/>
      <w:marRight w:val="0"/>
      <w:marTop w:val="0"/>
      <w:marBottom w:val="0"/>
      <w:divBdr>
        <w:top w:val="none" w:sz="0" w:space="0" w:color="auto"/>
        <w:left w:val="none" w:sz="0" w:space="0" w:color="auto"/>
        <w:bottom w:val="none" w:sz="0" w:space="0" w:color="auto"/>
        <w:right w:val="none" w:sz="0" w:space="0" w:color="auto"/>
      </w:divBdr>
    </w:div>
    <w:div w:id="1957832399">
      <w:bodyDiv w:val="1"/>
      <w:marLeft w:val="0"/>
      <w:marRight w:val="0"/>
      <w:marTop w:val="0"/>
      <w:marBottom w:val="0"/>
      <w:divBdr>
        <w:top w:val="none" w:sz="0" w:space="0" w:color="auto"/>
        <w:left w:val="none" w:sz="0" w:space="0" w:color="auto"/>
        <w:bottom w:val="none" w:sz="0" w:space="0" w:color="auto"/>
        <w:right w:val="none" w:sz="0" w:space="0" w:color="auto"/>
      </w:divBdr>
    </w:div>
    <w:div w:id="1966235399">
      <w:bodyDiv w:val="1"/>
      <w:marLeft w:val="0"/>
      <w:marRight w:val="0"/>
      <w:marTop w:val="0"/>
      <w:marBottom w:val="0"/>
      <w:divBdr>
        <w:top w:val="none" w:sz="0" w:space="0" w:color="auto"/>
        <w:left w:val="none" w:sz="0" w:space="0" w:color="auto"/>
        <w:bottom w:val="none" w:sz="0" w:space="0" w:color="auto"/>
        <w:right w:val="none" w:sz="0" w:space="0" w:color="auto"/>
      </w:divBdr>
    </w:div>
    <w:div w:id="1975866004">
      <w:bodyDiv w:val="1"/>
      <w:marLeft w:val="0"/>
      <w:marRight w:val="0"/>
      <w:marTop w:val="0"/>
      <w:marBottom w:val="0"/>
      <w:divBdr>
        <w:top w:val="none" w:sz="0" w:space="0" w:color="auto"/>
        <w:left w:val="none" w:sz="0" w:space="0" w:color="auto"/>
        <w:bottom w:val="none" w:sz="0" w:space="0" w:color="auto"/>
        <w:right w:val="none" w:sz="0" w:space="0" w:color="auto"/>
      </w:divBdr>
    </w:div>
    <w:div w:id="2134252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1056;&#1077;&#1075;&#1080;&#1089;&#1090;&#1088;&#1072;&#1094;&#1080;&#1103;"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Pushpin">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97F21B-5E48-4333-961B-0BF35DAB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77</Pages>
  <Words>43647</Words>
  <Characters>248788</Characters>
  <Application>Microsoft Office Word</Application>
  <DocSecurity>0</DocSecurity>
  <Lines>2073</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Hristova</dc:creator>
  <cp:lastModifiedBy>MARIYA ALENTINOVA HRISTOVA</cp:lastModifiedBy>
  <cp:revision>591</cp:revision>
  <cp:lastPrinted>2026-06-12T14:18:00Z</cp:lastPrinted>
  <dcterms:created xsi:type="dcterms:W3CDTF">2025-11-30T23:12:00Z</dcterms:created>
  <dcterms:modified xsi:type="dcterms:W3CDTF">2026-08-18T09:27:00Z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CD0A99F89D0C44B198A3E237291ABADC_13</vt:lpwstr>
  </property>
  <property fmtid="{D5CDD505-2E9C-101B-9397-08002B2CF9AE}" pid="3" name="KSOProductBuildVer">
    <vt:lpwstr>1033-12.9.0.21549</vt:lpwstr>
  </property>
</Properties>
</file>