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C60" w:rsidRPr="0056111E" w:rsidRDefault="00F26116">
      <w:pPr>
        <w:rPr>
          <w:rFonts w:ascii="Times New Roman" w:hAnsi="Times New Roman"/>
          <w:lang w:val="bg-BG"/>
        </w:rPr>
      </w:pPr>
      <w:r w:rsidRPr="0056111E">
        <w:rPr>
          <w:rFonts w:ascii="Times New Roman" w:hAnsi="Times New Roman"/>
          <w:noProof/>
          <w:lang w:val="bg-BG" w:eastAsia="bg-BG"/>
        </w:rPr>
        <mc:AlternateContent>
          <mc:Choice Requires="wps">
            <w:drawing>
              <wp:anchor distT="0" distB="0" distL="114300" distR="114300" simplePos="0" relativeHeight="251660288" behindDoc="0" locked="0" layoutInCell="0" allowOverlap="1" wp14:anchorId="69F88260" wp14:editId="7DAE8745">
                <wp:simplePos x="0" y="0"/>
                <wp:positionH relativeFrom="margin">
                  <wp:align>center</wp:align>
                </wp:positionH>
                <mc:AlternateContent>
                  <mc:Choice Requires="wp14">
                    <wp:positionV relativeFrom="margin">
                      <wp14:pctPosVOffset>80000</wp14:pctPosVOffset>
                    </wp:positionV>
                  </mc:Choice>
                  <mc:Fallback>
                    <wp:positionV relativeFrom="page">
                      <wp:posOffset>7498080</wp:posOffset>
                    </wp:positionV>
                  </mc:Fallback>
                </mc:AlternateContent>
                <wp:extent cx="5837274" cy="1930400"/>
                <wp:effectExtent l="0" t="0" r="0" b="0"/>
                <wp:wrapNone/>
                <wp:docPr id="16"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274" cy="1930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53640926-AAD7-44D8-BBD7-CCE9431645EC}">
                            <a14:shadowObscured xmlns:a14="http://schemas.microsoft.com/office/drawing/2010/main" val="1"/>
                          </a:ext>
                        </a:extLst>
                      </wps:spPr>
                      <wps:txbx>
                        <w:txbxContent>
                          <w:p w:rsidR="00B733CA" w:rsidRDefault="00175DBC">
                            <w:pPr>
                              <w:pStyle w:val="NoSpacing"/>
                              <w:spacing w:line="276" w:lineRule="auto"/>
                              <w:suppressOverlap/>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B733CA">
                                  <w:rPr>
                                    <w:rFonts w:ascii="Times New Roman" w:hAnsi="Times New Roman"/>
                                    <w:b/>
                                    <w:bCs/>
                                    <w:caps/>
                                    <w:color w:val="D34817" w:themeColor="accent1"/>
                                    <w:lang w:val="bg-BG"/>
                                  </w:rPr>
                                  <w:t>министерство на регионалното развитие и благоуствойството</w:t>
                                </w:r>
                              </w:sdtContent>
                            </w:sdt>
                          </w:p>
                          <w:p w:rsidR="00B733CA" w:rsidRDefault="00B733CA">
                            <w:pPr>
                              <w:pStyle w:val="NoSpacing"/>
                              <w:spacing w:line="276" w:lineRule="auto"/>
                              <w:suppressOverlap/>
                              <w:jc w:val="center"/>
                              <w:rPr>
                                <w:b/>
                                <w:bCs/>
                                <w:caps/>
                                <w:color w:val="D34817" w:themeColor="accent1"/>
                              </w:rPr>
                            </w:pPr>
                          </w:p>
                          <w:p w:rsidR="00B733CA" w:rsidRDefault="00175DBC">
                            <w:pPr>
                              <w:pStyle w:val="NoSpacing"/>
                              <w:spacing w:line="276" w:lineRule="auto"/>
                              <w:suppressOverlap/>
                              <w:jc w:val="center"/>
                            </w:pPr>
                            <w:sdt>
                              <w:sdtPr>
                                <w:rPr>
                                  <w:rFonts w:ascii="Times New Roman" w:hAnsi="Times New Roman"/>
                                  <w:sz w:val="24"/>
                                  <w:szCs w:val="24"/>
                                </w:rPr>
                                <w:id w:val="1551723"/>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B733CA" w:rsidRPr="00F06BF0">
                                  <w:rPr>
                                    <w:rFonts w:ascii="Times New Roman" w:hAnsi="Times New Roman"/>
                                    <w:sz w:val="24"/>
                                    <w:szCs w:val="24"/>
                                    <w:lang w:val="bg-BG"/>
                                  </w:rPr>
                                  <w:t xml:space="preserve"> за 2014 г.</w:t>
                                </w:r>
                              </w:sdtContent>
                            </w:sdt>
                          </w:p>
                        </w:txbxContent>
                      </wps:txbx>
                      <wps:bodyPr rot="0" vert="horz" wrap="square" lIns="91440" tIns="228600" rIns="91440" bIns="22860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618" o:spid="_x0000_s1026" style="position:absolute;margin-left:0;margin-top:0;width:459.65pt;height:152pt;z-index:251660288;visibility:visible;mso-wrap-style:square;mso-width-percent:0;mso-height-percent:0;mso-top-percent:800;mso-wrap-distance-left:9pt;mso-wrap-distance-top:0;mso-wrap-distance-right:9pt;mso-wrap-distance-bottom:0;mso-position-horizontal:center;mso-position-horizontal-relative:margin;mso-position-vertical-relative:margin;mso-width-percent:0;mso-height-percent: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" o:allowincell="f" filled="f" stroked="f" strokeweight=".25pt">
                <v:textbox inset=",18pt,,18pt">
                  <w:txbxContent>
                    <w:p w:rsidR="00B733CA" w:rsidRDefault="009122C5">
                      <w:pPr>
                        <w:pStyle w:val="NoSpacing"/>
                        <w:spacing w:line="276" w:lineRule="auto"/>
                        <w:suppressOverlap/>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EndPr/>
                        <w:sdtContent>
                          <w:r w:rsidR="00B733CA">
                            <w:rPr>
                              <w:rFonts w:ascii="Times New Roman" w:hAnsi="Times New Roman"/>
                              <w:b/>
                              <w:bCs/>
                              <w:caps/>
                              <w:color w:val="D34817" w:themeColor="accent1"/>
                              <w:lang w:val="bg-BG"/>
                            </w:rPr>
                            <w:t>министерство на регионалното развитие и благоуствойството</w:t>
                          </w:r>
                        </w:sdtContent>
                      </w:sdt>
                    </w:p>
                    <w:p w:rsidR="00B733CA" w:rsidRDefault="00B733CA">
                      <w:pPr>
                        <w:pStyle w:val="NoSpacing"/>
                        <w:spacing w:line="276" w:lineRule="auto"/>
                        <w:suppressOverlap/>
                        <w:jc w:val="center"/>
                        <w:rPr>
                          <w:b/>
                          <w:bCs/>
                          <w:caps/>
                          <w:color w:val="D34817" w:themeColor="accent1"/>
                        </w:rPr>
                      </w:pPr>
                    </w:p>
                    <w:p w:rsidR="00B733CA" w:rsidRDefault="009122C5">
                      <w:pPr>
                        <w:pStyle w:val="NoSpacing"/>
                        <w:spacing w:line="276" w:lineRule="auto"/>
                        <w:suppressOverlap/>
                        <w:jc w:val="center"/>
                      </w:pPr>
                      <w:sdt>
                        <w:sdtPr>
                          <w:rPr>
                            <w:rFonts w:ascii="Times New Roman" w:hAnsi="Times New Roman"/>
                            <w:sz w:val="24"/>
                            <w:szCs w:val="24"/>
                          </w:rPr>
                          <w:id w:val="1551723"/>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B733CA" w:rsidRPr="00F06BF0">
                            <w:rPr>
                              <w:rFonts w:ascii="Times New Roman" w:hAnsi="Times New Roman"/>
                              <w:sz w:val="24"/>
                              <w:szCs w:val="24"/>
                              <w:lang w:val="bg-BG"/>
                            </w:rPr>
                            <w:t xml:space="preserve"> за 2014 г.</w:t>
                          </w:r>
                        </w:sdtContent>
                      </w:sdt>
                    </w:p>
                  </w:txbxContent>
                </v:textbox>
                <w10:wrap anchorx="margin" anchory="margin"/>
              </v:rect>
            </w:pict>
          </mc:Fallback>
        </mc:AlternateContent>
      </w:r>
      <w:r w:rsidRPr="0056111E">
        <w:rPr>
          <w:rFonts w:ascii="Times New Roman" w:hAnsi="Times New Roman"/>
          <w:noProof/>
          <w:sz w:val="24"/>
          <w:szCs w:val="24"/>
          <w:lang w:val="bg-BG" w:eastAsia="bg-BG"/>
        </w:rPr>
        <mc:AlternateContent>
          <mc:Choice Requires="wpc">
            <w:drawing>
              <wp:anchor distT="0" distB="0" distL="114300" distR="114300" simplePos="0" relativeHeight="251664384" behindDoc="0" locked="0" layoutInCell="1" allowOverlap="1" wp14:anchorId="2B885F93" wp14:editId="29C74778">
                <wp:simplePos x="0" y="0"/>
                <wp:positionH relativeFrom="column">
                  <wp:posOffset>208915</wp:posOffset>
                </wp:positionH>
                <wp:positionV relativeFrom="paragraph">
                  <wp:posOffset>3648548</wp:posOffset>
                </wp:positionV>
                <wp:extent cx="5760720" cy="3437255"/>
                <wp:effectExtent l="0" t="0" r="11430" b="10795"/>
                <wp:wrapNone/>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 name="Rectangle 16"/>
                        <wps:cNvSpPr>
                          <a:spLocks noChangeArrowheads="1"/>
                        </wps:cNvSpPr>
                        <wps:spPr bwMode="auto">
                          <a:xfrm>
                            <a:off x="0" y="0"/>
                            <a:ext cx="5760720" cy="343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18" name="Freeform 17"/>
                        <wps:cNvSpPr>
                          <a:spLocks/>
                        </wps:cNvSpPr>
                        <wps:spPr bwMode="auto">
                          <a:xfrm>
                            <a:off x="1307967" y="1638362"/>
                            <a:ext cx="2620655" cy="1798893"/>
                          </a:xfrm>
                          <a:custGeom>
                            <a:avLst/>
                            <a:gdLst>
                              <a:gd name="T0" fmla="*/ 1122 w 2220"/>
                              <a:gd name="T1" fmla="*/ 1484 h 1524"/>
                              <a:gd name="T2" fmla="*/ 1038 w 2220"/>
                              <a:gd name="T3" fmla="*/ 1448 h 1524"/>
                              <a:gd name="T4" fmla="*/ 894 w 2220"/>
                              <a:gd name="T5" fmla="*/ 1400 h 1524"/>
                              <a:gd name="T6" fmla="*/ 780 w 2220"/>
                              <a:gd name="T7" fmla="*/ 1388 h 1524"/>
                              <a:gd name="T8" fmla="*/ 676 w 2220"/>
                              <a:gd name="T9" fmla="*/ 1356 h 1524"/>
                              <a:gd name="T10" fmla="*/ 584 w 2220"/>
                              <a:gd name="T11" fmla="*/ 1286 h 1524"/>
                              <a:gd name="T12" fmla="*/ 542 w 2220"/>
                              <a:gd name="T13" fmla="*/ 1242 h 1524"/>
                              <a:gd name="T14" fmla="*/ 498 w 2220"/>
                              <a:gd name="T15" fmla="*/ 1274 h 1524"/>
                              <a:gd name="T16" fmla="*/ 374 w 2220"/>
                              <a:gd name="T17" fmla="*/ 1156 h 1524"/>
                              <a:gd name="T18" fmla="*/ 260 w 2220"/>
                              <a:gd name="T19" fmla="*/ 1180 h 1524"/>
                              <a:gd name="T20" fmla="*/ 238 w 2220"/>
                              <a:gd name="T21" fmla="*/ 1052 h 1524"/>
                              <a:gd name="T22" fmla="*/ 202 w 2220"/>
                              <a:gd name="T23" fmla="*/ 1014 h 1524"/>
                              <a:gd name="T24" fmla="*/ 146 w 2220"/>
                              <a:gd name="T25" fmla="*/ 986 h 1524"/>
                              <a:gd name="T26" fmla="*/ 72 w 2220"/>
                              <a:gd name="T27" fmla="*/ 914 h 1524"/>
                              <a:gd name="T28" fmla="*/ 26 w 2220"/>
                              <a:gd name="T29" fmla="*/ 860 h 1524"/>
                              <a:gd name="T30" fmla="*/ 44 w 2220"/>
                              <a:gd name="T31" fmla="*/ 728 h 1524"/>
                              <a:gd name="T32" fmla="*/ 18 w 2220"/>
                              <a:gd name="T33" fmla="*/ 630 h 1524"/>
                              <a:gd name="T34" fmla="*/ 6 w 2220"/>
                              <a:gd name="T35" fmla="*/ 542 h 1524"/>
                              <a:gd name="T36" fmla="*/ 110 w 2220"/>
                              <a:gd name="T37" fmla="*/ 482 h 1524"/>
                              <a:gd name="T38" fmla="*/ 112 w 2220"/>
                              <a:gd name="T39" fmla="*/ 444 h 1524"/>
                              <a:gd name="T40" fmla="*/ 184 w 2220"/>
                              <a:gd name="T41" fmla="*/ 372 h 1524"/>
                              <a:gd name="T42" fmla="*/ 200 w 2220"/>
                              <a:gd name="T43" fmla="*/ 310 h 1524"/>
                              <a:gd name="T44" fmla="*/ 110 w 2220"/>
                              <a:gd name="T45" fmla="*/ 296 h 1524"/>
                              <a:gd name="T46" fmla="*/ 86 w 2220"/>
                              <a:gd name="T47" fmla="*/ 244 h 1524"/>
                              <a:gd name="T48" fmla="*/ 148 w 2220"/>
                              <a:gd name="T49" fmla="*/ 178 h 1524"/>
                              <a:gd name="T50" fmla="*/ 240 w 2220"/>
                              <a:gd name="T51" fmla="*/ 190 h 1524"/>
                              <a:gd name="T52" fmla="*/ 330 w 2220"/>
                              <a:gd name="T53" fmla="*/ 164 h 1524"/>
                              <a:gd name="T54" fmla="*/ 490 w 2220"/>
                              <a:gd name="T55" fmla="*/ 208 h 1524"/>
                              <a:gd name="T56" fmla="*/ 466 w 2220"/>
                              <a:gd name="T57" fmla="*/ 114 h 1524"/>
                              <a:gd name="T58" fmla="*/ 504 w 2220"/>
                              <a:gd name="T59" fmla="*/ 28 h 1524"/>
                              <a:gd name="T60" fmla="*/ 644 w 2220"/>
                              <a:gd name="T61" fmla="*/ 16 h 1524"/>
                              <a:gd name="T62" fmla="*/ 824 w 2220"/>
                              <a:gd name="T63" fmla="*/ 42 h 1524"/>
                              <a:gd name="T64" fmla="*/ 956 w 2220"/>
                              <a:gd name="T65" fmla="*/ 90 h 1524"/>
                              <a:gd name="T66" fmla="*/ 992 w 2220"/>
                              <a:gd name="T67" fmla="*/ 198 h 1524"/>
                              <a:gd name="T68" fmla="*/ 1062 w 2220"/>
                              <a:gd name="T69" fmla="*/ 250 h 1524"/>
                              <a:gd name="T70" fmla="*/ 1104 w 2220"/>
                              <a:gd name="T71" fmla="*/ 296 h 1524"/>
                              <a:gd name="T72" fmla="*/ 1112 w 2220"/>
                              <a:gd name="T73" fmla="*/ 376 h 1524"/>
                              <a:gd name="T74" fmla="*/ 1068 w 2220"/>
                              <a:gd name="T75" fmla="*/ 420 h 1524"/>
                              <a:gd name="T76" fmla="*/ 1050 w 2220"/>
                              <a:gd name="T77" fmla="*/ 528 h 1524"/>
                              <a:gd name="T78" fmla="*/ 1114 w 2220"/>
                              <a:gd name="T79" fmla="*/ 560 h 1524"/>
                              <a:gd name="T80" fmla="*/ 1216 w 2220"/>
                              <a:gd name="T81" fmla="*/ 684 h 1524"/>
                              <a:gd name="T82" fmla="*/ 1320 w 2220"/>
                              <a:gd name="T83" fmla="*/ 628 h 1524"/>
                              <a:gd name="T84" fmla="*/ 1434 w 2220"/>
                              <a:gd name="T85" fmla="*/ 618 h 1524"/>
                              <a:gd name="T86" fmla="*/ 1518 w 2220"/>
                              <a:gd name="T87" fmla="*/ 662 h 1524"/>
                              <a:gd name="T88" fmla="*/ 1566 w 2220"/>
                              <a:gd name="T89" fmla="*/ 680 h 1524"/>
                              <a:gd name="T90" fmla="*/ 1746 w 2220"/>
                              <a:gd name="T91" fmla="*/ 736 h 1524"/>
                              <a:gd name="T92" fmla="*/ 1960 w 2220"/>
                              <a:gd name="T93" fmla="*/ 762 h 1524"/>
                              <a:gd name="T94" fmla="*/ 2074 w 2220"/>
                              <a:gd name="T95" fmla="*/ 822 h 1524"/>
                              <a:gd name="T96" fmla="*/ 2116 w 2220"/>
                              <a:gd name="T97" fmla="*/ 776 h 1524"/>
                              <a:gd name="T98" fmla="*/ 2140 w 2220"/>
                              <a:gd name="T99" fmla="*/ 798 h 1524"/>
                              <a:gd name="T100" fmla="*/ 2196 w 2220"/>
                              <a:gd name="T101" fmla="*/ 898 h 1524"/>
                              <a:gd name="T102" fmla="*/ 2128 w 2220"/>
                              <a:gd name="T103" fmla="*/ 948 h 1524"/>
                              <a:gd name="T104" fmla="*/ 2072 w 2220"/>
                              <a:gd name="T105" fmla="*/ 1026 h 1524"/>
                              <a:gd name="T106" fmla="*/ 1970 w 2220"/>
                              <a:gd name="T107" fmla="*/ 1040 h 1524"/>
                              <a:gd name="T108" fmla="*/ 1858 w 2220"/>
                              <a:gd name="T109" fmla="*/ 1068 h 1524"/>
                              <a:gd name="T110" fmla="*/ 1900 w 2220"/>
                              <a:gd name="T111" fmla="*/ 1160 h 1524"/>
                              <a:gd name="T112" fmla="*/ 1930 w 2220"/>
                              <a:gd name="T113" fmla="*/ 1202 h 1524"/>
                              <a:gd name="T114" fmla="*/ 1942 w 2220"/>
                              <a:gd name="T115" fmla="*/ 1286 h 1524"/>
                              <a:gd name="T116" fmla="*/ 1922 w 2220"/>
                              <a:gd name="T117" fmla="*/ 1406 h 1524"/>
                              <a:gd name="T118" fmla="*/ 1776 w 2220"/>
                              <a:gd name="T119" fmla="*/ 1448 h 1524"/>
                              <a:gd name="T120" fmla="*/ 1578 w 2220"/>
                              <a:gd name="T121" fmla="*/ 1456 h 1524"/>
                              <a:gd name="T122" fmla="*/ 1488 w 2220"/>
                              <a:gd name="T123" fmla="*/ 1474 h 1524"/>
                              <a:gd name="T124" fmla="*/ 1332 w 2220"/>
                              <a:gd name="T125" fmla="*/ 1510 h 1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20" h="1524">
                                <a:moveTo>
                                  <a:pt x="1212" y="1524"/>
                                </a:moveTo>
                                <a:lnTo>
                                  <a:pt x="1208" y="1520"/>
                                </a:lnTo>
                                <a:lnTo>
                                  <a:pt x="1202" y="1514"/>
                                </a:lnTo>
                                <a:lnTo>
                                  <a:pt x="1194" y="1510"/>
                                </a:lnTo>
                                <a:lnTo>
                                  <a:pt x="1188" y="1508"/>
                                </a:lnTo>
                                <a:lnTo>
                                  <a:pt x="1182" y="1496"/>
                                </a:lnTo>
                                <a:lnTo>
                                  <a:pt x="1170" y="1492"/>
                                </a:lnTo>
                                <a:lnTo>
                                  <a:pt x="1158" y="1490"/>
                                </a:lnTo>
                                <a:lnTo>
                                  <a:pt x="1146" y="1492"/>
                                </a:lnTo>
                                <a:lnTo>
                                  <a:pt x="1132" y="1490"/>
                                </a:lnTo>
                                <a:lnTo>
                                  <a:pt x="1122" y="1484"/>
                                </a:lnTo>
                                <a:lnTo>
                                  <a:pt x="1118" y="1484"/>
                                </a:lnTo>
                                <a:lnTo>
                                  <a:pt x="1114" y="1482"/>
                                </a:lnTo>
                                <a:lnTo>
                                  <a:pt x="1114" y="1478"/>
                                </a:lnTo>
                                <a:lnTo>
                                  <a:pt x="1114" y="1474"/>
                                </a:lnTo>
                                <a:lnTo>
                                  <a:pt x="1100" y="1470"/>
                                </a:lnTo>
                                <a:lnTo>
                                  <a:pt x="1086" y="1464"/>
                                </a:lnTo>
                                <a:lnTo>
                                  <a:pt x="1074" y="1458"/>
                                </a:lnTo>
                                <a:lnTo>
                                  <a:pt x="1056" y="1456"/>
                                </a:lnTo>
                                <a:lnTo>
                                  <a:pt x="1038" y="1456"/>
                                </a:lnTo>
                                <a:lnTo>
                                  <a:pt x="1038" y="1452"/>
                                </a:lnTo>
                                <a:lnTo>
                                  <a:pt x="1038" y="1448"/>
                                </a:lnTo>
                                <a:lnTo>
                                  <a:pt x="1020" y="1444"/>
                                </a:lnTo>
                                <a:lnTo>
                                  <a:pt x="1002" y="1440"/>
                                </a:lnTo>
                                <a:lnTo>
                                  <a:pt x="1002" y="1436"/>
                                </a:lnTo>
                                <a:lnTo>
                                  <a:pt x="1002" y="1432"/>
                                </a:lnTo>
                                <a:lnTo>
                                  <a:pt x="982" y="1426"/>
                                </a:lnTo>
                                <a:lnTo>
                                  <a:pt x="964" y="1416"/>
                                </a:lnTo>
                                <a:lnTo>
                                  <a:pt x="958" y="1404"/>
                                </a:lnTo>
                                <a:lnTo>
                                  <a:pt x="944" y="1398"/>
                                </a:lnTo>
                                <a:lnTo>
                                  <a:pt x="928" y="1394"/>
                                </a:lnTo>
                                <a:lnTo>
                                  <a:pt x="910" y="1396"/>
                                </a:lnTo>
                                <a:lnTo>
                                  <a:pt x="894" y="1400"/>
                                </a:lnTo>
                                <a:lnTo>
                                  <a:pt x="884" y="1406"/>
                                </a:lnTo>
                                <a:lnTo>
                                  <a:pt x="878" y="1416"/>
                                </a:lnTo>
                                <a:lnTo>
                                  <a:pt x="868" y="1422"/>
                                </a:lnTo>
                                <a:lnTo>
                                  <a:pt x="856" y="1424"/>
                                </a:lnTo>
                                <a:lnTo>
                                  <a:pt x="842" y="1424"/>
                                </a:lnTo>
                                <a:lnTo>
                                  <a:pt x="828" y="1424"/>
                                </a:lnTo>
                                <a:lnTo>
                                  <a:pt x="814" y="1422"/>
                                </a:lnTo>
                                <a:lnTo>
                                  <a:pt x="810" y="1412"/>
                                </a:lnTo>
                                <a:lnTo>
                                  <a:pt x="800" y="1402"/>
                                </a:lnTo>
                                <a:lnTo>
                                  <a:pt x="788" y="1394"/>
                                </a:lnTo>
                                <a:lnTo>
                                  <a:pt x="780" y="1388"/>
                                </a:lnTo>
                                <a:lnTo>
                                  <a:pt x="778" y="1384"/>
                                </a:lnTo>
                                <a:lnTo>
                                  <a:pt x="778" y="1380"/>
                                </a:lnTo>
                                <a:lnTo>
                                  <a:pt x="758" y="1384"/>
                                </a:lnTo>
                                <a:lnTo>
                                  <a:pt x="740" y="1388"/>
                                </a:lnTo>
                                <a:lnTo>
                                  <a:pt x="720" y="1388"/>
                                </a:lnTo>
                                <a:lnTo>
                                  <a:pt x="704" y="1382"/>
                                </a:lnTo>
                                <a:lnTo>
                                  <a:pt x="694" y="1380"/>
                                </a:lnTo>
                                <a:lnTo>
                                  <a:pt x="686" y="1376"/>
                                </a:lnTo>
                                <a:lnTo>
                                  <a:pt x="682" y="1370"/>
                                </a:lnTo>
                                <a:lnTo>
                                  <a:pt x="678" y="1364"/>
                                </a:lnTo>
                                <a:lnTo>
                                  <a:pt x="676" y="1356"/>
                                </a:lnTo>
                                <a:lnTo>
                                  <a:pt x="672" y="1354"/>
                                </a:lnTo>
                                <a:lnTo>
                                  <a:pt x="668" y="1354"/>
                                </a:lnTo>
                                <a:lnTo>
                                  <a:pt x="660" y="1338"/>
                                </a:lnTo>
                                <a:lnTo>
                                  <a:pt x="648" y="1328"/>
                                </a:lnTo>
                                <a:lnTo>
                                  <a:pt x="630" y="1322"/>
                                </a:lnTo>
                                <a:lnTo>
                                  <a:pt x="630" y="1316"/>
                                </a:lnTo>
                                <a:lnTo>
                                  <a:pt x="630" y="1312"/>
                                </a:lnTo>
                                <a:lnTo>
                                  <a:pt x="616" y="1308"/>
                                </a:lnTo>
                                <a:lnTo>
                                  <a:pt x="606" y="1300"/>
                                </a:lnTo>
                                <a:lnTo>
                                  <a:pt x="596" y="1292"/>
                                </a:lnTo>
                                <a:lnTo>
                                  <a:pt x="584" y="1286"/>
                                </a:lnTo>
                                <a:lnTo>
                                  <a:pt x="582" y="1284"/>
                                </a:lnTo>
                                <a:lnTo>
                                  <a:pt x="582" y="1280"/>
                                </a:lnTo>
                                <a:lnTo>
                                  <a:pt x="580" y="1278"/>
                                </a:lnTo>
                                <a:lnTo>
                                  <a:pt x="578" y="1276"/>
                                </a:lnTo>
                                <a:lnTo>
                                  <a:pt x="576" y="1274"/>
                                </a:lnTo>
                                <a:lnTo>
                                  <a:pt x="570" y="1258"/>
                                </a:lnTo>
                                <a:lnTo>
                                  <a:pt x="564" y="1248"/>
                                </a:lnTo>
                                <a:lnTo>
                                  <a:pt x="552" y="1236"/>
                                </a:lnTo>
                                <a:lnTo>
                                  <a:pt x="548" y="1238"/>
                                </a:lnTo>
                                <a:lnTo>
                                  <a:pt x="544" y="1240"/>
                                </a:lnTo>
                                <a:lnTo>
                                  <a:pt x="542" y="1242"/>
                                </a:lnTo>
                                <a:lnTo>
                                  <a:pt x="540" y="1244"/>
                                </a:lnTo>
                                <a:lnTo>
                                  <a:pt x="536" y="1248"/>
                                </a:lnTo>
                                <a:lnTo>
                                  <a:pt x="532" y="1252"/>
                                </a:lnTo>
                                <a:lnTo>
                                  <a:pt x="526" y="1254"/>
                                </a:lnTo>
                                <a:lnTo>
                                  <a:pt x="520" y="1254"/>
                                </a:lnTo>
                                <a:lnTo>
                                  <a:pt x="516" y="1258"/>
                                </a:lnTo>
                                <a:lnTo>
                                  <a:pt x="512" y="1260"/>
                                </a:lnTo>
                                <a:lnTo>
                                  <a:pt x="510" y="1266"/>
                                </a:lnTo>
                                <a:lnTo>
                                  <a:pt x="510" y="1272"/>
                                </a:lnTo>
                                <a:lnTo>
                                  <a:pt x="504" y="1272"/>
                                </a:lnTo>
                                <a:lnTo>
                                  <a:pt x="498" y="1274"/>
                                </a:lnTo>
                                <a:lnTo>
                                  <a:pt x="494" y="1278"/>
                                </a:lnTo>
                                <a:lnTo>
                                  <a:pt x="490" y="1282"/>
                                </a:lnTo>
                                <a:lnTo>
                                  <a:pt x="486" y="1286"/>
                                </a:lnTo>
                                <a:lnTo>
                                  <a:pt x="458" y="1286"/>
                                </a:lnTo>
                                <a:lnTo>
                                  <a:pt x="432" y="1286"/>
                                </a:lnTo>
                                <a:lnTo>
                                  <a:pt x="420" y="1276"/>
                                </a:lnTo>
                                <a:lnTo>
                                  <a:pt x="408" y="1266"/>
                                </a:lnTo>
                                <a:lnTo>
                                  <a:pt x="408" y="1222"/>
                                </a:lnTo>
                                <a:lnTo>
                                  <a:pt x="406" y="1178"/>
                                </a:lnTo>
                                <a:lnTo>
                                  <a:pt x="390" y="1166"/>
                                </a:lnTo>
                                <a:lnTo>
                                  <a:pt x="374" y="1156"/>
                                </a:lnTo>
                                <a:lnTo>
                                  <a:pt x="352" y="1152"/>
                                </a:lnTo>
                                <a:lnTo>
                                  <a:pt x="352" y="1162"/>
                                </a:lnTo>
                                <a:lnTo>
                                  <a:pt x="350" y="1172"/>
                                </a:lnTo>
                                <a:lnTo>
                                  <a:pt x="332" y="1180"/>
                                </a:lnTo>
                                <a:lnTo>
                                  <a:pt x="316" y="1194"/>
                                </a:lnTo>
                                <a:lnTo>
                                  <a:pt x="308" y="1192"/>
                                </a:lnTo>
                                <a:lnTo>
                                  <a:pt x="300" y="1192"/>
                                </a:lnTo>
                                <a:lnTo>
                                  <a:pt x="290" y="1186"/>
                                </a:lnTo>
                                <a:lnTo>
                                  <a:pt x="280" y="1184"/>
                                </a:lnTo>
                                <a:lnTo>
                                  <a:pt x="270" y="1182"/>
                                </a:lnTo>
                                <a:lnTo>
                                  <a:pt x="260" y="1180"/>
                                </a:lnTo>
                                <a:lnTo>
                                  <a:pt x="252" y="1174"/>
                                </a:lnTo>
                                <a:lnTo>
                                  <a:pt x="246" y="1160"/>
                                </a:lnTo>
                                <a:lnTo>
                                  <a:pt x="242" y="1148"/>
                                </a:lnTo>
                                <a:lnTo>
                                  <a:pt x="242" y="1134"/>
                                </a:lnTo>
                                <a:lnTo>
                                  <a:pt x="248" y="1120"/>
                                </a:lnTo>
                                <a:lnTo>
                                  <a:pt x="256" y="1110"/>
                                </a:lnTo>
                                <a:lnTo>
                                  <a:pt x="256" y="1088"/>
                                </a:lnTo>
                                <a:lnTo>
                                  <a:pt x="256" y="1066"/>
                                </a:lnTo>
                                <a:lnTo>
                                  <a:pt x="250" y="1060"/>
                                </a:lnTo>
                                <a:lnTo>
                                  <a:pt x="244" y="1056"/>
                                </a:lnTo>
                                <a:lnTo>
                                  <a:pt x="238" y="1052"/>
                                </a:lnTo>
                                <a:lnTo>
                                  <a:pt x="230" y="1050"/>
                                </a:lnTo>
                                <a:lnTo>
                                  <a:pt x="230" y="1044"/>
                                </a:lnTo>
                                <a:lnTo>
                                  <a:pt x="230" y="1042"/>
                                </a:lnTo>
                                <a:lnTo>
                                  <a:pt x="226" y="1042"/>
                                </a:lnTo>
                                <a:lnTo>
                                  <a:pt x="222" y="1042"/>
                                </a:lnTo>
                                <a:lnTo>
                                  <a:pt x="220" y="1036"/>
                                </a:lnTo>
                                <a:lnTo>
                                  <a:pt x="216" y="1030"/>
                                </a:lnTo>
                                <a:lnTo>
                                  <a:pt x="212" y="1028"/>
                                </a:lnTo>
                                <a:lnTo>
                                  <a:pt x="208" y="1024"/>
                                </a:lnTo>
                                <a:lnTo>
                                  <a:pt x="204" y="1020"/>
                                </a:lnTo>
                                <a:lnTo>
                                  <a:pt x="202" y="1014"/>
                                </a:lnTo>
                                <a:lnTo>
                                  <a:pt x="200" y="1010"/>
                                </a:lnTo>
                                <a:lnTo>
                                  <a:pt x="192" y="1008"/>
                                </a:lnTo>
                                <a:lnTo>
                                  <a:pt x="184" y="1008"/>
                                </a:lnTo>
                                <a:lnTo>
                                  <a:pt x="182" y="1004"/>
                                </a:lnTo>
                                <a:lnTo>
                                  <a:pt x="182" y="1000"/>
                                </a:lnTo>
                                <a:lnTo>
                                  <a:pt x="176" y="998"/>
                                </a:lnTo>
                                <a:lnTo>
                                  <a:pt x="170" y="996"/>
                                </a:lnTo>
                                <a:lnTo>
                                  <a:pt x="164" y="992"/>
                                </a:lnTo>
                                <a:lnTo>
                                  <a:pt x="156" y="992"/>
                                </a:lnTo>
                                <a:lnTo>
                                  <a:pt x="146" y="990"/>
                                </a:lnTo>
                                <a:lnTo>
                                  <a:pt x="146" y="986"/>
                                </a:lnTo>
                                <a:lnTo>
                                  <a:pt x="146" y="982"/>
                                </a:lnTo>
                                <a:lnTo>
                                  <a:pt x="128" y="982"/>
                                </a:lnTo>
                                <a:lnTo>
                                  <a:pt x="118" y="980"/>
                                </a:lnTo>
                                <a:lnTo>
                                  <a:pt x="112" y="974"/>
                                </a:lnTo>
                                <a:lnTo>
                                  <a:pt x="108" y="958"/>
                                </a:lnTo>
                                <a:lnTo>
                                  <a:pt x="96" y="950"/>
                                </a:lnTo>
                                <a:lnTo>
                                  <a:pt x="88" y="946"/>
                                </a:lnTo>
                                <a:lnTo>
                                  <a:pt x="82" y="946"/>
                                </a:lnTo>
                                <a:lnTo>
                                  <a:pt x="76" y="944"/>
                                </a:lnTo>
                                <a:lnTo>
                                  <a:pt x="74" y="934"/>
                                </a:lnTo>
                                <a:lnTo>
                                  <a:pt x="72" y="914"/>
                                </a:lnTo>
                                <a:lnTo>
                                  <a:pt x="62" y="914"/>
                                </a:lnTo>
                                <a:lnTo>
                                  <a:pt x="54" y="914"/>
                                </a:lnTo>
                                <a:lnTo>
                                  <a:pt x="52" y="908"/>
                                </a:lnTo>
                                <a:lnTo>
                                  <a:pt x="48" y="902"/>
                                </a:lnTo>
                                <a:lnTo>
                                  <a:pt x="44" y="894"/>
                                </a:lnTo>
                                <a:lnTo>
                                  <a:pt x="40" y="888"/>
                                </a:lnTo>
                                <a:lnTo>
                                  <a:pt x="36" y="884"/>
                                </a:lnTo>
                                <a:lnTo>
                                  <a:pt x="34" y="874"/>
                                </a:lnTo>
                                <a:lnTo>
                                  <a:pt x="34" y="864"/>
                                </a:lnTo>
                                <a:lnTo>
                                  <a:pt x="30" y="862"/>
                                </a:lnTo>
                                <a:lnTo>
                                  <a:pt x="26" y="860"/>
                                </a:lnTo>
                                <a:lnTo>
                                  <a:pt x="26" y="854"/>
                                </a:lnTo>
                                <a:lnTo>
                                  <a:pt x="26" y="846"/>
                                </a:lnTo>
                                <a:lnTo>
                                  <a:pt x="16" y="846"/>
                                </a:lnTo>
                                <a:lnTo>
                                  <a:pt x="8" y="846"/>
                                </a:lnTo>
                                <a:lnTo>
                                  <a:pt x="8" y="820"/>
                                </a:lnTo>
                                <a:lnTo>
                                  <a:pt x="8" y="794"/>
                                </a:lnTo>
                                <a:lnTo>
                                  <a:pt x="18" y="778"/>
                                </a:lnTo>
                                <a:lnTo>
                                  <a:pt x="26" y="760"/>
                                </a:lnTo>
                                <a:lnTo>
                                  <a:pt x="34" y="752"/>
                                </a:lnTo>
                                <a:lnTo>
                                  <a:pt x="44" y="744"/>
                                </a:lnTo>
                                <a:lnTo>
                                  <a:pt x="44" y="728"/>
                                </a:lnTo>
                                <a:lnTo>
                                  <a:pt x="44" y="712"/>
                                </a:lnTo>
                                <a:lnTo>
                                  <a:pt x="40" y="710"/>
                                </a:lnTo>
                                <a:lnTo>
                                  <a:pt x="36" y="710"/>
                                </a:lnTo>
                                <a:lnTo>
                                  <a:pt x="36" y="686"/>
                                </a:lnTo>
                                <a:lnTo>
                                  <a:pt x="34" y="662"/>
                                </a:lnTo>
                                <a:lnTo>
                                  <a:pt x="30" y="656"/>
                                </a:lnTo>
                                <a:lnTo>
                                  <a:pt x="28" y="650"/>
                                </a:lnTo>
                                <a:lnTo>
                                  <a:pt x="26" y="646"/>
                                </a:lnTo>
                                <a:lnTo>
                                  <a:pt x="24" y="640"/>
                                </a:lnTo>
                                <a:lnTo>
                                  <a:pt x="22" y="634"/>
                                </a:lnTo>
                                <a:lnTo>
                                  <a:pt x="18" y="630"/>
                                </a:lnTo>
                                <a:lnTo>
                                  <a:pt x="18" y="624"/>
                                </a:lnTo>
                                <a:lnTo>
                                  <a:pt x="16" y="620"/>
                                </a:lnTo>
                                <a:lnTo>
                                  <a:pt x="12" y="616"/>
                                </a:lnTo>
                                <a:lnTo>
                                  <a:pt x="10" y="612"/>
                                </a:lnTo>
                                <a:lnTo>
                                  <a:pt x="4" y="608"/>
                                </a:lnTo>
                                <a:lnTo>
                                  <a:pt x="0" y="604"/>
                                </a:lnTo>
                                <a:lnTo>
                                  <a:pt x="0" y="592"/>
                                </a:lnTo>
                                <a:lnTo>
                                  <a:pt x="0" y="580"/>
                                </a:lnTo>
                                <a:lnTo>
                                  <a:pt x="6" y="570"/>
                                </a:lnTo>
                                <a:lnTo>
                                  <a:pt x="6" y="556"/>
                                </a:lnTo>
                                <a:lnTo>
                                  <a:pt x="6" y="542"/>
                                </a:lnTo>
                                <a:lnTo>
                                  <a:pt x="6" y="530"/>
                                </a:lnTo>
                                <a:lnTo>
                                  <a:pt x="12" y="518"/>
                                </a:lnTo>
                                <a:lnTo>
                                  <a:pt x="30" y="514"/>
                                </a:lnTo>
                                <a:lnTo>
                                  <a:pt x="46" y="510"/>
                                </a:lnTo>
                                <a:lnTo>
                                  <a:pt x="62" y="506"/>
                                </a:lnTo>
                                <a:lnTo>
                                  <a:pt x="74" y="496"/>
                                </a:lnTo>
                                <a:lnTo>
                                  <a:pt x="84" y="492"/>
                                </a:lnTo>
                                <a:lnTo>
                                  <a:pt x="94" y="490"/>
                                </a:lnTo>
                                <a:lnTo>
                                  <a:pt x="110" y="490"/>
                                </a:lnTo>
                                <a:lnTo>
                                  <a:pt x="110" y="486"/>
                                </a:lnTo>
                                <a:lnTo>
                                  <a:pt x="110" y="482"/>
                                </a:lnTo>
                                <a:lnTo>
                                  <a:pt x="124" y="482"/>
                                </a:lnTo>
                                <a:lnTo>
                                  <a:pt x="138" y="482"/>
                                </a:lnTo>
                                <a:lnTo>
                                  <a:pt x="138" y="470"/>
                                </a:lnTo>
                                <a:lnTo>
                                  <a:pt x="138" y="458"/>
                                </a:lnTo>
                                <a:lnTo>
                                  <a:pt x="132" y="454"/>
                                </a:lnTo>
                                <a:lnTo>
                                  <a:pt x="126" y="452"/>
                                </a:lnTo>
                                <a:lnTo>
                                  <a:pt x="122" y="450"/>
                                </a:lnTo>
                                <a:lnTo>
                                  <a:pt x="120" y="450"/>
                                </a:lnTo>
                                <a:lnTo>
                                  <a:pt x="118" y="448"/>
                                </a:lnTo>
                                <a:lnTo>
                                  <a:pt x="114" y="446"/>
                                </a:lnTo>
                                <a:lnTo>
                                  <a:pt x="112" y="444"/>
                                </a:lnTo>
                                <a:lnTo>
                                  <a:pt x="112" y="428"/>
                                </a:lnTo>
                                <a:lnTo>
                                  <a:pt x="112" y="412"/>
                                </a:lnTo>
                                <a:lnTo>
                                  <a:pt x="122" y="404"/>
                                </a:lnTo>
                                <a:lnTo>
                                  <a:pt x="132" y="398"/>
                                </a:lnTo>
                                <a:lnTo>
                                  <a:pt x="140" y="392"/>
                                </a:lnTo>
                                <a:lnTo>
                                  <a:pt x="146" y="380"/>
                                </a:lnTo>
                                <a:lnTo>
                                  <a:pt x="152" y="380"/>
                                </a:lnTo>
                                <a:lnTo>
                                  <a:pt x="156" y="378"/>
                                </a:lnTo>
                                <a:lnTo>
                                  <a:pt x="160" y="374"/>
                                </a:lnTo>
                                <a:lnTo>
                                  <a:pt x="172" y="374"/>
                                </a:lnTo>
                                <a:lnTo>
                                  <a:pt x="184" y="372"/>
                                </a:lnTo>
                                <a:lnTo>
                                  <a:pt x="184" y="368"/>
                                </a:lnTo>
                                <a:lnTo>
                                  <a:pt x="184" y="364"/>
                                </a:lnTo>
                                <a:lnTo>
                                  <a:pt x="198" y="360"/>
                                </a:lnTo>
                                <a:lnTo>
                                  <a:pt x="208" y="354"/>
                                </a:lnTo>
                                <a:lnTo>
                                  <a:pt x="220" y="344"/>
                                </a:lnTo>
                                <a:lnTo>
                                  <a:pt x="220" y="334"/>
                                </a:lnTo>
                                <a:lnTo>
                                  <a:pt x="222" y="324"/>
                                </a:lnTo>
                                <a:lnTo>
                                  <a:pt x="216" y="318"/>
                                </a:lnTo>
                                <a:lnTo>
                                  <a:pt x="210" y="312"/>
                                </a:lnTo>
                                <a:lnTo>
                                  <a:pt x="204" y="310"/>
                                </a:lnTo>
                                <a:lnTo>
                                  <a:pt x="200" y="310"/>
                                </a:lnTo>
                                <a:lnTo>
                                  <a:pt x="198" y="310"/>
                                </a:lnTo>
                                <a:lnTo>
                                  <a:pt x="196" y="308"/>
                                </a:lnTo>
                                <a:lnTo>
                                  <a:pt x="194" y="308"/>
                                </a:lnTo>
                                <a:lnTo>
                                  <a:pt x="192" y="306"/>
                                </a:lnTo>
                                <a:lnTo>
                                  <a:pt x="158" y="304"/>
                                </a:lnTo>
                                <a:lnTo>
                                  <a:pt x="126" y="304"/>
                                </a:lnTo>
                                <a:lnTo>
                                  <a:pt x="124" y="302"/>
                                </a:lnTo>
                                <a:lnTo>
                                  <a:pt x="120" y="300"/>
                                </a:lnTo>
                                <a:lnTo>
                                  <a:pt x="118" y="298"/>
                                </a:lnTo>
                                <a:lnTo>
                                  <a:pt x="114" y="298"/>
                                </a:lnTo>
                                <a:lnTo>
                                  <a:pt x="110" y="296"/>
                                </a:lnTo>
                                <a:lnTo>
                                  <a:pt x="110" y="290"/>
                                </a:lnTo>
                                <a:lnTo>
                                  <a:pt x="106" y="286"/>
                                </a:lnTo>
                                <a:lnTo>
                                  <a:pt x="104" y="284"/>
                                </a:lnTo>
                                <a:lnTo>
                                  <a:pt x="100" y="282"/>
                                </a:lnTo>
                                <a:lnTo>
                                  <a:pt x="94" y="280"/>
                                </a:lnTo>
                                <a:lnTo>
                                  <a:pt x="90" y="278"/>
                                </a:lnTo>
                                <a:lnTo>
                                  <a:pt x="86" y="276"/>
                                </a:lnTo>
                                <a:lnTo>
                                  <a:pt x="82" y="274"/>
                                </a:lnTo>
                                <a:lnTo>
                                  <a:pt x="82" y="262"/>
                                </a:lnTo>
                                <a:lnTo>
                                  <a:pt x="82" y="250"/>
                                </a:lnTo>
                                <a:lnTo>
                                  <a:pt x="86" y="244"/>
                                </a:lnTo>
                                <a:lnTo>
                                  <a:pt x="90" y="238"/>
                                </a:lnTo>
                                <a:lnTo>
                                  <a:pt x="94" y="232"/>
                                </a:lnTo>
                                <a:lnTo>
                                  <a:pt x="98" y="226"/>
                                </a:lnTo>
                                <a:lnTo>
                                  <a:pt x="100" y="218"/>
                                </a:lnTo>
                                <a:lnTo>
                                  <a:pt x="102" y="212"/>
                                </a:lnTo>
                                <a:lnTo>
                                  <a:pt x="104" y="210"/>
                                </a:lnTo>
                                <a:lnTo>
                                  <a:pt x="108" y="210"/>
                                </a:lnTo>
                                <a:lnTo>
                                  <a:pt x="110" y="196"/>
                                </a:lnTo>
                                <a:lnTo>
                                  <a:pt x="112" y="182"/>
                                </a:lnTo>
                                <a:lnTo>
                                  <a:pt x="128" y="178"/>
                                </a:lnTo>
                                <a:lnTo>
                                  <a:pt x="148" y="178"/>
                                </a:lnTo>
                                <a:lnTo>
                                  <a:pt x="154" y="192"/>
                                </a:lnTo>
                                <a:lnTo>
                                  <a:pt x="166" y="200"/>
                                </a:lnTo>
                                <a:lnTo>
                                  <a:pt x="182" y="202"/>
                                </a:lnTo>
                                <a:lnTo>
                                  <a:pt x="184" y="196"/>
                                </a:lnTo>
                                <a:lnTo>
                                  <a:pt x="186" y="190"/>
                                </a:lnTo>
                                <a:lnTo>
                                  <a:pt x="202" y="182"/>
                                </a:lnTo>
                                <a:lnTo>
                                  <a:pt x="222" y="178"/>
                                </a:lnTo>
                                <a:lnTo>
                                  <a:pt x="222" y="182"/>
                                </a:lnTo>
                                <a:lnTo>
                                  <a:pt x="222" y="186"/>
                                </a:lnTo>
                                <a:lnTo>
                                  <a:pt x="230" y="188"/>
                                </a:lnTo>
                                <a:lnTo>
                                  <a:pt x="240" y="190"/>
                                </a:lnTo>
                                <a:lnTo>
                                  <a:pt x="248" y="192"/>
                                </a:lnTo>
                                <a:lnTo>
                                  <a:pt x="254" y="188"/>
                                </a:lnTo>
                                <a:lnTo>
                                  <a:pt x="258" y="178"/>
                                </a:lnTo>
                                <a:lnTo>
                                  <a:pt x="268" y="176"/>
                                </a:lnTo>
                                <a:lnTo>
                                  <a:pt x="276" y="176"/>
                                </a:lnTo>
                                <a:lnTo>
                                  <a:pt x="280" y="164"/>
                                </a:lnTo>
                                <a:lnTo>
                                  <a:pt x="288" y="156"/>
                                </a:lnTo>
                                <a:lnTo>
                                  <a:pt x="298" y="152"/>
                                </a:lnTo>
                                <a:lnTo>
                                  <a:pt x="312" y="152"/>
                                </a:lnTo>
                                <a:lnTo>
                                  <a:pt x="326" y="152"/>
                                </a:lnTo>
                                <a:lnTo>
                                  <a:pt x="330" y="164"/>
                                </a:lnTo>
                                <a:lnTo>
                                  <a:pt x="338" y="170"/>
                                </a:lnTo>
                                <a:lnTo>
                                  <a:pt x="350" y="176"/>
                                </a:lnTo>
                                <a:lnTo>
                                  <a:pt x="362" y="178"/>
                                </a:lnTo>
                                <a:lnTo>
                                  <a:pt x="368" y="192"/>
                                </a:lnTo>
                                <a:lnTo>
                                  <a:pt x="382" y="202"/>
                                </a:lnTo>
                                <a:lnTo>
                                  <a:pt x="398" y="206"/>
                                </a:lnTo>
                                <a:lnTo>
                                  <a:pt x="418" y="210"/>
                                </a:lnTo>
                                <a:lnTo>
                                  <a:pt x="438" y="210"/>
                                </a:lnTo>
                                <a:lnTo>
                                  <a:pt x="458" y="210"/>
                                </a:lnTo>
                                <a:lnTo>
                                  <a:pt x="476" y="210"/>
                                </a:lnTo>
                                <a:lnTo>
                                  <a:pt x="490" y="208"/>
                                </a:lnTo>
                                <a:lnTo>
                                  <a:pt x="496" y="206"/>
                                </a:lnTo>
                                <a:lnTo>
                                  <a:pt x="502" y="202"/>
                                </a:lnTo>
                                <a:lnTo>
                                  <a:pt x="510" y="198"/>
                                </a:lnTo>
                                <a:lnTo>
                                  <a:pt x="518" y="194"/>
                                </a:lnTo>
                                <a:lnTo>
                                  <a:pt x="518" y="182"/>
                                </a:lnTo>
                                <a:lnTo>
                                  <a:pt x="518" y="170"/>
                                </a:lnTo>
                                <a:lnTo>
                                  <a:pt x="506" y="160"/>
                                </a:lnTo>
                                <a:lnTo>
                                  <a:pt x="494" y="150"/>
                                </a:lnTo>
                                <a:lnTo>
                                  <a:pt x="482" y="144"/>
                                </a:lnTo>
                                <a:lnTo>
                                  <a:pt x="476" y="130"/>
                                </a:lnTo>
                                <a:lnTo>
                                  <a:pt x="466" y="114"/>
                                </a:lnTo>
                                <a:lnTo>
                                  <a:pt x="454" y="102"/>
                                </a:lnTo>
                                <a:lnTo>
                                  <a:pt x="452" y="90"/>
                                </a:lnTo>
                                <a:lnTo>
                                  <a:pt x="448" y="78"/>
                                </a:lnTo>
                                <a:lnTo>
                                  <a:pt x="446" y="64"/>
                                </a:lnTo>
                                <a:lnTo>
                                  <a:pt x="456" y="58"/>
                                </a:lnTo>
                                <a:lnTo>
                                  <a:pt x="468" y="58"/>
                                </a:lnTo>
                                <a:lnTo>
                                  <a:pt x="482" y="58"/>
                                </a:lnTo>
                                <a:lnTo>
                                  <a:pt x="482" y="50"/>
                                </a:lnTo>
                                <a:lnTo>
                                  <a:pt x="482" y="42"/>
                                </a:lnTo>
                                <a:lnTo>
                                  <a:pt x="492" y="38"/>
                                </a:lnTo>
                                <a:lnTo>
                                  <a:pt x="504" y="28"/>
                                </a:lnTo>
                                <a:lnTo>
                                  <a:pt x="514" y="18"/>
                                </a:lnTo>
                                <a:lnTo>
                                  <a:pt x="518" y="8"/>
                                </a:lnTo>
                                <a:lnTo>
                                  <a:pt x="528" y="6"/>
                                </a:lnTo>
                                <a:lnTo>
                                  <a:pt x="536" y="4"/>
                                </a:lnTo>
                                <a:lnTo>
                                  <a:pt x="544" y="0"/>
                                </a:lnTo>
                                <a:lnTo>
                                  <a:pt x="576" y="0"/>
                                </a:lnTo>
                                <a:lnTo>
                                  <a:pt x="606" y="0"/>
                                </a:lnTo>
                                <a:lnTo>
                                  <a:pt x="610" y="2"/>
                                </a:lnTo>
                                <a:lnTo>
                                  <a:pt x="616" y="6"/>
                                </a:lnTo>
                                <a:lnTo>
                                  <a:pt x="632" y="10"/>
                                </a:lnTo>
                                <a:lnTo>
                                  <a:pt x="644" y="16"/>
                                </a:lnTo>
                                <a:lnTo>
                                  <a:pt x="654" y="26"/>
                                </a:lnTo>
                                <a:lnTo>
                                  <a:pt x="660" y="42"/>
                                </a:lnTo>
                                <a:lnTo>
                                  <a:pt x="684" y="42"/>
                                </a:lnTo>
                                <a:lnTo>
                                  <a:pt x="708" y="42"/>
                                </a:lnTo>
                                <a:lnTo>
                                  <a:pt x="714" y="46"/>
                                </a:lnTo>
                                <a:lnTo>
                                  <a:pt x="718" y="48"/>
                                </a:lnTo>
                                <a:lnTo>
                                  <a:pt x="724" y="50"/>
                                </a:lnTo>
                                <a:lnTo>
                                  <a:pt x="728" y="48"/>
                                </a:lnTo>
                                <a:lnTo>
                                  <a:pt x="734" y="46"/>
                                </a:lnTo>
                                <a:lnTo>
                                  <a:pt x="738" y="42"/>
                                </a:lnTo>
                                <a:lnTo>
                                  <a:pt x="824" y="42"/>
                                </a:lnTo>
                                <a:lnTo>
                                  <a:pt x="908" y="40"/>
                                </a:lnTo>
                                <a:lnTo>
                                  <a:pt x="908" y="38"/>
                                </a:lnTo>
                                <a:lnTo>
                                  <a:pt x="910" y="34"/>
                                </a:lnTo>
                                <a:lnTo>
                                  <a:pt x="924" y="34"/>
                                </a:lnTo>
                                <a:lnTo>
                                  <a:pt x="938" y="34"/>
                                </a:lnTo>
                                <a:lnTo>
                                  <a:pt x="938" y="36"/>
                                </a:lnTo>
                                <a:lnTo>
                                  <a:pt x="938" y="42"/>
                                </a:lnTo>
                                <a:lnTo>
                                  <a:pt x="944" y="42"/>
                                </a:lnTo>
                                <a:lnTo>
                                  <a:pt x="950" y="44"/>
                                </a:lnTo>
                                <a:lnTo>
                                  <a:pt x="956" y="48"/>
                                </a:lnTo>
                                <a:lnTo>
                                  <a:pt x="956" y="90"/>
                                </a:lnTo>
                                <a:lnTo>
                                  <a:pt x="958" y="134"/>
                                </a:lnTo>
                                <a:lnTo>
                                  <a:pt x="966" y="146"/>
                                </a:lnTo>
                                <a:lnTo>
                                  <a:pt x="972" y="162"/>
                                </a:lnTo>
                                <a:lnTo>
                                  <a:pt x="974" y="176"/>
                                </a:lnTo>
                                <a:lnTo>
                                  <a:pt x="978" y="176"/>
                                </a:lnTo>
                                <a:lnTo>
                                  <a:pt x="984" y="178"/>
                                </a:lnTo>
                                <a:lnTo>
                                  <a:pt x="984" y="182"/>
                                </a:lnTo>
                                <a:lnTo>
                                  <a:pt x="984" y="188"/>
                                </a:lnTo>
                                <a:lnTo>
                                  <a:pt x="986" y="192"/>
                                </a:lnTo>
                                <a:lnTo>
                                  <a:pt x="988" y="194"/>
                                </a:lnTo>
                                <a:lnTo>
                                  <a:pt x="992" y="198"/>
                                </a:lnTo>
                                <a:lnTo>
                                  <a:pt x="992" y="216"/>
                                </a:lnTo>
                                <a:lnTo>
                                  <a:pt x="994" y="234"/>
                                </a:lnTo>
                                <a:lnTo>
                                  <a:pt x="1004" y="244"/>
                                </a:lnTo>
                                <a:lnTo>
                                  <a:pt x="1014" y="252"/>
                                </a:lnTo>
                                <a:lnTo>
                                  <a:pt x="1014" y="254"/>
                                </a:lnTo>
                                <a:lnTo>
                                  <a:pt x="1034" y="254"/>
                                </a:lnTo>
                                <a:lnTo>
                                  <a:pt x="1056" y="254"/>
                                </a:lnTo>
                                <a:lnTo>
                                  <a:pt x="1056" y="252"/>
                                </a:lnTo>
                                <a:lnTo>
                                  <a:pt x="1062" y="250"/>
                                </a:lnTo>
                                <a:lnTo>
                                  <a:pt x="1068" y="246"/>
                                </a:lnTo>
                                <a:lnTo>
                                  <a:pt x="1068" y="250"/>
                                </a:lnTo>
                                <a:lnTo>
                                  <a:pt x="1068" y="254"/>
                                </a:lnTo>
                                <a:lnTo>
                                  <a:pt x="1078" y="254"/>
                                </a:lnTo>
                                <a:lnTo>
                                  <a:pt x="1086" y="254"/>
                                </a:lnTo>
                                <a:lnTo>
                                  <a:pt x="1088" y="258"/>
                                </a:lnTo>
                                <a:lnTo>
                                  <a:pt x="1088" y="262"/>
                                </a:lnTo>
                                <a:lnTo>
                                  <a:pt x="1096" y="264"/>
                                </a:lnTo>
                                <a:lnTo>
                                  <a:pt x="1104" y="266"/>
                                </a:lnTo>
                                <a:lnTo>
                                  <a:pt x="1104" y="280"/>
                                </a:lnTo>
                                <a:lnTo>
                                  <a:pt x="1104" y="296"/>
                                </a:lnTo>
                                <a:lnTo>
                                  <a:pt x="1100" y="296"/>
                                </a:lnTo>
                                <a:lnTo>
                                  <a:pt x="1096" y="296"/>
                                </a:lnTo>
                                <a:lnTo>
                                  <a:pt x="1096" y="308"/>
                                </a:lnTo>
                                <a:lnTo>
                                  <a:pt x="1096" y="320"/>
                                </a:lnTo>
                                <a:lnTo>
                                  <a:pt x="1100" y="324"/>
                                </a:lnTo>
                                <a:lnTo>
                                  <a:pt x="1102" y="328"/>
                                </a:lnTo>
                                <a:lnTo>
                                  <a:pt x="1106" y="334"/>
                                </a:lnTo>
                                <a:lnTo>
                                  <a:pt x="1108" y="338"/>
                                </a:lnTo>
                                <a:lnTo>
                                  <a:pt x="1112" y="342"/>
                                </a:lnTo>
                                <a:lnTo>
                                  <a:pt x="1112" y="358"/>
                                </a:lnTo>
                                <a:lnTo>
                                  <a:pt x="1112" y="376"/>
                                </a:lnTo>
                                <a:lnTo>
                                  <a:pt x="1108" y="380"/>
                                </a:lnTo>
                                <a:lnTo>
                                  <a:pt x="1106" y="386"/>
                                </a:lnTo>
                                <a:lnTo>
                                  <a:pt x="1102" y="390"/>
                                </a:lnTo>
                                <a:lnTo>
                                  <a:pt x="1100" y="392"/>
                                </a:lnTo>
                                <a:lnTo>
                                  <a:pt x="1096" y="396"/>
                                </a:lnTo>
                                <a:lnTo>
                                  <a:pt x="1088" y="398"/>
                                </a:lnTo>
                                <a:lnTo>
                                  <a:pt x="1084" y="402"/>
                                </a:lnTo>
                                <a:lnTo>
                                  <a:pt x="1080" y="404"/>
                                </a:lnTo>
                                <a:lnTo>
                                  <a:pt x="1074" y="406"/>
                                </a:lnTo>
                                <a:lnTo>
                                  <a:pt x="1068" y="406"/>
                                </a:lnTo>
                                <a:lnTo>
                                  <a:pt x="1068" y="420"/>
                                </a:lnTo>
                                <a:lnTo>
                                  <a:pt x="1066" y="434"/>
                                </a:lnTo>
                                <a:lnTo>
                                  <a:pt x="1060" y="444"/>
                                </a:lnTo>
                                <a:lnTo>
                                  <a:pt x="1062" y="454"/>
                                </a:lnTo>
                                <a:lnTo>
                                  <a:pt x="1068" y="464"/>
                                </a:lnTo>
                                <a:lnTo>
                                  <a:pt x="1078" y="472"/>
                                </a:lnTo>
                                <a:lnTo>
                                  <a:pt x="1086" y="480"/>
                                </a:lnTo>
                                <a:lnTo>
                                  <a:pt x="1086" y="494"/>
                                </a:lnTo>
                                <a:lnTo>
                                  <a:pt x="1086" y="508"/>
                                </a:lnTo>
                                <a:lnTo>
                                  <a:pt x="1072" y="510"/>
                                </a:lnTo>
                                <a:lnTo>
                                  <a:pt x="1060" y="516"/>
                                </a:lnTo>
                                <a:lnTo>
                                  <a:pt x="1050" y="528"/>
                                </a:lnTo>
                                <a:lnTo>
                                  <a:pt x="1048" y="538"/>
                                </a:lnTo>
                                <a:lnTo>
                                  <a:pt x="1048" y="550"/>
                                </a:lnTo>
                                <a:lnTo>
                                  <a:pt x="1056" y="550"/>
                                </a:lnTo>
                                <a:lnTo>
                                  <a:pt x="1062" y="552"/>
                                </a:lnTo>
                                <a:lnTo>
                                  <a:pt x="1068" y="556"/>
                                </a:lnTo>
                                <a:lnTo>
                                  <a:pt x="1072" y="560"/>
                                </a:lnTo>
                                <a:lnTo>
                                  <a:pt x="1078" y="564"/>
                                </a:lnTo>
                                <a:lnTo>
                                  <a:pt x="1096" y="566"/>
                                </a:lnTo>
                                <a:lnTo>
                                  <a:pt x="1114" y="566"/>
                                </a:lnTo>
                                <a:lnTo>
                                  <a:pt x="1114" y="564"/>
                                </a:lnTo>
                                <a:lnTo>
                                  <a:pt x="1114" y="560"/>
                                </a:lnTo>
                                <a:lnTo>
                                  <a:pt x="1152" y="560"/>
                                </a:lnTo>
                                <a:lnTo>
                                  <a:pt x="1192" y="560"/>
                                </a:lnTo>
                                <a:lnTo>
                                  <a:pt x="1198" y="564"/>
                                </a:lnTo>
                                <a:lnTo>
                                  <a:pt x="1202" y="568"/>
                                </a:lnTo>
                                <a:lnTo>
                                  <a:pt x="1204" y="572"/>
                                </a:lnTo>
                                <a:lnTo>
                                  <a:pt x="1206" y="578"/>
                                </a:lnTo>
                                <a:lnTo>
                                  <a:pt x="1208" y="584"/>
                                </a:lnTo>
                                <a:lnTo>
                                  <a:pt x="1210" y="584"/>
                                </a:lnTo>
                                <a:lnTo>
                                  <a:pt x="1216" y="584"/>
                                </a:lnTo>
                                <a:lnTo>
                                  <a:pt x="1216" y="634"/>
                                </a:lnTo>
                                <a:lnTo>
                                  <a:pt x="1216" y="684"/>
                                </a:lnTo>
                                <a:lnTo>
                                  <a:pt x="1230" y="684"/>
                                </a:lnTo>
                                <a:lnTo>
                                  <a:pt x="1242" y="684"/>
                                </a:lnTo>
                                <a:lnTo>
                                  <a:pt x="1242" y="680"/>
                                </a:lnTo>
                                <a:lnTo>
                                  <a:pt x="1244" y="678"/>
                                </a:lnTo>
                                <a:lnTo>
                                  <a:pt x="1270" y="676"/>
                                </a:lnTo>
                                <a:lnTo>
                                  <a:pt x="1298" y="676"/>
                                </a:lnTo>
                                <a:lnTo>
                                  <a:pt x="1298" y="672"/>
                                </a:lnTo>
                                <a:lnTo>
                                  <a:pt x="1298" y="666"/>
                                </a:lnTo>
                                <a:lnTo>
                                  <a:pt x="1308" y="656"/>
                                </a:lnTo>
                                <a:lnTo>
                                  <a:pt x="1316" y="642"/>
                                </a:lnTo>
                                <a:lnTo>
                                  <a:pt x="1320" y="628"/>
                                </a:lnTo>
                                <a:lnTo>
                                  <a:pt x="1322" y="628"/>
                                </a:lnTo>
                                <a:lnTo>
                                  <a:pt x="1324" y="626"/>
                                </a:lnTo>
                                <a:lnTo>
                                  <a:pt x="1358" y="626"/>
                                </a:lnTo>
                                <a:lnTo>
                                  <a:pt x="1392" y="626"/>
                                </a:lnTo>
                                <a:lnTo>
                                  <a:pt x="1396" y="614"/>
                                </a:lnTo>
                                <a:lnTo>
                                  <a:pt x="1404" y="608"/>
                                </a:lnTo>
                                <a:lnTo>
                                  <a:pt x="1416" y="608"/>
                                </a:lnTo>
                                <a:lnTo>
                                  <a:pt x="1430" y="610"/>
                                </a:lnTo>
                                <a:lnTo>
                                  <a:pt x="1430" y="614"/>
                                </a:lnTo>
                                <a:lnTo>
                                  <a:pt x="1430" y="618"/>
                                </a:lnTo>
                                <a:lnTo>
                                  <a:pt x="1434" y="618"/>
                                </a:lnTo>
                                <a:lnTo>
                                  <a:pt x="1440" y="618"/>
                                </a:lnTo>
                                <a:lnTo>
                                  <a:pt x="1440" y="636"/>
                                </a:lnTo>
                                <a:lnTo>
                                  <a:pt x="1440" y="652"/>
                                </a:lnTo>
                                <a:lnTo>
                                  <a:pt x="1444" y="652"/>
                                </a:lnTo>
                                <a:lnTo>
                                  <a:pt x="1448" y="652"/>
                                </a:lnTo>
                                <a:lnTo>
                                  <a:pt x="1448" y="656"/>
                                </a:lnTo>
                                <a:lnTo>
                                  <a:pt x="1448" y="660"/>
                                </a:lnTo>
                                <a:lnTo>
                                  <a:pt x="1466" y="662"/>
                                </a:lnTo>
                                <a:lnTo>
                                  <a:pt x="1484" y="666"/>
                                </a:lnTo>
                                <a:lnTo>
                                  <a:pt x="1502" y="668"/>
                                </a:lnTo>
                                <a:lnTo>
                                  <a:pt x="1518" y="662"/>
                                </a:lnTo>
                                <a:lnTo>
                                  <a:pt x="1522" y="662"/>
                                </a:lnTo>
                                <a:lnTo>
                                  <a:pt x="1528" y="662"/>
                                </a:lnTo>
                                <a:lnTo>
                                  <a:pt x="1534" y="666"/>
                                </a:lnTo>
                                <a:lnTo>
                                  <a:pt x="1538" y="668"/>
                                </a:lnTo>
                                <a:lnTo>
                                  <a:pt x="1544" y="668"/>
                                </a:lnTo>
                                <a:lnTo>
                                  <a:pt x="1552" y="670"/>
                                </a:lnTo>
                                <a:lnTo>
                                  <a:pt x="1552" y="672"/>
                                </a:lnTo>
                                <a:lnTo>
                                  <a:pt x="1552" y="676"/>
                                </a:lnTo>
                                <a:lnTo>
                                  <a:pt x="1558" y="678"/>
                                </a:lnTo>
                                <a:lnTo>
                                  <a:pt x="1562" y="678"/>
                                </a:lnTo>
                                <a:lnTo>
                                  <a:pt x="1566" y="680"/>
                                </a:lnTo>
                                <a:lnTo>
                                  <a:pt x="1568" y="684"/>
                                </a:lnTo>
                                <a:lnTo>
                                  <a:pt x="1588" y="684"/>
                                </a:lnTo>
                                <a:lnTo>
                                  <a:pt x="1606" y="684"/>
                                </a:lnTo>
                                <a:lnTo>
                                  <a:pt x="1622" y="668"/>
                                </a:lnTo>
                                <a:lnTo>
                                  <a:pt x="1638" y="652"/>
                                </a:lnTo>
                                <a:lnTo>
                                  <a:pt x="1668" y="652"/>
                                </a:lnTo>
                                <a:lnTo>
                                  <a:pt x="1698" y="652"/>
                                </a:lnTo>
                                <a:lnTo>
                                  <a:pt x="1710" y="672"/>
                                </a:lnTo>
                                <a:lnTo>
                                  <a:pt x="1726" y="690"/>
                                </a:lnTo>
                                <a:lnTo>
                                  <a:pt x="1736" y="714"/>
                                </a:lnTo>
                                <a:lnTo>
                                  <a:pt x="1746" y="736"/>
                                </a:lnTo>
                                <a:lnTo>
                                  <a:pt x="1826" y="736"/>
                                </a:lnTo>
                                <a:lnTo>
                                  <a:pt x="1906" y="738"/>
                                </a:lnTo>
                                <a:lnTo>
                                  <a:pt x="1912" y="742"/>
                                </a:lnTo>
                                <a:lnTo>
                                  <a:pt x="1916" y="744"/>
                                </a:lnTo>
                                <a:lnTo>
                                  <a:pt x="1922" y="746"/>
                                </a:lnTo>
                                <a:lnTo>
                                  <a:pt x="1922" y="748"/>
                                </a:lnTo>
                                <a:lnTo>
                                  <a:pt x="1924" y="754"/>
                                </a:lnTo>
                                <a:lnTo>
                                  <a:pt x="1942" y="754"/>
                                </a:lnTo>
                                <a:lnTo>
                                  <a:pt x="1960" y="754"/>
                                </a:lnTo>
                                <a:lnTo>
                                  <a:pt x="1960" y="758"/>
                                </a:lnTo>
                                <a:lnTo>
                                  <a:pt x="1960" y="762"/>
                                </a:lnTo>
                                <a:lnTo>
                                  <a:pt x="1976" y="764"/>
                                </a:lnTo>
                                <a:lnTo>
                                  <a:pt x="1992" y="764"/>
                                </a:lnTo>
                                <a:lnTo>
                                  <a:pt x="2012" y="782"/>
                                </a:lnTo>
                                <a:lnTo>
                                  <a:pt x="2030" y="800"/>
                                </a:lnTo>
                                <a:lnTo>
                                  <a:pt x="2034" y="806"/>
                                </a:lnTo>
                                <a:lnTo>
                                  <a:pt x="2036" y="812"/>
                                </a:lnTo>
                                <a:lnTo>
                                  <a:pt x="2040" y="816"/>
                                </a:lnTo>
                                <a:lnTo>
                                  <a:pt x="2044" y="822"/>
                                </a:lnTo>
                                <a:lnTo>
                                  <a:pt x="2050" y="822"/>
                                </a:lnTo>
                                <a:lnTo>
                                  <a:pt x="2060" y="822"/>
                                </a:lnTo>
                                <a:lnTo>
                                  <a:pt x="2074" y="822"/>
                                </a:lnTo>
                                <a:lnTo>
                                  <a:pt x="2084" y="822"/>
                                </a:lnTo>
                                <a:lnTo>
                                  <a:pt x="2088" y="822"/>
                                </a:lnTo>
                                <a:lnTo>
                                  <a:pt x="2090" y="810"/>
                                </a:lnTo>
                                <a:lnTo>
                                  <a:pt x="2090" y="800"/>
                                </a:lnTo>
                                <a:lnTo>
                                  <a:pt x="2094" y="796"/>
                                </a:lnTo>
                                <a:lnTo>
                                  <a:pt x="2096" y="792"/>
                                </a:lnTo>
                                <a:lnTo>
                                  <a:pt x="2098" y="788"/>
                                </a:lnTo>
                                <a:lnTo>
                                  <a:pt x="2104" y="786"/>
                                </a:lnTo>
                                <a:lnTo>
                                  <a:pt x="2108" y="784"/>
                                </a:lnTo>
                                <a:lnTo>
                                  <a:pt x="2112" y="780"/>
                                </a:lnTo>
                                <a:lnTo>
                                  <a:pt x="2116" y="776"/>
                                </a:lnTo>
                                <a:lnTo>
                                  <a:pt x="2118" y="770"/>
                                </a:lnTo>
                                <a:lnTo>
                                  <a:pt x="2122" y="772"/>
                                </a:lnTo>
                                <a:lnTo>
                                  <a:pt x="2124" y="774"/>
                                </a:lnTo>
                                <a:lnTo>
                                  <a:pt x="2126" y="780"/>
                                </a:lnTo>
                                <a:lnTo>
                                  <a:pt x="2126" y="786"/>
                                </a:lnTo>
                                <a:lnTo>
                                  <a:pt x="2130" y="786"/>
                                </a:lnTo>
                                <a:lnTo>
                                  <a:pt x="2136" y="788"/>
                                </a:lnTo>
                                <a:lnTo>
                                  <a:pt x="2136" y="792"/>
                                </a:lnTo>
                                <a:lnTo>
                                  <a:pt x="2138" y="794"/>
                                </a:lnTo>
                                <a:lnTo>
                                  <a:pt x="2140" y="796"/>
                                </a:lnTo>
                                <a:lnTo>
                                  <a:pt x="2140" y="798"/>
                                </a:lnTo>
                                <a:lnTo>
                                  <a:pt x="2144" y="802"/>
                                </a:lnTo>
                                <a:lnTo>
                                  <a:pt x="2148" y="818"/>
                                </a:lnTo>
                                <a:lnTo>
                                  <a:pt x="2156" y="834"/>
                                </a:lnTo>
                                <a:lnTo>
                                  <a:pt x="2168" y="848"/>
                                </a:lnTo>
                                <a:lnTo>
                                  <a:pt x="2182" y="856"/>
                                </a:lnTo>
                                <a:lnTo>
                                  <a:pt x="2182" y="872"/>
                                </a:lnTo>
                                <a:lnTo>
                                  <a:pt x="2184" y="890"/>
                                </a:lnTo>
                                <a:lnTo>
                                  <a:pt x="2188" y="890"/>
                                </a:lnTo>
                                <a:lnTo>
                                  <a:pt x="2192" y="890"/>
                                </a:lnTo>
                                <a:lnTo>
                                  <a:pt x="2192" y="894"/>
                                </a:lnTo>
                                <a:lnTo>
                                  <a:pt x="2196" y="898"/>
                                </a:lnTo>
                                <a:lnTo>
                                  <a:pt x="2198" y="902"/>
                                </a:lnTo>
                                <a:lnTo>
                                  <a:pt x="2202" y="906"/>
                                </a:lnTo>
                                <a:lnTo>
                                  <a:pt x="2208" y="910"/>
                                </a:lnTo>
                                <a:lnTo>
                                  <a:pt x="2208" y="916"/>
                                </a:lnTo>
                                <a:lnTo>
                                  <a:pt x="2212" y="922"/>
                                </a:lnTo>
                                <a:lnTo>
                                  <a:pt x="2216" y="922"/>
                                </a:lnTo>
                                <a:lnTo>
                                  <a:pt x="2220" y="924"/>
                                </a:lnTo>
                                <a:lnTo>
                                  <a:pt x="2220" y="936"/>
                                </a:lnTo>
                                <a:lnTo>
                                  <a:pt x="2220" y="948"/>
                                </a:lnTo>
                                <a:lnTo>
                                  <a:pt x="2174" y="948"/>
                                </a:lnTo>
                                <a:lnTo>
                                  <a:pt x="2128" y="948"/>
                                </a:lnTo>
                                <a:lnTo>
                                  <a:pt x="2126" y="952"/>
                                </a:lnTo>
                                <a:lnTo>
                                  <a:pt x="2124" y="952"/>
                                </a:lnTo>
                                <a:lnTo>
                                  <a:pt x="2122" y="954"/>
                                </a:lnTo>
                                <a:lnTo>
                                  <a:pt x="2118" y="956"/>
                                </a:lnTo>
                                <a:lnTo>
                                  <a:pt x="2114" y="956"/>
                                </a:lnTo>
                                <a:lnTo>
                                  <a:pt x="2110" y="958"/>
                                </a:lnTo>
                                <a:lnTo>
                                  <a:pt x="2094" y="972"/>
                                </a:lnTo>
                                <a:lnTo>
                                  <a:pt x="2080" y="986"/>
                                </a:lnTo>
                                <a:lnTo>
                                  <a:pt x="2078" y="1004"/>
                                </a:lnTo>
                                <a:lnTo>
                                  <a:pt x="2078" y="1022"/>
                                </a:lnTo>
                                <a:lnTo>
                                  <a:pt x="2072" y="1026"/>
                                </a:lnTo>
                                <a:lnTo>
                                  <a:pt x="2068" y="1032"/>
                                </a:lnTo>
                                <a:lnTo>
                                  <a:pt x="2064" y="1038"/>
                                </a:lnTo>
                                <a:lnTo>
                                  <a:pt x="2060" y="1044"/>
                                </a:lnTo>
                                <a:lnTo>
                                  <a:pt x="2056" y="1050"/>
                                </a:lnTo>
                                <a:lnTo>
                                  <a:pt x="2032" y="1050"/>
                                </a:lnTo>
                                <a:lnTo>
                                  <a:pt x="2006" y="1050"/>
                                </a:lnTo>
                                <a:lnTo>
                                  <a:pt x="2006" y="1046"/>
                                </a:lnTo>
                                <a:lnTo>
                                  <a:pt x="2004" y="1042"/>
                                </a:lnTo>
                                <a:lnTo>
                                  <a:pt x="1998" y="1040"/>
                                </a:lnTo>
                                <a:lnTo>
                                  <a:pt x="1986" y="1040"/>
                                </a:lnTo>
                                <a:lnTo>
                                  <a:pt x="1970" y="1040"/>
                                </a:lnTo>
                                <a:lnTo>
                                  <a:pt x="1958" y="1040"/>
                                </a:lnTo>
                                <a:lnTo>
                                  <a:pt x="1952" y="1042"/>
                                </a:lnTo>
                                <a:lnTo>
                                  <a:pt x="1938" y="1052"/>
                                </a:lnTo>
                                <a:lnTo>
                                  <a:pt x="1922" y="1056"/>
                                </a:lnTo>
                                <a:lnTo>
                                  <a:pt x="1902" y="1058"/>
                                </a:lnTo>
                                <a:lnTo>
                                  <a:pt x="1886" y="1060"/>
                                </a:lnTo>
                                <a:lnTo>
                                  <a:pt x="1880" y="1064"/>
                                </a:lnTo>
                                <a:lnTo>
                                  <a:pt x="1876" y="1066"/>
                                </a:lnTo>
                                <a:lnTo>
                                  <a:pt x="1870" y="1066"/>
                                </a:lnTo>
                                <a:lnTo>
                                  <a:pt x="1864" y="1066"/>
                                </a:lnTo>
                                <a:lnTo>
                                  <a:pt x="1858" y="1068"/>
                                </a:lnTo>
                                <a:lnTo>
                                  <a:pt x="1856" y="1072"/>
                                </a:lnTo>
                                <a:lnTo>
                                  <a:pt x="1856" y="1078"/>
                                </a:lnTo>
                                <a:lnTo>
                                  <a:pt x="1852" y="1080"/>
                                </a:lnTo>
                                <a:lnTo>
                                  <a:pt x="1848" y="1084"/>
                                </a:lnTo>
                                <a:lnTo>
                                  <a:pt x="1848" y="1104"/>
                                </a:lnTo>
                                <a:lnTo>
                                  <a:pt x="1848" y="1126"/>
                                </a:lnTo>
                                <a:lnTo>
                                  <a:pt x="1864" y="1128"/>
                                </a:lnTo>
                                <a:lnTo>
                                  <a:pt x="1878" y="1136"/>
                                </a:lnTo>
                                <a:lnTo>
                                  <a:pt x="1890" y="1146"/>
                                </a:lnTo>
                                <a:lnTo>
                                  <a:pt x="1894" y="1160"/>
                                </a:lnTo>
                                <a:lnTo>
                                  <a:pt x="1900" y="1160"/>
                                </a:lnTo>
                                <a:lnTo>
                                  <a:pt x="1904" y="1160"/>
                                </a:lnTo>
                                <a:lnTo>
                                  <a:pt x="1906" y="1166"/>
                                </a:lnTo>
                                <a:lnTo>
                                  <a:pt x="1908" y="1170"/>
                                </a:lnTo>
                                <a:lnTo>
                                  <a:pt x="1910" y="1174"/>
                                </a:lnTo>
                                <a:lnTo>
                                  <a:pt x="1912" y="1180"/>
                                </a:lnTo>
                                <a:lnTo>
                                  <a:pt x="1914" y="1186"/>
                                </a:lnTo>
                                <a:lnTo>
                                  <a:pt x="1918" y="1186"/>
                                </a:lnTo>
                                <a:lnTo>
                                  <a:pt x="1922" y="1186"/>
                                </a:lnTo>
                                <a:lnTo>
                                  <a:pt x="1924" y="1190"/>
                                </a:lnTo>
                                <a:lnTo>
                                  <a:pt x="1928" y="1196"/>
                                </a:lnTo>
                                <a:lnTo>
                                  <a:pt x="1930" y="1202"/>
                                </a:lnTo>
                                <a:lnTo>
                                  <a:pt x="1932" y="1208"/>
                                </a:lnTo>
                                <a:lnTo>
                                  <a:pt x="1940" y="1222"/>
                                </a:lnTo>
                                <a:lnTo>
                                  <a:pt x="1946" y="1238"/>
                                </a:lnTo>
                                <a:lnTo>
                                  <a:pt x="1950" y="1254"/>
                                </a:lnTo>
                                <a:lnTo>
                                  <a:pt x="1946" y="1254"/>
                                </a:lnTo>
                                <a:lnTo>
                                  <a:pt x="1942" y="1254"/>
                                </a:lnTo>
                                <a:lnTo>
                                  <a:pt x="1942" y="1256"/>
                                </a:lnTo>
                                <a:lnTo>
                                  <a:pt x="1942" y="1260"/>
                                </a:lnTo>
                                <a:lnTo>
                                  <a:pt x="1942" y="1270"/>
                                </a:lnTo>
                                <a:lnTo>
                                  <a:pt x="1942" y="1286"/>
                                </a:lnTo>
                                <a:lnTo>
                                  <a:pt x="1942" y="1312"/>
                                </a:lnTo>
                                <a:lnTo>
                                  <a:pt x="1942" y="1344"/>
                                </a:lnTo>
                                <a:lnTo>
                                  <a:pt x="1940" y="1390"/>
                                </a:lnTo>
                                <a:lnTo>
                                  <a:pt x="1936" y="1390"/>
                                </a:lnTo>
                                <a:lnTo>
                                  <a:pt x="1932" y="1390"/>
                                </a:lnTo>
                                <a:lnTo>
                                  <a:pt x="1932" y="1392"/>
                                </a:lnTo>
                                <a:lnTo>
                                  <a:pt x="1932" y="1396"/>
                                </a:lnTo>
                                <a:lnTo>
                                  <a:pt x="1926" y="1396"/>
                                </a:lnTo>
                                <a:lnTo>
                                  <a:pt x="1924" y="1398"/>
                                </a:lnTo>
                                <a:lnTo>
                                  <a:pt x="1922" y="1402"/>
                                </a:lnTo>
                                <a:lnTo>
                                  <a:pt x="1922" y="1406"/>
                                </a:lnTo>
                                <a:lnTo>
                                  <a:pt x="1918" y="1406"/>
                                </a:lnTo>
                                <a:lnTo>
                                  <a:pt x="1914" y="1408"/>
                                </a:lnTo>
                                <a:lnTo>
                                  <a:pt x="1910" y="1410"/>
                                </a:lnTo>
                                <a:lnTo>
                                  <a:pt x="1906" y="1412"/>
                                </a:lnTo>
                                <a:lnTo>
                                  <a:pt x="1860" y="1414"/>
                                </a:lnTo>
                                <a:lnTo>
                                  <a:pt x="1812" y="1414"/>
                                </a:lnTo>
                                <a:lnTo>
                                  <a:pt x="1812" y="1418"/>
                                </a:lnTo>
                                <a:lnTo>
                                  <a:pt x="1812" y="1422"/>
                                </a:lnTo>
                                <a:lnTo>
                                  <a:pt x="1798" y="1428"/>
                                </a:lnTo>
                                <a:lnTo>
                                  <a:pt x="1786" y="1436"/>
                                </a:lnTo>
                                <a:lnTo>
                                  <a:pt x="1776" y="1448"/>
                                </a:lnTo>
                                <a:lnTo>
                                  <a:pt x="1754" y="1448"/>
                                </a:lnTo>
                                <a:lnTo>
                                  <a:pt x="1730" y="1446"/>
                                </a:lnTo>
                                <a:lnTo>
                                  <a:pt x="1708" y="1442"/>
                                </a:lnTo>
                                <a:lnTo>
                                  <a:pt x="1688" y="1432"/>
                                </a:lnTo>
                                <a:lnTo>
                                  <a:pt x="1642" y="1434"/>
                                </a:lnTo>
                                <a:lnTo>
                                  <a:pt x="1596" y="1434"/>
                                </a:lnTo>
                                <a:lnTo>
                                  <a:pt x="1592" y="1438"/>
                                </a:lnTo>
                                <a:lnTo>
                                  <a:pt x="1586" y="1442"/>
                                </a:lnTo>
                                <a:lnTo>
                                  <a:pt x="1582" y="1446"/>
                                </a:lnTo>
                                <a:lnTo>
                                  <a:pt x="1580" y="1450"/>
                                </a:lnTo>
                                <a:lnTo>
                                  <a:pt x="1578" y="1456"/>
                                </a:lnTo>
                                <a:lnTo>
                                  <a:pt x="1574" y="1456"/>
                                </a:lnTo>
                                <a:lnTo>
                                  <a:pt x="1570" y="1456"/>
                                </a:lnTo>
                                <a:lnTo>
                                  <a:pt x="1570" y="1464"/>
                                </a:lnTo>
                                <a:lnTo>
                                  <a:pt x="1568" y="1470"/>
                                </a:lnTo>
                                <a:lnTo>
                                  <a:pt x="1566" y="1476"/>
                                </a:lnTo>
                                <a:lnTo>
                                  <a:pt x="1562" y="1482"/>
                                </a:lnTo>
                                <a:lnTo>
                                  <a:pt x="1542" y="1482"/>
                                </a:lnTo>
                                <a:lnTo>
                                  <a:pt x="1522" y="1482"/>
                                </a:lnTo>
                                <a:lnTo>
                                  <a:pt x="1520" y="1478"/>
                                </a:lnTo>
                                <a:lnTo>
                                  <a:pt x="1520" y="1474"/>
                                </a:lnTo>
                                <a:lnTo>
                                  <a:pt x="1488" y="1474"/>
                                </a:lnTo>
                                <a:lnTo>
                                  <a:pt x="1458" y="1474"/>
                                </a:lnTo>
                                <a:lnTo>
                                  <a:pt x="1450" y="1482"/>
                                </a:lnTo>
                                <a:lnTo>
                                  <a:pt x="1442" y="1490"/>
                                </a:lnTo>
                                <a:lnTo>
                                  <a:pt x="1428" y="1490"/>
                                </a:lnTo>
                                <a:lnTo>
                                  <a:pt x="1416" y="1492"/>
                                </a:lnTo>
                                <a:lnTo>
                                  <a:pt x="1406" y="1500"/>
                                </a:lnTo>
                                <a:lnTo>
                                  <a:pt x="1384" y="1500"/>
                                </a:lnTo>
                                <a:lnTo>
                                  <a:pt x="1364" y="1500"/>
                                </a:lnTo>
                                <a:lnTo>
                                  <a:pt x="1364" y="1504"/>
                                </a:lnTo>
                                <a:lnTo>
                                  <a:pt x="1364" y="1508"/>
                                </a:lnTo>
                                <a:lnTo>
                                  <a:pt x="1332" y="1510"/>
                                </a:lnTo>
                                <a:lnTo>
                                  <a:pt x="1300" y="1510"/>
                                </a:lnTo>
                                <a:lnTo>
                                  <a:pt x="1292" y="1516"/>
                                </a:lnTo>
                                <a:lnTo>
                                  <a:pt x="1284" y="1524"/>
                                </a:lnTo>
                                <a:lnTo>
                                  <a:pt x="1248" y="1524"/>
                                </a:lnTo>
                                <a:lnTo>
                                  <a:pt x="1212" y="1524"/>
                                </a:lnTo>
                                <a:close/>
                              </a:path>
                            </a:pathLst>
                          </a:cu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9" name="Freeform 18"/>
                        <wps:cNvSpPr>
                          <a:spLocks/>
                        </wps:cNvSpPr>
                        <wps:spPr bwMode="auto">
                          <a:xfrm>
                            <a:off x="2361" y="1175655"/>
                            <a:ext cx="1905287" cy="2150645"/>
                          </a:xfrm>
                          <a:custGeom>
                            <a:avLst/>
                            <a:gdLst>
                              <a:gd name="T0" fmla="*/ 464 w 1614"/>
                              <a:gd name="T1" fmla="*/ 1700 h 1822"/>
                              <a:gd name="T2" fmla="*/ 444 w 1614"/>
                              <a:gd name="T3" fmla="*/ 1602 h 1822"/>
                              <a:gd name="T4" fmla="*/ 470 w 1614"/>
                              <a:gd name="T5" fmla="*/ 1466 h 1822"/>
                              <a:gd name="T6" fmla="*/ 474 w 1614"/>
                              <a:gd name="T7" fmla="*/ 1374 h 1822"/>
                              <a:gd name="T8" fmla="*/ 430 w 1614"/>
                              <a:gd name="T9" fmla="*/ 1298 h 1822"/>
                              <a:gd name="T10" fmla="*/ 388 w 1614"/>
                              <a:gd name="T11" fmla="*/ 1176 h 1822"/>
                              <a:gd name="T12" fmla="*/ 348 w 1614"/>
                              <a:gd name="T13" fmla="*/ 1136 h 1822"/>
                              <a:gd name="T14" fmla="*/ 250 w 1614"/>
                              <a:gd name="T15" fmla="*/ 1110 h 1822"/>
                              <a:gd name="T16" fmla="*/ 168 w 1614"/>
                              <a:gd name="T17" fmla="*/ 1084 h 1822"/>
                              <a:gd name="T18" fmla="*/ 76 w 1614"/>
                              <a:gd name="T19" fmla="*/ 1002 h 1822"/>
                              <a:gd name="T20" fmla="*/ 22 w 1614"/>
                              <a:gd name="T21" fmla="*/ 906 h 1822"/>
                              <a:gd name="T22" fmla="*/ 48 w 1614"/>
                              <a:gd name="T23" fmla="*/ 800 h 1822"/>
                              <a:gd name="T24" fmla="*/ 118 w 1614"/>
                              <a:gd name="T25" fmla="*/ 702 h 1822"/>
                              <a:gd name="T26" fmla="*/ 96 w 1614"/>
                              <a:gd name="T27" fmla="*/ 626 h 1822"/>
                              <a:gd name="T28" fmla="*/ 82 w 1614"/>
                              <a:gd name="T29" fmla="*/ 492 h 1822"/>
                              <a:gd name="T30" fmla="*/ 86 w 1614"/>
                              <a:gd name="T31" fmla="*/ 334 h 1822"/>
                              <a:gd name="T32" fmla="*/ 196 w 1614"/>
                              <a:gd name="T33" fmla="*/ 290 h 1822"/>
                              <a:gd name="T34" fmla="*/ 324 w 1614"/>
                              <a:gd name="T35" fmla="*/ 248 h 1822"/>
                              <a:gd name="T36" fmla="*/ 398 w 1614"/>
                              <a:gd name="T37" fmla="*/ 144 h 1822"/>
                              <a:gd name="T38" fmla="*/ 428 w 1614"/>
                              <a:gd name="T39" fmla="*/ 72 h 1822"/>
                              <a:gd name="T40" fmla="*/ 530 w 1614"/>
                              <a:gd name="T41" fmla="*/ 30 h 1822"/>
                              <a:gd name="T42" fmla="*/ 678 w 1614"/>
                              <a:gd name="T43" fmla="*/ 52 h 1822"/>
                              <a:gd name="T44" fmla="*/ 780 w 1614"/>
                              <a:gd name="T45" fmla="*/ 12 h 1822"/>
                              <a:gd name="T46" fmla="*/ 836 w 1614"/>
                              <a:gd name="T47" fmla="*/ 94 h 1822"/>
                              <a:gd name="T48" fmla="*/ 920 w 1614"/>
                              <a:gd name="T49" fmla="*/ 128 h 1822"/>
                              <a:gd name="T50" fmla="*/ 984 w 1614"/>
                              <a:gd name="T51" fmla="*/ 140 h 1822"/>
                              <a:gd name="T52" fmla="*/ 1072 w 1614"/>
                              <a:gd name="T53" fmla="*/ 104 h 1822"/>
                              <a:gd name="T54" fmla="*/ 1300 w 1614"/>
                              <a:gd name="T55" fmla="*/ 174 h 1822"/>
                              <a:gd name="T56" fmla="*/ 1344 w 1614"/>
                              <a:gd name="T57" fmla="*/ 252 h 1822"/>
                              <a:gd name="T58" fmla="*/ 1458 w 1614"/>
                              <a:gd name="T59" fmla="*/ 424 h 1822"/>
                              <a:gd name="T60" fmla="*/ 1552 w 1614"/>
                              <a:gd name="T61" fmla="*/ 488 h 1822"/>
                              <a:gd name="T62" fmla="*/ 1578 w 1614"/>
                              <a:gd name="T63" fmla="*/ 544 h 1822"/>
                              <a:gd name="T64" fmla="*/ 1592 w 1614"/>
                              <a:gd name="T65" fmla="*/ 592 h 1822"/>
                              <a:gd name="T66" fmla="*/ 1396 w 1614"/>
                              <a:gd name="T67" fmla="*/ 536 h 1822"/>
                              <a:gd name="T68" fmla="*/ 1348 w 1614"/>
                              <a:gd name="T69" fmla="*/ 572 h 1822"/>
                              <a:gd name="T70" fmla="*/ 1282 w 1614"/>
                              <a:gd name="T71" fmla="*/ 586 h 1822"/>
                              <a:gd name="T72" fmla="*/ 1208 w 1614"/>
                              <a:gd name="T73" fmla="*/ 594 h 1822"/>
                              <a:gd name="T74" fmla="*/ 1202 w 1614"/>
                              <a:gd name="T75" fmla="*/ 682 h 1822"/>
                              <a:gd name="T76" fmla="*/ 1304 w 1614"/>
                              <a:gd name="T77" fmla="*/ 712 h 1822"/>
                              <a:gd name="T78" fmla="*/ 1280 w 1614"/>
                              <a:gd name="T79" fmla="*/ 752 h 1822"/>
                              <a:gd name="T80" fmla="*/ 1220 w 1614"/>
                              <a:gd name="T81" fmla="*/ 850 h 1822"/>
                              <a:gd name="T82" fmla="*/ 1138 w 1614"/>
                              <a:gd name="T83" fmla="*/ 896 h 1822"/>
                              <a:gd name="T84" fmla="*/ 1096 w 1614"/>
                              <a:gd name="T85" fmla="*/ 968 h 1822"/>
                              <a:gd name="T86" fmla="*/ 1138 w 1614"/>
                              <a:gd name="T87" fmla="*/ 1112 h 1822"/>
                              <a:gd name="T88" fmla="*/ 1104 w 1614"/>
                              <a:gd name="T89" fmla="*/ 1242 h 1822"/>
                              <a:gd name="T90" fmla="*/ 1160 w 1614"/>
                              <a:gd name="T91" fmla="*/ 1314 h 1822"/>
                              <a:gd name="T92" fmla="*/ 1244 w 1614"/>
                              <a:gd name="T93" fmla="*/ 1382 h 1822"/>
                              <a:gd name="T94" fmla="*/ 1282 w 1614"/>
                              <a:gd name="T95" fmla="*/ 1408 h 1822"/>
                              <a:gd name="T96" fmla="*/ 1342 w 1614"/>
                              <a:gd name="T97" fmla="*/ 1452 h 1822"/>
                              <a:gd name="T98" fmla="*/ 1352 w 1614"/>
                              <a:gd name="T99" fmla="*/ 1572 h 1822"/>
                              <a:gd name="T100" fmla="*/ 1486 w 1614"/>
                              <a:gd name="T101" fmla="*/ 1562 h 1822"/>
                              <a:gd name="T102" fmla="*/ 1428 w 1614"/>
                              <a:gd name="T103" fmla="*/ 1648 h 1822"/>
                              <a:gd name="T104" fmla="*/ 1352 w 1614"/>
                              <a:gd name="T105" fmla="*/ 1652 h 1822"/>
                              <a:gd name="T106" fmla="*/ 1318 w 1614"/>
                              <a:gd name="T107" fmla="*/ 1730 h 1822"/>
                              <a:gd name="T108" fmla="*/ 1134 w 1614"/>
                              <a:gd name="T109" fmla="*/ 1748 h 1822"/>
                              <a:gd name="T110" fmla="*/ 1032 w 1614"/>
                              <a:gd name="T111" fmla="*/ 1782 h 1822"/>
                              <a:gd name="T112" fmla="*/ 964 w 1614"/>
                              <a:gd name="T113" fmla="*/ 1800 h 1822"/>
                              <a:gd name="T114" fmla="*/ 908 w 1614"/>
                              <a:gd name="T115" fmla="*/ 1772 h 1822"/>
                              <a:gd name="T116" fmla="*/ 804 w 1614"/>
                              <a:gd name="T117" fmla="*/ 1796 h 1822"/>
                              <a:gd name="T118" fmla="*/ 714 w 1614"/>
                              <a:gd name="T119" fmla="*/ 1780 h 1822"/>
                              <a:gd name="T120" fmla="*/ 624 w 1614"/>
                              <a:gd name="T121" fmla="*/ 1798 h 1822"/>
                              <a:gd name="T122" fmla="*/ 466 w 1614"/>
                              <a:gd name="T123" fmla="*/ 1814 h 1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14" h="1822">
                                <a:moveTo>
                                  <a:pt x="446" y="1808"/>
                                </a:moveTo>
                                <a:lnTo>
                                  <a:pt x="446" y="1780"/>
                                </a:lnTo>
                                <a:lnTo>
                                  <a:pt x="446" y="1752"/>
                                </a:lnTo>
                                <a:lnTo>
                                  <a:pt x="450" y="1748"/>
                                </a:lnTo>
                                <a:lnTo>
                                  <a:pt x="452" y="1742"/>
                                </a:lnTo>
                                <a:lnTo>
                                  <a:pt x="454" y="1736"/>
                                </a:lnTo>
                                <a:lnTo>
                                  <a:pt x="454" y="1728"/>
                                </a:lnTo>
                                <a:lnTo>
                                  <a:pt x="454" y="1722"/>
                                </a:lnTo>
                                <a:lnTo>
                                  <a:pt x="458" y="1722"/>
                                </a:lnTo>
                                <a:lnTo>
                                  <a:pt x="462" y="1722"/>
                                </a:lnTo>
                                <a:lnTo>
                                  <a:pt x="464" y="1700"/>
                                </a:lnTo>
                                <a:lnTo>
                                  <a:pt x="464" y="1688"/>
                                </a:lnTo>
                                <a:lnTo>
                                  <a:pt x="464" y="1682"/>
                                </a:lnTo>
                                <a:lnTo>
                                  <a:pt x="464" y="1678"/>
                                </a:lnTo>
                                <a:lnTo>
                                  <a:pt x="462" y="1678"/>
                                </a:lnTo>
                                <a:lnTo>
                                  <a:pt x="458" y="1678"/>
                                </a:lnTo>
                                <a:lnTo>
                                  <a:pt x="454" y="1678"/>
                                </a:lnTo>
                                <a:lnTo>
                                  <a:pt x="454" y="1646"/>
                                </a:lnTo>
                                <a:lnTo>
                                  <a:pt x="452" y="1612"/>
                                </a:lnTo>
                                <a:lnTo>
                                  <a:pt x="448" y="1612"/>
                                </a:lnTo>
                                <a:lnTo>
                                  <a:pt x="444" y="1612"/>
                                </a:lnTo>
                                <a:lnTo>
                                  <a:pt x="444" y="1602"/>
                                </a:lnTo>
                                <a:lnTo>
                                  <a:pt x="446" y="1590"/>
                                </a:lnTo>
                                <a:lnTo>
                                  <a:pt x="448" y="1588"/>
                                </a:lnTo>
                                <a:lnTo>
                                  <a:pt x="450" y="1584"/>
                                </a:lnTo>
                                <a:lnTo>
                                  <a:pt x="452" y="1582"/>
                                </a:lnTo>
                                <a:lnTo>
                                  <a:pt x="452" y="1580"/>
                                </a:lnTo>
                                <a:lnTo>
                                  <a:pt x="454" y="1578"/>
                                </a:lnTo>
                                <a:lnTo>
                                  <a:pt x="458" y="1578"/>
                                </a:lnTo>
                                <a:lnTo>
                                  <a:pt x="462" y="1578"/>
                                </a:lnTo>
                                <a:lnTo>
                                  <a:pt x="464" y="1524"/>
                                </a:lnTo>
                                <a:lnTo>
                                  <a:pt x="464" y="1472"/>
                                </a:lnTo>
                                <a:lnTo>
                                  <a:pt x="470" y="1466"/>
                                </a:lnTo>
                                <a:lnTo>
                                  <a:pt x="472" y="1460"/>
                                </a:lnTo>
                                <a:lnTo>
                                  <a:pt x="476" y="1454"/>
                                </a:lnTo>
                                <a:lnTo>
                                  <a:pt x="482" y="1448"/>
                                </a:lnTo>
                                <a:lnTo>
                                  <a:pt x="484" y="1448"/>
                                </a:lnTo>
                                <a:lnTo>
                                  <a:pt x="484" y="1410"/>
                                </a:lnTo>
                                <a:lnTo>
                                  <a:pt x="484" y="1374"/>
                                </a:lnTo>
                                <a:lnTo>
                                  <a:pt x="482" y="1374"/>
                                </a:lnTo>
                                <a:lnTo>
                                  <a:pt x="478" y="1374"/>
                                </a:lnTo>
                                <a:lnTo>
                                  <a:pt x="474" y="1374"/>
                                </a:lnTo>
                                <a:lnTo>
                                  <a:pt x="472" y="1358"/>
                                </a:lnTo>
                                <a:lnTo>
                                  <a:pt x="468" y="1350"/>
                                </a:lnTo>
                                <a:lnTo>
                                  <a:pt x="464" y="1346"/>
                                </a:lnTo>
                                <a:lnTo>
                                  <a:pt x="456" y="1342"/>
                                </a:lnTo>
                                <a:lnTo>
                                  <a:pt x="444" y="1334"/>
                                </a:lnTo>
                                <a:lnTo>
                                  <a:pt x="444" y="1330"/>
                                </a:lnTo>
                                <a:lnTo>
                                  <a:pt x="442" y="1326"/>
                                </a:lnTo>
                                <a:lnTo>
                                  <a:pt x="442" y="1324"/>
                                </a:lnTo>
                                <a:lnTo>
                                  <a:pt x="438" y="1322"/>
                                </a:lnTo>
                                <a:lnTo>
                                  <a:pt x="436" y="1318"/>
                                </a:lnTo>
                                <a:lnTo>
                                  <a:pt x="430" y="1298"/>
                                </a:lnTo>
                                <a:lnTo>
                                  <a:pt x="422" y="1278"/>
                                </a:lnTo>
                                <a:lnTo>
                                  <a:pt x="414" y="1256"/>
                                </a:lnTo>
                                <a:lnTo>
                                  <a:pt x="410" y="1252"/>
                                </a:lnTo>
                                <a:lnTo>
                                  <a:pt x="408" y="1246"/>
                                </a:lnTo>
                                <a:lnTo>
                                  <a:pt x="408" y="1240"/>
                                </a:lnTo>
                                <a:lnTo>
                                  <a:pt x="406" y="1232"/>
                                </a:lnTo>
                                <a:lnTo>
                                  <a:pt x="400" y="1220"/>
                                </a:lnTo>
                                <a:lnTo>
                                  <a:pt x="398" y="1206"/>
                                </a:lnTo>
                                <a:lnTo>
                                  <a:pt x="396" y="1194"/>
                                </a:lnTo>
                                <a:lnTo>
                                  <a:pt x="390" y="1182"/>
                                </a:lnTo>
                                <a:lnTo>
                                  <a:pt x="388" y="1176"/>
                                </a:lnTo>
                                <a:lnTo>
                                  <a:pt x="388" y="1172"/>
                                </a:lnTo>
                                <a:lnTo>
                                  <a:pt x="384" y="1170"/>
                                </a:lnTo>
                                <a:lnTo>
                                  <a:pt x="380" y="1170"/>
                                </a:lnTo>
                                <a:lnTo>
                                  <a:pt x="378" y="1162"/>
                                </a:lnTo>
                                <a:lnTo>
                                  <a:pt x="376" y="1156"/>
                                </a:lnTo>
                                <a:lnTo>
                                  <a:pt x="374" y="1152"/>
                                </a:lnTo>
                                <a:lnTo>
                                  <a:pt x="368" y="1150"/>
                                </a:lnTo>
                                <a:lnTo>
                                  <a:pt x="362" y="1146"/>
                                </a:lnTo>
                                <a:lnTo>
                                  <a:pt x="360" y="1142"/>
                                </a:lnTo>
                                <a:lnTo>
                                  <a:pt x="360" y="1136"/>
                                </a:lnTo>
                                <a:lnTo>
                                  <a:pt x="348" y="1136"/>
                                </a:lnTo>
                                <a:lnTo>
                                  <a:pt x="334" y="1134"/>
                                </a:lnTo>
                                <a:lnTo>
                                  <a:pt x="324" y="1128"/>
                                </a:lnTo>
                                <a:lnTo>
                                  <a:pt x="304" y="1128"/>
                                </a:lnTo>
                                <a:lnTo>
                                  <a:pt x="286" y="1128"/>
                                </a:lnTo>
                                <a:lnTo>
                                  <a:pt x="286" y="1124"/>
                                </a:lnTo>
                                <a:lnTo>
                                  <a:pt x="286" y="1120"/>
                                </a:lnTo>
                                <a:lnTo>
                                  <a:pt x="268" y="1118"/>
                                </a:lnTo>
                                <a:lnTo>
                                  <a:pt x="258" y="1118"/>
                                </a:lnTo>
                                <a:lnTo>
                                  <a:pt x="252" y="1116"/>
                                </a:lnTo>
                                <a:lnTo>
                                  <a:pt x="250" y="1116"/>
                                </a:lnTo>
                                <a:lnTo>
                                  <a:pt x="250" y="1110"/>
                                </a:lnTo>
                                <a:lnTo>
                                  <a:pt x="250" y="1104"/>
                                </a:lnTo>
                                <a:lnTo>
                                  <a:pt x="224" y="1102"/>
                                </a:lnTo>
                                <a:lnTo>
                                  <a:pt x="200" y="1102"/>
                                </a:lnTo>
                                <a:lnTo>
                                  <a:pt x="194" y="1098"/>
                                </a:lnTo>
                                <a:lnTo>
                                  <a:pt x="190" y="1096"/>
                                </a:lnTo>
                                <a:lnTo>
                                  <a:pt x="186" y="1096"/>
                                </a:lnTo>
                                <a:lnTo>
                                  <a:pt x="182" y="1094"/>
                                </a:lnTo>
                                <a:lnTo>
                                  <a:pt x="176" y="1094"/>
                                </a:lnTo>
                                <a:lnTo>
                                  <a:pt x="176" y="1090"/>
                                </a:lnTo>
                                <a:lnTo>
                                  <a:pt x="176" y="1086"/>
                                </a:lnTo>
                                <a:lnTo>
                                  <a:pt x="168" y="1084"/>
                                </a:lnTo>
                                <a:lnTo>
                                  <a:pt x="162" y="1082"/>
                                </a:lnTo>
                                <a:lnTo>
                                  <a:pt x="156" y="1080"/>
                                </a:lnTo>
                                <a:lnTo>
                                  <a:pt x="152" y="1076"/>
                                </a:lnTo>
                                <a:lnTo>
                                  <a:pt x="146" y="1070"/>
                                </a:lnTo>
                                <a:lnTo>
                                  <a:pt x="132" y="1062"/>
                                </a:lnTo>
                                <a:lnTo>
                                  <a:pt x="122" y="1052"/>
                                </a:lnTo>
                                <a:lnTo>
                                  <a:pt x="112" y="1040"/>
                                </a:lnTo>
                                <a:lnTo>
                                  <a:pt x="102" y="1028"/>
                                </a:lnTo>
                                <a:lnTo>
                                  <a:pt x="96" y="1016"/>
                                </a:lnTo>
                                <a:lnTo>
                                  <a:pt x="86" y="1008"/>
                                </a:lnTo>
                                <a:lnTo>
                                  <a:pt x="76" y="1002"/>
                                </a:lnTo>
                                <a:lnTo>
                                  <a:pt x="64" y="996"/>
                                </a:lnTo>
                                <a:lnTo>
                                  <a:pt x="64" y="982"/>
                                </a:lnTo>
                                <a:lnTo>
                                  <a:pt x="62" y="968"/>
                                </a:lnTo>
                                <a:lnTo>
                                  <a:pt x="58" y="966"/>
                                </a:lnTo>
                                <a:lnTo>
                                  <a:pt x="56" y="966"/>
                                </a:lnTo>
                                <a:lnTo>
                                  <a:pt x="48" y="952"/>
                                </a:lnTo>
                                <a:lnTo>
                                  <a:pt x="40" y="940"/>
                                </a:lnTo>
                                <a:lnTo>
                                  <a:pt x="28" y="928"/>
                                </a:lnTo>
                                <a:lnTo>
                                  <a:pt x="28" y="918"/>
                                </a:lnTo>
                                <a:lnTo>
                                  <a:pt x="26" y="910"/>
                                </a:lnTo>
                                <a:lnTo>
                                  <a:pt x="22" y="906"/>
                                </a:lnTo>
                                <a:lnTo>
                                  <a:pt x="16" y="902"/>
                                </a:lnTo>
                                <a:lnTo>
                                  <a:pt x="10" y="900"/>
                                </a:lnTo>
                                <a:lnTo>
                                  <a:pt x="0" y="900"/>
                                </a:lnTo>
                                <a:lnTo>
                                  <a:pt x="0" y="868"/>
                                </a:lnTo>
                                <a:lnTo>
                                  <a:pt x="2" y="836"/>
                                </a:lnTo>
                                <a:lnTo>
                                  <a:pt x="4" y="834"/>
                                </a:lnTo>
                                <a:lnTo>
                                  <a:pt x="6" y="832"/>
                                </a:lnTo>
                                <a:lnTo>
                                  <a:pt x="12" y="818"/>
                                </a:lnTo>
                                <a:lnTo>
                                  <a:pt x="22" y="810"/>
                                </a:lnTo>
                                <a:lnTo>
                                  <a:pt x="34" y="804"/>
                                </a:lnTo>
                                <a:lnTo>
                                  <a:pt x="48" y="800"/>
                                </a:lnTo>
                                <a:lnTo>
                                  <a:pt x="60" y="798"/>
                                </a:lnTo>
                                <a:lnTo>
                                  <a:pt x="72" y="790"/>
                                </a:lnTo>
                                <a:lnTo>
                                  <a:pt x="86" y="784"/>
                                </a:lnTo>
                                <a:lnTo>
                                  <a:pt x="100" y="782"/>
                                </a:lnTo>
                                <a:lnTo>
                                  <a:pt x="100" y="760"/>
                                </a:lnTo>
                                <a:lnTo>
                                  <a:pt x="102" y="740"/>
                                </a:lnTo>
                                <a:lnTo>
                                  <a:pt x="106" y="740"/>
                                </a:lnTo>
                                <a:lnTo>
                                  <a:pt x="110" y="740"/>
                                </a:lnTo>
                                <a:lnTo>
                                  <a:pt x="110" y="726"/>
                                </a:lnTo>
                                <a:lnTo>
                                  <a:pt x="112" y="712"/>
                                </a:lnTo>
                                <a:lnTo>
                                  <a:pt x="118" y="702"/>
                                </a:lnTo>
                                <a:lnTo>
                                  <a:pt x="120" y="690"/>
                                </a:lnTo>
                                <a:lnTo>
                                  <a:pt x="126" y="680"/>
                                </a:lnTo>
                                <a:lnTo>
                                  <a:pt x="126" y="676"/>
                                </a:lnTo>
                                <a:lnTo>
                                  <a:pt x="124" y="672"/>
                                </a:lnTo>
                                <a:lnTo>
                                  <a:pt x="120" y="666"/>
                                </a:lnTo>
                                <a:lnTo>
                                  <a:pt x="118" y="656"/>
                                </a:lnTo>
                                <a:lnTo>
                                  <a:pt x="118" y="646"/>
                                </a:lnTo>
                                <a:lnTo>
                                  <a:pt x="118" y="638"/>
                                </a:lnTo>
                                <a:lnTo>
                                  <a:pt x="112" y="632"/>
                                </a:lnTo>
                                <a:lnTo>
                                  <a:pt x="104" y="628"/>
                                </a:lnTo>
                                <a:lnTo>
                                  <a:pt x="96" y="626"/>
                                </a:lnTo>
                                <a:lnTo>
                                  <a:pt x="80" y="612"/>
                                </a:lnTo>
                                <a:lnTo>
                                  <a:pt x="66" y="598"/>
                                </a:lnTo>
                                <a:lnTo>
                                  <a:pt x="66" y="566"/>
                                </a:lnTo>
                                <a:lnTo>
                                  <a:pt x="66" y="536"/>
                                </a:lnTo>
                                <a:lnTo>
                                  <a:pt x="70" y="536"/>
                                </a:lnTo>
                                <a:lnTo>
                                  <a:pt x="74" y="536"/>
                                </a:lnTo>
                                <a:lnTo>
                                  <a:pt x="74" y="530"/>
                                </a:lnTo>
                                <a:lnTo>
                                  <a:pt x="74" y="524"/>
                                </a:lnTo>
                                <a:lnTo>
                                  <a:pt x="80" y="514"/>
                                </a:lnTo>
                                <a:lnTo>
                                  <a:pt x="80" y="504"/>
                                </a:lnTo>
                                <a:lnTo>
                                  <a:pt x="82" y="492"/>
                                </a:lnTo>
                                <a:lnTo>
                                  <a:pt x="84" y="482"/>
                                </a:lnTo>
                                <a:lnTo>
                                  <a:pt x="92" y="476"/>
                                </a:lnTo>
                                <a:lnTo>
                                  <a:pt x="92" y="472"/>
                                </a:lnTo>
                                <a:lnTo>
                                  <a:pt x="92" y="468"/>
                                </a:lnTo>
                                <a:lnTo>
                                  <a:pt x="88" y="466"/>
                                </a:lnTo>
                                <a:lnTo>
                                  <a:pt x="86" y="464"/>
                                </a:lnTo>
                                <a:lnTo>
                                  <a:pt x="84" y="464"/>
                                </a:lnTo>
                                <a:lnTo>
                                  <a:pt x="82" y="462"/>
                                </a:lnTo>
                                <a:lnTo>
                                  <a:pt x="82" y="400"/>
                                </a:lnTo>
                                <a:lnTo>
                                  <a:pt x="82" y="338"/>
                                </a:lnTo>
                                <a:lnTo>
                                  <a:pt x="86" y="334"/>
                                </a:lnTo>
                                <a:lnTo>
                                  <a:pt x="90" y="332"/>
                                </a:lnTo>
                                <a:lnTo>
                                  <a:pt x="96" y="332"/>
                                </a:lnTo>
                                <a:lnTo>
                                  <a:pt x="100" y="330"/>
                                </a:lnTo>
                                <a:lnTo>
                                  <a:pt x="100" y="326"/>
                                </a:lnTo>
                                <a:lnTo>
                                  <a:pt x="100" y="324"/>
                                </a:lnTo>
                                <a:lnTo>
                                  <a:pt x="124" y="312"/>
                                </a:lnTo>
                                <a:lnTo>
                                  <a:pt x="148" y="304"/>
                                </a:lnTo>
                                <a:lnTo>
                                  <a:pt x="158" y="298"/>
                                </a:lnTo>
                                <a:lnTo>
                                  <a:pt x="170" y="296"/>
                                </a:lnTo>
                                <a:lnTo>
                                  <a:pt x="180" y="290"/>
                                </a:lnTo>
                                <a:lnTo>
                                  <a:pt x="196" y="290"/>
                                </a:lnTo>
                                <a:lnTo>
                                  <a:pt x="212" y="288"/>
                                </a:lnTo>
                                <a:lnTo>
                                  <a:pt x="212" y="286"/>
                                </a:lnTo>
                                <a:lnTo>
                                  <a:pt x="214" y="282"/>
                                </a:lnTo>
                                <a:lnTo>
                                  <a:pt x="250" y="280"/>
                                </a:lnTo>
                                <a:lnTo>
                                  <a:pt x="286" y="280"/>
                                </a:lnTo>
                                <a:lnTo>
                                  <a:pt x="290" y="268"/>
                                </a:lnTo>
                                <a:lnTo>
                                  <a:pt x="300" y="262"/>
                                </a:lnTo>
                                <a:lnTo>
                                  <a:pt x="312" y="258"/>
                                </a:lnTo>
                                <a:lnTo>
                                  <a:pt x="324" y="256"/>
                                </a:lnTo>
                                <a:lnTo>
                                  <a:pt x="324" y="252"/>
                                </a:lnTo>
                                <a:lnTo>
                                  <a:pt x="324" y="248"/>
                                </a:lnTo>
                                <a:lnTo>
                                  <a:pt x="324" y="222"/>
                                </a:lnTo>
                                <a:lnTo>
                                  <a:pt x="324" y="196"/>
                                </a:lnTo>
                                <a:lnTo>
                                  <a:pt x="328" y="196"/>
                                </a:lnTo>
                                <a:lnTo>
                                  <a:pt x="332" y="196"/>
                                </a:lnTo>
                                <a:lnTo>
                                  <a:pt x="334" y="180"/>
                                </a:lnTo>
                                <a:lnTo>
                                  <a:pt x="340" y="170"/>
                                </a:lnTo>
                                <a:lnTo>
                                  <a:pt x="350" y="164"/>
                                </a:lnTo>
                                <a:lnTo>
                                  <a:pt x="362" y="162"/>
                                </a:lnTo>
                                <a:lnTo>
                                  <a:pt x="378" y="160"/>
                                </a:lnTo>
                                <a:lnTo>
                                  <a:pt x="388" y="152"/>
                                </a:lnTo>
                                <a:lnTo>
                                  <a:pt x="398" y="144"/>
                                </a:lnTo>
                                <a:lnTo>
                                  <a:pt x="398" y="124"/>
                                </a:lnTo>
                                <a:lnTo>
                                  <a:pt x="400" y="106"/>
                                </a:lnTo>
                                <a:lnTo>
                                  <a:pt x="404" y="104"/>
                                </a:lnTo>
                                <a:lnTo>
                                  <a:pt x="406" y="100"/>
                                </a:lnTo>
                                <a:lnTo>
                                  <a:pt x="408" y="96"/>
                                </a:lnTo>
                                <a:lnTo>
                                  <a:pt x="408" y="92"/>
                                </a:lnTo>
                                <a:lnTo>
                                  <a:pt x="408" y="86"/>
                                </a:lnTo>
                                <a:lnTo>
                                  <a:pt x="414" y="84"/>
                                </a:lnTo>
                                <a:lnTo>
                                  <a:pt x="420" y="80"/>
                                </a:lnTo>
                                <a:lnTo>
                                  <a:pt x="424" y="76"/>
                                </a:lnTo>
                                <a:lnTo>
                                  <a:pt x="428" y="72"/>
                                </a:lnTo>
                                <a:lnTo>
                                  <a:pt x="434" y="70"/>
                                </a:lnTo>
                                <a:lnTo>
                                  <a:pt x="448" y="68"/>
                                </a:lnTo>
                                <a:lnTo>
                                  <a:pt x="462" y="68"/>
                                </a:lnTo>
                                <a:lnTo>
                                  <a:pt x="466" y="64"/>
                                </a:lnTo>
                                <a:lnTo>
                                  <a:pt x="470" y="62"/>
                                </a:lnTo>
                                <a:lnTo>
                                  <a:pt x="474" y="60"/>
                                </a:lnTo>
                                <a:lnTo>
                                  <a:pt x="480" y="60"/>
                                </a:lnTo>
                                <a:lnTo>
                                  <a:pt x="484" y="44"/>
                                </a:lnTo>
                                <a:lnTo>
                                  <a:pt x="492" y="28"/>
                                </a:lnTo>
                                <a:lnTo>
                                  <a:pt x="510" y="28"/>
                                </a:lnTo>
                                <a:lnTo>
                                  <a:pt x="530" y="30"/>
                                </a:lnTo>
                                <a:lnTo>
                                  <a:pt x="550" y="34"/>
                                </a:lnTo>
                                <a:lnTo>
                                  <a:pt x="568" y="42"/>
                                </a:lnTo>
                                <a:lnTo>
                                  <a:pt x="572" y="42"/>
                                </a:lnTo>
                                <a:lnTo>
                                  <a:pt x="578" y="44"/>
                                </a:lnTo>
                                <a:lnTo>
                                  <a:pt x="584" y="44"/>
                                </a:lnTo>
                                <a:lnTo>
                                  <a:pt x="590" y="46"/>
                                </a:lnTo>
                                <a:lnTo>
                                  <a:pt x="594" y="50"/>
                                </a:lnTo>
                                <a:lnTo>
                                  <a:pt x="620" y="52"/>
                                </a:lnTo>
                                <a:lnTo>
                                  <a:pt x="642" y="56"/>
                                </a:lnTo>
                                <a:lnTo>
                                  <a:pt x="666" y="58"/>
                                </a:lnTo>
                                <a:lnTo>
                                  <a:pt x="678" y="52"/>
                                </a:lnTo>
                                <a:lnTo>
                                  <a:pt x="692" y="50"/>
                                </a:lnTo>
                                <a:lnTo>
                                  <a:pt x="706" y="50"/>
                                </a:lnTo>
                                <a:lnTo>
                                  <a:pt x="718" y="44"/>
                                </a:lnTo>
                                <a:lnTo>
                                  <a:pt x="726" y="44"/>
                                </a:lnTo>
                                <a:lnTo>
                                  <a:pt x="734" y="44"/>
                                </a:lnTo>
                                <a:lnTo>
                                  <a:pt x="734" y="36"/>
                                </a:lnTo>
                                <a:lnTo>
                                  <a:pt x="734" y="30"/>
                                </a:lnTo>
                                <a:lnTo>
                                  <a:pt x="736" y="28"/>
                                </a:lnTo>
                                <a:lnTo>
                                  <a:pt x="738" y="28"/>
                                </a:lnTo>
                                <a:lnTo>
                                  <a:pt x="758" y="22"/>
                                </a:lnTo>
                                <a:lnTo>
                                  <a:pt x="780" y="12"/>
                                </a:lnTo>
                                <a:lnTo>
                                  <a:pt x="798" y="0"/>
                                </a:lnTo>
                                <a:lnTo>
                                  <a:pt x="800" y="8"/>
                                </a:lnTo>
                                <a:lnTo>
                                  <a:pt x="804" y="12"/>
                                </a:lnTo>
                                <a:lnTo>
                                  <a:pt x="808" y="16"/>
                                </a:lnTo>
                                <a:lnTo>
                                  <a:pt x="816" y="18"/>
                                </a:lnTo>
                                <a:lnTo>
                                  <a:pt x="816" y="50"/>
                                </a:lnTo>
                                <a:lnTo>
                                  <a:pt x="818" y="84"/>
                                </a:lnTo>
                                <a:lnTo>
                                  <a:pt x="822" y="88"/>
                                </a:lnTo>
                                <a:lnTo>
                                  <a:pt x="826" y="92"/>
                                </a:lnTo>
                                <a:lnTo>
                                  <a:pt x="830" y="94"/>
                                </a:lnTo>
                                <a:lnTo>
                                  <a:pt x="836" y="94"/>
                                </a:lnTo>
                                <a:lnTo>
                                  <a:pt x="836" y="102"/>
                                </a:lnTo>
                                <a:lnTo>
                                  <a:pt x="836" y="112"/>
                                </a:lnTo>
                                <a:lnTo>
                                  <a:pt x="844" y="112"/>
                                </a:lnTo>
                                <a:lnTo>
                                  <a:pt x="856" y="112"/>
                                </a:lnTo>
                                <a:lnTo>
                                  <a:pt x="868" y="120"/>
                                </a:lnTo>
                                <a:lnTo>
                                  <a:pt x="880" y="128"/>
                                </a:lnTo>
                                <a:lnTo>
                                  <a:pt x="892" y="136"/>
                                </a:lnTo>
                                <a:lnTo>
                                  <a:pt x="906" y="136"/>
                                </a:lnTo>
                                <a:lnTo>
                                  <a:pt x="918" y="138"/>
                                </a:lnTo>
                                <a:lnTo>
                                  <a:pt x="918" y="132"/>
                                </a:lnTo>
                                <a:lnTo>
                                  <a:pt x="920" y="128"/>
                                </a:lnTo>
                                <a:lnTo>
                                  <a:pt x="928" y="128"/>
                                </a:lnTo>
                                <a:lnTo>
                                  <a:pt x="936" y="126"/>
                                </a:lnTo>
                                <a:lnTo>
                                  <a:pt x="940" y="122"/>
                                </a:lnTo>
                                <a:lnTo>
                                  <a:pt x="944" y="118"/>
                                </a:lnTo>
                                <a:lnTo>
                                  <a:pt x="946" y="116"/>
                                </a:lnTo>
                                <a:lnTo>
                                  <a:pt x="948" y="116"/>
                                </a:lnTo>
                                <a:lnTo>
                                  <a:pt x="950" y="114"/>
                                </a:lnTo>
                                <a:lnTo>
                                  <a:pt x="952" y="114"/>
                                </a:lnTo>
                                <a:lnTo>
                                  <a:pt x="966" y="124"/>
                                </a:lnTo>
                                <a:lnTo>
                                  <a:pt x="984" y="134"/>
                                </a:lnTo>
                                <a:lnTo>
                                  <a:pt x="984" y="140"/>
                                </a:lnTo>
                                <a:lnTo>
                                  <a:pt x="984" y="146"/>
                                </a:lnTo>
                                <a:lnTo>
                                  <a:pt x="996" y="146"/>
                                </a:lnTo>
                                <a:lnTo>
                                  <a:pt x="1006" y="146"/>
                                </a:lnTo>
                                <a:lnTo>
                                  <a:pt x="1018" y="144"/>
                                </a:lnTo>
                                <a:lnTo>
                                  <a:pt x="1026" y="138"/>
                                </a:lnTo>
                                <a:lnTo>
                                  <a:pt x="1030" y="128"/>
                                </a:lnTo>
                                <a:lnTo>
                                  <a:pt x="1040" y="124"/>
                                </a:lnTo>
                                <a:lnTo>
                                  <a:pt x="1048" y="118"/>
                                </a:lnTo>
                                <a:lnTo>
                                  <a:pt x="1054" y="110"/>
                                </a:lnTo>
                                <a:lnTo>
                                  <a:pt x="1062" y="104"/>
                                </a:lnTo>
                                <a:lnTo>
                                  <a:pt x="1072" y="104"/>
                                </a:lnTo>
                                <a:lnTo>
                                  <a:pt x="1082" y="104"/>
                                </a:lnTo>
                                <a:lnTo>
                                  <a:pt x="1086" y="108"/>
                                </a:lnTo>
                                <a:lnTo>
                                  <a:pt x="1090" y="112"/>
                                </a:lnTo>
                                <a:lnTo>
                                  <a:pt x="1092" y="116"/>
                                </a:lnTo>
                                <a:lnTo>
                                  <a:pt x="1094" y="122"/>
                                </a:lnTo>
                                <a:lnTo>
                                  <a:pt x="1096" y="128"/>
                                </a:lnTo>
                                <a:lnTo>
                                  <a:pt x="1186" y="128"/>
                                </a:lnTo>
                                <a:lnTo>
                                  <a:pt x="1276" y="130"/>
                                </a:lnTo>
                                <a:lnTo>
                                  <a:pt x="1288" y="144"/>
                                </a:lnTo>
                                <a:lnTo>
                                  <a:pt x="1296" y="158"/>
                                </a:lnTo>
                                <a:lnTo>
                                  <a:pt x="1300" y="174"/>
                                </a:lnTo>
                                <a:lnTo>
                                  <a:pt x="1302" y="196"/>
                                </a:lnTo>
                                <a:lnTo>
                                  <a:pt x="1308" y="204"/>
                                </a:lnTo>
                                <a:lnTo>
                                  <a:pt x="1310" y="212"/>
                                </a:lnTo>
                                <a:lnTo>
                                  <a:pt x="1312" y="220"/>
                                </a:lnTo>
                                <a:lnTo>
                                  <a:pt x="1318" y="226"/>
                                </a:lnTo>
                                <a:lnTo>
                                  <a:pt x="1328" y="230"/>
                                </a:lnTo>
                                <a:lnTo>
                                  <a:pt x="1328" y="238"/>
                                </a:lnTo>
                                <a:lnTo>
                                  <a:pt x="1328" y="246"/>
                                </a:lnTo>
                                <a:lnTo>
                                  <a:pt x="1334" y="248"/>
                                </a:lnTo>
                                <a:lnTo>
                                  <a:pt x="1340" y="248"/>
                                </a:lnTo>
                                <a:lnTo>
                                  <a:pt x="1344" y="252"/>
                                </a:lnTo>
                                <a:lnTo>
                                  <a:pt x="1350" y="256"/>
                                </a:lnTo>
                                <a:lnTo>
                                  <a:pt x="1370" y="256"/>
                                </a:lnTo>
                                <a:lnTo>
                                  <a:pt x="1392" y="256"/>
                                </a:lnTo>
                                <a:lnTo>
                                  <a:pt x="1392" y="322"/>
                                </a:lnTo>
                                <a:lnTo>
                                  <a:pt x="1394" y="390"/>
                                </a:lnTo>
                                <a:lnTo>
                                  <a:pt x="1412" y="402"/>
                                </a:lnTo>
                                <a:lnTo>
                                  <a:pt x="1432" y="408"/>
                                </a:lnTo>
                                <a:lnTo>
                                  <a:pt x="1432" y="412"/>
                                </a:lnTo>
                                <a:lnTo>
                                  <a:pt x="1432" y="418"/>
                                </a:lnTo>
                                <a:lnTo>
                                  <a:pt x="1444" y="420"/>
                                </a:lnTo>
                                <a:lnTo>
                                  <a:pt x="1458" y="424"/>
                                </a:lnTo>
                                <a:lnTo>
                                  <a:pt x="1468" y="432"/>
                                </a:lnTo>
                                <a:lnTo>
                                  <a:pt x="1486" y="434"/>
                                </a:lnTo>
                                <a:lnTo>
                                  <a:pt x="1500" y="438"/>
                                </a:lnTo>
                                <a:lnTo>
                                  <a:pt x="1514" y="448"/>
                                </a:lnTo>
                                <a:lnTo>
                                  <a:pt x="1528" y="448"/>
                                </a:lnTo>
                                <a:lnTo>
                                  <a:pt x="1542" y="450"/>
                                </a:lnTo>
                                <a:lnTo>
                                  <a:pt x="1542" y="462"/>
                                </a:lnTo>
                                <a:lnTo>
                                  <a:pt x="1544" y="476"/>
                                </a:lnTo>
                                <a:lnTo>
                                  <a:pt x="1548" y="480"/>
                                </a:lnTo>
                                <a:lnTo>
                                  <a:pt x="1550" y="484"/>
                                </a:lnTo>
                                <a:lnTo>
                                  <a:pt x="1552" y="488"/>
                                </a:lnTo>
                                <a:lnTo>
                                  <a:pt x="1552" y="494"/>
                                </a:lnTo>
                                <a:lnTo>
                                  <a:pt x="1552" y="500"/>
                                </a:lnTo>
                                <a:lnTo>
                                  <a:pt x="1558" y="506"/>
                                </a:lnTo>
                                <a:lnTo>
                                  <a:pt x="1562" y="510"/>
                                </a:lnTo>
                                <a:lnTo>
                                  <a:pt x="1566" y="514"/>
                                </a:lnTo>
                                <a:lnTo>
                                  <a:pt x="1568" y="518"/>
                                </a:lnTo>
                                <a:lnTo>
                                  <a:pt x="1570" y="526"/>
                                </a:lnTo>
                                <a:lnTo>
                                  <a:pt x="1574" y="528"/>
                                </a:lnTo>
                                <a:lnTo>
                                  <a:pt x="1578" y="532"/>
                                </a:lnTo>
                                <a:lnTo>
                                  <a:pt x="1578" y="538"/>
                                </a:lnTo>
                                <a:lnTo>
                                  <a:pt x="1578" y="544"/>
                                </a:lnTo>
                                <a:lnTo>
                                  <a:pt x="1592" y="548"/>
                                </a:lnTo>
                                <a:lnTo>
                                  <a:pt x="1604" y="556"/>
                                </a:lnTo>
                                <a:lnTo>
                                  <a:pt x="1614" y="566"/>
                                </a:lnTo>
                                <a:lnTo>
                                  <a:pt x="1614" y="574"/>
                                </a:lnTo>
                                <a:lnTo>
                                  <a:pt x="1614" y="578"/>
                                </a:lnTo>
                                <a:lnTo>
                                  <a:pt x="1612" y="582"/>
                                </a:lnTo>
                                <a:lnTo>
                                  <a:pt x="1608" y="584"/>
                                </a:lnTo>
                                <a:lnTo>
                                  <a:pt x="1606" y="586"/>
                                </a:lnTo>
                                <a:lnTo>
                                  <a:pt x="1602" y="586"/>
                                </a:lnTo>
                                <a:lnTo>
                                  <a:pt x="1598" y="590"/>
                                </a:lnTo>
                                <a:lnTo>
                                  <a:pt x="1592" y="592"/>
                                </a:lnTo>
                                <a:lnTo>
                                  <a:pt x="1550" y="594"/>
                                </a:lnTo>
                                <a:lnTo>
                                  <a:pt x="1510" y="594"/>
                                </a:lnTo>
                                <a:lnTo>
                                  <a:pt x="1498" y="588"/>
                                </a:lnTo>
                                <a:lnTo>
                                  <a:pt x="1488" y="582"/>
                                </a:lnTo>
                                <a:lnTo>
                                  <a:pt x="1480" y="574"/>
                                </a:lnTo>
                                <a:lnTo>
                                  <a:pt x="1476" y="562"/>
                                </a:lnTo>
                                <a:lnTo>
                                  <a:pt x="1458" y="558"/>
                                </a:lnTo>
                                <a:lnTo>
                                  <a:pt x="1446" y="552"/>
                                </a:lnTo>
                                <a:lnTo>
                                  <a:pt x="1438" y="538"/>
                                </a:lnTo>
                                <a:lnTo>
                                  <a:pt x="1416" y="536"/>
                                </a:lnTo>
                                <a:lnTo>
                                  <a:pt x="1396" y="536"/>
                                </a:lnTo>
                                <a:lnTo>
                                  <a:pt x="1390" y="540"/>
                                </a:lnTo>
                                <a:lnTo>
                                  <a:pt x="1384" y="544"/>
                                </a:lnTo>
                                <a:lnTo>
                                  <a:pt x="1380" y="550"/>
                                </a:lnTo>
                                <a:lnTo>
                                  <a:pt x="1376" y="554"/>
                                </a:lnTo>
                                <a:lnTo>
                                  <a:pt x="1374" y="562"/>
                                </a:lnTo>
                                <a:lnTo>
                                  <a:pt x="1366" y="562"/>
                                </a:lnTo>
                                <a:lnTo>
                                  <a:pt x="1356" y="562"/>
                                </a:lnTo>
                                <a:lnTo>
                                  <a:pt x="1356" y="566"/>
                                </a:lnTo>
                                <a:lnTo>
                                  <a:pt x="1354" y="572"/>
                                </a:lnTo>
                                <a:lnTo>
                                  <a:pt x="1352" y="576"/>
                                </a:lnTo>
                                <a:lnTo>
                                  <a:pt x="1348" y="572"/>
                                </a:lnTo>
                                <a:lnTo>
                                  <a:pt x="1344" y="572"/>
                                </a:lnTo>
                                <a:lnTo>
                                  <a:pt x="1342" y="570"/>
                                </a:lnTo>
                                <a:lnTo>
                                  <a:pt x="1340" y="570"/>
                                </a:lnTo>
                                <a:lnTo>
                                  <a:pt x="1336" y="570"/>
                                </a:lnTo>
                                <a:lnTo>
                                  <a:pt x="1336" y="564"/>
                                </a:lnTo>
                                <a:lnTo>
                                  <a:pt x="1336" y="562"/>
                                </a:lnTo>
                                <a:lnTo>
                                  <a:pt x="1326" y="562"/>
                                </a:lnTo>
                                <a:lnTo>
                                  <a:pt x="1312" y="564"/>
                                </a:lnTo>
                                <a:lnTo>
                                  <a:pt x="1296" y="568"/>
                                </a:lnTo>
                                <a:lnTo>
                                  <a:pt x="1286" y="576"/>
                                </a:lnTo>
                                <a:lnTo>
                                  <a:pt x="1282" y="586"/>
                                </a:lnTo>
                                <a:lnTo>
                                  <a:pt x="1274" y="584"/>
                                </a:lnTo>
                                <a:lnTo>
                                  <a:pt x="1270" y="580"/>
                                </a:lnTo>
                                <a:lnTo>
                                  <a:pt x="1266" y="574"/>
                                </a:lnTo>
                                <a:lnTo>
                                  <a:pt x="1264" y="568"/>
                                </a:lnTo>
                                <a:lnTo>
                                  <a:pt x="1262" y="562"/>
                                </a:lnTo>
                                <a:lnTo>
                                  <a:pt x="1240" y="562"/>
                                </a:lnTo>
                                <a:lnTo>
                                  <a:pt x="1218" y="562"/>
                                </a:lnTo>
                                <a:lnTo>
                                  <a:pt x="1212" y="568"/>
                                </a:lnTo>
                                <a:lnTo>
                                  <a:pt x="1210" y="576"/>
                                </a:lnTo>
                                <a:lnTo>
                                  <a:pt x="1208" y="582"/>
                                </a:lnTo>
                                <a:lnTo>
                                  <a:pt x="1208" y="594"/>
                                </a:lnTo>
                                <a:lnTo>
                                  <a:pt x="1204" y="594"/>
                                </a:lnTo>
                                <a:lnTo>
                                  <a:pt x="1198" y="594"/>
                                </a:lnTo>
                                <a:lnTo>
                                  <a:pt x="1194" y="618"/>
                                </a:lnTo>
                                <a:lnTo>
                                  <a:pt x="1180" y="638"/>
                                </a:lnTo>
                                <a:lnTo>
                                  <a:pt x="1180" y="654"/>
                                </a:lnTo>
                                <a:lnTo>
                                  <a:pt x="1180" y="670"/>
                                </a:lnTo>
                                <a:lnTo>
                                  <a:pt x="1186" y="674"/>
                                </a:lnTo>
                                <a:lnTo>
                                  <a:pt x="1190" y="676"/>
                                </a:lnTo>
                                <a:lnTo>
                                  <a:pt x="1194" y="678"/>
                                </a:lnTo>
                                <a:lnTo>
                                  <a:pt x="1198" y="680"/>
                                </a:lnTo>
                                <a:lnTo>
                                  <a:pt x="1202" y="682"/>
                                </a:lnTo>
                                <a:lnTo>
                                  <a:pt x="1206" y="684"/>
                                </a:lnTo>
                                <a:lnTo>
                                  <a:pt x="1208" y="690"/>
                                </a:lnTo>
                                <a:lnTo>
                                  <a:pt x="1208" y="696"/>
                                </a:lnTo>
                                <a:lnTo>
                                  <a:pt x="1214" y="696"/>
                                </a:lnTo>
                                <a:lnTo>
                                  <a:pt x="1220" y="698"/>
                                </a:lnTo>
                                <a:lnTo>
                                  <a:pt x="1224" y="702"/>
                                </a:lnTo>
                                <a:lnTo>
                                  <a:pt x="1228" y="706"/>
                                </a:lnTo>
                                <a:lnTo>
                                  <a:pt x="1260" y="706"/>
                                </a:lnTo>
                                <a:lnTo>
                                  <a:pt x="1294" y="706"/>
                                </a:lnTo>
                                <a:lnTo>
                                  <a:pt x="1298" y="710"/>
                                </a:lnTo>
                                <a:lnTo>
                                  <a:pt x="1304" y="712"/>
                                </a:lnTo>
                                <a:lnTo>
                                  <a:pt x="1306" y="714"/>
                                </a:lnTo>
                                <a:lnTo>
                                  <a:pt x="1310" y="714"/>
                                </a:lnTo>
                                <a:lnTo>
                                  <a:pt x="1312" y="716"/>
                                </a:lnTo>
                                <a:lnTo>
                                  <a:pt x="1314" y="718"/>
                                </a:lnTo>
                                <a:lnTo>
                                  <a:pt x="1316" y="720"/>
                                </a:lnTo>
                                <a:lnTo>
                                  <a:pt x="1316" y="726"/>
                                </a:lnTo>
                                <a:lnTo>
                                  <a:pt x="1318" y="734"/>
                                </a:lnTo>
                                <a:lnTo>
                                  <a:pt x="1306" y="742"/>
                                </a:lnTo>
                                <a:lnTo>
                                  <a:pt x="1296" y="746"/>
                                </a:lnTo>
                                <a:lnTo>
                                  <a:pt x="1282" y="748"/>
                                </a:lnTo>
                                <a:lnTo>
                                  <a:pt x="1280" y="752"/>
                                </a:lnTo>
                                <a:lnTo>
                                  <a:pt x="1280" y="756"/>
                                </a:lnTo>
                                <a:lnTo>
                                  <a:pt x="1262" y="758"/>
                                </a:lnTo>
                                <a:lnTo>
                                  <a:pt x="1246" y="764"/>
                                </a:lnTo>
                                <a:lnTo>
                                  <a:pt x="1240" y="778"/>
                                </a:lnTo>
                                <a:lnTo>
                                  <a:pt x="1230" y="784"/>
                                </a:lnTo>
                                <a:lnTo>
                                  <a:pt x="1220" y="790"/>
                                </a:lnTo>
                                <a:lnTo>
                                  <a:pt x="1208" y="798"/>
                                </a:lnTo>
                                <a:lnTo>
                                  <a:pt x="1208" y="814"/>
                                </a:lnTo>
                                <a:lnTo>
                                  <a:pt x="1210" y="828"/>
                                </a:lnTo>
                                <a:lnTo>
                                  <a:pt x="1212" y="840"/>
                                </a:lnTo>
                                <a:lnTo>
                                  <a:pt x="1220" y="850"/>
                                </a:lnTo>
                                <a:lnTo>
                                  <a:pt x="1236" y="858"/>
                                </a:lnTo>
                                <a:lnTo>
                                  <a:pt x="1236" y="862"/>
                                </a:lnTo>
                                <a:lnTo>
                                  <a:pt x="1236" y="866"/>
                                </a:lnTo>
                                <a:lnTo>
                                  <a:pt x="1222" y="866"/>
                                </a:lnTo>
                                <a:lnTo>
                                  <a:pt x="1208" y="866"/>
                                </a:lnTo>
                                <a:lnTo>
                                  <a:pt x="1208" y="870"/>
                                </a:lnTo>
                                <a:lnTo>
                                  <a:pt x="1208" y="874"/>
                                </a:lnTo>
                                <a:lnTo>
                                  <a:pt x="1194" y="874"/>
                                </a:lnTo>
                                <a:lnTo>
                                  <a:pt x="1180" y="876"/>
                                </a:lnTo>
                                <a:lnTo>
                                  <a:pt x="1160" y="888"/>
                                </a:lnTo>
                                <a:lnTo>
                                  <a:pt x="1138" y="896"/>
                                </a:lnTo>
                                <a:lnTo>
                                  <a:pt x="1116" y="900"/>
                                </a:lnTo>
                                <a:lnTo>
                                  <a:pt x="1112" y="904"/>
                                </a:lnTo>
                                <a:lnTo>
                                  <a:pt x="1110" y="906"/>
                                </a:lnTo>
                                <a:lnTo>
                                  <a:pt x="1108" y="908"/>
                                </a:lnTo>
                                <a:lnTo>
                                  <a:pt x="1106" y="908"/>
                                </a:lnTo>
                                <a:lnTo>
                                  <a:pt x="1106" y="910"/>
                                </a:lnTo>
                                <a:lnTo>
                                  <a:pt x="1104" y="936"/>
                                </a:lnTo>
                                <a:lnTo>
                                  <a:pt x="1104" y="962"/>
                                </a:lnTo>
                                <a:lnTo>
                                  <a:pt x="1100" y="966"/>
                                </a:lnTo>
                                <a:lnTo>
                                  <a:pt x="1096" y="968"/>
                                </a:lnTo>
                                <a:lnTo>
                                  <a:pt x="1096" y="982"/>
                                </a:lnTo>
                                <a:lnTo>
                                  <a:pt x="1096" y="996"/>
                                </a:lnTo>
                                <a:lnTo>
                                  <a:pt x="1102" y="1008"/>
                                </a:lnTo>
                                <a:lnTo>
                                  <a:pt x="1112" y="1014"/>
                                </a:lnTo>
                                <a:lnTo>
                                  <a:pt x="1118" y="1024"/>
                                </a:lnTo>
                                <a:lnTo>
                                  <a:pt x="1122" y="1036"/>
                                </a:lnTo>
                                <a:lnTo>
                                  <a:pt x="1126" y="1048"/>
                                </a:lnTo>
                                <a:lnTo>
                                  <a:pt x="1132" y="1058"/>
                                </a:lnTo>
                                <a:lnTo>
                                  <a:pt x="1134" y="1084"/>
                                </a:lnTo>
                                <a:lnTo>
                                  <a:pt x="1134" y="1112"/>
                                </a:lnTo>
                                <a:lnTo>
                                  <a:pt x="1138" y="1112"/>
                                </a:lnTo>
                                <a:lnTo>
                                  <a:pt x="1142" y="1112"/>
                                </a:lnTo>
                                <a:lnTo>
                                  <a:pt x="1142" y="1122"/>
                                </a:lnTo>
                                <a:lnTo>
                                  <a:pt x="1142" y="1132"/>
                                </a:lnTo>
                                <a:lnTo>
                                  <a:pt x="1128" y="1148"/>
                                </a:lnTo>
                                <a:lnTo>
                                  <a:pt x="1118" y="1166"/>
                                </a:lnTo>
                                <a:lnTo>
                                  <a:pt x="1106" y="1182"/>
                                </a:lnTo>
                                <a:lnTo>
                                  <a:pt x="1104" y="1182"/>
                                </a:lnTo>
                                <a:lnTo>
                                  <a:pt x="1104" y="1214"/>
                                </a:lnTo>
                                <a:lnTo>
                                  <a:pt x="1104" y="1234"/>
                                </a:lnTo>
                                <a:lnTo>
                                  <a:pt x="1104" y="1242"/>
                                </a:lnTo>
                                <a:lnTo>
                                  <a:pt x="1106" y="1246"/>
                                </a:lnTo>
                                <a:lnTo>
                                  <a:pt x="1114" y="1246"/>
                                </a:lnTo>
                                <a:lnTo>
                                  <a:pt x="1124" y="1248"/>
                                </a:lnTo>
                                <a:lnTo>
                                  <a:pt x="1124" y="1252"/>
                                </a:lnTo>
                                <a:lnTo>
                                  <a:pt x="1126" y="1256"/>
                                </a:lnTo>
                                <a:lnTo>
                                  <a:pt x="1130" y="1260"/>
                                </a:lnTo>
                                <a:lnTo>
                                  <a:pt x="1136" y="1280"/>
                                </a:lnTo>
                                <a:lnTo>
                                  <a:pt x="1144" y="1296"/>
                                </a:lnTo>
                                <a:lnTo>
                                  <a:pt x="1152" y="1314"/>
                                </a:lnTo>
                                <a:lnTo>
                                  <a:pt x="1160" y="1314"/>
                                </a:lnTo>
                                <a:lnTo>
                                  <a:pt x="1170" y="1316"/>
                                </a:lnTo>
                                <a:lnTo>
                                  <a:pt x="1172" y="1332"/>
                                </a:lnTo>
                                <a:lnTo>
                                  <a:pt x="1176" y="1340"/>
                                </a:lnTo>
                                <a:lnTo>
                                  <a:pt x="1180" y="1344"/>
                                </a:lnTo>
                                <a:lnTo>
                                  <a:pt x="1188" y="1346"/>
                                </a:lnTo>
                                <a:lnTo>
                                  <a:pt x="1198" y="1348"/>
                                </a:lnTo>
                                <a:lnTo>
                                  <a:pt x="1208" y="1354"/>
                                </a:lnTo>
                                <a:lnTo>
                                  <a:pt x="1210" y="1372"/>
                                </a:lnTo>
                                <a:lnTo>
                                  <a:pt x="1216" y="1378"/>
                                </a:lnTo>
                                <a:lnTo>
                                  <a:pt x="1228" y="1382"/>
                                </a:lnTo>
                                <a:lnTo>
                                  <a:pt x="1244" y="1382"/>
                                </a:lnTo>
                                <a:lnTo>
                                  <a:pt x="1244" y="1386"/>
                                </a:lnTo>
                                <a:lnTo>
                                  <a:pt x="1244" y="1390"/>
                                </a:lnTo>
                                <a:lnTo>
                                  <a:pt x="1256" y="1392"/>
                                </a:lnTo>
                                <a:lnTo>
                                  <a:pt x="1268" y="1392"/>
                                </a:lnTo>
                                <a:lnTo>
                                  <a:pt x="1270" y="1396"/>
                                </a:lnTo>
                                <a:lnTo>
                                  <a:pt x="1272" y="1396"/>
                                </a:lnTo>
                                <a:lnTo>
                                  <a:pt x="1274" y="1398"/>
                                </a:lnTo>
                                <a:lnTo>
                                  <a:pt x="1278" y="1400"/>
                                </a:lnTo>
                                <a:lnTo>
                                  <a:pt x="1282" y="1400"/>
                                </a:lnTo>
                                <a:lnTo>
                                  <a:pt x="1282" y="1404"/>
                                </a:lnTo>
                                <a:lnTo>
                                  <a:pt x="1282" y="1408"/>
                                </a:lnTo>
                                <a:lnTo>
                                  <a:pt x="1290" y="1408"/>
                                </a:lnTo>
                                <a:lnTo>
                                  <a:pt x="1300" y="1408"/>
                                </a:lnTo>
                                <a:lnTo>
                                  <a:pt x="1304" y="1418"/>
                                </a:lnTo>
                                <a:lnTo>
                                  <a:pt x="1310" y="1424"/>
                                </a:lnTo>
                                <a:lnTo>
                                  <a:pt x="1316" y="1432"/>
                                </a:lnTo>
                                <a:lnTo>
                                  <a:pt x="1318" y="1442"/>
                                </a:lnTo>
                                <a:lnTo>
                                  <a:pt x="1322" y="1442"/>
                                </a:lnTo>
                                <a:lnTo>
                                  <a:pt x="1326" y="1442"/>
                                </a:lnTo>
                                <a:lnTo>
                                  <a:pt x="1326" y="1446"/>
                                </a:lnTo>
                                <a:lnTo>
                                  <a:pt x="1328" y="1450"/>
                                </a:lnTo>
                                <a:lnTo>
                                  <a:pt x="1342" y="1452"/>
                                </a:lnTo>
                                <a:lnTo>
                                  <a:pt x="1350" y="1460"/>
                                </a:lnTo>
                                <a:lnTo>
                                  <a:pt x="1354" y="1470"/>
                                </a:lnTo>
                                <a:lnTo>
                                  <a:pt x="1354" y="1482"/>
                                </a:lnTo>
                                <a:lnTo>
                                  <a:pt x="1354" y="1496"/>
                                </a:lnTo>
                                <a:lnTo>
                                  <a:pt x="1344" y="1508"/>
                                </a:lnTo>
                                <a:lnTo>
                                  <a:pt x="1340" y="1524"/>
                                </a:lnTo>
                                <a:lnTo>
                                  <a:pt x="1338" y="1542"/>
                                </a:lnTo>
                                <a:lnTo>
                                  <a:pt x="1344" y="1556"/>
                                </a:lnTo>
                                <a:lnTo>
                                  <a:pt x="1346" y="1562"/>
                                </a:lnTo>
                                <a:lnTo>
                                  <a:pt x="1348" y="1568"/>
                                </a:lnTo>
                                <a:lnTo>
                                  <a:pt x="1352" y="1572"/>
                                </a:lnTo>
                                <a:lnTo>
                                  <a:pt x="1356" y="1576"/>
                                </a:lnTo>
                                <a:lnTo>
                                  <a:pt x="1360" y="1580"/>
                                </a:lnTo>
                                <a:lnTo>
                                  <a:pt x="1366" y="1584"/>
                                </a:lnTo>
                                <a:lnTo>
                                  <a:pt x="1396" y="1588"/>
                                </a:lnTo>
                                <a:lnTo>
                                  <a:pt x="1426" y="1594"/>
                                </a:lnTo>
                                <a:lnTo>
                                  <a:pt x="1440" y="1584"/>
                                </a:lnTo>
                                <a:lnTo>
                                  <a:pt x="1452" y="1576"/>
                                </a:lnTo>
                                <a:lnTo>
                                  <a:pt x="1466" y="1568"/>
                                </a:lnTo>
                                <a:lnTo>
                                  <a:pt x="1468" y="1560"/>
                                </a:lnTo>
                                <a:lnTo>
                                  <a:pt x="1468" y="1552"/>
                                </a:lnTo>
                                <a:lnTo>
                                  <a:pt x="1486" y="1562"/>
                                </a:lnTo>
                                <a:lnTo>
                                  <a:pt x="1504" y="1574"/>
                                </a:lnTo>
                                <a:lnTo>
                                  <a:pt x="1504" y="1592"/>
                                </a:lnTo>
                                <a:lnTo>
                                  <a:pt x="1506" y="1612"/>
                                </a:lnTo>
                                <a:lnTo>
                                  <a:pt x="1490" y="1614"/>
                                </a:lnTo>
                                <a:lnTo>
                                  <a:pt x="1478" y="1620"/>
                                </a:lnTo>
                                <a:lnTo>
                                  <a:pt x="1470" y="1630"/>
                                </a:lnTo>
                                <a:lnTo>
                                  <a:pt x="1462" y="1642"/>
                                </a:lnTo>
                                <a:lnTo>
                                  <a:pt x="1452" y="1652"/>
                                </a:lnTo>
                                <a:lnTo>
                                  <a:pt x="1442" y="1652"/>
                                </a:lnTo>
                                <a:lnTo>
                                  <a:pt x="1434" y="1652"/>
                                </a:lnTo>
                                <a:lnTo>
                                  <a:pt x="1428" y="1648"/>
                                </a:lnTo>
                                <a:lnTo>
                                  <a:pt x="1424" y="1646"/>
                                </a:lnTo>
                                <a:lnTo>
                                  <a:pt x="1418" y="1646"/>
                                </a:lnTo>
                                <a:lnTo>
                                  <a:pt x="1412" y="1644"/>
                                </a:lnTo>
                                <a:lnTo>
                                  <a:pt x="1406" y="1644"/>
                                </a:lnTo>
                                <a:lnTo>
                                  <a:pt x="1396" y="1634"/>
                                </a:lnTo>
                                <a:lnTo>
                                  <a:pt x="1388" y="1630"/>
                                </a:lnTo>
                                <a:lnTo>
                                  <a:pt x="1378" y="1630"/>
                                </a:lnTo>
                                <a:lnTo>
                                  <a:pt x="1364" y="1630"/>
                                </a:lnTo>
                                <a:lnTo>
                                  <a:pt x="1360" y="1634"/>
                                </a:lnTo>
                                <a:lnTo>
                                  <a:pt x="1356" y="1638"/>
                                </a:lnTo>
                                <a:lnTo>
                                  <a:pt x="1352" y="1652"/>
                                </a:lnTo>
                                <a:lnTo>
                                  <a:pt x="1344" y="1664"/>
                                </a:lnTo>
                                <a:lnTo>
                                  <a:pt x="1338" y="1678"/>
                                </a:lnTo>
                                <a:lnTo>
                                  <a:pt x="1332" y="1678"/>
                                </a:lnTo>
                                <a:lnTo>
                                  <a:pt x="1328" y="1678"/>
                                </a:lnTo>
                                <a:lnTo>
                                  <a:pt x="1326" y="1696"/>
                                </a:lnTo>
                                <a:lnTo>
                                  <a:pt x="1326" y="1716"/>
                                </a:lnTo>
                                <a:lnTo>
                                  <a:pt x="1324" y="1718"/>
                                </a:lnTo>
                                <a:lnTo>
                                  <a:pt x="1322" y="1722"/>
                                </a:lnTo>
                                <a:lnTo>
                                  <a:pt x="1320" y="1724"/>
                                </a:lnTo>
                                <a:lnTo>
                                  <a:pt x="1320" y="1726"/>
                                </a:lnTo>
                                <a:lnTo>
                                  <a:pt x="1318" y="1730"/>
                                </a:lnTo>
                                <a:lnTo>
                                  <a:pt x="1312" y="1730"/>
                                </a:lnTo>
                                <a:lnTo>
                                  <a:pt x="1308" y="1730"/>
                                </a:lnTo>
                                <a:lnTo>
                                  <a:pt x="1302" y="1730"/>
                                </a:lnTo>
                                <a:lnTo>
                                  <a:pt x="1298" y="1734"/>
                                </a:lnTo>
                                <a:lnTo>
                                  <a:pt x="1294" y="1738"/>
                                </a:lnTo>
                                <a:lnTo>
                                  <a:pt x="1260" y="1738"/>
                                </a:lnTo>
                                <a:lnTo>
                                  <a:pt x="1228" y="1738"/>
                                </a:lnTo>
                                <a:lnTo>
                                  <a:pt x="1208" y="1746"/>
                                </a:lnTo>
                                <a:lnTo>
                                  <a:pt x="1184" y="1748"/>
                                </a:lnTo>
                                <a:lnTo>
                                  <a:pt x="1158" y="1748"/>
                                </a:lnTo>
                                <a:lnTo>
                                  <a:pt x="1134" y="1748"/>
                                </a:lnTo>
                                <a:lnTo>
                                  <a:pt x="1132" y="1752"/>
                                </a:lnTo>
                                <a:lnTo>
                                  <a:pt x="1130" y="1758"/>
                                </a:lnTo>
                                <a:lnTo>
                                  <a:pt x="1128" y="1762"/>
                                </a:lnTo>
                                <a:lnTo>
                                  <a:pt x="1126" y="1768"/>
                                </a:lnTo>
                                <a:lnTo>
                                  <a:pt x="1124" y="1772"/>
                                </a:lnTo>
                                <a:lnTo>
                                  <a:pt x="1118" y="1774"/>
                                </a:lnTo>
                                <a:lnTo>
                                  <a:pt x="1114" y="1774"/>
                                </a:lnTo>
                                <a:lnTo>
                                  <a:pt x="1112" y="1778"/>
                                </a:lnTo>
                                <a:lnTo>
                                  <a:pt x="1108" y="1780"/>
                                </a:lnTo>
                                <a:lnTo>
                                  <a:pt x="1070" y="1780"/>
                                </a:lnTo>
                                <a:lnTo>
                                  <a:pt x="1032" y="1782"/>
                                </a:lnTo>
                                <a:lnTo>
                                  <a:pt x="1022" y="1788"/>
                                </a:lnTo>
                                <a:lnTo>
                                  <a:pt x="1008" y="1788"/>
                                </a:lnTo>
                                <a:lnTo>
                                  <a:pt x="994" y="1790"/>
                                </a:lnTo>
                                <a:lnTo>
                                  <a:pt x="994" y="1794"/>
                                </a:lnTo>
                                <a:lnTo>
                                  <a:pt x="994" y="1798"/>
                                </a:lnTo>
                                <a:lnTo>
                                  <a:pt x="986" y="1798"/>
                                </a:lnTo>
                                <a:lnTo>
                                  <a:pt x="980" y="1800"/>
                                </a:lnTo>
                                <a:lnTo>
                                  <a:pt x="976" y="1800"/>
                                </a:lnTo>
                                <a:lnTo>
                                  <a:pt x="972" y="1800"/>
                                </a:lnTo>
                                <a:lnTo>
                                  <a:pt x="968" y="1800"/>
                                </a:lnTo>
                                <a:lnTo>
                                  <a:pt x="964" y="1800"/>
                                </a:lnTo>
                                <a:lnTo>
                                  <a:pt x="964" y="1794"/>
                                </a:lnTo>
                                <a:lnTo>
                                  <a:pt x="960" y="1788"/>
                                </a:lnTo>
                                <a:lnTo>
                                  <a:pt x="956" y="1784"/>
                                </a:lnTo>
                                <a:lnTo>
                                  <a:pt x="952" y="1782"/>
                                </a:lnTo>
                                <a:lnTo>
                                  <a:pt x="948" y="1778"/>
                                </a:lnTo>
                                <a:lnTo>
                                  <a:pt x="942" y="1776"/>
                                </a:lnTo>
                                <a:lnTo>
                                  <a:pt x="934" y="1774"/>
                                </a:lnTo>
                                <a:lnTo>
                                  <a:pt x="934" y="1772"/>
                                </a:lnTo>
                                <a:lnTo>
                                  <a:pt x="932" y="1772"/>
                                </a:lnTo>
                                <a:lnTo>
                                  <a:pt x="924" y="1772"/>
                                </a:lnTo>
                                <a:lnTo>
                                  <a:pt x="908" y="1772"/>
                                </a:lnTo>
                                <a:lnTo>
                                  <a:pt x="884" y="1772"/>
                                </a:lnTo>
                                <a:lnTo>
                                  <a:pt x="846" y="1774"/>
                                </a:lnTo>
                                <a:lnTo>
                                  <a:pt x="846" y="1776"/>
                                </a:lnTo>
                                <a:lnTo>
                                  <a:pt x="846" y="1780"/>
                                </a:lnTo>
                                <a:lnTo>
                                  <a:pt x="840" y="1780"/>
                                </a:lnTo>
                                <a:lnTo>
                                  <a:pt x="836" y="1780"/>
                                </a:lnTo>
                                <a:lnTo>
                                  <a:pt x="836" y="1784"/>
                                </a:lnTo>
                                <a:lnTo>
                                  <a:pt x="836" y="1790"/>
                                </a:lnTo>
                                <a:lnTo>
                                  <a:pt x="822" y="1790"/>
                                </a:lnTo>
                                <a:lnTo>
                                  <a:pt x="812" y="1790"/>
                                </a:lnTo>
                                <a:lnTo>
                                  <a:pt x="804" y="1796"/>
                                </a:lnTo>
                                <a:lnTo>
                                  <a:pt x="798" y="1806"/>
                                </a:lnTo>
                                <a:lnTo>
                                  <a:pt x="766" y="1806"/>
                                </a:lnTo>
                                <a:lnTo>
                                  <a:pt x="734" y="1806"/>
                                </a:lnTo>
                                <a:lnTo>
                                  <a:pt x="734" y="1798"/>
                                </a:lnTo>
                                <a:lnTo>
                                  <a:pt x="734" y="1790"/>
                                </a:lnTo>
                                <a:lnTo>
                                  <a:pt x="728" y="1790"/>
                                </a:lnTo>
                                <a:lnTo>
                                  <a:pt x="724" y="1790"/>
                                </a:lnTo>
                                <a:lnTo>
                                  <a:pt x="724" y="1784"/>
                                </a:lnTo>
                                <a:lnTo>
                                  <a:pt x="724" y="1780"/>
                                </a:lnTo>
                                <a:lnTo>
                                  <a:pt x="718" y="1780"/>
                                </a:lnTo>
                                <a:lnTo>
                                  <a:pt x="714" y="1780"/>
                                </a:lnTo>
                                <a:lnTo>
                                  <a:pt x="708" y="1770"/>
                                </a:lnTo>
                                <a:lnTo>
                                  <a:pt x="700" y="1764"/>
                                </a:lnTo>
                                <a:lnTo>
                                  <a:pt x="690" y="1764"/>
                                </a:lnTo>
                                <a:lnTo>
                                  <a:pt x="680" y="1768"/>
                                </a:lnTo>
                                <a:lnTo>
                                  <a:pt x="670" y="1770"/>
                                </a:lnTo>
                                <a:lnTo>
                                  <a:pt x="660" y="1772"/>
                                </a:lnTo>
                                <a:lnTo>
                                  <a:pt x="660" y="1776"/>
                                </a:lnTo>
                                <a:lnTo>
                                  <a:pt x="660" y="1780"/>
                                </a:lnTo>
                                <a:lnTo>
                                  <a:pt x="648" y="1784"/>
                                </a:lnTo>
                                <a:lnTo>
                                  <a:pt x="634" y="1790"/>
                                </a:lnTo>
                                <a:lnTo>
                                  <a:pt x="624" y="1798"/>
                                </a:lnTo>
                                <a:lnTo>
                                  <a:pt x="624" y="1806"/>
                                </a:lnTo>
                                <a:lnTo>
                                  <a:pt x="622" y="1814"/>
                                </a:lnTo>
                                <a:lnTo>
                                  <a:pt x="618" y="1814"/>
                                </a:lnTo>
                                <a:lnTo>
                                  <a:pt x="614" y="1814"/>
                                </a:lnTo>
                                <a:lnTo>
                                  <a:pt x="612" y="1818"/>
                                </a:lnTo>
                                <a:lnTo>
                                  <a:pt x="612" y="1822"/>
                                </a:lnTo>
                                <a:lnTo>
                                  <a:pt x="544" y="1822"/>
                                </a:lnTo>
                                <a:lnTo>
                                  <a:pt x="474" y="1822"/>
                                </a:lnTo>
                                <a:lnTo>
                                  <a:pt x="474" y="1818"/>
                                </a:lnTo>
                                <a:lnTo>
                                  <a:pt x="472" y="1814"/>
                                </a:lnTo>
                                <a:lnTo>
                                  <a:pt x="466" y="1814"/>
                                </a:lnTo>
                                <a:lnTo>
                                  <a:pt x="460" y="1814"/>
                                </a:lnTo>
                                <a:lnTo>
                                  <a:pt x="456" y="1814"/>
                                </a:lnTo>
                                <a:lnTo>
                                  <a:pt x="450" y="1812"/>
                                </a:lnTo>
                                <a:lnTo>
                                  <a:pt x="446" y="1808"/>
                                </a:lnTo>
                                <a:close/>
                              </a:path>
                            </a:pathLst>
                          </a:cu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0" name="Freeform 19"/>
                        <wps:cNvSpPr>
                          <a:spLocks/>
                        </wps:cNvSpPr>
                        <wps:spPr bwMode="auto">
                          <a:xfrm>
                            <a:off x="2448306" y="1326743"/>
                            <a:ext cx="2870916" cy="1421173"/>
                          </a:xfrm>
                          <a:custGeom>
                            <a:avLst/>
                            <a:gdLst>
                              <a:gd name="T0" fmla="*/ 742 w 2432"/>
                              <a:gd name="T1" fmla="*/ 908 h 1204"/>
                              <a:gd name="T2" fmla="*/ 604 w 2432"/>
                              <a:gd name="T3" fmla="*/ 938 h 1204"/>
                              <a:gd name="T4" fmla="*/ 522 w 2432"/>
                              <a:gd name="T5" fmla="*/ 924 h 1204"/>
                              <a:gd name="T6" fmla="*/ 472 w 2432"/>
                              <a:gd name="T7" fmla="*/ 874 h 1204"/>
                              <a:gd name="T8" fmla="*/ 386 w 2432"/>
                              <a:gd name="T9" fmla="*/ 882 h 1204"/>
                              <a:gd name="T10" fmla="*/ 268 w 2432"/>
                              <a:gd name="T11" fmla="*/ 942 h 1204"/>
                              <a:gd name="T12" fmla="*/ 182 w 2432"/>
                              <a:gd name="T13" fmla="*/ 814 h 1204"/>
                              <a:gd name="T14" fmla="*/ 92 w 2432"/>
                              <a:gd name="T15" fmla="*/ 806 h 1204"/>
                              <a:gd name="T16" fmla="*/ 102 w 2432"/>
                              <a:gd name="T17" fmla="*/ 708 h 1204"/>
                              <a:gd name="T18" fmla="*/ 154 w 2432"/>
                              <a:gd name="T19" fmla="*/ 622 h 1204"/>
                              <a:gd name="T20" fmla="*/ 128 w 2432"/>
                              <a:gd name="T21" fmla="*/ 514 h 1204"/>
                              <a:gd name="T22" fmla="*/ 68 w 2432"/>
                              <a:gd name="T23" fmla="*/ 508 h 1204"/>
                              <a:gd name="T24" fmla="*/ 16 w 2432"/>
                              <a:gd name="T25" fmla="*/ 428 h 1204"/>
                              <a:gd name="T26" fmla="*/ 16 w 2432"/>
                              <a:gd name="T27" fmla="*/ 318 h 1204"/>
                              <a:gd name="T28" fmla="*/ 226 w 2432"/>
                              <a:gd name="T29" fmla="*/ 314 h 1204"/>
                              <a:gd name="T30" fmla="*/ 384 w 2432"/>
                              <a:gd name="T31" fmla="*/ 314 h 1204"/>
                              <a:gd name="T32" fmla="*/ 464 w 2432"/>
                              <a:gd name="T33" fmla="*/ 294 h 1204"/>
                              <a:gd name="T34" fmla="*/ 622 w 2432"/>
                              <a:gd name="T35" fmla="*/ 286 h 1204"/>
                              <a:gd name="T36" fmla="*/ 798 w 2432"/>
                              <a:gd name="T37" fmla="*/ 262 h 1204"/>
                              <a:gd name="T38" fmla="*/ 850 w 2432"/>
                              <a:gd name="T39" fmla="*/ 212 h 1204"/>
                              <a:gd name="T40" fmla="*/ 930 w 2432"/>
                              <a:gd name="T41" fmla="*/ 110 h 1204"/>
                              <a:gd name="T42" fmla="*/ 1006 w 2432"/>
                              <a:gd name="T43" fmla="*/ 32 h 1204"/>
                              <a:gd name="T44" fmla="*/ 1078 w 2432"/>
                              <a:gd name="T45" fmla="*/ 34 h 1204"/>
                              <a:gd name="T46" fmla="*/ 1168 w 2432"/>
                              <a:gd name="T47" fmla="*/ 22 h 1204"/>
                              <a:gd name="T48" fmla="*/ 1212 w 2432"/>
                              <a:gd name="T49" fmla="*/ 92 h 1204"/>
                              <a:gd name="T50" fmla="*/ 1300 w 2432"/>
                              <a:gd name="T51" fmla="*/ 124 h 1204"/>
                              <a:gd name="T52" fmla="*/ 1382 w 2432"/>
                              <a:gd name="T53" fmla="*/ 76 h 1204"/>
                              <a:gd name="T54" fmla="*/ 1478 w 2432"/>
                              <a:gd name="T55" fmla="*/ 76 h 1204"/>
                              <a:gd name="T56" fmla="*/ 1598 w 2432"/>
                              <a:gd name="T57" fmla="*/ 70 h 1204"/>
                              <a:gd name="T58" fmla="*/ 1820 w 2432"/>
                              <a:gd name="T59" fmla="*/ 84 h 1204"/>
                              <a:gd name="T60" fmla="*/ 1920 w 2432"/>
                              <a:gd name="T61" fmla="*/ 136 h 1204"/>
                              <a:gd name="T62" fmla="*/ 2158 w 2432"/>
                              <a:gd name="T63" fmla="*/ 146 h 1204"/>
                              <a:gd name="T64" fmla="*/ 2258 w 2432"/>
                              <a:gd name="T65" fmla="*/ 188 h 1204"/>
                              <a:gd name="T66" fmla="*/ 2298 w 2432"/>
                              <a:gd name="T67" fmla="*/ 314 h 1204"/>
                              <a:gd name="T68" fmla="*/ 2170 w 2432"/>
                              <a:gd name="T69" fmla="*/ 358 h 1204"/>
                              <a:gd name="T70" fmla="*/ 2084 w 2432"/>
                              <a:gd name="T71" fmla="*/ 432 h 1204"/>
                              <a:gd name="T72" fmla="*/ 2006 w 2432"/>
                              <a:gd name="T73" fmla="*/ 498 h 1204"/>
                              <a:gd name="T74" fmla="*/ 2014 w 2432"/>
                              <a:gd name="T75" fmla="*/ 578 h 1204"/>
                              <a:gd name="T76" fmla="*/ 2184 w 2432"/>
                              <a:gd name="T77" fmla="*/ 588 h 1204"/>
                              <a:gd name="T78" fmla="*/ 2224 w 2432"/>
                              <a:gd name="T79" fmla="*/ 690 h 1204"/>
                              <a:gd name="T80" fmla="*/ 2240 w 2432"/>
                              <a:gd name="T81" fmla="*/ 754 h 1204"/>
                              <a:gd name="T82" fmla="*/ 2296 w 2432"/>
                              <a:gd name="T83" fmla="*/ 798 h 1204"/>
                              <a:gd name="T84" fmla="*/ 2362 w 2432"/>
                              <a:gd name="T85" fmla="*/ 888 h 1204"/>
                              <a:gd name="T86" fmla="*/ 2426 w 2432"/>
                              <a:gd name="T87" fmla="*/ 964 h 1204"/>
                              <a:gd name="T88" fmla="*/ 2360 w 2432"/>
                              <a:gd name="T89" fmla="*/ 1014 h 1204"/>
                              <a:gd name="T90" fmla="*/ 2226 w 2432"/>
                              <a:gd name="T91" fmla="*/ 1044 h 1204"/>
                              <a:gd name="T92" fmla="*/ 2158 w 2432"/>
                              <a:gd name="T93" fmla="*/ 1018 h 1204"/>
                              <a:gd name="T94" fmla="*/ 2042 w 2432"/>
                              <a:gd name="T95" fmla="*/ 1060 h 1204"/>
                              <a:gd name="T96" fmla="*/ 1958 w 2432"/>
                              <a:gd name="T97" fmla="*/ 1010 h 1204"/>
                              <a:gd name="T98" fmla="*/ 1882 w 2432"/>
                              <a:gd name="T99" fmla="*/ 980 h 1204"/>
                              <a:gd name="T100" fmla="*/ 1810 w 2432"/>
                              <a:gd name="T101" fmla="*/ 946 h 1204"/>
                              <a:gd name="T102" fmla="*/ 1712 w 2432"/>
                              <a:gd name="T103" fmla="*/ 972 h 1204"/>
                              <a:gd name="T104" fmla="*/ 1618 w 2432"/>
                              <a:gd name="T105" fmla="*/ 990 h 1204"/>
                              <a:gd name="T106" fmla="*/ 1522 w 2432"/>
                              <a:gd name="T107" fmla="*/ 1028 h 1204"/>
                              <a:gd name="T108" fmla="*/ 1450 w 2432"/>
                              <a:gd name="T109" fmla="*/ 1034 h 1204"/>
                              <a:gd name="T110" fmla="*/ 1304 w 2432"/>
                              <a:gd name="T111" fmla="*/ 1094 h 1204"/>
                              <a:gd name="T112" fmla="*/ 1262 w 2432"/>
                              <a:gd name="T113" fmla="*/ 1204 h 1204"/>
                              <a:gd name="T114" fmla="*/ 1234 w 2432"/>
                              <a:gd name="T115" fmla="*/ 1144 h 1204"/>
                              <a:gd name="T116" fmla="*/ 1180 w 2432"/>
                              <a:gd name="T117" fmla="*/ 1052 h 1204"/>
                              <a:gd name="T118" fmla="*/ 1144 w 2432"/>
                              <a:gd name="T119" fmla="*/ 1028 h 1204"/>
                              <a:gd name="T120" fmla="*/ 1088 w 2432"/>
                              <a:gd name="T121" fmla="*/ 1076 h 1204"/>
                              <a:gd name="T122" fmla="*/ 964 w 2432"/>
                              <a:gd name="T123" fmla="*/ 1006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32" h="1204">
                                <a:moveTo>
                                  <a:pt x="854" y="992"/>
                                </a:moveTo>
                                <a:lnTo>
                                  <a:pt x="854" y="992"/>
                                </a:lnTo>
                                <a:lnTo>
                                  <a:pt x="850" y="992"/>
                                </a:lnTo>
                                <a:lnTo>
                                  <a:pt x="840" y="992"/>
                                </a:lnTo>
                                <a:lnTo>
                                  <a:pt x="820" y="992"/>
                                </a:lnTo>
                                <a:lnTo>
                                  <a:pt x="788" y="992"/>
                                </a:lnTo>
                                <a:lnTo>
                                  <a:pt x="778" y="972"/>
                                </a:lnTo>
                                <a:lnTo>
                                  <a:pt x="768" y="952"/>
                                </a:lnTo>
                                <a:lnTo>
                                  <a:pt x="756" y="940"/>
                                </a:lnTo>
                                <a:lnTo>
                                  <a:pt x="748" y="926"/>
                                </a:lnTo>
                                <a:lnTo>
                                  <a:pt x="742" y="908"/>
                                </a:lnTo>
                                <a:lnTo>
                                  <a:pt x="736" y="908"/>
                                </a:lnTo>
                                <a:lnTo>
                                  <a:pt x="724" y="908"/>
                                </a:lnTo>
                                <a:lnTo>
                                  <a:pt x="706" y="906"/>
                                </a:lnTo>
                                <a:lnTo>
                                  <a:pt x="688" y="908"/>
                                </a:lnTo>
                                <a:lnTo>
                                  <a:pt x="676" y="908"/>
                                </a:lnTo>
                                <a:lnTo>
                                  <a:pt x="670" y="908"/>
                                </a:lnTo>
                                <a:lnTo>
                                  <a:pt x="652" y="926"/>
                                </a:lnTo>
                                <a:lnTo>
                                  <a:pt x="632" y="942"/>
                                </a:lnTo>
                                <a:lnTo>
                                  <a:pt x="620" y="942"/>
                                </a:lnTo>
                                <a:lnTo>
                                  <a:pt x="608" y="942"/>
                                </a:lnTo>
                                <a:lnTo>
                                  <a:pt x="604" y="938"/>
                                </a:lnTo>
                                <a:lnTo>
                                  <a:pt x="600" y="934"/>
                                </a:lnTo>
                                <a:lnTo>
                                  <a:pt x="594" y="932"/>
                                </a:lnTo>
                                <a:lnTo>
                                  <a:pt x="594" y="928"/>
                                </a:lnTo>
                                <a:lnTo>
                                  <a:pt x="594" y="924"/>
                                </a:lnTo>
                                <a:lnTo>
                                  <a:pt x="582" y="924"/>
                                </a:lnTo>
                                <a:lnTo>
                                  <a:pt x="572" y="924"/>
                                </a:lnTo>
                                <a:lnTo>
                                  <a:pt x="568" y="920"/>
                                </a:lnTo>
                                <a:lnTo>
                                  <a:pt x="564" y="916"/>
                                </a:lnTo>
                                <a:lnTo>
                                  <a:pt x="550" y="918"/>
                                </a:lnTo>
                                <a:lnTo>
                                  <a:pt x="536" y="922"/>
                                </a:lnTo>
                                <a:lnTo>
                                  <a:pt x="522" y="924"/>
                                </a:lnTo>
                                <a:lnTo>
                                  <a:pt x="508" y="916"/>
                                </a:lnTo>
                                <a:lnTo>
                                  <a:pt x="498" y="916"/>
                                </a:lnTo>
                                <a:lnTo>
                                  <a:pt x="492" y="916"/>
                                </a:lnTo>
                                <a:lnTo>
                                  <a:pt x="492" y="912"/>
                                </a:lnTo>
                                <a:lnTo>
                                  <a:pt x="492" y="908"/>
                                </a:lnTo>
                                <a:lnTo>
                                  <a:pt x="486" y="908"/>
                                </a:lnTo>
                                <a:lnTo>
                                  <a:pt x="482" y="908"/>
                                </a:lnTo>
                                <a:lnTo>
                                  <a:pt x="482" y="890"/>
                                </a:lnTo>
                                <a:lnTo>
                                  <a:pt x="482" y="874"/>
                                </a:lnTo>
                                <a:lnTo>
                                  <a:pt x="478" y="874"/>
                                </a:lnTo>
                                <a:lnTo>
                                  <a:pt x="472" y="874"/>
                                </a:lnTo>
                                <a:lnTo>
                                  <a:pt x="472" y="870"/>
                                </a:lnTo>
                                <a:lnTo>
                                  <a:pt x="472" y="866"/>
                                </a:lnTo>
                                <a:lnTo>
                                  <a:pt x="450" y="866"/>
                                </a:lnTo>
                                <a:lnTo>
                                  <a:pt x="438" y="864"/>
                                </a:lnTo>
                                <a:lnTo>
                                  <a:pt x="430" y="864"/>
                                </a:lnTo>
                                <a:lnTo>
                                  <a:pt x="428" y="866"/>
                                </a:lnTo>
                                <a:lnTo>
                                  <a:pt x="424" y="870"/>
                                </a:lnTo>
                                <a:lnTo>
                                  <a:pt x="420" y="876"/>
                                </a:lnTo>
                                <a:lnTo>
                                  <a:pt x="418" y="882"/>
                                </a:lnTo>
                                <a:lnTo>
                                  <a:pt x="386" y="882"/>
                                </a:lnTo>
                                <a:lnTo>
                                  <a:pt x="354" y="884"/>
                                </a:lnTo>
                                <a:lnTo>
                                  <a:pt x="346" y="892"/>
                                </a:lnTo>
                                <a:lnTo>
                                  <a:pt x="340" y="904"/>
                                </a:lnTo>
                                <a:lnTo>
                                  <a:pt x="334" y="916"/>
                                </a:lnTo>
                                <a:lnTo>
                                  <a:pt x="326" y="926"/>
                                </a:lnTo>
                                <a:lnTo>
                                  <a:pt x="324" y="928"/>
                                </a:lnTo>
                                <a:lnTo>
                                  <a:pt x="324" y="932"/>
                                </a:lnTo>
                                <a:lnTo>
                                  <a:pt x="296" y="932"/>
                                </a:lnTo>
                                <a:lnTo>
                                  <a:pt x="270" y="934"/>
                                </a:lnTo>
                                <a:lnTo>
                                  <a:pt x="270" y="938"/>
                                </a:lnTo>
                                <a:lnTo>
                                  <a:pt x="268" y="942"/>
                                </a:lnTo>
                                <a:lnTo>
                                  <a:pt x="264" y="942"/>
                                </a:lnTo>
                                <a:lnTo>
                                  <a:pt x="258" y="942"/>
                                </a:lnTo>
                                <a:lnTo>
                                  <a:pt x="258" y="890"/>
                                </a:lnTo>
                                <a:lnTo>
                                  <a:pt x="258" y="840"/>
                                </a:lnTo>
                                <a:lnTo>
                                  <a:pt x="254" y="838"/>
                                </a:lnTo>
                                <a:lnTo>
                                  <a:pt x="250" y="838"/>
                                </a:lnTo>
                                <a:lnTo>
                                  <a:pt x="246" y="828"/>
                                </a:lnTo>
                                <a:lnTo>
                                  <a:pt x="236" y="820"/>
                                </a:lnTo>
                                <a:lnTo>
                                  <a:pt x="220" y="816"/>
                                </a:lnTo>
                                <a:lnTo>
                                  <a:pt x="202" y="814"/>
                                </a:lnTo>
                                <a:lnTo>
                                  <a:pt x="182" y="814"/>
                                </a:lnTo>
                                <a:lnTo>
                                  <a:pt x="164" y="814"/>
                                </a:lnTo>
                                <a:lnTo>
                                  <a:pt x="150" y="814"/>
                                </a:lnTo>
                                <a:lnTo>
                                  <a:pt x="140" y="814"/>
                                </a:lnTo>
                                <a:lnTo>
                                  <a:pt x="138" y="818"/>
                                </a:lnTo>
                                <a:lnTo>
                                  <a:pt x="138" y="822"/>
                                </a:lnTo>
                                <a:lnTo>
                                  <a:pt x="126" y="822"/>
                                </a:lnTo>
                                <a:lnTo>
                                  <a:pt x="116" y="820"/>
                                </a:lnTo>
                                <a:lnTo>
                                  <a:pt x="110" y="816"/>
                                </a:lnTo>
                                <a:lnTo>
                                  <a:pt x="104" y="810"/>
                                </a:lnTo>
                                <a:lnTo>
                                  <a:pt x="98" y="808"/>
                                </a:lnTo>
                                <a:lnTo>
                                  <a:pt x="92" y="806"/>
                                </a:lnTo>
                                <a:lnTo>
                                  <a:pt x="96" y="792"/>
                                </a:lnTo>
                                <a:lnTo>
                                  <a:pt x="102" y="784"/>
                                </a:lnTo>
                                <a:lnTo>
                                  <a:pt x="114" y="782"/>
                                </a:lnTo>
                                <a:lnTo>
                                  <a:pt x="128" y="780"/>
                                </a:lnTo>
                                <a:lnTo>
                                  <a:pt x="126" y="754"/>
                                </a:lnTo>
                                <a:lnTo>
                                  <a:pt x="126" y="730"/>
                                </a:lnTo>
                                <a:lnTo>
                                  <a:pt x="118" y="726"/>
                                </a:lnTo>
                                <a:lnTo>
                                  <a:pt x="112" y="724"/>
                                </a:lnTo>
                                <a:lnTo>
                                  <a:pt x="108" y="720"/>
                                </a:lnTo>
                                <a:lnTo>
                                  <a:pt x="104" y="716"/>
                                </a:lnTo>
                                <a:lnTo>
                                  <a:pt x="102" y="708"/>
                                </a:lnTo>
                                <a:lnTo>
                                  <a:pt x="106" y="704"/>
                                </a:lnTo>
                                <a:lnTo>
                                  <a:pt x="108" y="698"/>
                                </a:lnTo>
                                <a:lnTo>
                                  <a:pt x="110" y="692"/>
                                </a:lnTo>
                                <a:lnTo>
                                  <a:pt x="110" y="686"/>
                                </a:lnTo>
                                <a:lnTo>
                                  <a:pt x="110" y="678"/>
                                </a:lnTo>
                                <a:lnTo>
                                  <a:pt x="128" y="672"/>
                                </a:lnTo>
                                <a:lnTo>
                                  <a:pt x="140" y="664"/>
                                </a:lnTo>
                                <a:lnTo>
                                  <a:pt x="148" y="648"/>
                                </a:lnTo>
                                <a:lnTo>
                                  <a:pt x="152" y="646"/>
                                </a:lnTo>
                                <a:lnTo>
                                  <a:pt x="154" y="644"/>
                                </a:lnTo>
                                <a:lnTo>
                                  <a:pt x="154" y="622"/>
                                </a:lnTo>
                                <a:lnTo>
                                  <a:pt x="154" y="602"/>
                                </a:lnTo>
                                <a:lnTo>
                                  <a:pt x="146" y="592"/>
                                </a:lnTo>
                                <a:lnTo>
                                  <a:pt x="140" y="580"/>
                                </a:lnTo>
                                <a:lnTo>
                                  <a:pt x="138" y="568"/>
                                </a:lnTo>
                                <a:lnTo>
                                  <a:pt x="142" y="568"/>
                                </a:lnTo>
                                <a:lnTo>
                                  <a:pt x="148" y="568"/>
                                </a:lnTo>
                                <a:lnTo>
                                  <a:pt x="148" y="552"/>
                                </a:lnTo>
                                <a:lnTo>
                                  <a:pt x="146" y="538"/>
                                </a:lnTo>
                                <a:lnTo>
                                  <a:pt x="142" y="526"/>
                                </a:lnTo>
                                <a:lnTo>
                                  <a:pt x="130" y="516"/>
                                </a:lnTo>
                                <a:lnTo>
                                  <a:pt x="128" y="514"/>
                                </a:lnTo>
                                <a:lnTo>
                                  <a:pt x="128" y="510"/>
                                </a:lnTo>
                                <a:lnTo>
                                  <a:pt x="120" y="510"/>
                                </a:lnTo>
                                <a:lnTo>
                                  <a:pt x="110" y="510"/>
                                </a:lnTo>
                                <a:lnTo>
                                  <a:pt x="110" y="504"/>
                                </a:lnTo>
                                <a:lnTo>
                                  <a:pt x="108" y="502"/>
                                </a:lnTo>
                                <a:lnTo>
                                  <a:pt x="102" y="502"/>
                                </a:lnTo>
                                <a:lnTo>
                                  <a:pt x="98" y="502"/>
                                </a:lnTo>
                                <a:lnTo>
                                  <a:pt x="94" y="502"/>
                                </a:lnTo>
                                <a:lnTo>
                                  <a:pt x="92" y="504"/>
                                </a:lnTo>
                                <a:lnTo>
                                  <a:pt x="86" y="508"/>
                                </a:lnTo>
                                <a:lnTo>
                                  <a:pt x="68" y="508"/>
                                </a:lnTo>
                                <a:lnTo>
                                  <a:pt x="50" y="508"/>
                                </a:lnTo>
                                <a:lnTo>
                                  <a:pt x="44" y="502"/>
                                </a:lnTo>
                                <a:lnTo>
                                  <a:pt x="36" y="496"/>
                                </a:lnTo>
                                <a:lnTo>
                                  <a:pt x="36" y="480"/>
                                </a:lnTo>
                                <a:lnTo>
                                  <a:pt x="34" y="466"/>
                                </a:lnTo>
                                <a:lnTo>
                                  <a:pt x="28" y="454"/>
                                </a:lnTo>
                                <a:lnTo>
                                  <a:pt x="28" y="442"/>
                                </a:lnTo>
                                <a:lnTo>
                                  <a:pt x="26" y="434"/>
                                </a:lnTo>
                                <a:lnTo>
                                  <a:pt x="22" y="434"/>
                                </a:lnTo>
                                <a:lnTo>
                                  <a:pt x="16" y="434"/>
                                </a:lnTo>
                                <a:lnTo>
                                  <a:pt x="16" y="428"/>
                                </a:lnTo>
                                <a:lnTo>
                                  <a:pt x="14" y="426"/>
                                </a:lnTo>
                                <a:lnTo>
                                  <a:pt x="14" y="424"/>
                                </a:lnTo>
                                <a:lnTo>
                                  <a:pt x="12" y="422"/>
                                </a:lnTo>
                                <a:lnTo>
                                  <a:pt x="10" y="418"/>
                                </a:lnTo>
                                <a:lnTo>
                                  <a:pt x="8" y="412"/>
                                </a:lnTo>
                                <a:lnTo>
                                  <a:pt x="6" y="404"/>
                                </a:lnTo>
                                <a:lnTo>
                                  <a:pt x="4" y="398"/>
                                </a:lnTo>
                                <a:lnTo>
                                  <a:pt x="0" y="394"/>
                                </a:lnTo>
                                <a:lnTo>
                                  <a:pt x="0" y="362"/>
                                </a:lnTo>
                                <a:lnTo>
                                  <a:pt x="0" y="328"/>
                                </a:lnTo>
                                <a:lnTo>
                                  <a:pt x="16" y="318"/>
                                </a:lnTo>
                                <a:lnTo>
                                  <a:pt x="34" y="314"/>
                                </a:lnTo>
                                <a:lnTo>
                                  <a:pt x="48" y="306"/>
                                </a:lnTo>
                                <a:lnTo>
                                  <a:pt x="70" y="300"/>
                                </a:lnTo>
                                <a:lnTo>
                                  <a:pt x="92" y="298"/>
                                </a:lnTo>
                                <a:lnTo>
                                  <a:pt x="116" y="300"/>
                                </a:lnTo>
                                <a:lnTo>
                                  <a:pt x="136" y="304"/>
                                </a:lnTo>
                                <a:lnTo>
                                  <a:pt x="152" y="314"/>
                                </a:lnTo>
                                <a:lnTo>
                                  <a:pt x="158" y="314"/>
                                </a:lnTo>
                                <a:lnTo>
                                  <a:pt x="176" y="314"/>
                                </a:lnTo>
                                <a:lnTo>
                                  <a:pt x="200" y="314"/>
                                </a:lnTo>
                                <a:lnTo>
                                  <a:pt x="226" y="314"/>
                                </a:lnTo>
                                <a:lnTo>
                                  <a:pt x="252" y="314"/>
                                </a:lnTo>
                                <a:lnTo>
                                  <a:pt x="268" y="314"/>
                                </a:lnTo>
                                <a:lnTo>
                                  <a:pt x="276" y="314"/>
                                </a:lnTo>
                                <a:lnTo>
                                  <a:pt x="288" y="306"/>
                                </a:lnTo>
                                <a:lnTo>
                                  <a:pt x="302" y="304"/>
                                </a:lnTo>
                                <a:lnTo>
                                  <a:pt x="316" y="306"/>
                                </a:lnTo>
                                <a:lnTo>
                                  <a:pt x="328" y="314"/>
                                </a:lnTo>
                                <a:lnTo>
                                  <a:pt x="334" y="314"/>
                                </a:lnTo>
                                <a:lnTo>
                                  <a:pt x="348" y="314"/>
                                </a:lnTo>
                                <a:lnTo>
                                  <a:pt x="366" y="314"/>
                                </a:lnTo>
                                <a:lnTo>
                                  <a:pt x="384" y="314"/>
                                </a:lnTo>
                                <a:lnTo>
                                  <a:pt x="400" y="314"/>
                                </a:lnTo>
                                <a:lnTo>
                                  <a:pt x="404" y="314"/>
                                </a:lnTo>
                                <a:lnTo>
                                  <a:pt x="410" y="310"/>
                                </a:lnTo>
                                <a:lnTo>
                                  <a:pt x="414" y="306"/>
                                </a:lnTo>
                                <a:lnTo>
                                  <a:pt x="434" y="306"/>
                                </a:lnTo>
                                <a:lnTo>
                                  <a:pt x="454" y="306"/>
                                </a:lnTo>
                                <a:lnTo>
                                  <a:pt x="454" y="302"/>
                                </a:lnTo>
                                <a:lnTo>
                                  <a:pt x="454" y="298"/>
                                </a:lnTo>
                                <a:lnTo>
                                  <a:pt x="458" y="296"/>
                                </a:lnTo>
                                <a:lnTo>
                                  <a:pt x="462" y="296"/>
                                </a:lnTo>
                                <a:lnTo>
                                  <a:pt x="464" y="294"/>
                                </a:lnTo>
                                <a:lnTo>
                                  <a:pt x="466" y="292"/>
                                </a:lnTo>
                                <a:lnTo>
                                  <a:pt x="470" y="290"/>
                                </a:lnTo>
                                <a:lnTo>
                                  <a:pt x="512" y="288"/>
                                </a:lnTo>
                                <a:lnTo>
                                  <a:pt x="554" y="288"/>
                                </a:lnTo>
                                <a:lnTo>
                                  <a:pt x="556" y="284"/>
                                </a:lnTo>
                                <a:lnTo>
                                  <a:pt x="556" y="280"/>
                                </a:lnTo>
                                <a:lnTo>
                                  <a:pt x="584" y="280"/>
                                </a:lnTo>
                                <a:lnTo>
                                  <a:pt x="612" y="280"/>
                                </a:lnTo>
                                <a:lnTo>
                                  <a:pt x="612" y="282"/>
                                </a:lnTo>
                                <a:lnTo>
                                  <a:pt x="614" y="286"/>
                                </a:lnTo>
                                <a:lnTo>
                                  <a:pt x="622" y="286"/>
                                </a:lnTo>
                                <a:lnTo>
                                  <a:pt x="628" y="286"/>
                                </a:lnTo>
                                <a:lnTo>
                                  <a:pt x="630" y="282"/>
                                </a:lnTo>
                                <a:lnTo>
                                  <a:pt x="630" y="280"/>
                                </a:lnTo>
                                <a:lnTo>
                                  <a:pt x="640" y="280"/>
                                </a:lnTo>
                                <a:lnTo>
                                  <a:pt x="648" y="276"/>
                                </a:lnTo>
                                <a:lnTo>
                                  <a:pt x="656" y="272"/>
                                </a:lnTo>
                                <a:lnTo>
                                  <a:pt x="716" y="270"/>
                                </a:lnTo>
                                <a:lnTo>
                                  <a:pt x="778" y="270"/>
                                </a:lnTo>
                                <a:lnTo>
                                  <a:pt x="778" y="266"/>
                                </a:lnTo>
                                <a:lnTo>
                                  <a:pt x="778" y="264"/>
                                </a:lnTo>
                                <a:lnTo>
                                  <a:pt x="798" y="262"/>
                                </a:lnTo>
                                <a:lnTo>
                                  <a:pt x="816" y="262"/>
                                </a:lnTo>
                                <a:lnTo>
                                  <a:pt x="816" y="258"/>
                                </a:lnTo>
                                <a:lnTo>
                                  <a:pt x="816" y="254"/>
                                </a:lnTo>
                                <a:lnTo>
                                  <a:pt x="830" y="246"/>
                                </a:lnTo>
                                <a:lnTo>
                                  <a:pt x="834" y="236"/>
                                </a:lnTo>
                                <a:lnTo>
                                  <a:pt x="836" y="220"/>
                                </a:lnTo>
                                <a:lnTo>
                                  <a:pt x="840" y="220"/>
                                </a:lnTo>
                                <a:lnTo>
                                  <a:pt x="842" y="218"/>
                                </a:lnTo>
                                <a:lnTo>
                                  <a:pt x="844" y="218"/>
                                </a:lnTo>
                                <a:lnTo>
                                  <a:pt x="848" y="216"/>
                                </a:lnTo>
                                <a:lnTo>
                                  <a:pt x="850" y="212"/>
                                </a:lnTo>
                                <a:lnTo>
                                  <a:pt x="854" y="196"/>
                                </a:lnTo>
                                <a:lnTo>
                                  <a:pt x="862" y="186"/>
                                </a:lnTo>
                                <a:lnTo>
                                  <a:pt x="874" y="180"/>
                                </a:lnTo>
                                <a:lnTo>
                                  <a:pt x="892" y="178"/>
                                </a:lnTo>
                                <a:lnTo>
                                  <a:pt x="892" y="174"/>
                                </a:lnTo>
                                <a:lnTo>
                                  <a:pt x="892" y="170"/>
                                </a:lnTo>
                                <a:lnTo>
                                  <a:pt x="902" y="164"/>
                                </a:lnTo>
                                <a:lnTo>
                                  <a:pt x="912" y="152"/>
                                </a:lnTo>
                                <a:lnTo>
                                  <a:pt x="920" y="136"/>
                                </a:lnTo>
                                <a:lnTo>
                                  <a:pt x="926" y="124"/>
                                </a:lnTo>
                                <a:lnTo>
                                  <a:pt x="930" y="110"/>
                                </a:lnTo>
                                <a:lnTo>
                                  <a:pt x="934" y="102"/>
                                </a:lnTo>
                                <a:lnTo>
                                  <a:pt x="942" y="98"/>
                                </a:lnTo>
                                <a:lnTo>
                                  <a:pt x="952" y="92"/>
                                </a:lnTo>
                                <a:lnTo>
                                  <a:pt x="962" y="86"/>
                                </a:lnTo>
                                <a:lnTo>
                                  <a:pt x="964" y="80"/>
                                </a:lnTo>
                                <a:lnTo>
                                  <a:pt x="966" y="74"/>
                                </a:lnTo>
                                <a:lnTo>
                                  <a:pt x="970" y="70"/>
                                </a:lnTo>
                                <a:lnTo>
                                  <a:pt x="984" y="64"/>
                                </a:lnTo>
                                <a:lnTo>
                                  <a:pt x="992" y="54"/>
                                </a:lnTo>
                                <a:lnTo>
                                  <a:pt x="998" y="42"/>
                                </a:lnTo>
                                <a:lnTo>
                                  <a:pt x="1006" y="32"/>
                                </a:lnTo>
                                <a:lnTo>
                                  <a:pt x="1018" y="26"/>
                                </a:lnTo>
                                <a:lnTo>
                                  <a:pt x="1024" y="20"/>
                                </a:lnTo>
                                <a:lnTo>
                                  <a:pt x="1030" y="16"/>
                                </a:lnTo>
                                <a:lnTo>
                                  <a:pt x="1034" y="12"/>
                                </a:lnTo>
                                <a:lnTo>
                                  <a:pt x="1038" y="6"/>
                                </a:lnTo>
                                <a:lnTo>
                                  <a:pt x="1040" y="0"/>
                                </a:lnTo>
                                <a:lnTo>
                                  <a:pt x="1054" y="0"/>
                                </a:lnTo>
                                <a:lnTo>
                                  <a:pt x="1066" y="0"/>
                                </a:lnTo>
                                <a:lnTo>
                                  <a:pt x="1074" y="12"/>
                                </a:lnTo>
                                <a:lnTo>
                                  <a:pt x="1076" y="22"/>
                                </a:lnTo>
                                <a:lnTo>
                                  <a:pt x="1078" y="34"/>
                                </a:lnTo>
                                <a:lnTo>
                                  <a:pt x="1086" y="36"/>
                                </a:lnTo>
                                <a:lnTo>
                                  <a:pt x="1090" y="38"/>
                                </a:lnTo>
                                <a:lnTo>
                                  <a:pt x="1096" y="40"/>
                                </a:lnTo>
                                <a:lnTo>
                                  <a:pt x="1100" y="44"/>
                                </a:lnTo>
                                <a:lnTo>
                                  <a:pt x="1106" y="50"/>
                                </a:lnTo>
                                <a:lnTo>
                                  <a:pt x="1116" y="46"/>
                                </a:lnTo>
                                <a:lnTo>
                                  <a:pt x="1128" y="36"/>
                                </a:lnTo>
                                <a:lnTo>
                                  <a:pt x="1138" y="26"/>
                                </a:lnTo>
                                <a:lnTo>
                                  <a:pt x="1146" y="18"/>
                                </a:lnTo>
                                <a:lnTo>
                                  <a:pt x="1158" y="20"/>
                                </a:lnTo>
                                <a:lnTo>
                                  <a:pt x="1168" y="22"/>
                                </a:lnTo>
                                <a:lnTo>
                                  <a:pt x="1180" y="26"/>
                                </a:lnTo>
                                <a:lnTo>
                                  <a:pt x="1180" y="30"/>
                                </a:lnTo>
                                <a:lnTo>
                                  <a:pt x="1180" y="34"/>
                                </a:lnTo>
                                <a:lnTo>
                                  <a:pt x="1192" y="36"/>
                                </a:lnTo>
                                <a:lnTo>
                                  <a:pt x="1200" y="42"/>
                                </a:lnTo>
                                <a:lnTo>
                                  <a:pt x="1204" y="50"/>
                                </a:lnTo>
                                <a:lnTo>
                                  <a:pt x="1210" y="58"/>
                                </a:lnTo>
                                <a:lnTo>
                                  <a:pt x="1216" y="64"/>
                                </a:lnTo>
                                <a:lnTo>
                                  <a:pt x="1216" y="78"/>
                                </a:lnTo>
                                <a:lnTo>
                                  <a:pt x="1216" y="92"/>
                                </a:lnTo>
                                <a:lnTo>
                                  <a:pt x="1212" y="92"/>
                                </a:lnTo>
                                <a:lnTo>
                                  <a:pt x="1208" y="94"/>
                                </a:lnTo>
                                <a:lnTo>
                                  <a:pt x="1208" y="106"/>
                                </a:lnTo>
                                <a:lnTo>
                                  <a:pt x="1208" y="118"/>
                                </a:lnTo>
                                <a:lnTo>
                                  <a:pt x="1220" y="130"/>
                                </a:lnTo>
                                <a:lnTo>
                                  <a:pt x="1230" y="144"/>
                                </a:lnTo>
                                <a:lnTo>
                                  <a:pt x="1240" y="156"/>
                                </a:lnTo>
                                <a:lnTo>
                                  <a:pt x="1254" y="166"/>
                                </a:lnTo>
                                <a:lnTo>
                                  <a:pt x="1270" y="172"/>
                                </a:lnTo>
                                <a:lnTo>
                                  <a:pt x="1276" y="154"/>
                                </a:lnTo>
                                <a:lnTo>
                                  <a:pt x="1286" y="138"/>
                                </a:lnTo>
                                <a:lnTo>
                                  <a:pt x="1300" y="124"/>
                                </a:lnTo>
                                <a:lnTo>
                                  <a:pt x="1300" y="110"/>
                                </a:lnTo>
                                <a:lnTo>
                                  <a:pt x="1300" y="98"/>
                                </a:lnTo>
                                <a:lnTo>
                                  <a:pt x="1308" y="94"/>
                                </a:lnTo>
                                <a:lnTo>
                                  <a:pt x="1316" y="90"/>
                                </a:lnTo>
                                <a:lnTo>
                                  <a:pt x="1324" y="88"/>
                                </a:lnTo>
                                <a:lnTo>
                                  <a:pt x="1332" y="86"/>
                                </a:lnTo>
                                <a:lnTo>
                                  <a:pt x="1344" y="92"/>
                                </a:lnTo>
                                <a:lnTo>
                                  <a:pt x="1358" y="92"/>
                                </a:lnTo>
                                <a:lnTo>
                                  <a:pt x="1372" y="94"/>
                                </a:lnTo>
                                <a:lnTo>
                                  <a:pt x="1376" y="82"/>
                                </a:lnTo>
                                <a:lnTo>
                                  <a:pt x="1382" y="76"/>
                                </a:lnTo>
                                <a:lnTo>
                                  <a:pt x="1390" y="70"/>
                                </a:lnTo>
                                <a:lnTo>
                                  <a:pt x="1400" y="66"/>
                                </a:lnTo>
                                <a:lnTo>
                                  <a:pt x="1406" y="62"/>
                                </a:lnTo>
                                <a:lnTo>
                                  <a:pt x="1412" y="52"/>
                                </a:lnTo>
                                <a:lnTo>
                                  <a:pt x="1432" y="52"/>
                                </a:lnTo>
                                <a:lnTo>
                                  <a:pt x="1454" y="52"/>
                                </a:lnTo>
                                <a:lnTo>
                                  <a:pt x="1460" y="58"/>
                                </a:lnTo>
                                <a:lnTo>
                                  <a:pt x="1468" y="64"/>
                                </a:lnTo>
                                <a:lnTo>
                                  <a:pt x="1476" y="68"/>
                                </a:lnTo>
                                <a:lnTo>
                                  <a:pt x="1478" y="72"/>
                                </a:lnTo>
                                <a:lnTo>
                                  <a:pt x="1478" y="76"/>
                                </a:lnTo>
                                <a:lnTo>
                                  <a:pt x="1484" y="78"/>
                                </a:lnTo>
                                <a:lnTo>
                                  <a:pt x="1490" y="78"/>
                                </a:lnTo>
                                <a:lnTo>
                                  <a:pt x="1494" y="82"/>
                                </a:lnTo>
                                <a:lnTo>
                                  <a:pt x="1500" y="86"/>
                                </a:lnTo>
                                <a:lnTo>
                                  <a:pt x="1528" y="86"/>
                                </a:lnTo>
                                <a:lnTo>
                                  <a:pt x="1556" y="86"/>
                                </a:lnTo>
                                <a:lnTo>
                                  <a:pt x="1568" y="78"/>
                                </a:lnTo>
                                <a:lnTo>
                                  <a:pt x="1582" y="78"/>
                                </a:lnTo>
                                <a:lnTo>
                                  <a:pt x="1598" y="78"/>
                                </a:lnTo>
                                <a:lnTo>
                                  <a:pt x="1598" y="74"/>
                                </a:lnTo>
                                <a:lnTo>
                                  <a:pt x="1598" y="70"/>
                                </a:lnTo>
                                <a:lnTo>
                                  <a:pt x="1618" y="68"/>
                                </a:lnTo>
                                <a:lnTo>
                                  <a:pt x="1640" y="68"/>
                                </a:lnTo>
                                <a:lnTo>
                                  <a:pt x="1644" y="64"/>
                                </a:lnTo>
                                <a:lnTo>
                                  <a:pt x="1648" y="60"/>
                                </a:lnTo>
                                <a:lnTo>
                                  <a:pt x="1714" y="60"/>
                                </a:lnTo>
                                <a:lnTo>
                                  <a:pt x="1778" y="60"/>
                                </a:lnTo>
                                <a:lnTo>
                                  <a:pt x="1788" y="66"/>
                                </a:lnTo>
                                <a:lnTo>
                                  <a:pt x="1798" y="68"/>
                                </a:lnTo>
                                <a:lnTo>
                                  <a:pt x="1810" y="68"/>
                                </a:lnTo>
                                <a:lnTo>
                                  <a:pt x="1814" y="76"/>
                                </a:lnTo>
                                <a:lnTo>
                                  <a:pt x="1820" y="84"/>
                                </a:lnTo>
                                <a:lnTo>
                                  <a:pt x="1826" y="92"/>
                                </a:lnTo>
                                <a:lnTo>
                                  <a:pt x="1830" y="102"/>
                                </a:lnTo>
                                <a:lnTo>
                                  <a:pt x="1846" y="102"/>
                                </a:lnTo>
                                <a:lnTo>
                                  <a:pt x="1856" y="108"/>
                                </a:lnTo>
                                <a:lnTo>
                                  <a:pt x="1866" y="116"/>
                                </a:lnTo>
                                <a:lnTo>
                                  <a:pt x="1878" y="126"/>
                                </a:lnTo>
                                <a:lnTo>
                                  <a:pt x="1888" y="128"/>
                                </a:lnTo>
                                <a:lnTo>
                                  <a:pt x="1898" y="130"/>
                                </a:lnTo>
                                <a:lnTo>
                                  <a:pt x="1906" y="134"/>
                                </a:lnTo>
                                <a:lnTo>
                                  <a:pt x="1910" y="136"/>
                                </a:lnTo>
                                <a:lnTo>
                                  <a:pt x="1920" y="136"/>
                                </a:lnTo>
                                <a:lnTo>
                                  <a:pt x="1934" y="136"/>
                                </a:lnTo>
                                <a:lnTo>
                                  <a:pt x="1944" y="136"/>
                                </a:lnTo>
                                <a:lnTo>
                                  <a:pt x="1948" y="134"/>
                                </a:lnTo>
                                <a:lnTo>
                                  <a:pt x="1952" y="132"/>
                                </a:lnTo>
                                <a:lnTo>
                                  <a:pt x="1958" y="128"/>
                                </a:lnTo>
                                <a:lnTo>
                                  <a:pt x="2030" y="128"/>
                                </a:lnTo>
                                <a:lnTo>
                                  <a:pt x="2102" y="128"/>
                                </a:lnTo>
                                <a:lnTo>
                                  <a:pt x="2106" y="132"/>
                                </a:lnTo>
                                <a:lnTo>
                                  <a:pt x="2110" y="134"/>
                                </a:lnTo>
                                <a:lnTo>
                                  <a:pt x="2136" y="140"/>
                                </a:lnTo>
                                <a:lnTo>
                                  <a:pt x="2158" y="146"/>
                                </a:lnTo>
                                <a:lnTo>
                                  <a:pt x="2184" y="154"/>
                                </a:lnTo>
                                <a:lnTo>
                                  <a:pt x="2184" y="156"/>
                                </a:lnTo>
                                <a:lnTo>
                                  <a:pt x="2184" y="160"/>
                                </a:lnTo>
                                <a:lnTo>
                                  <a:pt x="2188" y="160"/>
                                </a:lnTo>
                                <a:lnTo>
                                  <a:pt x="2192" y="162"/>
                                </a:lnTo>
                                <a:lnTo>
                                  <a:pt x="2196" y="162"/>
                                </a:lnTo>
                                <a:lnTo>
                                  <a:pt x="2198" y="166"/>
                                </a:lnTo>
                                <a:lnTo>
                                  <a:pt x="2202" y="168"/>
                                </a:lnTo>
                                <a:lnTo>
                                  <a:pt x="2222" y="174"/>
                                </a:lnTo>
                                <a:lnTo>
                                  <a:pt x="2240" y="180"/>
                                </a:lnTo>
                                <a:lnTo>
                                  <a:pt x="2258" y="188"/>
                                </a:lnTo>
                                <a:lnTo>
                                  <a:pt x="2258" y="192"/>
                                </a:lnTo>
                                <a:lnTo>
                                  <a:pt x="2258" y="196"/>
                                </a:lnTo>
                                <a:lnTo>
                                  <a:pt x="2276" y="198"/>
                                </a:lnTo>
                                <a:lnTo>
                                  <a:pt x="2294" y="204"/>
                                </a:lnTo>
                                <a:lnTo>
                                  <a:pt x="2294" y="244"/>
                                </a:lnTo>
                                <a:lnTo>
                                  <a:pt x="2296" y="286"/>
                                </a:lnTo>
                                <a:lnTo>
                                  <a:pt x="2300" y="290"/>
                                </a:lnTo>
                                <a:lnTo>
                                  <a:pt x="2300" y="296"/>
                                </a:lnTo>
                                <a:lnTo>
                                  <a:pt x="2302" y="302"/>
                                </a:lnTo>
                                <a:lnTo>
                                  <a:pt x="2300" y="308"/>
                                </a:lnTo>
                                <a:lnTo>
                                  <a:pt x="2298" y="314"/>
                                </a:lnTo>
                                <a:lnTo>
                                  <a:pt x="2258" y="314"/>
                                </a:lnTo>
                                <a:lnTo>
                                  <a:pt x="2230" y="314"/>
                                </a:lnTo>
                                <a:lnTo>
                                  <a:pt x="2212" y="314"/>
                                </a:lnTo>
                                <a:lnTo>
                                  <a:pt x="2200" y="316"/>
                                </a:lnTo>
                                <a:lnTo>
                                  <a:pt x="2196" y="316"/>
                                </a:lnTo>
                                <a:lnTo>
                                  <a:pt x="2194" y="316"/>
                                </a:lnTo>
                                <a:lnTo>
                                  <a:pt x="2190" y="330"/>
                                </a:lnTo>
                                <a:lnTo>
                                  <a:pt x="2186" y="342"/>
                                </a:lnTo>
                                <a:lnTo>
                                  <a:pt x="2184" y="356"/>
                                </a:lnTo>
                                <a:lnTo>
                                  <a:pt x="2170" y="358"/>
                                </a:lnTo>
                                <a:lnTo>
                                  <a:pt x="2156" y="358"/>
                                </a:lnTo>
                                <a:lnTo>
                                  <a:pt x="2142" y="370"/>
                                </a:lnTo>
                                <a:lnTo>
                                  <a:pt x="2128" y="382"/>
                                </a:lnTo>
                                <a:lnTo>
                                  <a:pt x="2126" y="390"/>
                                </a:lnTo>
                                <a:lnTo>
                                  <a:pt x="2124" y="394"/>
                                </a:lnTo>
                                <a:lnTo>
                                  <a:pt x="2120" y="398"/>
                                </a:lnTo>
                                <a:lnTo>
                                  <a:pt x="2116" y="398"/>
                                </a:lnTo>
                                <a:lnTo>
                                  <a:pt x="2110" y="400"/>
                                </a:lnTo>
                                <a:lnTo>
                                  <a:pt x="2104" y="412"/>
                                </a:lnTo>
                                <a:lnTo>
                                  <a:pt x="2094" y="422"/>
                                </a:lnTo>
                                <a:lnTo>
                                  <a:pt x="2084" y="432"/>
                                </a:lnTo>
                                <a:lnTo>
                                  <a:pt x="2078" y="432"/>
                                </a:lnTo>
                                <a:lnTo>
                                  <a:pt x="2072" y="432"/>
                                </a:lnTo>
                                <a:lnTo>
                                  <a:pt x="2072" y="446"/>
                                </a:lnTo>
                                <a:lnTo>
                                  <a:pt x="2072" y="462"/>
                                </a:lnTo>
                                <a:lnTo>
                                  <a:pt x="2066" y="464"/>
                                </a:lnTo>
                                <a:lnTo>
                                  <a:pt x="2060" y="466"/>
                                </a:lnTo>
                                <a:lnTo>
                                  <a:pt x="2054" y="468"/>
                                </a:lnTo>
                                <a:lnTo>
                                  <a:pt x="2046" y="468"/>
                                </a:lnTo>
                                <a:lnTo>
                                  <a:pt x="2032" y="480"/>
                                </a:lnTo>
                                <a:lnTo>
                                  <a:pt x="2018" y="492"/>
                                </a:lnTo>
                                <a:lnTo>
                                  <a:pt x="2006" y="498"/>
                                </a:lnTo>
                                <a:lnTo>
                                  <a:pt x="1994" y="510"/>
                                </a:lnTo>
                                <a:lnTo>
                                  <a:pt x="1986" y="524"/>
                                </a:lnTo>
                                <a:lnTo>
                                  <a:pt x="1980" y="540"/>
                                </a:lnTo>
                                <a:lnTo>
                                  <a:pt x="1976" y="556"/>
                                </a:lnTo>
                                <a:lnTo>
                                  <a:pt x="1972" y="560"/>
                                </a:lnTo>
                                <a:lnTo>
                                  <a:pt x="1970" y="564"/>
                                </a:lnTo>
                                <a:lnTo>
                                  <a:pt x="1970" y="570"/>
                                </a:lnTo>
                                <a:lnTo>
                                  <a:pt x="1970" y="576"/>
                                </a:lnTo>
                                <a:lnTo>
                                  <a:pt x="1976" y="578"/>
                                </a:lnTo>
                                <a:lnTo>
                                  <a:pt x="1992" y="578"/>
                                </a:lnTo>
                                <a:lnTo>
                                  <a:pt x="2014" y="578"/>
                                </a:lnTo>
                                <a:lnTo>
                                  <a:pt x="2036" y="578"/>
                                </a:lnTo>
                                <a:lnTo>
                                  <a:pt x="2052" y="578"/>
                                </a:lnTo>
                                <a:lnTo>
                                  <a:pt x="2060" y="576"/>
                                </a:lnTo>
                                <a:lnTo>
                                  <a:pt x="2062" y="574"/>
                                </a:lnTo>
                                <a:lnTo>
                                  <a:pt x="2064" y="570"/>
                                </a:lnTo>
                                <a:lnTo>
                                  <a:pt x="2088" y="570"/>
                                </a:lnTo>
                                <a:lnTo>
                                  <a:pt x="2112" y="568"/>
                                </a:lnTo>
                                <a:lnTo>
                                  <a:pt x="2138" y="568"/>
                                </a:lnTo>
                                <a:lnTo>
                                  <a:pt x="2162" y="570"/>
                                </a:lnTo>
                                <a:lnTo>
                                  <a:pt x="2182" y="578"/>
                                </a:lnTo>
                                <a:lnTo>
                                  <a:pt x="2184" y="588"/>
                                </a:lnTo>
                                <a:lnTo>
                                  <a:pt x="2184" y="594"/>
                                </a:lnTo>
                                <a:lnTo>
                                  <a:pt x="2188" y="602"/>
                                </a:lnTo>
                                <a:lnTo>
                                  <a:pt x="2192" y="608"/>
                                </a:lnTo>
                                <a:lnTo>
                                  <a:pt x="2192" y="634"/>
                                </a:lnTo>
                                <a:lnTo>
                                  <a:pt x="2194" y="660"/>
                                </a:lnTo>
                                <a:lnTo>
                                  <a:pt x="2200" y="666"/>
                                </a:lnTo>
                                <a:lnTo>
                                  <a:pt x="2206" y="672"/>
                                </a:lnTo>
                                <a:lnTo>
                                  <a:pt x="2212" y="676"/>
                                </a:lnTo>
                                <a:lnTo>
                                  <a:pt x="2220" y="678"/>
                                </a:lnTo>
                                <a:lnTo>
                                  <a:pt x="2220" y="684"/>
                                </a:lnTo>
                                <a:lnTo>
                                  <a:pt x="2224" y="690"/>
                                </a:lnTo>
                                <a:lnTo>
                                  <a:pt x="2228" y="694"/>
                                </a:lnTo>
                                <a:lnTo>
                                  <a:pt x="2234" y="698"/>
                                </a:lnTo>
                                <a:lnTo>
                                  <a:pt x="2238" y="700"/>
                                </a:lnTo>
                                <a:lnTo>
                                  <a:pt x="2238" y="710"/>
                                </a:lnTo>
                                <a:lnTo>
                                  <a:pt x="2240" y="722"/>
                                </a:lnTo>
                                <a:lnTo>
                                  <a:pt x="2244" y="722"/>
                                </a:lnTo>
                                <a:lnTo>
                                  <a:pt x="2248" y="722"/>
                                </a:lnTo>
                                <a:lnTo>
                                  <a:pt x="2248" y="728"/>
                                </a:lnTo>
                                <a:lnTo>
                                  <a:pt x="2244" y="734"/>
                                </a:lnTo>
                                <a:lnTo>
                                  <a:pt x="2240" y="738"/>
                                </a:lnTo>
                                <a:lnTo>
                                  <a:pt x="2240" y="754"/>
                                </a:lnTo>
                                <a:lnTo>
                                  <a:pt x="2240" y="770"/>
                                </a:lnTo>
                                <a:lnTo>
                                  <a:pt x="2252" y="778"/>
                                </a:lnTo>
                                <a:lnTo>
                                  <a:pt x="2266" y="780"/>
                                </a:lnTo>
                                <a:lnTo>
                                  <a:pt x="2282" y="782"/>
                                </a:lnTo>
                                <a:lnTo>
                                  <a:pt x="2284" y="784"/>
                                </a:lnTo>
                                <a:lnTo>
                                  <a:pt x="2284" y="786"/>
                                </a:lnTo>
                                <a:lnTo>
                                  <a:pt x="2286" y="786"/>
                                </a:lnTo>
                                <a:lnTo>
                                  <a:pt x="2290" y="788"/>
                                </a:lnTo>
                                <a:lnTo>
                                  <a:pt x="2294" y="790"/>
                                </a:lnTo>
                                <a:lnTo>
                                  <a:pt x="2294" y="792"/>
                                </a:lnTo>
                                <a:lnTo>
                                  <a:pt x="2296" y="798"/>
                                </a:lnTo>
                                <a:lnTo>
                                  <a:pt x="2308" y="802"/>
                                </a:lnTo>
                                <a:lnTo>
                                  <a:pt x="2320" y="808"/>
                                </a:lnTo>
                                <a:lnTo>
                                  <a:pt x="2330" y="818"/>
                                </a:lnTo>
                                <a:lnTo>
                                  <a:pt x="2332" y="840"/>
                                </a:lnTo>
                                <a:lnTo>
                                  <a:pt x="2332" y="862"/>
                                </a:lnTo>
                                <a:lnTo>
                                  <a:pt x="2336" y="868"/>
                                </a:lnTo>
                                <a:lnTo>
                                  <a:pt x="2340" y="874"/>
                                </a:lnTo>
                                <a:lnTo>
                                  <a:pt x="2342" y="880"/>
                                </a:lnTo>
                                <a:lnTo>
                                  <a:pt x="2350" y="882"/>
                                </a:lnTo>
                                <a:lnTo>
                                  <a:pt x="2356" y="884"/>
                                </a:lnTo>
                                <a:lnTo>
                                  <a:pt x="2362" y="888"/>
                                </a:lnTo>
                                <a:lnTo>
                                  <a:pt x="2368" y="890"/>
                                </a:lnTo>
                                <a:lnTo>
                                  <a:pt x="2370" y="898"/>
                                </a:lnTo>
                                <a:lnTo>
                                  <a:pt x="2372" y="906"/>
                                </a:lnTo>
                                <a:lnTo>
                                  <a:pt x="2374" y="910"/>
                                </a:lnTo>
                                <a:lnTo>
                                  <a:pt x="2378" y="912"/>
                                </a:lnTo>
                                <a:lnTo>
                                  <a:pt x="2384" y="916"/>
                                </a:lnTo>
                                <a:lnTo>
                                  <a:pt x="2392" y="918"/>
                                </a:lnTo>
                                <a:lnTo>
                                  <a:pt x="2408" y="936"/>
                                </a:lnTo>
                                <a:lnTo>
                                  <a:pt x="2422" y="954"/>
                                </a:lnTo>
                                <a:lnTo>
                                  <a:pt x="2424" y="960"/>
                                </a:lnTo>
                                <a:lnTo>
                                  <a:pt x="2426" y="964"/>
                                </a:lnTo>
                                <a:lnTo>
                                  <a:pt x="2428" y="966"/>
                                </a:lnTo>
                                <a:lnTo>
                                  <a:pt x="2428" y="968"/>
                                </a:lnTo>
                                <a:lnTo>
                                  <a:pt x="2430" y="970"/>
                                </a:lnTo>
                                <a:lnTo>
                                  <a:pt x="2432" y="972"/>
                                </a:lnTo>
                                <a:lnTo>
                                  <a:pt x="2432" y="992"/>
                                </a:lnTo>
                                <a:lnTo>
                                  <a:pt x="2432" y="1014"/>
                                </a:lnTo>
                                <a:lnTo>
                                  <a:pt x="2430" y="1016"/>
                                </a:lnTo>
                                <a:lnTo>
                                  <a:pt x="2426" y="1018"/>
                                </a:lnTo>
                                <a:lnTo>
                                  <a:pt x="2396" y="1018"/>
                                </a:lnTo>
                                <a:lnTo>
                                  <a:pt x="2364" y="1018"/>
                                </a:lnTo>
                                <a:lnTo>
                                  <a:pt x="2360" y="1014"/>
                                </a:lnTo>
                                <a:lnTo>
                                  <a:pt x="2358" y="1010"/>
                                </a:lnTo>
                                <a:lnTo>
                                  <a:pt x="2352" y="1010"/>
                                </a:lnTo>
                                <a:lnTo>
                                  <a:pt x="2340" y="1008"/>
                                </a:lnTo>
                                <a:lnTo>
                                  <a:pt x="2324" y="1008"/>
                                </a:lnTo>
                                <a:lnTo>
                                  <a:pt x="2310" y="1010"/>
                                </a:lnTo>
                                <a:lnTo>
                                  <a:pt x="2306" y="1010"/>
                                </a:lnTo>
                                <a:lnTo>
                                  <a:pt x="2298" y="1020"/>
                                </a:lnTo>
                                <a:lnTo>
                                  <a:pt x="2294" y="1030"/>
                                </a:lnTo>
                                <a:lnTo>
                                  <a:pt x="2294" y="1044"/>
                                </a:lnTo>
                                <a:lnTo>
                                  <a:pt x="2260" y="1044"/>
                                </a:lnTo>
                                <a:lnTo>
                                  <a:pt x="2226" y="1044"/>
                                </a:lnTo>
                                <a:lnTo>
                                  <a:pt x="2218" y="1036"/>
                                </a:lnTo>
                                <a:lnTo>
                                  <a:pt x="2210" y="1028"/>
                                </a:lnTo>
                                <a:lnTo>
                                  <a:pt x="2204" y="1026"/>
                                </a:lnTo>
                                <a:lnTo>
                                  <a:pt x="2200" y="1026"/>
                                </a:lnTo>
                                <a:lnTo>
                                  <a:pt x="2198" y="1024"/>
                                </a:lnTo>
                                <a:lnTo>
                                  <a:pt x="2196" y="1024"/>
                                </a:lnTo>
                                <a:lnTo>
                                  <a:pt x="2194" y="1022"/>
                                </a:lnTo>
                                <a:lnTo>
                                  <a:pt x="2190" y="1020"/>
                                </a:lnTo>
                                <a:lnTo>
                                  <a:pt x="2190" y="1018"/>
                                </a:lnTo>
                                <a:lnTo>
                                  <a:pt x="2158" y="1018"/>
                                </a:lnTo>
                                <a:lnTo>
                                  <a:pt x="2126" y="1018"/>
                                </a:lnTo>
                                <a:lnTo>
                                  <a:pt x="2126" y="1030"/>
                                </a:lnTo>
                                <a:lnTo>
                                  <a:pt x="2126" y="1044"/>
                                </a:lnTo>
                                <a:lnTo>
                                  <a:pt x="2122" y="1050"/>
                                </a:lnTo>
                                <a:lnTo>
                                  <a:pt x="2116" y="1054"/>
                                </a:lnTo>
                                <a:lnTo>
                                  <a:pt x="2112" y="1060"/>
                                </a:lnTo>
                                <a:lnTo>
                                  <a:pt x="2108" y="1066"/>
                                </a:lnTo>
                                <a:lnTo>
                                  <a:pt x="2076" y="1066"/>
                                </a:lnTo>
                                <a:lnTo>
                                  <a:pt x="2044" y="1066"/>
                                </a:lnTo>
                                <a:lnTo>
                                  <a:pt x="2042" y="1064"/>
                                </a:lnTo>
                                <a:lnTo>
                                  <a:pt x="2042" y="1060"/>
                                </a:lnTo>
                                <a:lnTo>
                                  <a:pt x="2022" y="1054"/>
                                </a:lnTo>
                                <a:lnTo>
                                  <a:pt x="2004" y="1048"/>
                                </a:lnTo>
                                <a:lnTo>
                                  <a:pt x="1984" y="1042"/>
                                </a:lnTo>
                                <a:lnTo>
                                  <a:pt x="1976" y="1036"/>
                                </a:lnTo>
                                <a:lnTo>
                                  <a:pt x="1968" y="1030"/>
                                </a:lnTo>
                                <a:lnTo>
                                  <a:pt x="1968" y="1024"/>
                                </a:lnTo>
                                <a:lnTo>
                                  <a:pt x="1968" y="1018"/>
                                </a:lnTo>
                                <a:lnTo>
                                  <a:pt x="1964" y="1018"/>
                                </a:lnTo>
                                <a:lnTo>
                                  <a:pt x="1960" y="1018"/>
                                </a:lnTo>
                                <a:lnTo>
                                  <a:pt x="1958" y="1014"/>
                                </a:lnTo>
                                <a:lnTo>
                                  <a:pt x="1958" y="1010"/>
                                </a:lnTo>
                                <a:lnTo>
                                  <a:pt x="1950" y="1008"/>
                                </a:lnTo>
                                <a:lnTo>
                                  <a:pt x="1944" y="1008"/>
                                </a:lnTo>
                                <a:lnTo>
                                  <a:pt x="1940" y="1006"/>
                                </a:lnTo>
                                <a:lnTo>
                                  <a:pt x="1936" y="1006"/>
                                </a:lnTo>
                                <a:lnTo>
                                  <a:pt x="1934" y="1006"/>
                                </a:lnTo>
                                <a:lnTo>
                                  <a:pt x="1932" y="1004"/>
                                </a:lnTo>
                                <a:lnTo>
                                  <a:pt x="1932" y="998"/>
                                </a:lnTo>
                                <a:lnTo>
                                  <a:pt x="1932" y="992"/>
                                </a:lnTo>
                                <a:lnTo>
                                  <a:pt x="1906" y="988"/>
                                </a:lnTo>
                                <a:lnTo>
                                  <a:pt x="1882" y="980"/>
                                </a:lnTo>
                                <a:lnTo>
                                  <a:pt x="1856" y="974"/>
                                </a:lnTo>
                                <a:lnTo>
                                  <a:pt x="1856" y="966"/>
                                </a:lnTo>
                                <a:lnTo>
                                  <a:pt x="1856" y="960"/>
                                </a:lnTo>
                                <a:lnTo>
                                  <a:pt x="1850" y="958"/>
                                </a:lnTo>
                                <a:lnTo>
                                  <a:pt x="1844" y="956"/>
                                </a:lnTo>
                                <a:lnTo>
                                  <a:pt x="1838" y="952"/>
                                </a:lnTo>
                                <a:lnTo>
                                  <a:pt x="1834" y="948"/>
                                </a:lnTo>
                                <a:lnTo>
                                  <a:pt x="1828" y="944"/>
                                </a:lnTo>
                                <a:lnTo>
                                  <a:pt x="1820" y="942"/>
                                </a:lnTo>
                                <a:lnTo>
                                  <a:pt x="1810" y="942"/>
                                </a:lnTo>
                                <a:lnTo>
                                  <a:pt x="1810" y="946"/>
                                </a:lnTo>
                                <a:lnTo>
                                  <a:pt x="1810" y="950"/>
                                </a:lnTo>
                                <a:lnTo>
                                  <a:pt x="1802" y="950"/>
                                </a:lnTo>
                                <a:lnTo>
                                  <a:pt x="1792" y="950"/>
                                </a:lnTo>
                                <a:lnTo>
                                  <a:pt x="1792" y="954"/>
                                </a:lnTo>
                                <a:lnTo>
                                  <a:pt x="1792" y="960"/>
                                </a:lnTo>
                                <a:lnTo>
                                  <a:pt x="1782" y="962"/>
                                </a:lnTo>
                                <a:lnTo>
                                  <a:pt x="1768" y="968"/>
                                </a:lnTo>
                                <a:lnTo>
                                  <a:pt x="1758" y="974"/>
                                </a:lnTo>
                                <a:lnTo>
                                  <a:pt x="1736" y="974"/>
                                </a:lnTo>
                                <a:lnTo>
                                  <a:pt x="1716" y="974"/>
                                </a:lnTo>
                                <a:lnTo>
                                  <a:pt x="1712" y="972"/>
                                </a:lnTo>
                                <a:lnTo>
                                  <a:pt x="1710" y="972"/>
                                </a:lnTo>
                                <a:lnTo>
                                  <a:pt x="1704" y="956"/>
                                </a:lnTo>
                                <a:lnTo>
                                  <a:pt x="1692" y="946"/>
                                </a:lnTo>
                                <a:lnTo>
                                  <a:pt x="1678" y="942"/>
                                </a:lnTo>
                                <a:lnTo>
                                  <a:pt x="1662" y="944"/>
                                </a:lnTo>
                                <a:lnTo>
                                  <a:pt x="1644" y="960"/>
                                </a:lnTo>
                                <a:lnTo>
                                  <a:pt x="1626" y="976"/>
                                </a:lnTo>
                                <a:lnTo>
                                  <a:pt x="1626" y="982"/>
                                </a:lnTo>
                                <a:lnTo>
                                  <a:pt x="1624" y="986"/>
                                </a:lnTo>
                                <a:lnTo>
                                  <a:pt x="1622" y="990"/>
                                </a:lnTo>
                                <a:lnTo>
                                  <a:pt x="1618" y="990"/>
                                </a:lnTo>
                                <a:lnTo>
                                  <a:pt x="1614" y="992"/>
                                </a:lnTo>
                                <a:lnTo>
                                  <a:pt x="1608" y="994"/>
                                </a:lnTo>
                                <a:lnTo>
                                  <a:pt x="1600" y="1000"/>
                                </a:lnTo>
                                <a:lnTo>
                                  <a:pt x="1594" y="1004"/>
                                </a:lnTo>
                                <a:lnTo>
                                  <a:pt x="1588" y="1008"/>
                                </a:lnTo>
                                <a:lnTo>
                                  <a:pt x="1580" y="1010"/>
                                </a:lnTo>
                                <a:lnTo>
                                  <a:pt x="1562" y="1020"/>
                                </a:lnTo>
                                <a:lnTo>
                                  <a:pt x="1542" y="1026"/>
                                </a:lnTo>
                                <a:lnTo>
                                  <a:pt x="1522" y="1034"/>
                                </a:lnTo>
                                <a:lnTo>
                                  <a:pt x="1522" y="1030"/>
                                </a:lnTo>
                                <a:lnTo>
                                  <a:pt x="1522" y="1028"/>
                                </a:lnTo>
                                <a:lnTo>
                                  <a:pt x="1506" y="1024"/>
                                </a:lnTo>
                                <a:lnTo>
                                  <a:pt x="1492" y="1022"/>
                                </a:lnTo>
                                <a:lnTo>
                                  <a:pt x="1476" y="1020"/>
                                </a:lnTo>
                                <a:lnTo>
                                  <a:pt x="1474" y="1022"/>
                                </a:lnTo>
                                <a:lnTo>
                                  <a:pt x="1472" y="1024"/>
                                </a:lnTo>
                                <a:lnTo>
                                  <a:pt x="1470" y="1024"/>
                                </a:lnTo>
                                <a:lnTo>
                                  <a:pt x="1466" y="1026"/>
                                </a:lnTo>
                                <a:lnTo>
                                  <a:pt x="1458" y="1026"/>
                                </a:lnTo>
                                <a:lnTo>
                                  <a:pt x="1458" y="1030"/>
                                </a:lnTo>
                                <a:lnTo>
                                  <a:pt x="1458" y="1034"/>
                                </a:lnTo>
                                <a:lnTo>
                                  <a:pt x="1450" y="1034"/>
                                </a:lnTo>
                                <a:lnTo>
                                  <a:pt x="1440" y="1034"/>
                                </a:lnTo>
                                <a:lnTo>
                                  <a:pt x="1440" y="1038"/>
                                </a:lnTo>
                                <a:lnTo>
                                  <a:pt x="1440" y="1044"/>
                                </a:lnTo>
                                <a:lnTo>
                                  <a:pt x="1402" y="1044"/>
                                </a:lnTo>
                                <a:lnTo>
                                  <a:pt x="1366" y="1044"/>
                                </a:lnTo>
                                <a:lnTo>
                                  <a:pt x="1366" y="1048"/>
                                </a:lnTo>
                                <a:lnTo>
                                  <a:pt x="1366" y="1052"/>
                                </a:lnTo>
                                <a:lnTo>
                                  <a:pt x="1350" y="1056"/>
                                </a:lnTo>
                                <a:lnTo>
                                  <a:pt x="1334" y="1066"/>
                                </a:lnTo>
                                <a:lnTo>
                                  <a:pt x="1318" y="1078"/>
                                </a:lnTo>
                                <a:lnTo>
                                  <a:pt x="1304" y="1094"/>
                                </a:lnTo>
                                <a:lnTo>
                                  <a:pt x="1298" y="1106"/>
                                </a:lnTo>
                                <a:lnTo>
                                  <a:pt x="1292" y="1118"/>
                                </a:lnTo>
                                <a:lnTo>
                                  <a:pt x="1290" y="1136"/>
                                </a:lnTo>
                                <a:lnTo>
                                  <a:pt x="1290" y="1158"/>
                                </a:lnTo>
                                <a:lnTo>
                                  <a:pt x="1290" y="1176"/>
                                </a:lnTo>
                                <a:lnTo>
                                  <a:pt x="1290" y="1192"/>
                                </a:lnTo>
                                <a:lnTo>
                                  <a:pt x="1284" y="1196"/>
                                </a:lnTo>
                                <a:lnTo>
                                  <a:pt x="1280" y="1200"/>
                                </a:lnTo>
                                <a:lnTo>
                                  <a:pt x="1274" y="1202"/>
                                </a:lnTo>
                                <a:lnTo>
                                  <a:pt x="1270" y="1202"/>
                                </a:lnTo>
                                <a:lnTo>
                                  <a:pt x="1262" y="1204"/>
                                </a:lnTo>
                                <a:lnTo>
                                  <a:pt x="1262" y="1192"/>
                                </a:lnTo>
                                <a:lnTo>
                                  <a:pt x="1260" y="1180"/>
                                </a:lnTo>
                                <a:lnTo>
                                  <a:pt x="1256" y="1180"/>
                                </a:lnTo>
                                <a:lnTo>
                                  <a:pt x="1254" y="1178"/>
                                </a:lnTo>
                                <a:lnTo>
                                  <a:pt x="1252" y="1174"/>
                                </a:lnTo>
                                <a:lnTo>
                                  <a:pt x="1248" y="1170"/>
                                </a:lnTo>
                                <a:lnTo>
                                  <a:pt x="1244" y="1166"/>
                                </a:lnTo>
                                <a:lnTo>
                                  <a:pt x="1240" y="1162"/>
                                </a:lnTo>
                                <a:lnTo>
                                  <a:pt x="1236" y="1158"/>
                                </a:lnTo>
                                <a:lnTo>
                                  <a:pt x="1234" y="1150"/>
                                </a:lnTo>
                                <a:lnTo>
                                  <a:pt x="1234" y="1144"/>
                                </a:lnTo>
                                <a:lnTo>
                                  <a:pt x="1230" y="1144"/>
                                </a:lnTo>
                                <a:lnTo>
                                  <a:pt x="1226" y="1144"/>
                                </a:lnTo>
                                <a:lnTo>
                                  <a:pt x="1226" y="1128"/>
                                </a:lnTo>
                                <a:lnTo>
                                  <a:pt x="1226" y="1110"/>
                                </a:lnTo>
                                <a:lnTo>
                                  <a:pt x="1208" y="1106"/>
                                </a:lnTo>
                                <a:lnTo>
                                  <a:pt x="1198" y="1094"/>
                                </a:lnTo>
                                <a:lnTo>
                                  <a:pt x="1190" y="1078"/>
                                </a:lnTo>
                                <a:lnTo>
                                  <a:pt x="1186" y="1060"/>
                                </a:lnTo>
                                <a:lnTo>
                                  <a:pt x="1182" y="1058"/>
                                </a:lnTo>
                                <a:lnTo>
                                  <a:pt x="1180" y="1054"/>
                                </a:lnTo>
                                <a:lnTo>
                                  <a:pt x="1180" y="1052"/>
                                </a:lnTo>
                                <a:lnTo>
                                  <a:pt x="1178" y="1048"/>
                                </a:lnTo>
                                <a:lnTo>
                                  <a:pt x="1178" y="1044"/>
                                </a:lnTo>
                                <a:lnTo>
                                  <a:pt x="1174" y="1042"/>
                                </a:lnTo>
                                <a:lnTo>
                                  <a:pt x="1170" y="1042"/>
                                </a:lnTo>
                                <a:lnTo>
                                  <a:pt x="1170" y="1038"/>
                                </a:lnTo>
                                <a:lnTo>
                                  <a:pt x="1166" y="1034"/>
                                </a:lnTo>
                                <a:lnTo>
                                  <a:pt x="1162" y="1030"/>
                                </a:lnTo>
                                <a:lnTo>
                                  <a:pt x="1158" y="1028"/>
                                </a:lnTo>
                                <a:lnTo>
                                  <a:pt x="1154" y="1028"/>
                                </a:lnTo>
                                <a:lnTo>
                                  <a:pt x="1148" y="1028"/>
                                </a:lnTo>
                                <a:lnTo>
                                  <a:pt x="1144" y="1028"/>
                                </a:lnTo>
                                <a:lnTo>
                                  <a:pt x="1142" y="1034"/>
                                </a:lnTo>
                                <a:lnTo>
                                  <a:pt x="1140" y="1038"/>
                                </a:lnTo>
                                <a:lnTo>
                                  <a:pt x="1136" y="1040"/>
                                </a:lnTo>
                                <a:lnTo>
                                  <a:pt x="1130" y="1044"/>
                                </a:lnTo>
                                <a:lnTo>
                                  <a:pt x="1124" y="1044"/>
                                </a:lnTo>
                                <a:lnTo>
                                  <a:pt x="1122" y="1052"/>
                                </a:lnTo>
                                <a:lnTo>
                                  <a:pt x="1118" y="1060"/>
                                </a:lnTo>
                                <a:lnTo>
                                  <a:pt x="1116" y="1068"/>
                                </a:lnTo>
                                <a:lnTo>
                                  <a:pt x="1112" y="1076"/>
                                </a:lnTo>
                                <a:lnTo>
                                  <a:pt x="1098" y="1076"/>
                                </a:lnTo>
                                <a:lnTo>
                                  <a:pt x="1088" y="1076"/>
                                </a:lnTo>
                                <a:lnTo>
                                  <a:pt x="1080" y="1072"/>
                                </a:lnTo>
                                <a:lnTo>
                                  <a:pt x="1074" y="1060"/>
                                </a:lnTo>
                                <a:lnTo>
                                  <a:pt x="1052" y="1040"/>
                                </a:lnTo>
                                <a:lnTo>
                                  <a:pt x="1028" y="1020"/>
                                </a:lnTo>
                                <a:lnTo>
                                  <a:pt x="1016" y="1020"/>
                                </a:lnTo>
                                <a:lnTo>
                                  <a:pt x="1002" y="1018"/>
                                </a:lnTo>
                                <a:lnTo>
                                  <a:pt x="1002" y="1014"/>
                                </a:lnTo>
                                <a:lnTo>
                                  <a:pt x="1002" y="1010"/>
                                </a:lnTo>
                                <a:lnTo>
                                  <a:pt x="982" y="1010"/>
                                </a:lnTo>
                                <a:lnTo>
                                  <a:pt x="964" y="1010"/>
                                </a:lnTo>
                                <a:lnTo>
                                  <a:pt x="964" y="1006"/>
                                </a:lnTo>
                                <a:lnTo>
                                  <a:pt x="964" y="1002"/>
                                </a:lnTo>
                                <a:lnTo>
                                  <a:pt x="958" y="1000"/>
                                </a:lnTo>
                                <a:lnTo>
                                  <a:pt x="954" y="1000"/>
                                </a:lnTo>
                                <a:lnTo>
                                  <a:pt x="948" y="996"/>
                                </a:lnTo>
                                <a:lnTo>
                                  <a:pt x="944" y="994"/>
                                </a:lnTo>
                                <a:lnTo>
                                  <a:pt x="898" y="992"/>
                                </a:lnTo>
                                <a:lnTo>
                                  <a:pt x="854" y="992"/>
                                </a:lnTo>
                                <a:close/>
                              </a:path>
                            </a:pathLst>
                          </a:custGeom>
                          <a:gradFill rotWithShape="1">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1" name="Freeform 20"/>
                        <wps:cNvSpPr>
                          <a:spLocks/>
                        </wps:cNvSpPr>
                        <wps:spPr bwMode="auto">
                          <a:xfrm>
                            <a:off x="35414" y="9443"/>
                            <a:ext cx="2585241" cy="1687938"/>
                          </a:xfrm>
                          <a:custGeom>
                            <a:avLst/>
                            <a:gdLst>
                              <a:gd name="T0" fmla="*/ 1308 w 2190"/>
                              <a:gd name="T1" fmla="*/ 1218 h 1430"/>
                              <a:gd name="T2" fmla="*/ 1220 w 2190"/>
                              <a:gd name="T3" fmla="*/ 1108 h 1430"/>
                              <a:gd name="T4" fmla="*/ 1020 w 2190"/>
                              <a:gd name="T5" fmla="*/ 1094 h 1430"/>
                              <a:gd name="T6" fmla="*/ 960 w 2190"/>
                              <a:gd name="T7" fmla="*/ 1116 h 1430"/>
                              <a:gd name="T8" fmla="*/ 908 w 2190"/>
                              <a:gd name="T9" fmla="*/ 1102 h 1430"/>
                              <a:gd name="T10" fmla="*/ 816 w 2190"/>
                              <a:gd name="T11" fmla="*/ 1074 h 1430"/>
                              <a:gd name="T12" fmla="*/ 778 w 2190"/>
                              <a:gd name="T13" fmla="*/ 986 h 1430"/>
                              <a:gd name="T14" fmla="*/ 688 w 2190"/>
                              <a:gd name="T15" fmla="*/ 1024 h 1430"/>
                              <a:gd name="T16" fmla="*/ 544 w 2190"/>
                              <a:gd name="T17" fmla="*/ 1022 h 1430"/>
                              <a:gd name="T18" fmla="*/ 442 w 2190"/>
                              <a:gd name="T19" fmla="*/ 986 h 1430"/>
                              <a:gd name="T20" fmla="*/ 336 w 2190"/>
                              <a:gd name="T21" fmla="*/ 906 h 1430"/>
                              <a:gd name="T22" fmla="*/ 266 w 2190"/>
                              <a:gd name="T23" fmla="*/ 836 h 1430"/>
                              <a:gd name="T24" fmla="*/ 202 w 2190"/>
                              <a:gd name="T25" fmla="*/ 802 h 1430"/>
                              <a:gd name="T26" fmla="*/ 126 w 2190"/>
                              <a:gd name="T27" fmla="*/ 754 h 1430"/>
                              <a:gd name="T28" fmla="*/ 90 w 2190"/>
                              <a:gd name="T29" fmla="*/ 634 h 1430"/>
                              <a:gd name="T30" fmla="*/ 46 w 2190"/>
                              <a:gd name="T31" fmla="*/ 526 h 1430"/>
                              <a:gd name="T32" fmla="*/ 8 w 2190"/>
                              <a:gd name="T33" fmla="*/ 464 h 1430"/>
                              <a:gd name="T34" fmla="*/ 16 w 2190"/>
                              <a:gd name="T35" fmla="*/ 234 h 1430"/>
                              <a:gd name="T36" fmla="*/ 72 w 2190"/>
                              <a:gd name="T37" fmla="*/ 180 h 1430"/>
                              <a:gd name="T38" fmla="*/ 142 w 2190"/>
                              <a:gd name="T39" fmla="*/ 132 h 1430"/>
                              <a:gd name="T40" fmla="*/ 166 w 2190"/>
                              <a:gd name="T41" fmla="*/ 100 h 1430"/>
                              <a:gd name="T42" fmla="*/ 204 w 2190"/>
                              <a:gd name="T43" fmla="*/ 12 h 1430"/>
                              <a:gd name="T44" fmla="*/ 362 w 2190"/>
                              <a:gd name="T45" fmla="*/ 44 h 1430"/>
                              <a:gd name="T46" fmla="*/ 436 w 2190"/>
                              <a:gd name="T47" fmla="*/ 82 h 1430"/>
                              <a:gd name="T48" fmla="*/ 494 w 2190"/>
                              <a:gd name="T49" fmla="*/ 106 h 1430"/>
                              <a:gd name="T50" fmla="*/ 530 w 2190"/>
                              <a:gd name="T51" fmla="*/ 160 h 1430"/>
                              <a:gd name="T52" fmla="*/ 432 w 2190"/>
                              <a:gd name="T53" fmla="*/ 216 h 1430"/>
                              <a:gd name="T54" fmla="*/ 390 w 2190"/>
                              <a:gd name="T55" fmla="*/ 264 h 1430"/>
                              <a:gd name="T56" fmla="*/ 424 w 2190"/>
                              <a:gd name="T57" fmla="*/ 356 h 1430"/>
                              <a:gd name="T58" fmla="*/ 542 w 2190"/>
                              <a:gd name="T59" fmla="*/ 358 h 1430"/>
                              <a:gd name="T60" fmla="*/ 860 w 2190"/>
                              <a:gd name="T61" fmla="*/ 358 h 1430"/>
                              <a:gd name="T62" fmla="*/ 942 w 2190"/>
                              <a:gd name="T63" fmla="*/ 388 h 1430"/>
                              <a:gd name="T64" fmla="*/ 1024 w 2190"/>
                              <a:gd name="T65" fmla="*/ 428 h 1430"/>
                              <a:gd name="T66" fmla="*/ 1098 w 2190"/>
                              <a:gd name="T67" fmla="*/ 414 h 1430"/>
                              <a:gd name="T68" fmla="*/ 1236 w 2190"/>
                              <a:gd name="T69" fmla="*/ 448 h 1430"/>
                              <a:gd name="T70" fmla="*/ 1366 w 2190"/>
                              <a:gd name="T71" fmla="*/ 504 h 1430"/>
                              <a:gd name="T72" fmla="*/ 1512 w 2190"/>
                              <a:gd name="T73" fmla="*/ 480 h 1430"/>
                              <a:gd name="T74" fmla="*/ 1648 w 2190"/>
                              <a:gd name="T75" fmla="*/ 440 h 1430"/>
                              <a:gd name="T76" fmla="*/ 1732 w 2190"/>
                              <a:gd name="T77" fmla="*/ 456 h 1430"/>
                              <a:gd name="T78" fmla="*/ 1890 w 2190"/>
                              <a:gd name="T79" fmla="*/ 480 h 1430"/>
                              <a:gd name="T80" fmla="*/ 2146 w 2190"/>
                              <a:gd name="T81" fmla="*/ 486 h 1430"/>
                              <a:gd name="T82" fmla="*/ 2156 w 2190"/>
                              <a:gd name="T83" fmla="*/ 534 h 1430"/>
                              <a:gd name="T84" fmla="*/ 2148 w 2190"/>
                              <a:gd name="T85" fmla="*/ 640 h 1430"/>
                              <a:gd name="T86" fmla="*/ 2138 w 2190"/>
                              <a:gd name="T87" fmla="*/ 726 h 1430"/>
                              <a:gd name="T88" fmla="*/ 2174 w 2190"/>
                              <a:gd name="T89" fmla="*/ 766 h 1430"/>
                              <a:gd name="T90" fmla="*/ 2174 w 2190"/>
                              <a:gd name="T91" fmla="*/ 838 h 1430"/>
                              <a:gd name="T92" fmla="*/ 2128 w 2190"/>
                              <a:gd name="T93" fmla="*/ 872 h 1430"/>
                              <a:gd name="T94" fmla="*/ 2074 w 2190"/>
                              <a:gd name="T95" fmla="*/ 940 h 1430"/>
                              <a:gd name="T96" fmla="*/ 2034 w 2190"/>
                              <a:gd name="T97" fmla="*/ 988 h 1430"/>
                              <a:gd name="T98" fmla="*/ 1966 w 2190"/>
                              <a:gd name="T99" fmla="*/ 1142 h 1430"/>
                              <a:gd name="T100" fmla="*/ 1952 w 2190"/>
                              <a:gd name="T101" fmla="*/ 1240 h 1430"/>
                              <a:gd name="T102" fmla="*/ 2020 w 2190"/>
                              <a:gd name="T103" fmla="*/ 1294 h 1430"/>
                              <a:gd name="T104" fmla="*/ 2010 w 2190"/>
                              <a:gd name="T105" fmla="*/ 1354 h 1430"/>
                              <a:gd name="T106" fmla="*/ 1806 w 2190"/>
                              <a:gd name="T107" fmla="*/ 1418 h 1430"/>
                              <a:gd name="T108" fmla="*/ 1700 w 2190"/>
                              <a:gd name="T109" fmla="*/ 1378 h 1430"/>
                              <a:gd name="T110" fmla="*/ 1604 w 2190"/>
                              <a:gd name="T111" fmla="*/ 1378 h 1430"/>
                              <a:gd name="T112" fmla="*/ 1482 w 2190"/>
                              <a:gd name="T113" fmla="*/ 1422 h 1430"/>
                              <a:gd name="T114" fmla="*/ 1374 w 2190"/>
                              <a:gd name="T115" fmla="*/ 1372 h 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90" h="1430">
                                <a:moveTo>
                                  <a:pt x="1374" y="1372"/>
                                </a:moveTo>
                                <a:lnTo>
                                  <a:pt x="1372" y="1304"/>
                                </a:lnTo>
                                <a:lnTo>
                                  <a:pt x="1372" y="1236"/>
                                </a:lnTo>
                                <a:lnTo>
                                  <a:pt x="1348" y="1234"/>
                                </a:lnTo>
                                <a:lnTo>
                                  <a:pt x="1324" y="1234"/>
                                </a:lnTo>
                                <a:lnTo>
                                  <a:pt x="1320" y="1230"/>
                                </a:lnTo>
                                <a:lnTo>
                                  <a:pt x="1318" y="1228"/>
                                </a:lnTo>
                                <a:lnTo>
                                  <a:pt x="1314" y="1228"/>
                                </a:lnTo>
                                <a:lnTo>
                                  <a:pt x="1308" y="1226"/>
                                </a:lnTo>
                                <a:lnTo>
                                  <a:pt x="1308" y="1218"/>
                                </a:lnTo>
                                <a:lnTo>
                                  <a:pt x="1308" y="1210"/>
                                </a:lnTo>
                                <a:lnTo>
                                  <a:pt x="1296" y="1204"/>
                                </a:lnTo>
                                <a:lnTo>
                                  <a:pt x="1290" y="1198"/>
                                </a:lnTo>
                                <a:lnTo>
                                  <a:pt x="1288" y="1188"/>
                                </a:lnTo>
                                <a:lnTo>
                                  <a:pt x="1282" y="1178"/>
                                </a:lnTo>
                                <a:lnTo>
                                  <a:pt x="1280" y="1156"/>
                                </a:lnTo>
                                <a:lnTo>
                                  <a:pt x="1274" y="1138"/>
                                </a:lnTo>
                                <a:lnTo>
                                  <a:pt x="1266" y="1124"/>
                                </a:lnTo>
                                <a:lnTo>
                                  <a:pt x="1250" y="1108"/>
                                </a:lnTo>
                                <a:lnTo>
                                  <a:pt x="1220" y="1108"/>
                                </a:lnTo>
                                <a:lnTo>
                                  <a:pt x="1190" y="1108"/>
                                </a:lnTo>
                                <a:lnTo>
                                  <a:pt x="1184" y="1108"/>
                                </a:lnTo>
                                <a:lnTo>
                                  <a:pt x="1180" y="1108"/>
                                </a:lnTo>
                                <a:lnTo>
                                  <a:pt x="1128" y="1108"/>
                                </a:lnTo>
                                <a:lnTo>
                                  <a:pt x="1076" y="1106"/>
                                </a:lnTo>
                                <a:lnTo>
                                  <a:pt x="1068" y="1094"/>
                                </a:lnTo>
                                <a:lnTo>
                                  <a:pt x="1058" y="1086"/>
                                </a:lnTo>
                                <a:lnTo>
                                  <a:pt x="1046" y="1084"/>
                                </a:lnTo>
                                <a:lnTo>
                                  <a:pt x="1030" y="1084"/>
                                </a:lnTo>
                                <a:lnTo>
                                  <a:pt x="1020" y="1094"/>
                                </a:lnTo>
                                <a:lnTo>
                                  <a:pt x="1008" y="1104"/>
                                </a:lnTo>
                                <a:lnTo>
                                  <a:pt x="994" y="1108"/>
                                </a:lnTo>
                                <a:lnTo>
                                  <a:pt x="994" y="1114"/>
                                </a:lnTo>
                                <a:lnTo>
                                  <a:pt x="992" y="1120"/>
                                </a:lnTo>
                                <a:lnTo>
                                  <a:pt x="986" y="1122"/>
                                </a:lnTo>
                                <a:lnTo>
                                  <a:pt x="980" y="1124"/>
                                </a:lnTo>
                                <a:lnTo>
                                  <a:pt x="972" y="1124"/>
                                </a:lnTo>
                                <a:lnTo>
                                  <a:pt x="966" y="1126"/>
                                </a:lnTo>
                                <a:lnTo>
                                  <a:pt x="964" y="1120"/>
                                </a:lnTo>
                                <a:lnTo>
                                  <a:pt x="960" y="1116"/>
                                </a:lnTo>
                                <a:lnTo>
                                  <a:pt x="958" y="1112"/>
                                </a:lnTo>
                                <a:lnTo>
                                  <a:pt x="954" y="1110"/>
                                </a:lnTo>
                                <a:lnTo>
                                  <a:pt x="948" y="1108"/>
                                </a:lnTo>
                                <a:lnTo>
                                  <a:pt x="944" y="1106"/>
                                </a:lnTo>
                                <a:lnTo>
                                  <a:pt x="938" y="1102"/>
                                </a:lnTo>
                                <a:lnTo>
                                  <a:pt x="934" y="1098"/>
                                </a:lnTo>
                                <a:lnTo>
                                  <a:pt x="930" y="1094"/>
                                </a:lnTo>
                                <a:lnTo>
                                  <a:pt x="924" y="1092"/>
                                </a:lnTo>
                                <a:lnTo>
                                  <a:pt x="918" y="1092"/>
                                </a:lnTo>
                                <a:lnTo>
                                  <a:pt x="908" y="1102"/>
                                </a:lnTo>
                                <a:lnTo>
                                  <a:pt x="896" y="1106"/>
                                </a:lnTo>
                                <a:lnTo>
                                  <a:pt x="882" y="1108"/>
                                </a:lnTo>
                                <a:lnTo>
                                  <a:pt x="882" y="1112"/>
                                </a:lnTo>
                                <a:lnTo>
                                  <a:pt x="882" y="1118"/>
                                </a:lnTo>
                                <a:lnTo>
                                  <a:pt x="856" y="1108"/>
                                </a:lnTo>
                                <a:lnTo>
                                  <a:pt x="832" y="1092"/>
                                </a:lnTo>
                                <a:lnTo>
                                  <a:pt x="824" y="1090"/>
                                </a:lnTo>
                                <a:lnTo>
                                  <a:pt x="816" y="1090"/>
                                </a:lnTo>
                                <a:lnTo>
                                  <a:pt x="816" y="1082"/>
                                </a:lnTo>
                                <a:lnTo>
                                  <a:pt x="816" y="1074"/>
                                </a:lnTo>
                                <a:lnTo>
                                  <a:pt x="810" y="1074"/>
                                </a:lnTo>
                                <a:lnTo>
                                  <a:pt x="804" y="1072"/>
                                </a:lnTo>
                                <a:lnTo>
                                  <a:pt x="800" y="1070"/>
                                </a:lnTo>
                                <a:lnTo>
                                  <a:pt x="798" y="1034"/>
                                </a:lnTo>
                                <a:lnTo>
                                  <a:pt x="798" y="998"/>
                                </a:lnTo>
                                <a:lnTo>
                                  <a:pt x="790" y="998"/>
                                </a:lnTo>
                                <a:lnTo>
                                  <a:pt x="786" y="996"/>
                                </a:lnTo>
                                <a:lnTo>
                                  <a:pt x="782" y="994"/>
                                </a:lnTo>
                                <a:lnTo>
                                  <a:pt x="780" y="992"/>
                                </a:lnTo>
                                <a:lnTo>
                                  <a:pt x="778" y="986"/>
                                </a:lnTo>
                                <a:lnTo>
                                  <a:pt x="778" y="980"/>
                                </a:lnTo>
                                <a:lnTo>
                                  <a:pt x="760" y="984"/>
                                </a:lnTo>
                                <a:lnTo>
                                  <a:pt x="744" y="992"/>
                                </a:lnTo>
                                <a:lnTo>
                                  <a:pt x="728" y="1004"/>
                                </a:lnTo>
                                <a:lnTo>
                                  <a:pt x="718" y="1006"/>
                                </a:lnTo>
                                <a:lnTo>
                                  <a:pt x="708" y="1008"/>
                                </a:lnTo>
                                <a:lnTo>
                                  <a:pt x="700" y="1012"/>
                                </a:lnTo>
                                <a:lnTo>
                                  <a:pt x="696" y="1024"/>
                                </a:lnTo>
                                <a:lnTo>
                                  <a:pt x="692" y="1024"/>
                                </a:lnTo>
                                <a:lnTo>
                                  <a:pt x="688" y="1024"/>
                                </a:lnTo>
                                <a:lnTo>
                                  <a:pt x="686" y="1026"/>
                                </a:lnTo>
                                <a:lnTo>
                                  <a:pt x="684" y="1026"/>
                                </a:lnTo>
                                <a:lnTo>
                                  <a:pt x="682" y="1028"/>
                                </a:lnTo>
                                <a:lnTo>
                                  <a:pt x="648" y="1034"/>
                                </a:lnTo>
                                <a:lnTo>
                                  <a:pt x="616" y="1038"/>
                                </a:lnTo>
                                <a:lnTo>
                                  <a:pt x="612" y="1036"/>
                                </a:lnTo>
                                <a:lnTo>
                                  <a:pt x="610" y="1032"/>
                                </a:lnTo>
                                <a:lnTo>
                                  <a:pt x="594" y="1030"/>
                                </a:lnTo>
                                <a:lnTo>
                                  <a:pt x="570" y="1028"/>
                                </a:lnTo>
                                <a:lnTo>
                                  <a:pt x="544" y="1022"/>
                                </a:lnTo>
                                <a:lnTo>
                                  <a:pt x="522" y="1016"/>
                                </a:lnTo>
                                <a:lnTo>
                                  <a:pt x="508" y="1008"/>
                                </a:lnTo>
                                <a:lnTo>
                                  <a:pt x="508" y="1006"/>
                                </a:lnTo>
                                <a:lnTo>
                                  <a:pt x="508" y="1004"/>
                                </a:lnTo>
                                <a:lnTo>
                                  <a:pt x="480" y="1004"/>
                                </a:lnTo>
                                <a:lnTo>
                                  <a:pt x="454" y="1004"/>
                                </a:lnTo>
                                <a:lnTo>
                                  <a:pt x="454" y="1006"/>
                                </a:lnTo>
                                <a:lnTo>
                                  <a:pt x="454" y="1008"/>
                                </a:lnTo>
                                <a:lnTo>
                                  <a:pt x="446" y="998"/>
                                </a:lnTo>
                                <a:lnTo>
                                  <a:pt x="442" y="986"/>
                                </a:lnTo>
                                <a:lnTo>
                                  <a:pt x="436" y="974"/>
                                </a:lnTo>
                                <a:lnTo>
                                  <a:pt x="418" y="970"/>
                                </a:lnTo>
                                <a:lnTo>
                                  <a:pt x="404" y="962"/>
                                </a:lnTo>
                                <a:lnTo>
                                  <a:pt x="392" y="952"/>
                                </a:lnTo>
                                <a:lnTo>
                                  <a:pt x="380" y="940"/>
                                </a:lnTo>
                                <a:lnTo>
                                  <a:pt x="366" y="934"/>
                                </a:lnTo>
                                <a:lnTo>
                                  <a:pt x="356" y="926"/>
                                </a:lnTo>
                                <a:lnTo>
                                  <a:pt x="350" y="918"/>
                                </a:lnTo>
                                <a:lnTo>
                                  <a:pt x="342" y="906"/>
                                </a:lnTo>
                                <a:lnTo>
                                  <a:pt x="336" y="906"/>
                                </a:lnTo>
                                <a:lnTo>
                                  <a:pt x="332" y="904"/>
                                </a:lnTo>
                                <a:lnTo>
                                  <a:pt x="332" y="892"/>
                                </a:lnTo>
                                <a:lnTo>
                                  <a:pt x="330" y="880"/>
                                </a:lnTo>
                                <a:lnTo>
                                  <a:pt x="324" y="870"/>
                                </a:lnTo>
                                <a:lnTo>
                                  <a:pt x="322" y="860"/>
                                </a:lnTo>
                                <a:lnTo>
                                  <a:pt x="322" y="850"/>
                                </a:lnTo>
                                <a:lnTo>
                                  <a:pt x="318" y="842"/>
                                </a:lnTo>
                                <a:lnTo>
                                  <a:pt x="306" y="836"/>
                                </a:lnTo>
                                <a:lnTo>
                                  <a:pt x="286" y="836"/>
                                </a:lnTo>
                                <a:lnTo>
                                  <a:pt x="266" y="836"/>
                                </a:lnTo>
                                <a:lnTo>
                                  <a:pt x="246" y="824"/>
                                </a:lnTo>
                                <a:lnTo>
                                  <a:pt x="226" y="818"/>
                                </a:lnTo>
                                <a:lnTo>
                                  <a:pt x="224" y="814"/>
                                </a:lnTo>
                                <a:lnTo>
                                  <a:pt x="220" y="812"/>
                                </a:lnTo>
                                <a:lnTo>
                                  <a:pt x="216" y="810"/>
                                </a:lnTo>
                                <a:lnTo>
                                  <a:pt x="214" y="810"/>
                                </a:lnTo>
                                <a:lnTo>
                                  <a:pt x="212" y="806"/>
                                </a:lnTo>
                                <a:lnTo>
                                  <a:pt x="212" y="804"/>
                                </a:lnTo>
                                <a:lnTo>
                                  <a:pt x="202" y="802"/>
                                </a:lnTo>
                                <a:lnTo>
                                  <a:pt x="190" y="802"/>
                                </a:lnTo>
                                <a:lnTo>
                                  <a:pt x="174" y="786"/>
                                </a:lnTo>
                                <a:lnTo>
                                  <a:pt x="156" y="770"/>
                                </a:lnTo>
                                <a:lnTo>
                                  <a:pt x="148" y="768"/>
                                </a:lnTo>
                                <a:lnTo>
                                  <a:pt x="138" y="768"/>
                                </a:lnTo>
                                <a:lnTo>
                                  <a:pt x="138" y="764"/>
                                </a:lnTo>
                                <a:lnTo>
                                  <a:pt x="138" y="760"/>
                                </a:lnTo>
                                <a:lnTo>
                                  <a:pt x="132" y="760"/>
                                </a:lnTo>
                                <a:lnTo>
                                  <a:pt x="128" y="760"/>
                                </a:lnTo>
                                <a:lnTo>
                                  <a:pt x="126" y="754"/>
                                </a:lnTo>
                                <a:lnTo>
                                  <a:pt x="124" y="750"/>
                                </a:lnTo>
                                <a:lnTo>
                                  <a:pt x="120" y="746"/>
                                </a:lnTo>
                                <a:lnTo>
                                  <a:pt x="116" y="744"/>
                                </a:lnTo>
                                <a:lnTo>
                                  <a:pt x="112" y="740"/>
                                </a:lnTo>
                                <a:lnTo>
                                  <a:pt x="106" y="720"/>
                                </a:lnTo>
                                <a:lnTo>
                                  <a:pt x="100" y="700"/>
                                </a:lnTo>
                                <a:lnTo>
                                  <a:pt x="96" y="700"/>
                                </a:lnTo>
                                <a:lnTo>
                                  <a:pt x="92" y="700"/>
                                </a:lnTo>
                                <a:lnTo>
                                  <a:pt x="92" y="666"/>
                                </a:lnTo>
                                <a:lnTo>
                                  <a:pt x="90" y="634"/>
                                </a:lnTo>
                                <a:lnTo>
                                  <a:pt x="86" y="634"/>
                                </a:lnTo>
                                <a:lnTo>
                                  <a:pt x="82" y="634"/>
                                </a:lnTo>
                                <a:lnTo>
                                  <a:pt x="82" y="626"/>
                                </a:lnTo>
                                <a:lnTo>
                                  <a:pt x="82" y="618"/>
                                </a:lnTo>
                                <a:lnTo>
                                  <a:pt x="72" y="604"/>
                                </a:lnTo>
                                <a:lnTo>
                                  <a:pt x="66" y="584"/>
                                </a:lnTo>
                                <a:lnTo>
                                  <a:pt x="64" y="566"/>
                                </a:lnTo>
                                <a:lnTo>
                                  <a:pt x="54" y="556"/>
                                </a:lnTo>
                                <a:lnTo>
                                  <a:pt x="48" y="542"/>
                                </a:lnTo>
                                <a:lnTo>
                                  <a:pt x="46" y="526"/>
                                </a:lnTo>
                                <a:lnTo>
                                  <a:pt x="42" y="512"/>
                                </a:lnTo>
                                <a:lnTo>
                                  <a:pt x="34" y="500"/>
                                </a:lnTo>
                                <a:lnTo>
                                  <a:pt x="28" y="498"/>
                                </a:lnTo>
                                <a:lnTo>
                                  <a:pt x="24" y="496"/>
                                </a:lnTo>
                                <a:lnTo>
                                  <a:pt x="22" y="496"/>
                                </a:lnTo>
                                <a:lnTo>
                                  <a:pt x="20" y="494"/>
                                </a:lnTo>
                                <a:lnTo>
                                  <a:pt x="18" y="494"/>
                                </a:lnTo>
                                <a:lnTo>
                                  <a:pt x="18" y="492"/>
                                </a:lnTo>
                                <a:lnTo>
                                  <a:pt x="14" y="478"/>
                                </a:lnTo>
                                <a:lnTo>
                                  <a:pt x="8" y="464"/>
                                </a:lnTo>
                                <a:lnTo>
                                  <a:pt x="0" y="452"/>
                                </a:lnTo>
                                <a:lnTo>
                                  <a:pt x="0" y="358"/>
                                </a:lnTo>
                                <a:lnTo>
                                  <a:pt x="0" y="266"/>
                                </a:lnTo>
                                <a:lnTo>
                                  <a:pt x="4" y="260"/>
                                </a:lnTo>
                                <a:lnTo>
                                  <a:pt x="6" y="254"/>
                                </a:lnTo>
                                <a:lnTo>
                                  <a:pt x="8" y="248"/>
                                </a:lnTo>
                                <a:lnTo>
                                  <a:pt x="8" y="242"/>
                                </a:lnTo>
                                <a:lnTo>
                                  <a:pt x="8" y="236"/>
                                </a:lnTo>
                                <a:lnTo>
                                  <a:pt x="12" y="234"/>
                                </a:lnTo>
                                <a:lnTo>
                                  <a:pt x="16" y="234"/>
                                </a:lnTo>
                                <a:lnTo>
                                  <a:pt x="18" y="228"/>
                                </a:lnTo>
                                <a:lnTo>
                                  <a:pt x="20" y="222"/>
                                </a:lnTo>
                                <a:lnTo>
                                  <a:pt x="24" y="218"/>
                                </a:lnTo>
                                <a:lnTo>
                                  <a:pt x="28" y="214"/>
                                </a:lnTo>
                                <a:lnTo>
                                  <a:pt x="32" y="210"/>
                                </a:lnTo>
                                <a:lnTo>
                                  <a:pt x="34" y="198"/>
                                </a:lnTo>
                                <a:lnTo>
                                  <a:pt x="36" y="188"/>
                                </a:lnTo>
                                <a:lnTo>
                                  <a:pt x="54" y="184"/>
                                </a:lnTo>
                                <a:lnTo>
                                  <a:pt x="72" y="184"/>
                                </a:lnTo>
                                <a:lnTo>
                                  <a:pt x="72" y="180"/>
                                </a:lnTo>
                                <a:lnTo>
                                  <a:pt x="74" y="176"/>
                                </a:lnTo>
                                <a:lnTo>
                                  <a:pt x="92" y="170"/>
                                </a:lnTo>
                                <a:lnTo>
                                  <a:pt x="110" y="168"/>
                                </a:lnTo>
                                <a:lnTo>
                                  <a:pt x="110" y="160"/>
                                </a:lnTo>
                                <a:lnTo>
                                  <a:pt x="112" y="154"/>
                                </a:lnTo>
                                <a:lnTo>
                                  <a:pt x="120" y="152"/>
                                </a:lnTo>
                                <a:lnTo>
                                  <a:pt x="128" y="146"/>
                                </a:lnTo>
                                <a:lnTo>
                                  <a:pt x="134" y="142"/>
                                </a:lnTo>
                                <a:lnTo>
                                  <a:pt x="138" y="134"/>
                                </a:lnTo>
                                <a:lnTo>
                                  <a:pt x="142" y="132"/>
                                </a:lnTo>
                                <a:lnTo>
                                  <a:pt x="146" y="132"/>
                                </a:lnTo>
                                <a:lnTo>
                                  <a:pt x="148" y="124"/>
                                </a:lnTo>
                                <a:lnTo>
                                  <a:pt x="148" y="120"/>
                                </a:lnTo>
                                <a:lnTo>
                                  <a:pt x="148" y="116"/>
                                </a:lnTo>
                                <a:lnTo>
                                  <a:pt x="150" y="112"/>
                                </a:lnTo>
                                <a:lnTo>
                                  <a:pt x="154" y="110"/>
                                </a:lnTo>
                                <a:lnTo>
                                  <a:pt x="158" y="108"/>
                                </a:lnTo>
                                <a:lnTo>
                                  <a:pt x="166" y="108"/>
                                </a:lnTo>
                                <a:lnTo>
                                  <a:pt x="166" y="104"/>
                                </a:lnTo>
                                <a:lnTo>
                                  <a:pt x="166" y="100"/>
                                </a:lnTo>
                                <a:lnTo>
                                  <a:pt x="176" y="94"/>
                                </a:lnTo>
                                <a:lnTo>
                                  <a:pt x="182" y="86"/>
                                </a:lnTo>
                                <a:lnTo>
                                  <a:pt x="186" y="74"/>
                                </a:lnTo>
                                <a:lnTo>
                                  <a:pt x="186" y="62"/>
                                </a:lnTo>
                                <a:lnTo>
                                  <a:pt x="186" y="48"/>
                                </a:lnTo>
                                <a:lnTo>
                                  <a:pt x="186" y="36"/>
                                </a:lnTo>
                                <a:lnTo>
                                  <a:pt x="194" y="28"/>
                                </a:lnTo>
                                <a:lnTo>
                                  <a:pt x="202" y="22"/>
                                </a:lnTo>
                                <a:lnTo>
                                  <a:pt x="202" y="16"/>
                                </a:lnTo>
                                <a:lnTo>
                                  <a:pt x="204" y="12"/>
                                </a:lnTo>
                                <a:lnTo>
                                  <a:pt x="206" y="10"/>
                                </a:lnTo>
                                <a:lnTo>
                                  <a:pt x="208" y="6"/>
                                </a:lnTo>
                                <a:lnTo>
                                  <a:pt x="210" y="4"/>
                                </a:lnTo>
                                <a:lnTo>
                                  <a:pt x="212" y="0"/>
                                </a:lnTo>
                                <a:lnTo>
                                  <a:pt x="246" y="0"/>
                                </a:lnTo>
                                <a:lnTo>
                                  <a:pt x="280" y="0"/>
                                </a:lnTo>
                                <a:lnTo>
                                  <a:pt x="306" y="18"/>
                                </a:lnTo>
                                <a:lnTo>
                                  <a:pt x="332" y="32"/>
                                </a:lnTo>
                                <a:lnTo>
                                  <a:pt x="362" y="40"/>
                                </a:lnTo>
                                <a:lnTo>
                                  <a:pt x="362" y="44"/>
                                </a:lnTo>
                                <a:lnTo>
                                  <a:pt x="362" y="48"/>
                                </a:lnTo>
                                <a:lnTo>
                                  <a:pt x="382" y="52"/>
                                </a:lnTo>
                                <a:lnTo>
                                  <a:pt x="398" y="62"/>
                                </a:lnTo>
                                <a:lnTo>
                                  <a:pt x="410" y="64"/>
                                </a:lnTo>
                                <a:lnTo>
                                  <a:pt x="422" y="66"/>
                                </a:lnTo>
                                <a:lnTo>
                                  <a:pt x="426" y="70"/>
                                </a:lnTo>
                                <a:lnTo>
                                  <a:pt x="430" y="72"/>
                                </a:lnTo>
                                <a:lnTo>
                                  <a:pt x="436" y="74"/>
                                </a:lnTo>
                                <a:lnTo>
                                  <a:pt x="436" y="78"/>
                                </a:lnTo>
                                <a:lnTo>
                                  <a:pt x="436" y="82"/>
                                </a:lnTo>
                                <a:lnTo>
                                  <a:pt x="440" y="82"/>
                                </a:lnTo>
                                <a:lnTo>
                                  <a:pt x="446" y="82"/>
                                </a:lnTo>
                                <a:lnTo>
                                  <a:pt x="446" y="86"/>
                                </a:lnTo>
                                <a:lnTo>
                                  <a:pt x="446" y="92"/>
                                </a:lnTo>
                                <a:lnTo>
                                  <a:pt x="454" y="92"/>
                                </a:lnTo>
                                <a:lnTo>
                                  <a:pt x="464" y="92"/>
                                </a:lnTo>
                                <a:lnTo>
                                  <a:pt x="464" y="96"/>
                                </a:lnTo>
                                <a:lnTo>
                                  <a:pt x="464" y="100"/>
                                </a:lnTo>
                                <a:lnTo>
                                  <a:pt x="480" y="102"/>
                                </a:lnTo>
                                <a:lnTo>
                                  <a:pt x="494" y="106"/>
                                </a:lnTo>
                                <a:lnTo>
                                  <a:pt x="510" y="108"/>
                                </a:lnTo>
                                <a:lnTo>
                                  <a:pt x="512" y="114"/>
                                </a:lnTo>
                                <a:lnTo>
                                  <a:pt x="514" y="118"/>
                                </a:lnTo>
                                <a:lnTo>
                                  <a:pt x="518" y="122"/>
                                </a:lnTo>
                                <a:lnTo>
                                  <a:pt x="520" y="136"/>
                                </a:lnTo>
                                <a:lnTo>
                                  <a:pt x="520" y="150"/>
                                </a:lnTo>
                                <a:lnTo>
                                  <a:pt x="524" y="150"/>
                                </a:lnTo>
                                <a:lnTo>
                                  <a:pt x="528" y="152"/>
                                </a:lnTo>
                                <a:lnTo>
                                  <a:pt x="528" y="154"/>
                                </a:lnTo>
                                <a:lnTo>
                                  <a:pt x="530" y="160"/>
                                </a:lnTo>
                                <a:lnTo>
                                  <a:pt x="514" y="162"/>
                                </a:lnTo>
                                <a:lnTo>
                                  <a:pt x="496" y="170"/>
                                </a:lnTo>
                                <a:lnTo>
                                  <a:pt x="480" y="182"/>
                                </a:lnTo>
                                <a:lnTo>
                                  <a:pt x="468" y="192"/>
                                </a:lnTo>
                                <a:lnTo>
                                  <a:pt x="460" y="192"/>
                                </a:lnTo>
                                <a:lnTo>
                                  <a:pt x="456" y="196"/>
                                </a:lnTo>
                                <a:lnTo>
                                  <a:pt x="450" y="200"/>
                                </a:lnTo>
                                <a:lnTo>
                                  <a:pt x="448" y="204"/>
                                </a:lnTo>
                                <a:lnTo>
                                  <a:pt x="446" y="210"/>
                                </a:lnTo>
                                <a:lnTo>
                                  <a:pt x="432" y="216"/>
                                </a:lnTo>
                                <a:lnTo>
                                  <a:pt x="422" y="222"/>
                                </a:lnTo>
                                <a:lnTo>
                                  <a:pt x="410" y="228"/>
                                </a:lnTo>
                                <a:lnTo>
                                  <a:pt x="408" y="232"/>
                                </a:lnTo>
                                <a:lnTo>
                                  <a:pt x="408" y="238"/>
                                </a:lnTo>
                                <a:lnTo>
                                  <a:pt x="404" y="240"/>
                                </a:lnTo>
                                <a:lnTo>
                                  <a:pt x="400" y="244"/>
                                </a:lnTo>
                                <a:lnTo>
                                  <a:pt x="400" y="252"/>
                                </a:lnTo>
                                <a:lnTo>
                                  <a:pt x="398" y="262"/>
                                </a:lnTo>
                                <a:lnTo>
                                  <a:pt x="394" y="262"/>
                                </a:lnTo>
                                <a:lnTo>
                                  <a:pt x="390" y="264"/>
                                </a:lnTo>
                                <a:lnTo>
                                  <a:pt x="386" y="266"/>
                                </a:lnTo>
                                <a:lnTo>
                                  <a:pt x="382" y="270"/>
                                </a:lnTo>
                                <a:lnTo>
                                  <a:pt x="382" y="304"/>
                                </a:lnTo>
                                <a:lnTo>
                                  <a:pt x="380" y="338"/>
                                </a:lnTo>
                                <a:lnTo>
                                  <a:pt x="390" y="338"/>
                                </a:lnTo>
                                <a:lnTo>
                                  <a:pt x="398" y="338"/>
                                </a:lnTo>
                                <a:lnTo>
                                  <a:pt x="398" y="340"/>
                                </a:lnTo>
                                <a:lnTo>
                                  <a:pt x="400" y="344"/>
                                </a:lnTo>
                                <a:lnTo>
                                  <a:pt x="412" y="348"/>
                                </a:lnTo>
                                <a:lnTo>
                                  <a:pt x="424" y="356"/>
                                </a:lnTo>
                                <a:lnTo>
                                  <a:pt x="436" y="362"/>
                                </a:lnTo>
                                <a:lnTo>
                                  <a:pt x="436" y="366"/>
                                </a:lnTo>
                                <a:lnTo>
                                  <a:pt x="436" y="370"/>
                                </a:lnTo>
                                <a:lnTo>
                                  <a:pt x="464" y="370"/>
                                </a:lnTo>
                                <a:lnTo>
                                  <a:pt x="492" y="372"/>
                                </a:lnTo>
                                <a:lnTo>
                                  <a:pt x="506" y="370"/>
                                </a:lnTo>
                                <a:lnTo>
                                  <a:pt x="518" y="370"/>
                                </a:lnTo>
                                <a:lnTo>
                                  <a:pt x="518" y="366"/>
                                </a:lnTo>
                                <a:lnTo>
                                  <a:pt x="518" y="362"/>
                                </a:lnTo>
                                <a:lnTo>
                                  <a:pt x="542" y="358"/>
                                </a:lnTo>
                                <a:lnTo>
                                  <a:pt x="566" y="350"/>
                                </a:lnTo>
                                <a:lnTo>
                                  <a:pt x="590" y="344"/>
                                </a:lnTo>
                                <a:lnTo>
                                  <a:pt x="594" y="340"/>
                                </a:lnTo>
                                <a:lnTo>
                                  <a:pt x="600" y="336"/>
                                </a:lnTo>
                                <a:lnTo>
                                  <a:pt x="704" y="336"/>
                                </a:lnTo>
                                <a:lnTo>
                                  <a:pt x="808" y="338"/>
                                </a:lnTo>
                                <a:lnTo>
                                  <a:pt x="808" y="340"/>
                                </a:lnTo>
                                <a:lnTo>
                                  <a:pt x="808" y="344"/>
                                </a:lnTo>
                                <a:lnTo>
                                  <a:pt x="834" y="350"/>
                                </a:lnTo>
                                <a:lnTo>
                                  <a:pt x="860" y="358"/>
                                </a:lnTo>
                                <a:lnTo>
                                  <a:pt x="886" y="364"/>
                                </a:lnTo>
                                <a:lnTo>
                                  <a:pt x="896" y="370"/>
                                </a:lnTo>
                                <a:lnTo>
                                  <a:pt x="908" y="370"/>
                                </a:lnTo>
                                <a:lnTo>
                                  <a:pt x="920" y="372"/>
                                </a:lnTo>
                                <a:lnTo>
                                  <a:pt x="930" y="378"/>
                                </a:lnTo>
                                <a:lnTo>
                                  <a:pt x="934" y="378"/>
                                </a:lnTo>
                                <a:lnTo>
                                  <a:pt x="938" y="380"/>
                                </a:lnTo>
                                <a:lnTo>
                                  <a:pt x="938" y="384"/>
                                </a:lnTo>
                                <a:lnTo>
                                  <a:pt x="938" y="388"/>
                                </a:lnTo>
                                <a:lnTo>
                                  <a:pt x="942" y="388"/>
                                </a:lnTo>
                                <a:lnTo>
                                  <a:pt x="948" y="388"/>
                                </a:lnTo>
                                <a:lnTo>
                                  <a:pt x="948" y="396"/>
                                </a:lnTo>
                                <a:lnTo>
                                  <a:pt x="948" y="404"/>
                                </a:lnTo>
                                <a:lnTo>
                                  <a:pt x="974" y="408"/>
                                </a:lnTo>
                                <a:lnTo>
                                  <a:pt x="998" y="422"/>
                                </a:lnTo>
                                <a:lnTo>
                                  <a:pt x="1002" y="422"/>
                                </a:lnTo>
                                <a:lnTo>
                                  <a:pt x="1006" y="424"/>
                                </a:lnTo>
                                <a:lnTo>
                                  <a:pt x="1008" y="424"/>
                                </a:lnTo>
                                <a:lnTo>
                                  <a:pt x="1012" y="428"/>
                                </a:lnTo>
                                <a:lnTo>
                                  <a:pt x="1024" y="428"/>
                                </a:lnTo>
                                <a:lnTo>
                                  <a:pt x="1040" y="430"/>
                                </a:lnTo>
                                <a:lnTo>
                                  <a:pt x="1040" y="426"/>
                                </a:lnTo>
                                <a:lnTo>
                                  <a:pt x="1040" y="422"/>
                                </a:lnTo>
                                <a:lnTo>
                                  <a:pt x="1062" y="422"/>
                                </a:lnTo>
                                <a:lnTo>
                                  <a:pt x="1084" y="422"/>
                                </a:lnTo>
                                <a:lnTo>
                                  <a:pt x="1086" y="418"/>
                                </a:lnTo>
                                <a:lnTo>
                                  <a:pt x="1090" y="416"/>
                                </a:lnTo>
                                <a:lnTo>
                                  <a:pt x="1092" y="414"/>
                                </a:lnTo>
                                <a:lnTo>
                                  <a:pt x="1094" y="414"/>
                                </a:lnTo>
                                <a:lnTo>
                                  <a:pt x="1098" y="414"/>
                                </a:lnTo>
                                <a:lnTo>
                                  <a:pt x="1112" y="420"/>
                                </a:lnTo>
                                <a:lnTo>
                                  <a:pt x="1126" y="422"/>
                                </a:lnTo>
                                <a:lnTo>
                                  <a:pt x="1142" y="422"/>
                                </a:lnTo>
                                <a:lnTo>
                                  <a:pt x="1146" y="432"/>
                                </a:lnTo>
                                <a:lnTo>
                                  <a:pt x="1156" y="438"/>
                                </a:lnTo>
                                <a:lnTo>
                                  <a:pt x="1168" y="440"/>
                                </a:lnTo>
                                <a:lnTo>
                                  <a:pt x="1180" y="442"/>
                                </a:lnTo>
                                <a:lnTo>
                                  <a:pt x="1190" y="446"/>
                                </a:lnTo>
                                <a:lnTo>
                                  <a:pt x="1214" y="446"/>
                                </a:lnTo>
                                <a:lnTo>
                                  <a:pt x="1236" y="448"/>
                                </a:lnTo>
                                <a:lnTo>
                                  <a:pt x="1242" y="450"/>
                                </a:lnTo>
                                <a:lnTo>
                                  <a:pt x="1246" y="454"/>
                                </a:lnTo>
                                <a:lnTo>
                                  <a:pt x="1274" y="454"/>
                                </a:lnTo>
                                <a:lnTo>
                                  <a:pt x="1302" y="454"/>
                                </a:lnTo>
                                <a:lnTo>
                                  <a:pt x="1314" y="462"/>
                                </a:lnTo>
                                <a:lnTo>
                                  <a:pt x="1326" y="468"/>
                                </a:lnTo>
                                <a:lnTo>
                                  <a:pt x="1338" y="474"/>
                                </a:lnTo>
                                <a:lnTo>
                                  <a:pt x="1350" y="480"/>
                                </a:lnTo>
                                <a:lnTo>
                                  <a:pt x="1360" y="490"/>
                                </a:lnTo>
                                <a:lnTo>
                                  <a:pt x="1366" y="504"/>
                                </a:lnTo>
                                <a:lnTo>
                                  <a:pt x="1402" y="510"/>
                                </a:lnTo>
                                <a:lnTo>
                                  <a:pt x="1438" y="514"/>
                                </a:lnTo>
                                <a:lnTo>
                                  <a:pt x="1438" y="510"/>
                                </a:lnTo>
                                <a:lnTo>
                                  <a:pt x="1440" y="506"/>
                                </a:lnTo>
                                <a:lnTo>
                                  <a:pt x="1454" y="506"/>
                                </a:lnTo>
                                <a:lnTo>
                                  <a:pt x="1468" y="506"/>
                                </a:lnTo>
                                <a:lnTo>
                                  <a:pt x="1478" y="500"/>
                                </a:lnTo>
                                <a:lnTo>
                                  <a:pt x="1486" y="490"/>
                                </a:lnTo>
                                <a:lnTo>
                                  <a:pt x="1496" y="486"/>
                                </a:lnTo>
                                <a:lnTo>
                                  <a:pt x="1512" y="480"/>
                                </a:lnTo>
                                <a:lnTo>
                                  <a:pt x="1526" y="472"/>
                                </a:lnTo>
                                <a:lnTo>
                                  <a:pt x="1536" y="466"/>
                                </a:lnTo>
                                <a:lnTo>
                                  <a:pt x="1548" y="466"/>
                                </a:lnTo>
                                <a:lnTo>
                                  <a:pt x="1560" y="464"/>
                                </a:lnTo>
                                <a:lnTo>
                                  <a:pt x="1560" y="460"/>
                                </a:lnTo>
                                <a:lnTo>
                                  <a:pt x="1560" y="454"/>
                                </a:lnTo>
                                <a:lnTo>
                                  <a:pt x="1578" y="452"/>
                                </a:lnTo>
                                <a:lnTo>
                                  <a:pt x="1596" y="448"/>
                                </a:lnTo>
                                <a:lnTo>
                                  <a:pt x="1614" y="440"/>
                                </a:lnTo>
                                <a:lnTo>
                                  <a:pt x="1648" y="440"/>
                                </a:lnTo>
                                <a:lnTo>
                                  <a:pt x="1684" y="440"/>
                                </a:lnTo>
                                <a:lnTo>
                                  <a:pt x="1688" y="442"/>
                                </a:lnTo>
                                <a:lnTo>
                                  <a:pt x="1690" y="444"/>
                                </a:lnTo>
                                <a:lnTo>
                                  <a:pt x="1692" y="446"/>
                                </a:lnTo>
                                <a:lnTo>
                                  <a:pt x="1696" y="446"/>
                                </a:lnTo>
                                <a:lnTo>
                                  <a:pt x="1700" y="448"/>
                                </a:lnTo>
                                <a:lnTo>
                                  <a:pt x="1700" y="452"/>
                                </a:lnTo>
                                <a:lnTo>
                                  <a:pt x="1700" y="454"/>
                                </a:lnTo>
                                <a:lnTo>
                                  <a:pt x="1716" y="456"/>
                                </a:lnTo>
                                <a:lnTo>
                                  <a:pt x="1732" y="456"/>
                                </a:lnTo>
                                <a:lnTo>
                                  <a:pt x="1750" y="472"/>
                                </a:lnTo>
                                <a:lnTo>
                                  <a:pt x="1770" y="484"/>
                                </a:lnTo>
                                <a:lnTo>
                                  <a:pt x="1792" y="490"/>
                                </a:lnTo>
                                <a:lnTo>
                                  <a:pt x="1794" y="494"/>
                                </a:lnTo>
                                <a:lnTo>
                                  <a:pt x="1794" y="498"/>
                                </a:lnTo>
                                <a:lnTo>
                                  <a:pt x="1810" y="496"/>
                                </a:lnTo>
                                <a:lnTo>
                                  <a:pt x="1830" y="494"/>
                                </a:lnTo>
                                <a:lnTo>
                                  <a:pt x="1848" y="490"/>
                                </a:lnTo>
                                <a:lnTo>
                                  <a:pt x="1862" y="482"/>
                                </a:lnTo>
                                <a:lnTo>
                                  <a:pt x="1890" y="480"/>
                                </a:lnTo>
                                <a:lnTo>
                                  <a:pt x="1918" y="480"/>
                                </a:lnTo>
                                <a:lnTo>
                                  <a:pt x="1924" y="476"/>
                                </a:lnTo>
                                <a:lnTo>
                                  <a:pt x="1928" y="474"/>
                                </a:lnTo>
                                <a:lnTo>
                                  <a:pt x="2024" y="474"/>
                                </a:lnTo>
                                <a:lnTo>
                                  <a:pt x="2120" y="474"/>
                                </a:lnTo>
                                <a:lnTo>
                                  <a:pt x="2126" y="478"/>
                                </a:lnTo>
                                <a:lnTo>
                                  <a:pt x="2132" y="480"/>
                                </a:lnTo>
                                <a:lnTo>
                                  <a:pt x="2138" y="480"/>
                                </a:lnTo>
                                <a:lnTo>
                                  <a:pt x="2146" y="482"/>
                                </a:lnTo>
                                <a:lnTo>
                                  <a:pt x="2146" y="486"/>
                                </a:lnTo>
                                <a:lnTo>
                                  <a:pt x="2146" y="490"/>
                                </a:lnTo>
                                <a:lnTo>
                                  <a:pt x="2156" y="490"/>
                                </a:lnTo>
                                <a:lnTo>
                                  <a:pt x="2166" y="490"/>
                                </a:lnTo>
                                <a:lnTo>
                                  <a:pt x="2166" y="496"/>
                                </a:lnTo>
                                <a:lnTo>
                                  <a:pt x="2164" y="502"/>
                                </a:lnTo>
                                <a:lnTo>
                                  <a:pt x="2164" y="506"/>
                                </a:lnTo>
                                <a:lnTo>
                                  <a:pt x="2160" y="512"/>
                                </a:lnTo>
                                <a:lnTo>
                                  <a:pt x="2156" y="516"/>
                                </a:lnTo>
                                <a:lnTo>
                                  <a:pt x="2156" y="522"/>
                                </a:lnTo>
                                <a:lnTo>
                                  <a:pt x="2156" y="534"/>
                                </a:lnTo>
                                <a:lnTo>
                                  <a:pt x="2156" y="548"/>
                                </a:lnTo>
                                <a:lnTo>
                                  <a:pt x="2156" y="560"/>
                                </a:lnTo>
                                <a:lnTo>
                                  <a:pt x="2156" y="564"/>
                                </a:lnTo>
                                <a:lnTo>
                                  <a:pt x="2160" y="568"/>
                                </a:lnTo>
                                <a:lnTo>
                                  <a:pt x="2164" y="570"/>
                                </a:lnTo>
                                <a:lnTo>
                                  <a:pt x="2164" y="594"/>
                                </a:lnTo>
                                <a:lnTo>
                                  <a:pt x="2164" y="618"/>
                                </a:lnTo>
                                <a:lnTo>
                                  <a:pt x="2154" y="626"/>
                                </a:lnTo>
                                <a:lnTo>
                                  <a:pt x="2150" y="634"/>
                                </a:lnTo>
                                <a:lnTo>
                                  <a:pt x="2148" y="640"/>
                                </a:lnTo>
                                <a:lnTo>
                                  <a:pt x="2146" y="652"/>
                                </a:lnTo>
                                <a:lnTo>
                                  <a:pt x="2136" y="660"/>
                                </a:lnTo>
                                <a:lnTo>
                                  <a:pt x="2128" y="668"/>
                                </a:lnTo>
                                <a:lnTo>
                                  <a:pt x="2128" y="674"/>
                                </a:lnTo>
                                <a:lnTo>
                                  <a:pt x="2126" y="686"/>
                                </a:lnTo>
                                <a:lnTo>
                                  <a:pt x="2126" y="700"/>
                                </a:lnTo>
                                <a:lnTo>
                                  <a:pt x="2128" y="712"/>
                                </a:lnTo>
                                <a:lnTo>
                                  <a:pt x="2128" y="716"/>
                                </a:lnTo>
                                <a:lnTo>
                                  <a:pt x="2134" y="722"/>
                                </a:lnTo>
                                <a:lnTo>
                                  <a:pt x="2138" y="726"/>
                                </a:lnTo>
                                <a:lnTo>
                                  <a:pt x="2142" y="730"/>
                                </a:lnTo>
                                <a:lnTo>
                                  <a:pt x="2144" y="736"/>
                                </a:lnTo>
                                <a:lnTo>
                                  <a:pt x="2146" y="742"/>
                                </a:lnTo>
                                <a:lnTo>
                                  <a:pt x="2156" y="744"/>
                                </a:lnTo>
                                <a:lnTo>
                                  <a:pt x="2164" y="744"/>
                                </a:lnTo>
                                <a:lnTo>
                                  <a:pt x="2168" y="744"/>
                                </a:lnTo>
                                <a:lnTo>
                                  <a:pt x="2170" y="746"/>
                                </a:lnTo>
                                <a:lnTo>
                                  <a:pt x="2172" y="752"/>
                                </a:lnTo>
                                <a:lnTo>
                                  <a:pt x="2174" y="758"/>
                                </a:lnTo>
                                <a:lnTo>
                                  <a:pt x="2174" y="766"/>
                                </a:lnTo>
                                <a:lnTo>
                                  <a:pt x="2180" y="778"/>
                                </a:lnTo>
                                <a:lnTo>
                                  <a:pt x="2184" y="788"/>
                                </a:lnTo>
                                <a:lnTo>
                                  <a:pt x="2190" y="800"/>
                                </a:lnTo>
                                <a:lnTo>
                                  <a:pt x="2190" y="810"/>
                                </a:lnTo>
                                <a:lnTo>
                                  <a:pt x="2190" y="822"/>
                                </a:lnTo>
                                <a:lnTo>
                                  <a:pt x="2188" y="826"/>
                                </a:lnTo>
                                <a:lnTo>
                                  <a:pt x="2184" y="830"/>
                                </a:lnTo>
                                <a:lnTo>
                                  <a:pt x="2184" y="832"/>
                                </a:lnTo>
                                <a:lnTo>
                                  <a:pt x="2182" y="838"/>
                                </a:lnTo>
                                <a:lnTo>
                                  <a:pt x="2174" y="838"/>
                                </a:lnTo>
                                <a:lnTo>
                                  <a:pt x="2166" y="838"/>
                                </a:lnTo>
                                <a:lnTo>
                                  <a:pt x="2164" y="840"/>
                                </a:lnTo>
                                <a:lnTo>
                                  <a:pt x="2164" y="844"/>
                                </a:lnTo>
                                <a:lnTo>
                                  <a:pt x="2156" y="848"/>
                                </a:lnTo>
                                <a:lnTo>
                                  <a:pt x="2152" y="850"/>
                                </a:lnTo>
                                <a:lnTo>
                                  <a:pt x="2148" y="856"/>
                                </a:lnTo>
                                <a:lnTo>
                                  <a:pt x="2146" y="862"/>
                                </a:lnTo>
                                <a:lnTo>
                                  <a:pt x="2146" y="870"/>
                                </a:lnTo>
                                <a:lnTo>
                                  <a:pt x="2136" y="870"/>
                                </a:lnTo>
                                <a:lnTo>
                                  <a:pt x="2128" y="872"/>
                                </a:lnTo>
                                <a:lnTo>
                                  <a:pt x="2128" y="874"/>
                                </a:lnTo>
                                <a:lnTo>
                                  <a:pt x="2126" y="880"/>
                                </a:lnTo>
                                <a:lnTo>
                                  <a:pt x="2122" y="880"/>
                                </a:lnTo>
                                <a:lnTo>
                                  <a:pt x="2118" y="880"/>
                                </a:lnTo>
                                <a:lnTo>
                                  <a:pt x="2116" y="894"/>
                                </a:lnTo>
                                <a:lnTo>
                                  <a:pt x="2116" y="910"/>
                                </a:lnTo>
                                <a:lnTo>
                                  <a:pt x="2106" y="918"/>
                                </a:lnTo>
                                <a:lnTo>
                                  <a:pt x="2096" y="928"/>
                                </a:lnTo>
                                <a:lnTo>
                                  <a:pt x="2080" y="932"/>
                                </a:lnTo>
                                <a:lnTo>
                                  <a:pt x="2074" y="940"/>
                                </a:lnTo>
                                <a:lnTo>
                                  <a:pt x="2072" y="952"/>
                                </a:lnTo>
                                <a:lnTo>
                                  <a:pt x="2070" y="968"/>
                                </a:lnTo>
                                <a:lnTo>
                                  <a:pt x="2066" y="970"/>
                                </a:lnTo>
                                <a:lnTo>
                                  <a:pt x="2064" y="974"/>
                                </a:lnTo>
                                <a:lnTo>
                                  <a:pt x="2062" y="976"/>
                                </a:lnTo>
                                <a:lnTo>
                                  <a:pt x="2062" y="982"/>
                                </a:lnTo>
                                <a:lnTo>
                                  <a:pt x="2048" y="982"/>
                                </a:lnTo>
                                <a:lnTo>
                                  <a:pt x="2034" y="982"/>
                                </a:lnTo>
                                <a:lnTo>
                                  <a:pt x="2034" y="984"/>
                                </a:lnTo>
                                <a:lnTo>
                                  <a:pt x="2034" y="988"/>
                                </a:lnTo>
                                <a:lnTo>
                                  <a:pt x="2010" y="994"/>
                                </a:lnTo>
                                <a:lnTo>
                                  <a:pt x="1986" y="1000"/>
                                </a:lnTo>
                                <a:lnTo>
                                  <a:pt x="1982" y="1004"/>
                                </a:lnTo>
                                <a:lnTo>
                                  <a:pt x="1980" y="1008"/>
                                </a:lnTo>
                                <a:lnTo>
                                  <a:pt x="1978" y="1072"/>
                                </a:lnTo>
                                <a:lnTo>
                                  <a:pt x="1976" y="1138"/>
                                </a:lnTo>
                                <a:lnTo>
                                  <a:pt x="1974" y="1138"/>
                                </a:lnTo>
                                <a:lnTo>
                                  <a:pt x="1972" y="1140"/>
                                </a:lnTo>
                                <a:lnTo>
                                  <a:pt x="1970" y="1142"/>
                                </a:lnTo>
                                <a:lnTo>
                                  <a:pt x="1966" y="1142"/>
                                </a:lnTo>
                                <a:lnTo>
                                  <a:pt x="1960" y="1144"/>
                                </a:lnTo>
                                <a:lnTo>
                                  <a:pt x="1952" y="1152"/>
                                </a:lnTo>
                                <a:lnTo>
                                  <a:pt x="1946" y="1158"/>
                                </a:lnTo>
                                <a:lnTo>
                                  <a:pt x="1944" y="1164"/>
                                </a:lnTo>
                                <a:lnTo>
                                  <a:pt x="1942" y="1176"/>
                                </a:lnTo>
                                <a:lnTo>
                                  <a:pt x="1950" y="1182"/>
                                </a:lnTo>
                                <a:lnTo>
                                  <a:pt x="1958" y="1190"/>
                                </a:lnTo>
                                <a:lnTo>
                                  <a:pt x="1958" y="1208"/>
                                </a:lnTo>
                                <a:lnTo>
                                  <a:pt x="1958" y="1230"/>
                                </a:lnTo>
                                <a:lnTo>
                                  <a:pt x="1952" y="1240"/>
                                </a:lnTo>
                                <a:lnTo>
                                  <a:pt x="1950" y="1254"/>
                                </a:lnTo>
                                <a:lnTo>
                                  <a:pt x="1952" y="1268"/>
                                </a:lnTo>
                                <a:lnTo>
                                  <a:pt x="1960" y="1276"/>
                                </a:lnTo>
                                <a:lnTo>
                                  <a:pt x="1972" y="1286"/>
                                </a:lnTo>
                                <a:lnTo>
                                  <a:pt x="1990" y="1286"/>
                                </a:lnTo>
                                <a:lnTo>
                                  <a:pt x="2010" y="1286"/>
                                </a:lnTo>
                                <a:lnTo>
                                  <a:pt x="2012" y="1290"/>
                                </a:lnTo>
                                <a:lnTo>
                                  <a:pt x="2014" y="1290"/>
                                </a:lnTo>
                                <a:lnTo>
                                  <a:pt x="2018" y="1292"/>
                                </a:lnTo>
                                <a:lnTo>
                                  <a:pt x="2020" y="1294"/>
                                </a:lnTo>
                                <a:lnTo>
                                  <a:pt x="2024" y="1294"/>
                                </a:lnTo>
                                <a:lnTo>
                                  <a:pt x="2026" y="1298"/>
                                </a:lnTo>
                                <a:lnTo>
                                  <a:pt x="2028" y="1302"/>
                                </a:lnTo>
                                <a:lnTo>
                                  <a:pt x="2030" y="1306"/>
                                </a:lnTo>
                                <a:lnTo>
                                  <a:pt x="2034" y="1308"/>
                                </a:lnTo>
                                <a:lnTo>
                                  <a:pt x="2034" y="1324"/>
                                </a:lnTo>
                                <a:lnTo>
                                  <a:pt x="2034" y="1338"/>
                                </a:lnTo>
                                <a:lnTo>
                                  <a:pt x="2030" y="1342"/>
                                </a:lnTo>
                                <a:lnTo>
                                  <a:pt x="2028" y="1344"/>
                                </a:lnTo>
                                <a:lnTo>
                                  <a:pt x="2010" y="1354"/>
                                </a:lnTo>
                                <a:lnTo>
                                  <a:pt x="2000" y="1366"/>
                                </a:lnTo>
                                <a:lnTo>
                                  <a:pt x="1998" y="1382"/>
                                </a:lnTo>
                                <a:lnTo>
                                  <a:pt x="1998" y="1406"/>
                                </a:lnTo>
                                <a:lnTo>
                                  <a:pt x="1988" y="1406"/>
                                </a:lnTo>
                                <a:lnTo>
                                  <a:pt x="1978" y="1406"/>
                                </a:lnTo>
                                <a:lnTo>
                                  <a:pt x="1978" y="1410"/>
                                </a:lnTo>
                                <a:lnTo>
                                  <a:pt x="1978" y="1414"/>
                                </a:lnTo>
                                <a:lnTo>
                                  <a:pt x="1896" y="1414"/>
                                </a:lnTo>
                                <a:lnTo>
                                  <a:pt x="1812" y="1414"/>
                                </a:lnTo>
                                <a:lnTo>
                                  <a:pt x="1806" y="1418"/>
                                </a:lnTo>
                                <a:lnTo>
                                  <a:pt x="1802" y="1422"/>
                                </a:lnTo>
                                <a:lnTo>
                                  <a:pt x="1784" y="1414"/>
                                </a:lnTo>
                                <a:lnTo>
                                  <a:pt x="1766" y="1414"/>
                                </a:lnTo>
                                <a:lnTo>
                                  <a:pt x="1746" y="1414"/>
                                </a:lnTo>
                                <a:lnTo>
                                  <a:pt x="1742" y="1404"/>
                                </a:lnTo>
                                <a:lnTo>
                                  <a:pt x="1732" y="1396"/>
                                </a:lnTo>
                                <a:lnTo>
                                  <a:pt x="1722" y="1386"/>
                                </a:lnTo>
                                <a:lnTo>
                                  <a:pt x="1714" y="1380"/>
                                </a:lnTo>
                                <a:lnTo>
                                  <a:pt x="1706" y="1380"/>
                                </a:lnTo>
                                <a:lnTo>
                                  <a:pt x="1700" y="1378"/>
                                </a:lnTo>
                                <a:lnTo>
                                  <a:pt x="1692" y="1374"/>
                                </a:lnTo>
                                <a:lnTo>
                                  <a:pt x="1686" y="1370"/>
                                </a:lnTo>
                                <a:lnTo>
                                  <a:pt x="1656" y="1370"/>
                                </a:lnTo>
                                <a:lnTo>
                                  <a:pt x="1638" y="1370"/>
                                </a:lnTo>
                                <a:lnTo>
                                  <a:pt x="1626" y="1370"/>
                                </a:lnTo>
                                <a:lnTo>
                                  <a:pt x="1620" y="1370"/>
                                </a:lnTo>
                                <a:lnTo>
                                  <a:pt x="1618" y="1370"/>
                                </a:lnTo>
                                <a:lnTo>
                                  <a:pt x="1616" y="1372"/>
                                </a:lnTo>
                                <a:lnTo>
                                  <a:pt x="1610" y="1376"/>
                                </a:lnTo>
                                <a:lnTo>
                                  <a:pt x="1604" y="1378"/>
                                </a:lnTo>
                                <a:lnTo>
                                  <a:pt x="1596" y="1380"/>
                                </a:lnTo>
                                <a:lnTo>
                                  <a:pt x="1588" y="1380"/>
                                </a:lnTo>
                                <a:lnTo>
                                  <a:pt x="1580" y="1396"/>
                                </a:lnTo>
                                <a:lnTo>
                                  <a:pt x="1568" y="1408"/>
                                </a:lnTo>
                                <a:lnTo>
                                  <a:pt x="1552" y="1414"/>
                                </a:lnTo>
                                <a:lnTo>
                                  <a:pt x="1552" y="1422"/>
                                </a:lnTo>
                                <a:lnTo>
                                  <a:pt x="1550" y="1430"/>
                                </a:lnTo>
                                <a:lnTo>
                                  <a:pt x="1522" y="1430"/>
                                </a:lnTo>
                                <a:lnTo>
                                  <a:pt x="1492" y="1430"/>
                                </a:lnTo>
                                <a:lnTo>
                                  <a:pt x="1482" y="1422"/>
                                </a:lnTo>
                                <a:lnTo>
                                  <a:pt x="1472" y="1414"/>
                                </a:lnTo>
                                <a:lnTo>
                                  <a:pt x="1454" y="1412"/>
                                </a:lnTo>
                                <a:lnTo>
                                  <a:pt x="1440" y="1406"/>
                                </a:lnTo>
                                <a:lnTo>
                                  <a:pt x="1428" y="1400"/>
                                </a:lnTo>
                                <a:lnTo>
                                  <a:pt x="1412" y="1396"/>
                                </a:lnTo>
                                <a:lnTo>
                                  <a:pt x="1410" y="1392"/>
                                </a:lnTo>
                                <a:lnTo>
                                  <a:pt x="1410" y="1388"/>
                                </a:lnTo>
                                <a:lnTo>
                                  <a:pt x="1398" y="1384"/>
                                </a:lnTo>
                                <a:lnTo>
                                  <a:pt x="1384" y="1380"/>
                                </a:lnTo>
                                <a:lnTo>
                                  <a:pt x="1374" y="1372"/>
                                </a:lnTo>
                                <a:close/>
                              </a:path>
                            </a:pathLst>
                          </a:custGeom>
                          <a:solidFill>
                            <a:schemeClr val="lt1">
                              <a:lumMod val="100000"/>
                              <a:lumOff val="0"/>
                            </a:schemeClr>
                          </a:solidFill>
                          <a:ln w="12700">
                            <a:solidFill>
                              <a:schemeClr val="accent4">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2" name="Freeform 21"/>
                        <wps:cNvSpPr>
                          <a:spLocks/>
                        </wps:cNvSpPr>
                        <wps:spPr bwMode="auto">
                          <a:xfrm>
                            <a:off x="2339702" y="68462"/>
                            <a:ext cx="2530939" cy="1628919"/>
                          </a:xfrm>
                          <a:custGeom>
                            <a:avLst/>
                            <a:gdLst>
                              <a:gd name="T0" fmla="*/ 0 w 2144"/>
                              <a:gd name="T1" fmla="*/ 1114 h 1380"/>
                              <a:gd name="T2" fmla="*/ 104 w 2144"/>
                              <a:gd name="T3" fmla="*/ 938 h 1380"/>
                              <a:gd name="T4" fmla="*/ 138 w 2144"/>
                              <a:gd name="T5" fmla="*/ 888 h 1380"/>
                              <a:gd name="T6" fmla="*/ 202 w 2144"/>
                              <a:gd name="T7" fmla="*/ 830 h 1380"/>
                              <a:gd name="T8" fmla="*/ 240 w 2144"/>
                              <a:gd name="T9" fmla="*/ 794 h 1380"/>
                              <a:gd name="T10" fmla="*/ 210 w 2144"/>
                              <a:gd name="T11" fmla="*/ 686 h 1380"/>
                              <a:gd name="T12" fmla="*/ 210 w 2144"/>
                              <a:gd name="T13" fmla="*/ 584 h 1380"/>
                              <a:gd name="T14" fmla="*/ 218 w 2144"/>
                              <a:gd name="T15" fmla="*/ 460 h 1380"/>
                              <a:gd name="T16" fmla="*/ 278 w 2144"/>
                              <a:gd name="T17" fmla="*/ 464 h 1380"/>
                              <a:gd name="T18" fmla="*/ 462 w 2144"/>
                              <a:gd name="T19" fmla="*/ 516 h 1380"/>
                              <a:gd name="T20" fmla="*/ 612 w 2144"/>
                              <a:gd name="T21" fmla="*/ 478 h 1380"/>
                              <a:gd name="T22" fmla="*/ 732 w 2144"/>
                              <a:gd name="T23" fmla="*/ 356 h 1380"/>
                              <a:gd name="T24" fmla="*/ 792 w 2144"/>
                              <a:gd name="T25" fmla="*/ 288 h 1380"/>
                              <a:gd name="T26" fmla="*/ 874 w 2144"/>
                              <a:gd name="T27" fmla="*/ 236 h 1380"/>
                              <a:gd name="T28" fmla="*/ 928 w 2144"/>
                              <a:gd name="T29" fmla="*/ 190 h 1380"/>
                              <a:gd name="T30" fmla="*/ 1056 w 2144"/>
                              <a:gd name="T31" fmla="*/ 122 h 1380"/>
                              <a:gd name="T32" fmla="*/ 1208 w 2144"/>
                              <a:gd name="T33" fmla="*/ 82 h 1380"/>
                              <a:gd name="T34" fmla="*/ 1418 w 2144"/>
                              <a:gd name="T35" fmla="*/ 42 h 1380"/>
                              <a:gd name="T36" fmla="*/ 1568 w 2144"/>
                              <a:gd name="T37" fmla="*/ 8 h 1380"/>
                              <a:gd name="T38" fmla="*/ 1768 w 2144"/>
                              <a:gd name="T39" fmla="*/ 18 h 1380"/>
                              <a:gd name="T40" fmla="*/ 1850 w 2144"/>
                              <a:gd name="T41" fmla="*/ 82 h 1380"/>
                              <a:gd name="T42" fmla="*/ 1962 w 2144"/>
                              <a:gd name="T43" fmla="*/ 86 h 1380"/>
                              <a:gd name="T44" fmla="*/ 2086 w 2144"/>
                              <a:gd name="T45" fmla="*/ 84 h 1380"/>
                              <a:gd name="T46" fmla="*/ 2128 w 2144"/>
                              <a:gd name="T47" fmla="*/ 62 h 1380"/>
                              <a:gd name="T48" fmla="*/ 2138 w 2144"/>
                              <a:gd name="T49" fmla="*/ 126 h 1380"/>
                              <a:gd name="T50" fmla="*/ 2060 w 2144"/>
                              <a:gd name="T51" fmla="*/ 208 h 1380"/>
                              <a:gd name="T52" fmla="*/ 1934 w 2144"/>
                              <a:gd name="T53" fmla="*/ 262 h 1380"/>
                              <a:gd name="T54" fmla="*/ 1884 w 2144"/>
                              <a:gd name="T55" fmla="*/ 344 h 1380"/>
                              <a:gd name="T56" fmla="*/ 1790 w 2144"/>
                              <a:gd name="T57" fmla="*/ 356 h 1380"/>
                              <a:gd name="T58" fmla="*/ 1800 w 2144"/>
                              <a:gd name="T59" fmla="*/ 448 h 1380"/>
                              <a:gd name="T60" fmla="*/ 1714 w 2144"/>
                              <a:gd name="T61" fmla="*/ 414 h 1380"/>
                              <a:gd name="T62" fmla="*/ 1654 w 2144"/>
                              <a:gd name="T63" fmla="*/ 430 h 1380"/>
                              <a:gd name="T64" fmla="*/ 1610 w 2144"/>
                              <a:gd name="T65" fmla="*/ 482 h 1380"/>
                              <a:gd name="T66" fmla="*/ 1568 w 2144"/>
                              <a:gd name="T67" fmla="*/ 508 h 1380"/>
                              <a:gd name="T68" fmla="*/ 1542 w 2144"/>
                              <a:gd name="T69" fmla="*/ 534 h 1380"/>
                              <a:gd name="T70" fmla="*/ 1476 w 2144"/>
                              <a:gd name="T71" fmla="*/ 596 h 1380"/>
                              <a:gd name="T72" fmla="*/ 1430 w 2144"/>
                              <a:gd name="T73" fmla="*/ 680 h 1380"/>
                              <a:gd name="T74" fmla="*/ 1338 w 2144"/>
                              <a:gd name="T75" fmla="*/ 760 h 1380"/>
                              <a:gd name="T76" fmla="*/ 1212 w 2144"/>
                              <a:gd name="T77" fmla="*/ 736 h 1380"/>
                              <a:gd name="T78" fmla="*/ 1104 w 2144"/>
                              <a:gd name="T79" fmla="*/ 622 h 1380"/>
                              <a:gd name="T80" fmla="*/ 1056 w 2144"/>
                              <a:gd name="T81" fmla="*/ 582 h 1380"/>
                              <a:gd name="T82" fmla="*/ 986 w 2144"/>
                              <a:gd name="T83" fmla="*/ 618 h 1380"/>
                              <a:gd name="T84" fmla="*/ 862 w 2144"/>
                              <a:gd name="T85" fmla="*/ 748 h 1380"/>
                              <a:gd name="T86" fmla="*/ 900 w 2144"/>
                              <a:gd name="T87" fmla="*/ 794 h 1380"/>
                              <a:gd name="T88" fmla="*/ 930 w 2144"/>
                              <a:gd name="T89" fmla="*/ 838 h 1380"/>
                              <a:gd name="T90" fmla="*/ 966 w 2144"/>
                              <a:gd name="T91" fmla="*/ 878 h 1380"/>
                              <a:gd name="T92" fmla="*/ 954 w 2144"/>
                              <a:gd name="T93" fmla="*/ 990 h 1380"/>
                              <a:gd name="T94" fmla="*/ 948 w 2144"/>
                              <a:gd name="T95" fmla="*/ 1050 h 1380"/>
                              <a:gd name="T96" fmla="*/ 954 w 2144"/>
                              <a:gd name="T97" fmla="*/ 1104 h 1380"/>
                              <a:gd name="T98" fmla="*/ 1020 w 2144"/>
                              <a:gd name="T99" fmla="*/ 1148 h 1380"/>
                              <a:gd name="T100" fmla="*/ 986 w 2144"/>
                              <a:gd name="T101" fmla="*/ 1226 h 1380"/>
                              <a:gd name="T102" fmla="*/ 932 w 2144"/>
                              <a:gd name="T103" fmla="*/ 1276 h 1380"/>
                              <a:gd name="T104" fmla="*/ 900 w 2144"/>
                              <a:gd name="T105" fmla="*/ 1316 h 1380"/>
                              <a:gd name="T106" fmla="*/ 674 w 2144"/>
                              <a:gd name="T107" fmla="*/ 1338 h 1380"/>
                              <a:gd name="T108" fmla="*/ 566 w 2144"/>
                              <a:gd name="T109" fmla="*/ 1346 h 1380"/>
                              <a:gd name="T110" fmla="*/ 428 w 2144"/>
                              <a:gd name="T111" fmla="*/ 1370 h 1380"/>
                              <a:gd name="T112" fmla="*/ 268 w 2144"/>
                              <a:gd name="T113" fmla="*/ 1370 h 1380"/>
                              <a:gd name="T114" fmla="*/ 128 w 2144"/>
                              <a:gd name="T115" fmla="*/ 1364 h 1380"/>
                              <a:gd name="T116" fmla="*/ 62 w 2144"/>
                              <a:gd name="T117" fmla="*/ 1356 h 1380"/>
                              <a:gd name="T118" fmla="*/ 80 w 2144"/>
                              <a:gd name="T119" fmla="*/ 1236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44" h="1380">
                                <a:moveTo>
                                  <a:pt x="14" y="1184"/>
                                </a:moveTo>
                                <a:lnTo>
                                  <a:pt x="16" y="1178"/>
                                </a:lnTo>
                                <a:lnTo>
                                  <a:pt x="16" y="1166"/>
                                </a:lnTo>
                                <a:lnTo>
                                  <a:pt x="16" y="1152"/>
                                </a:lnTo>
                                <a:lnTo>
                                  <a:pt x="16" y="1142"/>
                                </a:lnTo>
                                <a:lnTo>
                                  <a:pt x="14" y="1136"/>
                                </a:lnTo>
                                <a:lnTo>
                                  <a:pt x="10" y="1132"/>
                                </a:lnTo>
                                <a:lnTo>
                                  <a:pt x="6" y="1128"/>
                                </a:lnTo>
                                <a:lnTo>
                                  <a:pt x="2" y="1124"/>
                                </a:lnTo>
                                <a:lnTo>
                                  <a:pt x="0" y="1120"/>
                                </a:lnTo>
                                <a:lnTo>
                                  <a:pt x="0" y="1114"/>
                                </a:lnTo>
                                <a:lnTo>
                                  <a:pt x="16" y="1102"/>
                                </a:lnTo>
                                <a:lnTo>
                                  <a:pt x="34" y="1090"/>
                                </a:lnTo>
                                <a:lnTo>
                                  <a:pt x="34" y="1026"/>
                                </a:lnTo>
                                <a:lnTo>
                                  <a:pt x="36" y="962"/>
                                </a:lnTo>
                                <a:lnTo>
                                  <a:pt x="44" y="956"/>
                                </a:lnTo>
                                <a:lnTo>
                                  <a:pt x="60" y="952"/>
                                </a:lnTo>
                                <a:lnTo>
                                  <a:pt x="78" y="948"/>
                                </a:lnTo>
                                <a:lnTo>
                                  <a:pt x="90" y="946"/>
                                </a:lnTo>
                                <a:lnTo>
                                  <a:pt x="90" y="942"/>
                                </a:lnTo>
                                <a:lnTo>
                                  <a:pt x="90" y="938"/>
                                </a:lnTo>
                                <a:lnTo>
                                  <a:pt x="104" y="938"/>
                                </a:lnTo>
                                <a:lnTo>
                                  <a:pt x="118" y="938"/>
                                </a:lnTo>
                                <a:lnTo>
                                  <a:pt x="120" y="932"/>
                                </a:lnTo>
                                <a:lnTo>
                                  <a:pt x="120" y="928"/>
                                </a:lnTo>
                                <a:lnTo>
                                  <a:pt x="122" y="926"/>
                                </a:lnTo>
                                <a:lnTo>
                                  <a:pt x="126" y="922"/>
                                </a:lnTo>
                                <a:lnTo>
                                  <a:pt x="128" y="908"/>
                                </a:lnTo>
                                <a:lnTo>
                                  <a:pt x="130" y="894"/>
                                </a:lnTo>
                                <a:lnTo>
                                  <a:pt x="132" y="892"/>
                                </a:lnTo>
                                <a:lnTo>
                                  <a:pt x="134" y="890"/>
                                </a:lnTo>
                                <a:lnTo>
                                  <a:pt x="136" y="890"/>
                                </a:lnTo>
                                <a:lnTo>
                                  <a:pt x="138" y="888"/>
                                </a:lnTo>
                                <a:lnTo>
                                  <a:pt x="144" y="888"/>
                                </a:lnTo>
                                <a:lnTo>
                                  <a:pt x="158" y="874"/>
                                </a:lnTo>
                                <a:lnTo>
                                  <a:pt x="172" y="862"/>
                                </a:lnTo>
                                <a:lnTo>
                                  <a:pt x="174" y="850"/>
                                </a:lnTo>
                                <a:lnTo>
                                  <a:pt x="174" y="836"/>
                                </a:lnTo>
                                <a:lnTo>
                                  <a:pt x="178" y="836"/>
                                </a:lnTo>
                                <a:lnTo>
                                  <a:pt x="184" y="836"/>
                                </a:lnTo>
                                <a:lnTo>
                                  <a:pt x="184" y="832"/>
                                </a:lnTo>
                                <a:lnTo>
                                  <a:pt x="184" y="830"/>
                                </a:lnTo>
                                <a:lnTo>
                                  <a:pt x="192" y="830"/>
                                </a:lnTo>
                                <a:lnTo>
                                  <a:pt x="202" y="830"/>
                                </a:lnTo>
                                <a:lnTo>
                                  <a:pt x="202" y="820"/>
                                </a:lnTo>
                                <a:lnTo>
                                  <a:pt x="202" y="814"/>
                                </a:lnTo>
                                <a:lnTo>
                                  <a:pt x="202" y="810"/>
                                </a:lnTo>
                                <a:lnTo>
                                  <a:pt x="204" y="808"/>
                                </a:lnTo>
                                <a:lnTo>
                                  <a:pt x="208" y="806"/>
                                </a:lnTo>
                                <a:lnTo>
                                  <a:pt x="214" y="806"/>
                                </a:lnTo>
                                <a:lnTo>
                                  <a:pt x="220" y="804"/>
                                </a:lnTo>
                                <a:lnTo>
                                  <a:pt x="220" y="800"/>
                                </a:lnTo>
                                <a:lnTo>
                                  <a:pt x="222" y="796"/>
                                </a:lnTo>
                                <a:lnTo>
                                  <a:pt x="230" y="794"/>
                                </a:lnTo>
                                <a:lnTo>
                                  <a:pt x="240" y="794"/>
                                </a:lnTo>
                                <a:lnTo>
                                  <a:pt x="240" y="788"/>
                                </a:lnTo>
                                <a:lnTo>
                                  <a:pt x="240" y="782"/>
                                </a:lnTo>
                                <a:lnTo>
                                  <a:pt x="244" y="780"/>
                                </a:lnTo>
                                <a:lnTo>
                                  <a:pt x="248" y="778"/>
                                </a:lnTo>
                                <a:lnTo>
                                  <a:pt x="248" y="762"/>
                                </a:lnTo>
                                <a:lnTo>
                                  <a:pt x="248" y="746"/>
                                </a:lnTo>
                                <a:lnTo>
                                  <a:pt x="238" y="734"/>
                                </a:lnTo>
                                <a:lnTo>
                                  <a:pt x="234" y="718"/>
                                </a:lnTo>
                                <a:lnTo>
                                  <a:pt x="228" y="702"/>
                                </a:lnTo>
                                <a:lnTo>
                                  <a:pt x="220" y="686"/>
                                </a:lnTo>
                                <a:lnTo>
                                  <a:pt x="210" y="686"/>
                                </a:lnTo>
                                <a:lnTo>
                                  <a:pt x="202" y="686"/>
                                </a:lnTo>
                                <a:lnTo>
                                  <a:pt x="200" y="678"/>
                                </a:lnTo>
                                <a:lnTo>
                                  <a:pt x="196" y="674"/>
                                </a:lnTo>
                                <a:lnTo>
                                  <a:pt x="190" y="668"/>
                                </a:lnTo>
                                <a:lnTo>
                                  <a:pt x="186" y="662"/>
                                </a:lnTo>
                                <a:lnTo>
                                  <a:pt x="186" y="642"/>
                                </a:lnTo>
                                <a:lnTo>
                                  <a:pt x="186" y="620"/>
                                </a:lnTo>
                                <a:lnTo>
                                  <a:pt x="192" y="614"/>
                                </a:lnTo>
                                <a:lnTo>
                                  <a:pt x="200" y="608"/>
                                </a:lnTo>
                                <a:lnTo>
                                  <a:pt x="204" y="594"/>
                                </a:lnTo>
                                <a:lnTo>
                                  <a:pt x="210" y="584"/>
                                </a:lnTo>
                                <a:lnTo>
                                  <a:pt x="220" y="574"/>
                                </a:lnTo>
                                <a:lnTo>
                                  <a:pt x="222" y="568"/>
                                </a:lnTo>
                                <a:lnTo>
                                  <a:pt x="222" y="554"/>
                                </a:lnTo>
                                <a:lnTo>
                                  <a:pt x="222" y="538"/>
                                </a:lnTo>
                                <a:lnTo>
                                  <a:pt x="222" y="522"/>
                                </a:lnTo>
                                <a:lnTo>
                                  <a:pt x="220" y="516"/>
                                </a:lnTo>
                                <a:lnTo>
                                  <a:pt x="212" y="504"/>
                                </a:lnTo>
                                <a:lnTo>
                                  <a:pt x="212" y="488"/>
                                </a:lnTo>
                                <a:lnTo>
                                  <a:pt x="212" y="470"/>
                                </a:lnTo>
                                <a:lnTo>
                                  <a:pt x="216" y="466"/>
                                </a:lnTo>
                                <a:lnTo>
                                  <a:pt x="218" y="460"/>
                                </a:lnTo>
                                <a:lnTo>
                                  <a:pt x="220" y="454"/>
                                </a:lnTo>
                                <a:lnTo>
                                  <a:pt x="220" y="446"/>
                                </a:lnTo>
                                <a:lnTo>
                                  <a:pt x="220" y="440"/>
                                </a:lnTo>
                                <a:lnTo>
                                  <a:pt x="226" y="440"/>
                                </a:lnTo>
                                <a:lnTo>
                                  <a:pt x="230" y="440"/>
                                </a:lnTo>
                                <a:lnTo>
                                  <a:pt x="234" y="448"/>
                                </a:lnTo>
                                <a:lnTo>
                                  <a:pt x="240" y="454"/>
                                </a:lnTo>
                                <a:lnTo>
                                  <a:pt x="250" y="456"/>
                                </a:lnTo>
                                <a:lnTo>
                                  <a:pt x="260" y="458"/>
                                </a:lnTo>
                                <a:lnTo>
                                  <a:pt x="272" y="460"/>
                                </a:lnTo>
                                <a:lnTo>
                                  <a:pt x="278" y="464"/>
                                </a:lnTo>
                                <a:lnTo>
                                  <a:pt x="304" y="474"/>
                                </a:lnTo>
                                <a:lnTo>
                                  <a:pt x="330" y="484"/>
                                </a:lnTo>
                                <a:lnTo>
                                  <a:pt x="356" y="492"/>
                                </a:lnTo>
                                <a:lnTo>
                                  <a:pt x="362" y="498"/>
                                </a:lnTo>
                                <a:lnTo>
                                  <a:pt x="372" y="506"/>
                                </a:lnTo>
                                <a:lnTo>
                                  <a:pt x="386" y="506"/>
                                </a:lnTo>
                                <a:lnTo>
                                  <a:pt x="402" y="506"/>
                                </a:lnTo>
                                <a:lnTo>
                                  <a:pt x="416" y="508"/>
                                </a:lnTo>
                                <a:lnTo>
                                  <a:pt x="428" y="516"/>
                                </a:lnTo>
                                <a:lnTo>
                                  <a:pt x="444" y="516"/>
                                </a:lnTo>
                                <a:lnTo>
                                  <a:pt x="462" y="516"/>
                                </a:lnTo>
                                <a:lnTo>
                                  <a:pt x="470" y="508"/>
                                </a:lnTo>
                                <a:lnTo>
                                  <a:pt x="484" y="506"/>
                                </a:lnTo>
                                <a:lnTo>
                                  <a:pt x="498" y="506"/>
                                </a:lnTo>
                                <a:lnTo>
                                  <a:pt x="510" y="506"/>
                                </a:lnTo>
                                <a:lnTo>
                                  <a:pt x="522" y="500"/>
                                </a:lnTo>
                                <a:lnTo>
                                  <a:pt x="536" y="500"/>
                                </a:lnTo>
                                <a:lnTo>
                                  <a:pt x="550" y="498"/>
                                </a:lnTo>
                                <a:lnTo>
                                  <a:pt x="562" y="492"/>
                                </a:lnTo>
                                <a:lnTo>
                                  <a:pt x="580" y="490"/>
                                </a:lnTo>
                                <a:lnTo>
                                  <a:pt x="598" y="490"/>
                                </a:lnTo>
                                <a:lnTo>
                                  <a:pt x="612" y="478"/>
                                </a:lnTo>
                                <a:lnTo>
                                  <a:pt x="628" y="470"/>
                                </a:lnTo>
                                <a:lnTo>
                                  <a:pt x="648" y="464"/>
                                </a:lnTo>
                                <a:lnTo>
                                  <a:pt x="648" y="460"/>
                                </a:lnTo>
                                <a:lnTo>
                                  <a:pt x="648" y="456"/>
                                </a:lnTo>
                                <a:lnTo>
                                  <a:pt x="660" y="452"/>
                                </a:lnTo>
                                <a:lnTo>
                                  <a:pt x="672" y="442"/>
                                </a:lnTo>
                                <a:lnTo>
                                  <a:pt x="682" y="432"/>
                                </a:lnTo>
                                <a:lnTo>
                                  <a:pt x="694" y="412"/>
                                </a:lnTo>
                                <a:lnTo>
                                  <a:pt x="708" y="394"/>
                                </a:lnTo>
                                <a:lnTo>
                                  <a:pt x="722" y="376"/>
                                </a:lnTo>
                                <a:lnTo>
                                  <a:pt x="732" y="356"/>
                                </a:lnTo>
                                <a:lnTo>
                                  <a:pt x="738" y="352"/>
                                </a:lnTo>
                                <a:lnTo>
                                  <a:pt x="744" y="350"/>
                                </a:lnTo>
                                <a:lnTo>
                                  <a:pt x="748" y="346"/>
                                </a:lnTo>
                                <a:lnTo>
                                  <a:pt x="754" y="342"/>
                                </a:lnTo>
                                <a:lnTo>
                                  <a:pt x="760" y="338"/>
                                </a:lnTo>
                                <a:lnTo>
                                  <a:pt x="760" y="330"/>
                                </a:lnTo>
                                <a:lnTo>
                                  <a:pt x="760" y="320"/>
                                </a:lnTo>
                                <a:lnTo>
                                  <a:pt x="770" y="316"/>
                                </a:lnTo>
                                <a:lnTo>
                                  <a:pt x="778" y="306"/>
                                </a:lnTo>
                                <a:lnTo>
                                  <a:pt x="784" y="296"/>
                                </a:lnTo>
                                <a:lnTo>
                                  <a:pt x="792" y="288"/>
                                </a:lnTo>
                                <a:lnTo>
                                  <a:pt x="808" y="282"/>
                                </a:lnTo>
                                <a:lnTo>
                                  <a:pt x="822" y="272"/>
                                </a:lnTo>
                                <a:lnTo>
                                  <a:pt x="834" y="260"/>
                                </a:lnTo>
                                <a:lnTo>
                                  <a:pt x="834" y="256"/>
                                </a:lnTo>
                                <a:lnTo>
                                  <a:pt x="834" y="254"/>
                                </a:lnTo>
                                <a:lnTo>
                                  <a:pt x="848" y="250"/>
                                </a:lnTo>
                                <a:lnTo>
                                  <a:pt x="858" y="246"/>
                                </a:lnTo>
                                <a:lnTo>
                                  <a:pt x="870" y="244"/>
                                </a:lnTo>
                                <a:lnTo>
                                  <a:pt x="870" y="240"/>
                                </a:lnTo>
                                <a:lnTo>
                                  <a:pt x="870" y="236"/>
                                </a:lnTo>
                                <a:lnTo>
                                  <a:pt x="874" y="236"/>
                                </a:lnTo>
                                <a:lnTo>
                                  <a:pt x="880" y="236"/>
                                </a:lnTo>
                                <a:lnTo>
                                  <a:pt x="880" y="230"/>
                                </a:lnTo>
                                <a:lnTo>
                                  <a:pt x="882" y="224"/>
                                </a:lnTo>
                                <a:lnTo>
                                  <a:pt x="884" y="222"/>
                                </a:lnTo>
                                <a:lnTo>
                                  <a:pt x="888" y="220"/>
                                </a:lnTo>
                                <a:lnTo>
                                  <a:pt x="892" y="220"/>
                                </a:lnTo>
                                <a:lnTo>
                                  <a:pt x="896" y="218"/>
                                </a:lnTo>
                                <a:lnTo>
                                  <a:pt x="902" y="218"/>
                                </a:lnTo>
                                <a:lnTo>
                                  <a:pt x="908" y="218"/>
                                </a:lnTo>
                                <a:lnTo>
                                  <a:pt x="914" y="202"/>
                                </a:lnTo>
                                <a:lnTo>
                                  <a:pt x="928" y="190"/>
                                </a:lnTo>
                                <a:lnTo>
                                  <a:pt x="944" y="184"/>
                                </a:lnTo>
                                <a:lnTo>
                                  <a:pt x="944" y="176"/>
                                </a:lnTo>
                                <a:lnTo>
                                  <a:pt x="944" y="168"/>
                                </a:lnTo>
                                <a:lnTo>
                                  <a:pt x="952" y="166"/>
                                </a:lnTo>
                                <a:lnTo>
                                  <a:pt x="958" y="162"/>
                                </a:lnTo>
                                <a:lnTo>
                                  <a:pt x="962" y="158"/>
                                </a:lnTo>
                                <a:lnTo>
                                  <a:pt x="968" y="152"/>
                                </a:lnTo>
                                <a:lnTo>
                                  <a:pt x="998" y="144"/>
                                </a:lnTo>
                                <a:lnTo>
                                  <a:pt x="1026" y="132"/>
                                </a:lnTo>
                                <a:lnTo>
                                  <a:pt x="1054" y="124"/>
                                </a:lnTo>
                                <a:lnTo>
                                  <a:pt x="1056" y="122"/>
                                </a:lnTo>
                                <a:lnTo>
                                  <a:pt x="1056" y="118"/>
                                </a:lnTo>
                                <a:lnTo>
                                  <a:pt x="1076" y="116"/>
                                </a:lnTo>
                                <a:lnTo>
                                  <a:pt x="1094" y="116"/>
                                </a:lnTo>
                                <a:lnTo>
                                  <a:pt x="1094" y="112"/>
                                </a:lnTo>
                                <a:lnTo>
                                  <a:pt x="1094" y="110"/>
                                </a:lnTo>
                                <a:lnTo>
                                  <a:pt x="1112" y="108"/>
                                </a:lnTo>
                                <a:lnTo>
                                  <a:pt x="1128" y="102"/>
                                </a:lnTo>
                                <a:lnTo>
                                  <a:pt x="1150" y="100"/>
                                </a:lnTo>
                                <a:lnTo>
                                  <a:pt x="1172" y="94"/>
                                </a:lnTo>
                                <a:lnTo>
                                  <a:pt x="1192" y="84"/>
                                </a:lnTo>
                                <a:lnTo>
                                  <a:pt x="1208" y="82"/>
                                </a:lnTo>
                                <a:lnTo>
                                  <a:pt x="1218" y="76"/>
                                </a:lnTo>
                                <a:lnTo>
                                  <a:pt x="1228" y="68"/>
                                </a:lnTo>
                                <a:lnTo>
                                  <a:pt x="1240" y="60"/>
                                </a:lnTo>
                                <a:lnTo>
                                  <a:pt x="1262" y="60"/>
                                </a:lnTo>
                                <a:lnTo>
                                  <a:pt x="1284" y="60"/>
                                </a:lnTo>
                                <a:lnTo>
                                  <a:pt x="1306" y="58"/>
                                </a:lnTo>
                                <a:lnTo>
                                  <a:pt x="1324" y="50"/>
                                </a:lnTo>
                                <a:lnTo>
                                  <a:pt x="1356" y="50"/>
                                </a:lnTo>
                                <a:lnTo>
                                  <a:pt x="1390" y="50"/>
                                </a:lnTo>
                                <a:lnTo>
                                  <a:pt x="1404" y="44"/>
                                </a:lnTo>
                                <a:lnTo>
                                  <a:pt x="1418" y="42"/>
                                </a:lnTo>
                                <a:lnTo>
                                  <a:pt x="1432" y="40"/>
                                </a:lnTo>
                                <a:lnTo>
                                  <a:pt x="1444" y="34"/>
                                </a:lnTo>
                                <a:lnTo>
                                  <a:pt x="1470" y="30"/>
                                </a:lnTo>
                                <a:lnTo>
                                  <a:pt x="1494" y="26"/>
                                </a:lnTo>
                                <a:lnTo>
                                  <a:pt x="1520" y="24"/>
                                </a:lnTo>
                                <a:lnTo>
                                  <a:pt x="1530" y="18"/>
                                </a:lnTo>
                                <a:lnTo>
                                  <a:pt x="1542" y="14"/>
                                </a:lnTo>
                                <a:lnTo>
                                  <a:pt x="1556" y="16"/>
                                </a:lnTo>
                                <a:lnTo>
                                  <a:pt x="1568" y="16"/>
                                </a:lnTo>
                                <a:lnTo>
                                  <a:pt x="1568" y="12"/>
                                </a:lnTo>
                                <a:lnTo>
                                  <a:pt x="1568" y="8"/>
                                </a:lnTo>
                                <a:lnTo>
                                  <a:pt x="1572" y="6"/>
                                </a:lnTo>
                                <a:lnTo>
                                  <a:pt x="1574" y="6"/>
                                </a:lnTo>
                                <a:lnTo>
                                  <a:pt x="1578" y="4"/>
                                </a:lnTo>
                                <a:lnTo>
                                  <a:pt x="1580" y="2"/>
                                </a:lnTo>
                                <a:lnTo>
                                  <a:pt x="1582" y="0"/>
                                </a:lnTo>
                                <a:lnTo>
                                  <a:pt x="1652" y="0"/>
                                </a:lnTo>
                                <a:lnTo>
                                  <a:pt x="1720" y="0"/>
                                </a:lnTo>
                                <a:lnTo>
                                  <a:pt x="1730" y="6"/>
                                </a:lnTo>
                                <a:lnTo>
                                  <a:pt x="1742" y="12"/>
                                </a:lnTo>
                                <a:lnTo>
                                  <a:pt x="1756" y="14"/>
                                </a:lnTo>
                                <a:lnTo>
                                  <a:pt x="1768" y="18"/>
                                </a:lnTo>
                                <a:lnTo>
                                  <a:pt x="1778" y="24"/>
                                </a:lnTo>
                                <a:lnTo>
                                  <a:pt x="1788" y="34"/>
                                </a:lnTo>
                                <a:lnTo>
                                  <a:pt x="1792" y="50"/>
                                </a:lnTo>
                                <a:lnTo>
                                  <a:pt x="1804" y="52"/>
                                </a:lnTo>
                                <a:lnTo>
                                  <a:pt x="1816" y="56"/>
                                </a:lnTo>
                                <a:lnTo>
                                  <a:pt x="1830" y="58"/>
                                </a:lnTo>
                                <a:lnTo>
                                  <a:pt x="1832" y="64"/>
                                </a:lnTo>
                                <a:lnTo>
                                  <a:pt x="1834" y="70"/>
                                </a:lnTo>
                                <a:lnTo>
                                  <a:pt x="1840" y="74"/>
                                </a:lnTo>
                                <a:lnTo>
                                  <a:pt x="1844" y="78"/>
                                </a:lnTo>
                                <a:lnTo>
                                  <a:pt x="1850" y="82"/>
                                </a:lnTo>
                                <a:lnTo>
                                  <a:pt x="1866" y="84"/>
                                </a:lnTo>
                                <a:lnTo>
                                  <a:pt x="1882" y="90"/>
                                </a:lnTo>
                                <a:lnTo>
                                  <a:pt x="1896" y="98"/>
                                </a:lnTo>
                                <a:lnTo>
                                  <a:pt x="1922" y="98"/>
                                </a:lnTo>
                                <a:lnTo>
                                  <a:pt x="1948" y="100"/>
                                </a:lnTo>
                                <a:lnTo>
                                  <a:pt x="1948" y="96"/>
                                </a:lnTo>
                                <a:lnTo>
                                  <a:pt x="1950" y="92"/>
                                </a:lnTo>
                                <a:lnTo>
                                  <a:pt x="1954" y="92"/>
                                </a:lnTo>
                                <a:lnTo>
                                  <a:pt x="1956" y="90"/>
                                </a:lnTo>
                                <a:lnTo>
                                  <a:pt x="1960" y="88"/>
                                </a:lnTo>
                                <a:lnTo>
                                  <a:pt x="1962" y="86"/>
                                </a:lnTo>
                                <a:lnTo>
                                  <a:pt x="1964" y="84"/>
                                </a:lnTo>
                                <a:lnTo>
                                  <a:pt x="2004" y="84"/>
                                </a:lnTo>
                                <a:lnTo>
                                  <a:pt x="2042" y="84"/>
                                </a:lnTo>
                                <a:lnTo>
                                  <a:pt x="2048" y="94"/>
                                </a:lnTo>
                                <a:lnTo>
                                  <a:pt x="2056" y="98"/>
                                </a:lnTo>
                                <a:lnTo>
                                  <a:pt x="2066" y="100"/>
                                </a:lnTo>
                                <a:lnTo>
                                  <a:pt x="2078" y="100"/>
                                </a:lnTo>
                                <a:lnTo>
                                  <a:pt x="2080" y="92"/>
                                </a:lnTo>
                                <a:lnTo>
                                  <a:pt x="2082" y="88"/>
                                </a:lnTo>
                                <a:lnTo>
                                  <a:pt x="2084" y="86"/>
                                </a:lnTo>
                                <a:lnTo>
                                  <a:pt x="2086" y="84"/>
                                </a:lnTo>
                                <a:lnTo>
                                  <a:pt x="2090" y="82"/>
                                </a:lnTo>
                                <a:lnTo>
                                  <a:pt x="2098" y="82"/>
                                </a:lnTo>
                                <a:lnTo>
                                  <a:pt x="2098" y="74"/>
                                </a:lnTo>
                                <a:lnTo>
                                  <a:pt x="2100" y="66"/>
                                </a:lnTo>
                                <a:lnTo>
                                  <a:pt x="2100" y="62"/>
                                </a:lnTo>
                                <a:lnTo>
                                  <a:pt x="2102" y="60"/>
                                </a:lnTo>
                                <a:lnTo>
                                  <a:pt x="2106" y="58"/>
                                </a:lnTo>
                                <a:lnTo>
                                  <a:pt x="2112" y="58"/>
                                </a:lnTo>
                                <a:lnTo>
                                  <a:pt x="2118" y="58"/>
                                </a:lnTo>
                                <a:lnTo>
                                  <a:pt x="2126" y="58"/>
                                </a:lnTo>
                                <a:lnTo>
                                  <a:pt x="2128" y="62"/>
                                </a:lnTo>
                                <a:lnTo>
                                  <a:pt x="2128" y="66"/>
                                </a:lnTo>
                                <a:lnTo>
                                  <a:pt x="2132" y="70"/>
                                </a:lnTo>
                                <a:lnTo>
                                  <a:pt x="2134" y="76"/>
                                </a:lnTo>
                                <a:lnTo>
                                  <a:pt x="2136" y="80"/>
                                </a:lnTo>
                                <a:lnTo>
                                  <a:pt x="2138" y="86"/>
                                </a:lnTo>
                                <a:lnTo>
                                  <a:pt x="2140" y="92"/>
                                </a:lnTo>
                                <a:lnTo>
                                  <a:pt x="2144" y="96"/>
                                </a:lnTo>
                                <a:lnTo>
                                  <a:pt x="2144" y="108"/>
                                </a:lnTo>
                                <a:lnTo>
                                  <a:pt x="2144" y="120"/>
                                </a:lnTo>
                                <a:lnTo>
                                  <a:pt x="2140" y="124"/>
                                </a:lnTo>
                                <a:lnTo>
                                  <a:pt x="2138" y="126"/>
                                </a:lnTo>
                                <a:lnTo>
                                  <a:pt x="2136" y="130"/>
                                </a:lnTo>
                                <a:lnTo>
                                  <a:pt x="2136" y="132"/>
                                </a:lnTo>
                                <a:lnTo>
                                  <a:pt x="2134" y="138"/>
                                </a:lnTo>
                                <a:lnTo>
                                  <a:pt x="2132" y="140"/>
                                </a:lnTo>
                                <a:lnTo>
                                  <a:pt x="2128" y="142"/>
                                </a:lnTo>
                                <a:lnTo>
                                  <a:pt x="2122" y="160"/>
                                </a:lnTo>
                                <a:lnTo>
                                  <a:pt x="2108" y="170"/>
                                </a:lnTo>
                                <a:lnTo>
                                  <a:pt x="2090" y="176"/>
                                </a:lnTo>
                                <a:lnTo>
                                  <a:pt x="2084" y="192"/>
                                </a:lnTo>
                                <a:lnTo>
                                  <a:pt x="2074" y="202"/>
                                </a:lnTo>
                                <a:lnTo>
                                  <a:pt x="2060" y="208"/>
                                </a:lnTo>
                                <a:lnTo>
                                  <a:pt x="2044" y="212"/>
                                </a:lnTo>
                                <a:lnTo>
                                  <a:pt x="2040" y="224"/>
                                </a:lnTo>
                                <a:lnTo>
                                  <a:pt x="2030" y="234"/>
                                </a:lnTo>
                                <a:lnTo>
                                  <a:pt x="2020" y="244"/>
                                </a:lnTo>
                                <a:lnTo>
                                  <a:pt x="2012" y="258"/>
                                </a:lnTo>
                                <a:lnTo>
                                  <a:pt x="2006" y="264"/>
                                </a:lnTo>
                                <a:lnTo>
                                  <a:pt x="2000" y="270"/>
                                </a:lnTo>
                                <a:lnTo>
                                  <a:pt x="1978" y="270"/>
                                </a:lnTo>
                                <a:lnTo>
                                  <a:pt x="1956" y="270"/>
                                </a:lnTo>
                                <a:lnTo>
                                  <a:pt x="1948" y="264"/>
                                </a:lnTo>
                                <a:lnTo>
                                  <a:pt x="1934" y="262"/>
                                </a:lnTo>
                                <a:lnTo>
                                  <a:pt x="1922" y="262"/>
                                </a:lnTo>
                                <a:lnTo>
                                  <a:pt x="1910" y="266"/>
                                </a:lnTo>
                                <a:lnTo>
                                  <a:pt x="1904" y="272"/>
                                </a:lnTo>
                                <a:lnTo>
                                  <a:pt x="1904" y="298"/>
                                </a:lnTo>
                                <a:lnTo>
                                  <a:pt x="1902" y="324"/>
                                </a:lnTo>
                                <a:lnTo>
                                  <a:pt x="1898" y="330"/>
                                </a:lnTo>
                                <a:lnTo>
                                  <a:pt x="1896" y="334"/>
                                </a:lnTo>
                                <a:lnTo>
                                  <a:pt x="1892" y="338"/>
                                </a:lnTo>
                                <a:lnTo>
                                  <a:pt x="1890" y="340"/>
                                </a:lnTo>
                                <a:lnTo>
                                  <a:pt x="1888" y="342"/>
                                </a:lnTo>
                                <a:lnTo>
                                  <a:pt x="1884" y="344"/>
                                </a:lnTo>
                                <a:lnTo>
                                  <a:pt x="1880" y="344"/>
                                </a:lnTo>
                                <a:lnTo>
                                  <a:pt x="1872" y="344"/>
                                </a:lnTo>
                                <a:lnTo>
                                  <a:pt x="1854" y="330"/>
                                </a:lnTo>
                                <a:lnTo>
                                  <a:pt x="1838" y="314"/>
                                </a:lnTo>
                                <a:lnTo>
                                  <a:pt x="1820" y="314"/>
                                </a:lnTo>
                                <a:lnTo>
                                  <a:pt x="1800" y="314"/>
                                </a:lnTo>
                                <a:lnTo>
                                  <a:pt x="1796" y="318"/>
                                </a:lnTo>
                                <a:lnTo>
                                  <a:pt x="1792" y="324"/>
                                </a:lnTo>
                                <a:lnTo>
                                  <a:pt x="1790" y="324"/>
                                </a:lnTo>
                                <a:lnTo>
                                  <a:pt x="1790" y="356"/>
                                </a:lnTo>
                                <a:lnTo>
                                  <a:pt x="1790" y="388"/>
                                </a:lnTo>
                                <a:lnTo>
                                  <a:pt x="1792" y="388"/>
                                </a:lnTo>
                                <a:lnTo>
                                  <a:pt x="1800" y="390"/>
                                </a:lnTo>
                                <a:lnTo>
                                  <a:pt x="1806" y="390"/>
                                </a:lnTo>
                                <a:lnTo>
                                  <a:pt x="1812" y="400"/>
                                </a:lnTo>
                                <a:lnTo>
                                  <a:pt x="1818" y="412"/>
                                </a:lnTo>
                                <a:lnTo>
                                  <a:pt x="1824" y="426"/>
                                </a:lnTo>
                                <a:lnTo>
                                  <a:pt x="1828" y="438"/>
                                </a:lnTo>
                                <a:lnTo>
                                  <a:pt x="1830" y="448"/>
                                </a:lnTo>
                                <a:lnTo>
                                  <a:pt x="1800" y="448"/>
                                </a:lnTo>
                                <a:lnTo>
                                  <a:pt x="1770" y="448"/>
                                </a:lnTo>
                                <a:lnTo>
                                  <a:pt x="1766" y="442"/>
                                </a:lnTo>
                                <a:lnTo>
                                  <a:pt x="1762" y="436"/>
                                </a:lnTo>
                                <a:lnTo>
                                  <a:pt x="1758" y="430"/>
                                </a:lnTo>
                                <a:lnTo>
                                  <a:pt x="1754" y="424"/>
                                </a:lnTo>
                                <a:lnTo>
                                  <a:pt x="1748" y="424"/>
                                </a:lnTo>
                                <a:lnTo>
                                  <a:pt x="1744" y="422"/>
                                </a:lnTo>
                                <a:lnTo>
                                  <a:pt x="1740" y="420"/>
                                </a:lnTo>
                                <a:lnTo>
                                  <a:pt x="1738" y="418"/>
                                </a:lnTo>
                                <a:lnTo>
                                  <a:pt x="1732" y="416"/>
                                </a:lnTo>
                                <a:lnTo>
                                  <a:pt x="1714" y="414"/>
                                </a:lnTo>
                                <a:lnTo>
                                  <a:pt x="1696" y="410"/>
                                </a:lnTo>
                                <a:lnTo>
                                  <a:pt x="1680" y="402"/>
                                </a:lnTo>
                                <a:lnTo>
                                  <a:pt x="1676" y="404"/>
                                </a:lnTo>
                                <a:lnTo>
                                  <a:pt x="1674" y="406"/>
                                </a:lnTo>
                                <a:lnTo>
                                  <a:pt x="1672" y="410"/>
                                </a:lnTo>
                                <a:lnTo>
                                  <a:pt x="1670" y="414"/>
                                </a:lnTo>
                                <a:lnTo>
                                  <a:pt x="1664" y="416"/>
                                </a:lnTo>
                                <a:lnTo>
                                  <a:pt x="1660" y="418"/>
                                </a:lnTo>
                                <a:lnTo>
                                  <a:pt x="1656" y="422"/>
                                </a:lnTo>
                                <a:lnTo>
                                  <a:pt x="1654" y="426"/>
                                </a:lnTo>
                                <a:lnTo>
                                  <a:pt x="1654" y="430"/>
                                </a:lnTo>
                                <a:lnTo>
                                  <a:pt x="1652" y="432"/>
                                </a:lnTo>
                                <a:lnTo>
                                  <a:pt x="1648" y="436"/>
                                </a:lnTo>
                                <a:lnTo>
                                  <a:pt x="1644" y="440"/>
                                </a:lnTo>
                                <a:lnTo>
                                  <a:pt x="1644" y="444"/>
                                </a:lnTo>
                                <a:lnTo>
                                  <a:pt x="1642" y="448"/>
                                </a:lnTo>
                                <a:lnTo>
                                  <a:pt x="1638" y="448"/>
                                </a:lnTo>
                                <a:lnTo>
                                  <a:pt x="1634" y="448"/>
                                </a:lnTo>
                                <a:lnTo>
                                  <a:pt x="1628" y="462"/>
                                </a:lnTo>
                                <a:lnTo>
                                  <a:pt x="1620" y="470"/>
                                </a:lnTo>
                                <a:lnTo>
                                  <a:pt x="1614" y="482"/>
                                </a:lnTo>
                                <a:lnTo>
                                  <a:pt x="1610" y="482"/>
                                </a:lnTo>
                                <a:lnTo>
                                  <a:pt x="1606" y="482"/>
                                </a:lnTo>
                                <a:lnTo>
                                  <a:pt x="1604" y="488"/>
                                </a:lnTo>
                                <a:lnTo>
                                  <a:pt x="1602" y="492"/>
                                </a:lnTo>
                                <a:lnTo>
                                  <a:pt x="1600" y="496"/>
                                </a:lnTo>
                                <a:lnTo>
                                  <a:pt x="1598" y="498"/>
                                </a:lnTo>
                                <a:lnTo>
                                  <a:pt x="1594" y="498"/>
                                </a:lnTo>
                                <a:lnTo>
                                  <a:pt x="1590" y="500"/>
                                </a:lnTo>
                                <a:lnTo>
                                  <a:pt x="1586" y="502"/>
                                </a:lnTo>
                                <a:lnTo>
                                  <a:pt x="1582" y="506"/>
                                </a:lnTo>
                                <a:lnTo>
                                  <a:pt x="1576" y="506"/>
                                </a:lnTo>
                                <a:lnTo>
                                  <a:pt x="1568" y="508"/>
                                </a:lnTo>
                                <a:lnTo>
                                  <a:pt x="1568" y="512"/>
                                </a:lnTo>
                                <a:lnTo>
                                  <a:pt x="1568" y="516"/>
                                </a:lnTo>
                                <a:lnTo>
                                  <a:pt x="1564" y="516"/>
                                </a:lnTo>
                                <a:lnTo>
                                  <a:pt x="1560" y="516"/>
                                </a:lnTo>
                                <a:lnTo>
                                  <a:pt x="1560" y="520"/>
                                </a:lnTo>
                                <a:lnTo>
                                  <a:pt x="1560" y="524"/>
                                </a:lnTo>
                                <a:lnTo>
                                  <a:pt x="1556" y="524"/>
                                </a:lnTo>
                                <a:lnTo>
                                  <a:pt x="1550" y="524"/>
                                </a:lnTo>
                                <a:lnTo>
                                  <a:pt x="1550" y="528"/>
                                </a:lnTo>
                                <a:lnTo>
                                  <a:pt x="1550" y="534"/>
                                </a:lnTo>
                                <a:lnTo>
                                  <a:pt x="1542" y="534"/>
                                </a:lnTo>
                                <a:lnTo>
                                  <a:pt x="1532" y="534"/>
                                </a:lnTo>
                                <a:lnTo>
                                  <a:pt x="1528" y="546"/>
                                </a:lnTo>
                                <a:lnTo>
                                  <a:pt x="1520" y="550"/>
                                </a:lnTo>
                                <a:lnTo>
                                  <a:pt x="1508" y="552"/>
                                </a:lnTo>
                                <a:lnTo>
                                  <a:pt x="1494" y="552"/>
                                </a:lnTo>
                                <a:lnTo>
                                  <a:pt x="1490" y="558"/>
                                </a:lnTo>
                                <a:lnTo>
                                  <a:pt x="1486" y="564"/>
                                </a:lnTo>
                                <a:lnTo>
                                  <a:pt x="1484" y="572"/>
                                </a:lnTo>
                                <a:lnTo>
                                  <a:pt x="1482" y="578"/>
                                </a:lnTo>
                                <a:lnTo>
                                  <a:pt x="1478" y="584"/>
                                </a:lnTo>
                                <a:lnTo>
                                  <a:pt x="1476" y="596"/>
                                </a:lnTo>
                                <a:lnTo>
                                  <a:pt x="1476" y="608"/>
                                </a:lnTo>
                                <a:lnTo>
                                  <a:pt x="1472" y="608"/>
                                </a:lnTo>
                                <a:lnTo>
                                  <a:pt x="1466" y="608"/>
                                </a:lnTo>
                                <a:lnTo>
                                  <a:pt x="1464" y="628"/>
                                </a:lnTo>
                                <a:lnTo>
                                  <a:pt x="1460" y="646"/>
                                </a:lnTo>
                                <a:lnTo>
                                  <a:pt x="1448" y="660"/>
                                </a:lnTo>
                                <a:lnTo>
                                  <a:pt x="1448" y="668"/>
                                </a:lnTo>
                                <a:lnTo>
                                  <a:pt x="1446" y="676"/>
                                </a:lnTo>
                                <a:lnTo>
                                  <a:pt x="1438" y="676"/>
                                </a:lnTo>
                                <a:lnTo>
                                  <a:pt x="1430" y="676"/>
                                </a:lnTo>
                                <a:lnTo>
                                  <a:pt x="1430" y="680"/>
                                </a:lnTo>
                                <a:lnTo>
                                  <a:pt x="1430" y="686"/>
                                </a:lnTo>
                                <a:lnTo>
                                  <a:pt x="1412" y="692"/>
                                </a:lnTo>
                                <a:lnTo>
                                  <a:pt x="1398" y="706"/>
                                </a:lnTo>
                                <a:lnTo>
                                  <a:pt x="1384" y="720"/>
                                </a:lnTo>
                                <a:lnTo>
                                  <a:pt x="1382" y="736"/>
                                </a:lnTo>
                                <a:lnTo>
                                  <a:pt x="1374" y="746"/>
                                </a:lnTo>
                                <a:lnTo>
                                  <a:pt x="1362" y="750"/>
                                </a:lnTo>
                                <a:lnTo>
                                  <a:pt x="1346" y="752"/>
                                </a:lnTo>
                                <a:lnTo>
                                  <a:pt x="1346" y="756"/>
                                </a:lnTo>
                                <a:lnTo>
                                  <a:pt x="1346" y="760"/>
                                </a:lnTo>
                                <a:lnTo>
                                  <a:pt x="1338" y="760"/>
                                </a:lnTo>
                                <a:lnTo>
                                  <a:pt x="1332" y="762"/>
                                </a:lnTo>
                                <a:lnTo>
                                  <a:pt x="1326" y="764"/>
                                </a:lnTo>
                                <a:lnTo>
                                  <a:pt x="1320" y="768"/>
                                </a:lnTo>
                                <a:lnTo>
                                  <a:pt x="1294" y="770"/>
                                </a:lnTo>
                                <a:lnTo>
                                  <a:pt x="1268" y="770"/>
                                </a:lnTo>
                                <a:lnTo>
                                  <a:pt x="1252" y="762"/>
                                </a:lnTo>
                                <a:lnTo>
                                  <a:pt x="1234" y="756"/>
                                </a:lnTo>
                                <a:lnTo>
                                  <a:pt x="1216" y="752"/>
                                </a:lnTo>
                                <a:lnTo>
                                  <a:pt x="1214" y="746"/>
                                </a:lnTo>
                                <a:lnTo>
                                  <a:pt x="1214" y="740"/>
                                </a:lnTo>
                                <a:lnTo>
                                  <a:pt x="1212" y="736"/>
                                </a:lnTo>
                                <a:lnTo>
                                  <a:pt x="1206" y="730"/>
                                </a:lnTo>
                                <a:lnTo>
                                  <a:pt x="1206" y="708"/>
                                </a:lnTo>
                                <a:lnTo>
                                  <a:pt x="1206" y="686"/>
                                </a:lnTo>
                                <a:lnTo>
                                  <a:pt x="1168" y="686"/>
                                </a:lnTo>
                                <a:lnTo>
                                  <a:pt x="1132" y="686"/>
                                </a:lnTo>
                                <a:lnTo>
                                  <a:pt x="1128" y="672"/>
                                </a:lnTo>
                                <a:lnTo>
                                  <a:pt x="1124" y="664"/>
                                </a:lnTo>
                                <a:lnTo>
                                  <a:pt x="1116" y="654"/>
                                </a:lnTo>
                                <a:lnTo>
                                  <a:pt x="1110" y="644"/>
                                </a:lnTo>
                                <a:lnTo>
                                  <a:pt x="1104" y="634"/>
                                </a:lnTo>
                                <a:lnTo>
                                  <a:pt x="1104" y="622"/>
                                </a:lnTo>
                                <a:lnTo>
                                  <a:pt x="1104" y="608"/>
                                </a:lnTo>
                                <a:lnTo>
                                  <a:pt x="1098" y="608"/>
                                </a:lnTo>
                                <a:lnTo>
                                  <a:pt x="1094" y="608"/>
                                </a:lnTo>
                                <a:lnTo>
                                  <a:pt x="1094" y="600"/>
                                </a:lnTo>
                                <a:lnTo>
                                  <a:pt x="1094" y="592"/>
                                </a:lnTo>
                                <a:lnTo>
                                  <a:pt x="1086" y="590"/>
                                </a:lnTo>
                                <a:lnTo>
                                  <a:pt x="1080" y="588"/>
                                </a:lnTo>
                                <a:lnTo>
                                  <a:pt x="1074" y="584"/>
                                </a:lnTo>
                                <a:lnTo>
                                  <a:pt x="1070" y="582"/>
                                </a:lnTo>
                                <a:lnTo>
                                  <a:pt x="1056" y="582"/>
                                </a:lnTo>
                                <a:lnTo>
                                  <a:pt x="1032" y="584"/>
                                </a:lnTo>
                                <a:lnTo>
                                  <a:pt x="1026" y="588"/>
                                </a:lnTo>
                                <a:lnTo>
                                  <a:pt x="1018" y="594"/>
                                </a:lnTo>
                                <a:lnTo>
                                  <a:pt x="1012" y="598"/>
                                </a:lnTo>
                                <a:lnTo>
                                  <a:pt x="1012" y="602"/>
                                </a:lnTo>
                                <a:lnTo>
                                  <a:pt x="1012" y="608"/>
                                </a:lnTo>
                                <a:lnTo>
                                  <a:pt x="1004" y="608"/>
                                </a:lnTo>
                                <a:lnTo>
                                  <a:pt x="1000" y="608"/>
                                </a:lnTo>
                                <a:lnTo>
                                  <a:pt x="994" y="610"/>
                                </a:lnTo>
                                <a:lnTo>
                                  <a:pt x="990" y="612"/>
                                </a:lnTo>
                                <a:lnTo>
                                  <a:pt x="986" y="618"/>
                                </a:lnTo>
                                <a:lnTo>
                                  <a:pt x="930" y="618"/>
                                </a:lnTo>
                                <a:lnTo>
                                  <a:pt x="872" y="618"/>
                                </a:lnTo>
                                <a:lnTo>
                                  <a:pt x="872" y="634"/>
                                </a:lnTo>
                                <a:lnTo>
                                  <a:pt x="872" y="650"/>
                                </a:lnTo>
                                <a:lnTo>
                                  <a:pt x="866" y="650"/>
                                </a:lnTo>
                                <a:lnTo>
                                  <a:pt x="862" y="650"/>
                                </a:lnTo>
                                <a:lnTo>
                                  <a:pt x="860" y="676"/>
                                </a:lnTo>
                                <a:lnTo>
                                  <a:pt x="856" y="700"/>
                                </a:lnTo>
                                <a:lnTo>
                                  <a:pt x="854" y="726"/>
                                </a:lnTo>
                                <a:lnTo>
                                  <a:pt x="860" y="736"/>
                                </a:lnTo>
                                <a:lnTo>
                                  <a:pt x="862" y="748"/>
                                </a:lnTo>
                                <a:lnTo>
                                  <a:pt x="862" y="762"/>
                                </a:lnTo>
                                <a:lnTo>
                                  <a:pt x="866" y="762"/>
                                </a:lnTo>
                                <a:lnTo>
                                  <a:pt x="872" y="762"/>
                                </a:lnTo>
                                <a:lnTo>
                                  <a:pt x="874" y="768"/>
                                </a:lnTo>
                                <a:lnTo>
                                  <a:pt x="876" y="774"/>
                                </a:lnTo>
                                <a:lnTo>
                                  <a:pt x="882" y="778"/>
                                </a:lnTo>
                                <a:lnTo>
                                  <a:pt x="888" y="782"/>
                                </a:lnTo>
                                <a:lnTo>
                                  <a:pt x="894" y="784"/>
                                </a:lnTo>
                                <a:lnTo>
                                  <a:pt x="900" y="788"/>
                                </a:lnTo>
                                <a:lnTo>
                                  <a:pt x="900" y="790"/>
                                </a:lnTo>
                                <a:lnTo>
                                  <a:pt x="900" y="794"/>
                                </a:lnTo>
                                <a:lnTo>
                                  <a:pt x="904" y="794"/>
                                </a:lnTo>
                                <a:lnTo>
                                  <a:pt x="908" y="796"/>
                                </a:lnTo>
                                <a:lnTo>
                                  <a:pt x="908" y="798"/>
                                </a:lnTo>
                                <a:lnTo>
                                  <a:pt x="910" y="804"/>
                                </a:lnTo>
                                <a:lnTo>
                                  <a:pt x="914" y="808"/>
                                </a:lnTo>
                                <a:lnTo>
                                  <a:pt x="916" y="814"/>
                                </a:lnTo>
                                <a:lnTo>
                                  <a:pt x="920" y="818"/>
                                </a:lnTo>
                                <a:lnTo>
                                  <a:pt x="924" y="822"/>
                                </a:lnTo>
                                <a:lnTo>
                                  <a:pt x="926" y="826"/>
                                </a:lnTo>
                                <a:lnTo>
                                  <a:pt x="928" y="832"/>
                                </a:lnTo>
                                <a:lnTo>
                                  <a:pt x="930" y="838"/>
                                </a:lnTo>
                                <a:lnTo>
                                  <a:pt x="936" y="842"/>
                                </a:lnTo>
                                <a:lnTo>
                                  <a:pt x="940" y="846"/>
                                </a:lnTo>
                                <a:lnTo>
                                  <a:pt x="946" y="852"/>
                                </a:lnTo>
                                <a:lnTo>
                                  <a:pt x="946" y="858"/>
                                </a:lnTo>
                                <a:lnTo>
                                  <a:pt x="946" y="864"/>
                                </a:lnTo>
                                <a:lnTo>
                                  <a:pt x="954" y="866"/>
                                </a:lnTo>
                                <a:lnTo>
                                  <a:pt x="958" y="866"/>
                                </a:lnTo>
                                <a:lnTo>
                                  <a:pt x="960" y="870"/>
                                </a:lnTo>
                                <a:lnTo>
                                  <a:pt x="962" y="872"/>
                                </a:lnTo>
                                <a:lnTo>
                                  <a:pt x="964" y="874"/>
                                </a:lnTo>
                                <a:lnTo>
                                  <a:pt x="966" y="878"/>
                                </a:lnTo>
                                <a:lnTo>
                                  <a:pt x="970" y="882"/>
                                </a:lnTo>
                                <a:lnTo>
                                  <a:pt x="974" y="886"/>
                                </a:lnTo>
                                <a:lnTo>
                                  <a:pt x="972" y="926"/>
                                </a:lnTo>
                                <a:lnTo>
                                  <a:pt x="972" y="968"/>
                                </a:lnTo>
                                <a:lnTo>
                                  <a:pt x="968" y="972"/>
                                </a:lnTo>
                                <a:lnTo>
                                  <a:pt x="966" y="976"/>
                                </a:lnTo>
                                <a:lnTo>
                                  <a:pt x="964" y="978"/>
                                </a:lnTo>
                                <a:lnTo>
                                  <a:pt x="962" y="982"/>
                                </a:lnTo>
                                <a:lnTo>
                                  <a:pt x="960" y="984"/>
                                </a:lnTo>
                                <a:lnTo>
                                  <a:pt x="958" y="988"/>
                                </a:lnTo>
                                <a:lnTo>
                                  <a:pt x="954" y="990"/>
                                </a:lnTo>
                                <a:lnTo>
                                  <a:pt x="946" y="990"/>
                                </a:lnTo>
                                <a:lnTo>
                                  <a:pt x="946" y="996"/>
                                </a:lnTo>
                                <a:lnTo>
                                  <a:pt x="944" y="1000"/>
                                </a:lnTo>
                                <a:lnTo>
                                  <a:pt x="942" y="1004"/>
                                </a:lnTo>
                                <a:lnTo>
                                  <a:pt x="938" y="1008"/>
                                </a:lnTo>
                                <a:lnTo>
                                  <a:pt x="938" y="1020"/>
                                </a:lnTo>
                                <a:lnTo>
                                  <a:pt x="938" y="1032"/>
                                </a:lnTo>
                                <a:lnTo>
                                  <a:pt x="942" y="1036"/>
                                </a:lnTo>
                                <a:lnTo>
                                  <a:pt x="946" y="1040"/>
                                </a:lnTo>
                                <a:lnTo>
                                  <a:pt x="946" y="1044"/>
                                </a:lnTo>
                                <a:lnTo>
                                  <a:pt x="948" y="1050"/>
                                </a:lnTo>
                                <a:lnTo>
                                  <a:pt x="958" y="1056"/>
                                </a:lnTo>
                                <a:lnTo>
                                  <a:pt x="966" y="1060"/>
                                </a:lnTo>
                                <a:lnTo>
                                  <a:pt x="970" y="1062"/>
                                </a:lnTo>
                                <a:lnTo>
                                  <a:pt x="972" y="1068"/>
                                </a:lnTo>
                                <a:lnTo>
                                  <a:pt x="974" y="1076"/>
                                </a:lnTo>
                                <a:lnTo>
                                  <a:pt x="972" y="1094"/>
                                </a:lnTo>
                                <a:lnTo>
                                  <a:pt x="970" y="1098"/>
                                </a:lnTo>
                                <a:lnTo>
                                  <a:pt x="966" y="1098"/>
                                </a:lnTo>
                                <a:lnTo>
                                  <a:pt x="962" y="1100"/>
                                </a:lnTo>
                                <a:lnTo>
                                  <a:pt x="958" y="1102"/>
                                </a:lnTo>
                                <a:lnTo>
                                  <a:pt x="954" y="1104"/>
                                </a:lnTo>
                                <a:lnTo>
                                  <a:pt x="950" y="1108"/>
                                </a:lnTo>
                                <a:lnTo>
                                  <a:pt x="948" y="1110"/>
                                </a:lnTo>
                                <a:lnTo>
                                  <a:pt x="948" y="1116"/>
                                </a:lnTo>
                                <a:lnTo>
                                  <a:pt x="956" y="1124"/>
                                </a:lnTo>
                                <a:lnTo>
                                  <a:pt x="966" y="1134"/>
                                </a:lnTo>
                                <a:lnTo>
                                  <a:pt x="988" y="1134"/>
                                </a:lnTo>
                                <a:lnTo>
                                  <a:pt x="1012" y="1136"/>
                                </a:lnTo>
                                <a:lnTo>
                                  <a:pt x="1012" y="1140"/>
                                </a:lnTo>
                                <a:lnTo>
                                  <a:pt x="1012" y="1144"/>
                                </a:lnTo>
                                <a:lnTo>
                                  <a:pt x="1016" y="1144"/>
                                </a:lnTo>
                                <a:lnTo>
                                  <a:pt x="1020" y="1148"/>
                                </a:lnTo>
                                <a:lnTo>
                                  <a:pt x="1020" y="1154"/>
                                </a:lnTo>
                                <a:lnTo>
                                  <a:pt x="1020" y="1164"/>
                                </a:lnTo>
                                <a:lnTo>
                                  <a:pt x="1016" y="1166"/>
                                </a:lnTo>
                                <a:lnTo>
                                  <a:pt x="1012" y="1170"/>
                                </a:lnTo>
                                <a:lnTo>
                                  <a:pt x="1012" y="1174"/>
                                </a:lnTo>
                                <a:lnTo>
                                  <a:pt x="1010" y="1178"/>
                                </a:lnTo>
                                <a:lnTo>
                                  <a:pt x="1010" y="1184"/>
                                </a:lnTo>
                                <a:lnTo>
                                  <a:pt x="1008" y="1190"/>
                                </a:lnTo>
                                <a:lnTo>
                                  <a:pt x="1000" y="1202"/>
                                </a:lnTo>
                                <a:lnTo>
                                  <a:pt x="994" y="1214"/>
                                </a:lnTo>
                                <a:lnTo>
                                  <a:pt x="986" y="1226"/>
                                </a:lnTo>
                                <a:lnTo>
                                  <a:pt x="980" y="1226"/>
                                </a:lnTo>
                                <a:lnTo>
                                  <a:pt x="974" y="1228"/>
                                </a:lnTo>
                                <a:lnTo>
                                  <a:pt x="974" y="1232"/>
                                </a:lnTo>
                                <a:lnTo>
                                  <a:pt x="974" y="1236"/>
                                </a:lnTo>
                                <a:lnTo>
                                  <a:pt x="960" y="1238"/>
                                </a:lnTo>
                                <a:lnTo>
                                  <a:pt x="948" y="1244"/>
                                </a:lnTo>
                                <a:lnTo>
                                  <a:pt x="938" y="1254"/>
                                </a:lnTo>
                                <a:lnTo>
                                  <a:pt x="936" y="1264"/>
                                </a:lnTo>
                                <a:lnTo>
                                  <a:pt x="936" y="1272"/>
                                </a:lnTo>
                                <a:lnTo>
                                  <a:pt x="934" y="1274"/>
                                </a:lnTo>
                                <a:lnTo>
                                  <a:pt x="932" y="1276"/>
                                </a:lnTo>
                                <a:lnTo>
                                  <a:pt x="928" y="1276"/>
                                </a:lnTo>
                                <a:lnTo>
                                  <a:pt x="924" y="1278"/>
                                </a:lnTo>
                                <a:lnTo>
                                  <a:pt x="918" y="1278"/>
                                </a:lnTo>
                                <a:lnTo>
                                  <a:pt x="918" y="1294"/>
                                </a:lnTo>
                                <a:lnTo>
                                  <a:pt x="916" y="1310"/>
                                </a:lnTo>
                                <a:lnTo>
                                  <a:pt x="914" y="1310"/>
                                </a:lnTo>
                                <a:lnTo>
                                  <a:pt x="912" y="1312"/>
                                </a:lnTo>
                                <a:lnTo>
                                  <a:pt x="910" y="1312"/>
                                </a:lnTo>
                                <a:lnTo>
                                  <a:pt x="906" y="1312"/>
                                </a:lnTo>
                                <a:lnTo>
                                  <a:pt x="900" y="1312"/>
                                </a:lnTo>
                                <a:lnTo>
                                  <a:pt x="900" y="1316"/>
                                </a:lnTo>
                                <a:lnTo>
                                  <a:pt x="900" y="1320"/>
                                </a:lnTo>
                                <a:lnTo>
                                  <a:pt x="880" y="1320"/>
                                </a:lnTo>
                                <a:lnTo>
                                  <a:pt x="862" y="1320"/>
                                </a:lnTo>
                                <a:lnTo>
                                  <a:pt x="862" y="1324"/>
                                </a:lnTo>
                                <a:lnTo>
                                  <a:pt x="862" y="1328"/>
                                </a:lnTo>
                                <a:lnTo>
                                  <a:pt x="802" y="1330"/>
                                </a:lnTo>
                                <a:lnTo>
                                  <a:pt x="744" y="1330"/>
                                </a:lnTo>
                                <a:lnTo>
                                  <a:pt x="738" y="1334"/>
                                </a:lnTo>
                                <a:lnTo>
                                  <a:pt x="734" y="1338"/>
                                </a:lnTo>
                                <a:lnTo>
                                  <a:pt x="700" y="1338"/>
                                </a:lnTo>
                                <a:lnTo>
                                  <a:pt x="674" y="1338"/>
                                </a:lnTo>
                                <a:lnTo>
                                  <a:pt x="656" y="1338"/>
                                </a:lnTo>
                                <a:lnTo>
                                  <a:pt x="646" y="1338"/>
                                </a:lnTo>
                                <a:lnTo>
                                  <a:pt x="642" y="1340"/>
                                </a:lnTo>
                                <a:lnTo>
                                  <a:pt x="640" y="1340"/>
                                </a:lnTo>
                                <a:lnTo>
                                  <a:pt x="638" y="1342"/>
                                </a:lnTo>
                                <a:lnTo>
                                  <a:pt x="638" y="1346"/>
                                </a:lnTo>
                                <a:lnTo>
                                  <a:pt x="622" y="1344"/>
                                </a:lnTo>
                                <a:lnTo>
                                  <a:pt x="602" y="1344"/>
                                </a:lnTo>
                                <a:lnTo>
                                  <a:pt x="584" y="1344"/>
                                </a:lnTo>
                                <a:lnTo>
                                  <a:pt x="566" y="1346"/>
                                </a:lnTo>
                                <a:lnTo>
                                  <a:pt x="550" y="1352"/>
                                </a:lnTo>
                                <a:lnTo>
                                  <a:pt x="544" y="1354"/>
                                </a:lnTo>
                                <a:lnTo>
                                  <a:pt x="538" y="1356"/>
                                </a:lnTo>
                                <a:lnTo>
                                  <a:pt x="538" y="1358"/>
                                </a:lnTo>
                                <a:lnTo>
                                  <a:pt x="538" y="1364"/>
                                </a:lnTo>
                                <a:lnTo>
                                  <a:pt x="520" y="1364"/>
                                </a:lnTo>
                                <a:lnTo>
                                  <a:pt x="502" y="1364"/>
                                </a:lnTo>
                                <a:lnTo>
                                  <a:pt x="488" y="1370"/>
                                </a:lnTo>
                                <a:lnTo>
                                  <a:pt x="468" y="1372"/>
                                </a:lnTo>
                                <a:lnTo>
                                  <a:pt x="448" y="1372"/>
                                </a:lnTo>
                                <a:lnTo>
                                  <a:pt x="428" y="1370"/>
                                </a:lnTo>
                                <a:lnTo>
                                  <a:pt x="414" y="1364"/>
                                </a:lnTo>
                                <a:lnTo>
                                  <a:pt x="410" y="1362"/>
                                </a:lnTo>
                                <a:lnTo>
                                  <a:pt x="398" y="1362"/>
                                </a:lnTo>
                                <a:lnTo>
                                  <a:pt x="386" y="1362"/>
                                </a:lnTo>
                                <a:lnTo>
                                  <a:pt x="376" y="1362"/>
                                </a:lnTo>
                                <a:lnTo>
                                  <a:pt x="372" y="1364"/>
                                </a:lnTo>
                                <a:lnTo>
                                  <a:pt x="362" y="1368"/>
                                </a:lnTo>
                                <a:lnTo>
                                  <a:pt x="342" y="1370"/>
                                </a:lnTo>
                                <a:lnTo>
                                  <a:pt x="318" y="1372"/>
                                </a:lnTo>
                                <a:lnTo>
                                  <a:pt x="292" y="1372"/>
                                </a:lnTo>
                                <a:lnTo>
                                  <a:pt x="268" y="1370"/>
                                </a:lnTo>
                                <a:lnTo>
                                  <a:pt x="250" y="1368"/>
                                </a:lnTo>
                                <a:lnTo>
                                  <a:pt x="238" y="1364"/>
                                </a:lnTo>
                                <a:lnTo>
                                  <a:pt x="230" y="1364"/>
                                </a:lnTo>
                                <a:lnTo>
                                  <a:pt x="222" y="1362"/>
                                </a:lnTo>
                                <a:lnTo>
                                  <a:pt x="216" y="1360"/>
                                </a:lnTo>
                                <a:lnTo>
                                  <a:pt x="208" y="1356"/>
                                </a:lnTo>
                                <a:lnTo>
                                  <a:pt x="188" y="1356"/>
                                </a:lnTo>
                                <a:lnTo>
                                  <a:pt x="168" y="1356"/>
                                </a:lnTo>
                                <a:lnTo>
                                  <a:pt x="156" y="1362"/>
                                </a:lnTo>
                                <a:lnTo>
                                  <a:pt x="142" y="1364"/>
                                </a:lnTo>
                                <a:lnTo>
                                  <a:pt x="128" y="1364"/>
                                </a:lnTo>
                                <a:lnTo>
                                  <a:pt x="118" y="1372"/>
                                </a:lnTo>
                                <a:lnTo>
                                  <a:pt x="104" y="1378"/>
                                </a:lnTo>
                                <a:lnTo>
                                  <a:pt x="90" y="1380"/>
                                </a:lnTo>
                                <a:lnTo>
                                  <a:pt x="90" y="1374"/>
                                </a:lnTo>
                                <a:lnTo>
                                  <a:pt x="86" y="1370"/>
                                </a:lnTo>
                                <a:lnTo>
                                  <a:pt x="82" y="1366"/>
                                </a:lnTo>
                                <a:lnTo>
                                  <a:pt x="78" y="1364"/>
                                </a:lnTo>
                                <a:lnTo>
                                  <a:pt x="72" y="1364"/>
                                </a:lnTo>
                                <a:lnTo>
                                  <a:pt x="72" y="1360"/>
                                </a:lnTo>
                                <a:lnTo>
                                  <a:pt x="72" y="1356"/>
                                </a:lnTo>
                                <a:lnTo>
                                  <a:pt x="62" y="1356"/>
                                </a:lnTo>
                                <a:lnTo>
                                  <a:pt x="54" y="1356"/>
                                </a:lnTo>
                                <a:lnTo>
                                  <a:pt x="54" y="1336"/>
                                </a:lnTo>
                                <a:lnTo>
                                  <a:pt x="54" y="1318"/>
                                </a:lnTo>
                                <a:lnTo>
                                  <a:pt x="72" y="1304"/>
                                </a:lnTo>
                                <a:lnTo>
                                  <a:pt x="90" y="1294"/>
                                </a:lnTo>
                                <a:lnTo>
                                  <a:pt x="88" y="1274"/>
                                </a:lnTo>
                                <a:lnTo>
                                  <a:pt x="88" y="1254"/>
                                </a:lnTo>
                                <a:lnTo>
                                  <a:pt x="86" y="1250"/>
                                </a:lnTo>
                                <a:lnTo>
                                  <a:pt x="82" y="1246"/>
                                </a:lnTo>
                                <a:lnTo>
                                  <a:pt x="82" y="1242"/>
                                </a:lnTo>
                                <a:lnTo>
                                  <a:pt x="80" y="1236"/>
                                </a:lnTo>
                                <a:lnTo>
                                  <a:pt x="62" y="1230"/>
                                </a:lnTo>
                                <a:lnTo>
                                  <a:pt x="42" y="1228"/>
                                </a:lnTo>
                                <a:lnTo>
                                  <a:pt x="22" y="1226"/>
                                </a:lnTo>
                                <a:lnTo>
                                  <a:pt x="14" y="1220"/>
                                </a:lnTo>
                                <a:lnTo>
                                  <a:pt x="6" y="1212"/>
                                </a:lnTo>
                                <a:lnTo>
                                  <a:pt x="6" y="1204"/>
                                </a:lnTo>
                                <a:lnTo>
                                  <a:pt x="6" y="1198"/>
                                </a:lnTo>
                                <a:lnTo>
                                  <a:pt x="8" y="1194"/>
                                </a:lnTo>
                                <a:lnTo>
                                  <a:pt x="10" y="1188"/>
                                </a:lnTo>
                                <a:lnTo>
                                  <a:pt x="14" y="1184"/>
                                </a:lnTo>
                                <a:close/>
                              </a:path>
                            </a:pathLst>
                          </a:cu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3" name="Freeform 22"/>
                        <wps:cNvSpPr>
                          <a:spLocks/>
                        </wps:cNvSpPr>
                        <wps:spPr bwMode="auto">
                          <a:xfrm>
                            <a:off x="3359633" y="191221"/>
                            <a:ext cx="2398726" cy="1366875"/>
                          </a:xfrm>
                          <a:custGeom>
                            <a:avLst/>
                            <a:gdLst>
                              <a:gd name="T0" fmla="*/ 848 w 2032"/>
                              <a:gd name="T1" fmla="*/ 1022 h 1158"/>
                              <a:gd name="T2" fmla="*/ 730 w 2032"/>
                              <a:gd name="T3" fmla="*/ 1040 h 1158"/>
                              <a:gd name="T4" fmla="*/ 688 w 2032"/>
                              <a:gd name="T5" fmla="*/ 1010 h 1158"/>
                              <a:gd name="T6" fmla="*/ 582 w 2032"/>
                              <a:gd name="T7" fmla="*/ 1046 h 1158"/>
                              <a:gd name="T8" fmla="*/ 490 w 2032"/>
                              <a:gd name="T9" fmla="*/ 1124 h 1158"/>
                              <a:gd name="T10" fmla="*/ 454 w 2032"/>
                              <a:gd name="T11" fmla="*/ 1024 h 1158"/>
                              <a:gd name="T12" fmla="*/ 422 w 2032"/>
                              <a:gd name="T13" fmla="*/ 990 h 1158"/>
                              <a:gd name="T14" fmla="*/ 354 w 2032"/>
                              <a:gd name="T15" fmla="*/ 986 h 1158"/>
                              <a:gd name="T16" fmla="*/ 304 w 2032"/>
                              <a:gd name="T17" fmla="*/ 954 h 1158"/>
                              <a:gd name="T18" fmla="*/ 224 w 2032"/>
                              <a:gd name="T19" fmla="*/ 988 h 1158"/>
                              <a:gd name="T20" fmla="*/ 164 w 2032"/>
                              <a:gd name="T21" fmla="*/ 1040 h 1158"/>
                              <a:gd name="T22" fmla="*/ 100 w 2032"/>
                              <a:gd name="T23" fmla="*/ 1004 h 1158"/>
                              <a:gd name="T24" fmla="*/ 90 w 2032"/>
                              <a:gd name="T25" fmla="*/ 932 h 1158"/>
                              <a:gd name="T26" fmla="*/ 106 w 2032"/>
                              <a:gd name="T27" fmla="*/ 882 h 1158"/>
                              <a:gd name="T28" fmla="*/ 118 w 2032"/>
                              <a:gd name="T29" fmla="*/ 778 h 1158"/>
                              <a:gd name="T30" fmla="*/ 52 w 2032"/>
                              <a:gd name="T31" fmla="*/ 684 h 1158"/>
                              <a:gd name="T32" fmla="*/ 16 w 2032"/>
                              <a:gd name="T33" fmla="*/ 658 h 1158"/>
                              <a:gd name="T34" fmla="*/ 6 w 2032"/>
                              <a:gd name="T35" fmla="*/ 576 h 1158"/>
                              <a:gd name="T36" fmla="*/ 130 w 2032"/>
                              <a:gd name="T37" fmla="*/ 518 h 1158"/>
                              <a:gd name="T38" fmla="*/ 208 w 2032"/>
                              <a:gd name="T39" fmla="*/ 488 h 1158"/>
                              <a:gd name="T40" fmla="*/ 244 w 2032"/>
                              <a:gd name="T41" fmla="*/ 554 h 1158"/>
                              <a:gd name="T42" fmla="*/ 340 w 2032"/>
                              <a:gd name="T43" fmla="*/ 642 h 1158"/>
                              <a:gd name="T44" fmla="*/ 466 w 2032"/>
                              <a:gd name="T45" fmla="*/ 668 h 1158"/>
                              <a:gd name="T46" fmla="*/ 528 w 2032"/>
                              <a:gd name="T47" fmla="*/ 628 h 1158"/>
                              <a:gd name="T48" fmla="*/ 592 w 2032"/>
                              <a:gd name="T49" fmla="*/ 574 h 1158"/>
                              <a:gd name="T50" fmla="*/ 606 w 2032"/>
                              <a:gd name="T51" fmla="*/ 540 h 1158"/>
                              <a:gd name="T52" fmla="*/ 630 w 2032"/>
                              <a:gd name="T53" fmla="*/ 464 h 1158"/>
                              <a:gd name="T54" fmla="*/ 694 w 2032"/>
                              <a:gd name="T55" fmla="*/ 436 h 1158"/>
                              <a:gd name="T56" fmla="*/ 712 w 2032"/>
                              <a:gd name="T57" fmla="*/ 416 h 1158"/>
                              <a:gd name="T58" fmla="*/ 778 w 2032"/>
                              <a:gd name="T59" fmla="*/ 352 h 1158"/>
                              <a:gd name="T60" fmla="*/ 830 w 2032"/>
                              <a:gd name="T61" fmla="*/ 314 h 1158"/>
                              <a:gd name="T62" fmla="*/ 894 w 2032"/>
                              <a:gd name="T63" fmla="*/ 344 h 1158"/>
                              <a:gd name="T64" fmla="*/ 964 w 2032"/>
                              <a:gd name="T65" fmla="*/ 302 h 1158"/>
                              <a:gd name="T66" fmla="*/ 936 w 2032"/>
                              <a:gd name="T67" fmla="*/ 262 h 1158"/>
                              <a:gd name="T68" fmla="*/ 1022 w 2032"/>
                              <a:gd name="T69" fmla="*/ 250 h 1158"/>
                              <a:gd name="T70" fmla="*/ 1068 w 2032"/>
                              <a:gd name="T71" fmla="*/ 168 h 1158"/>
                              <a:gd name="T72" fmla="*/ 1180 w 2032"/>
                              <a:gd name="T73" fmla="*/ 126 h 1158"/>
                              <a:gd name="T74" fmla="*/ 1288 w 2032"/>
                              <a:gd name="T75" fmla="*/ 26 h 1158"/>
                              <a:gd name="T76" fmla="*/ 1352 w 2032"/>
                              <a:gd name="T77" fmla="*/ 20 h 1158"/>
                              <a:gd name="T78" fmla="*/ 1464 w 2032"/>
                              <a:gd name="T79" fmla="*/ 4 h 1158"/>
                              <a:gd name="T80" fmla="*/ 1522 w 2032"/>
                              <a:gd name="T81" fmla="*/ 112 h 1158"/>
                              <a:gd name="T82" fmla="*/ 1672 w 2032"/>
                              <a:gd name="T83" fmla="*/ 188 h 1158"/>
                              <a:gd name="T84" fmla="*/ 1782 w 2032"/>
                              <a:gd name="T85" fmla="*/ 236 h 1158"/>
                              <a:gd name="T86" fmla="*/ 1890 w 2032"/>
                              <a:gd name="T87" fmla="*/ 234 h 1158"/>
                              <a:gd name="T88" fmla="*/ 1974 w 2032"/>
                              <a:gd name="T89" fmla="*/ 280 h 1158"/>
                              <a:gd name="T90" fmla="*/ 2002 w 2032"/>
                              <a:gd name="T91" fmla="*/ 312 h 1158"/>
                              <a:gd name="T92" fmla="*/ 2024 w 2032"/>
                              <a:gd name="T93" fmla="*/ 376 h 1158"/>
                              <a:gd name="T94" fmla="*/ 2020 w 2032"/>
                              <a:gd name="T95" fmla="*/ 474 h 1158"/>
                              <a:gd name="T96" fmla="*/ 1956 w 2032"/>
                              <a:gd name="T97" fmla="*/ 534 h 1158"/>
                              <a:gd name="T98" fmla="*/ 1834 w 2032"/>
                              <a:gd name="T99" fmla="*/ 568 h 1158"/>
                              <a:gd name="T100" fmla="*/ 1710 w 2032"/>
                              <a:gd name="T101" fmla="*/ 552 h 1158"/>
                              <a:gd name="T102" fmla="*/ 1672 w 2032"/>
                              <a:gd name="T103" fmla="*/ 582 h 1158"/>
                              <a:gd name="T104" fmla="*/ 1642 w 2032"/>
                              <a:gd name="T105" fmla="*/ 678 h 1158"/>
                              <a:gd name="T106" fmla="*/ 1616 w 2032"/>
                              <a:gd name="T107" fmla="*/ 740 h 1158"/>
                              <a:gd name="T108" fmla="*/ 1586 w 2032"/>
                              <a:gd name="T109" fmla="*/ 768 h 1158"/>
                              <a:gd name="T110" fmla="*/ 1524 w 2032"/>
                              <a:gd name="T111" fmla="*/ 838 h 1158"/>
                              <a:gd name="T112" fmla="*/ 1480 w 2032"/>
                              <a:gd name="T113" fmla="*/ 1138 h 1158"/>
                              <a:gd name="T114" fmla="*/ 1408 w 2032"/>
                              <a:gd name="T115" fmla="*/ 1104 h 1158"/>
                              <a:gd name="T116" fmla="*/ 1128 w 2032"/>
                              <a:gd name="T117" fmla="*/ 1084 h 1158"/>
                              <a:gd name="T118" fmla="*/ 1048 w 2032"/>
                              <a:gd name="T119" fmla="*/ 1034 h 1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32" h="1158">
                                <a:moveTo>
                                  <a:pt x="1010" y="1014"/>
                                </a:moveTo>
                                <a:lnTo>
                                  <a:pt x="1010" y="1012"/>
                                </a:lnTo>
                                <a:lnTo>
                                  <a:pt x="942" y="1012"/>
                                </a:lnTo>
                                <a:lnTo>
                                  <a:pt x="874" y="1012"/>
                                </a:lnTo>
                                <a:lnTo>
                                  <a:pt x="874" y="1014"/>
                                </a:lnTo>
                                <a:lnTo>
                                  <a:pt x="862" y="1020"/>
                                </a:lnTo>
                                <a:lnTo>
                                  <a:pt x="848" y="1022"/>
                                </a:lnTo>
                                <a:lnTo>
                                  <a:pt x="832" y="1024"/>
                                </a:lnTo>
                                <a:lnTo>
                                  <a:pt x="816" y="1022"/>
                                </a:lnTo>
                                <a:lnTo>
                                  <a:pt x="816" y="1026"/>
                                </a:lnTo>
                                <a:lnTo>
                                  <a:pt x="816" y="1030"/>
                                </a:lnTo>
                                <a:lnTo>
                                  <a:pt x="802" y="1030"/>
                                </a:lnTo>
                                <a:lnTo>
                                  <a:pt x="792" y="1032"/>
                                </a:lnTo>
                                <a:lnTo>
                                  <a:pt x="780" y="1040"/>
                                </a:lnTo>
                                <a:lnTo>
                                  <a:pt x="756" y="1040"/>
                                </a:lnTo>
                                <a:lnTo>
                                  <a:pt x="730" y="1040"/>
                                </a:lnTo>
                                <a:lnTo>
                                  <a:pt x="724" y="1036"/>
                                </a:lnTo>
                                <a:lnTo>
                                  <a:pt x="720" y="1032"/>
                                </a:lnTo>
                                <a:lnTo>
                                  <a:pt x="712" y="1030"/>
                                </a:lnTo>
                                <a:lnTo>
                                  <a:pt x="712" y="1026"/>
                                </a:lnTo>
                                <a:lnTo>
                                  <a:pt x="712" y="1022"/>
                                </a:lnTo>
                                <a:lnTo>
                                  <a:pt x="706" y="1022"/>
                                </a:lnTo>
                                <a:lnTo>
                                  <a:pt x="700" y="1018"/>
                                </a:lnTo>
                                <a:lnTo>
                                  <a:pt x="694" y="1014"/>
                                </a:lnTo>
                                <a:lnTo>
                                  <a:pt x="688" y="1010"/>
                                </a:lnTo>
                                <a:lnTo>
                                  <a:pt x="682" y="1006"/>
                                </a:lnTo>
                                <a:lnTo>
                                  <a:pt x="656" y="1006"/>
                                </a:lnTo>
                                <a:lnTo>
                                  <a:pt x="630" y="1006"/>
                                </a:lnTo>
                                <a:lnTo>
                                  <a:pt x="626" y="1016"/>
                                </a:lnTo>
                                <a:lnTo>
                                  <a:pt x="618" y="1024"/>
                                </a:lnTo>
                                <a:lnTo>
                                  <a:pt x="608" y="1028"/>
                                </a:lnTo>
                                <a:lnTo>
                                  <a:pt x="600" y="1036"/>
                                </a:lnTo>
                                <a:lnTo>
                                  <a:pt x="594" y="1048"/>
                                </a:lnTo>
                                <a:lnTo>
                                  <a:pt x="582" y="1046"/>
                                </a:lnTo>
                                <a:lnTo>
                                  <a:pt x="572" y="1046"/>
                                </a:lnTo>
                                <a:lnTo>
                                  <a:pt x="560" y="1042"/>
                                </a:lnTo>
                                <a:lnTo>
                                  <a:pt x="544" y="1042"/>
                                </a:lnTo>
                                <a:lnTo>
                                  <a:pt x="532" y="1048"/>
                                </a:lnTo>
                                <a:lnTo>
                                  <a:pt x="520" y="1056"/>
                                </a:lnTo>
                                <a:lnTo>
                                  <a:pt x="520" y="1070"/>
                                </a:lnTo>
                                <a:lnTo>
                                  <a:pt x="518" y="1084"/>
                                </a:lnTo>
                                <a:lnTo>
                                  <a:pt x="502" y="1102"/>
                                </a:lnTo>
                                <a:lnTo>
                                  <a:pt x="490" y="1124"/>
                                </a:lnTo>
                                <a:lnTo>
                                  <a:pt x="474" y="1114"/>
                                </a:lnTo>
                                <a:lnTo>
                                  <a:pt x="458" y="1100"/>
                                </a:lnTo>
                                <a:lnTo>
                                  <a:pt x="448" y="1082"/>
                                </a:lnTo>
                                <a:lnTo>
                                  <a:pt x="444" y="1064"/>
                                </a:lnTo>
                                <a:lnTo>
                                  <a:pt x="448" y="1064"/>
                                </a:lnTo>
                                <a:lnTo>
                                  <a:pt x="452" y="1064"/>
                                </a:lnTo>
                                <a:lnTo>
                                  <a:pt x="454" y="1042"/>
                                </a:lnTo>
                                <a:lnTo>
                                  <a:pt x="454" y="1030"/>
                                </a:lnTo>
                                <a:lnTo>
                                  <a:pt x="454" y="1024"/>
                                </a:lnTo>
                                <a:lnTo>
                                  <a:pt x="454" y="1020"/>
                                </a:lnTo>
                                <a:lnTo>
                                  <a:pt x="452" y="1020"/>
                                </a:lnTo>
                                <a:lnTo>
                                  <a:pt x="450" y="1016"/>
                                </a:lnTo>
                                <a:lnTo>
                                  <a:pt x="446" y="1010"/>
                                </a:lnTo>
                                <a:lnTo>
                                  <a:pt x="440" y="1006"/>
                                </a:lnTo>
                                <a:lnTo>
                                  <a:pt x="436" y="1000"/>
                                </a:lnTo>
                                <a:lnTo>
                                  <a:pt x="432" y="994"/>
                                </a:lnTo>
                                <a:lnTo>
                                  <a:pt x="428" y="990"/>
                                </a:lnTo>
                                <a:lnTo>
                                  <a:pt x="422" y="990"/>
                                </a:lnTo>
                                <a:lnTo>
                                  <a:pt x="416" y="988"/>
                                </a:lnTo>
                                <a:lnTo>
                                  <a:pt x="416" y="984"/>
                                </a:lnTo>
                                <a:lnTo>
                                  <a:pt x="416" y="978"/>
                                </a:lnTo>
                                <a:lnTo>
                                  <a:pt x="408" y="978"/>
                                </a:lnTo>
                                <a:lnTo>
                                  <a:pt x="402" y="976"/>
                                </a:lnTo>
                                <a:lnTo>
                                  <a:pt x="396" y="972"/>
                                </a:lnTo>
                                <a:lnTo>
                                  <a:pt x="382" y="972"/>
                                </a:lnTo>
                                <a:lnTo>
                                  <a:pt x="370" y="972"/>
                                </a:lnTo>
                                <a:lnTo>
                                  <a:pt x="354" y="986"/>
                                </a:lnTo>
                                <a:lnTo>
                                  <a:pt x="338" y="1000"/>
                                </a:lnTo>
                                <a:lnTo>
                                  <a:pt x="334" y="998"/>
                                </a:lnTo>
                                <a:lnTo>
                                  <a:pt x="328" y="996"/>
                                </a:lnTo>
                                <a:lnTo>
                                  <a:pt x="324" y="992"/>
                                </a:lnTo>
                                <a:lnTo>
                                  <a:pt x="320" y="990"/>
                                </a:lnTo>
                                <a:lnTo>
                                  <a:pt x="312" y="988"/>
                                </a:lnTo>
                                <a:lnTo>
                                  <a:pt x="312" y="976"/>
                                </a:lnTo>
                                <a:lnTo>
                                  <a:pt x="308" y="966"/>
                                </a:lnTo>
                                <a:lnTo>
                                  <a:pt x="304" y="954"/>
                                </a:lnTo>
                                <a:lnTo>
                                  <a:pt x="282" y="954"/>
                                </a:lnTo>
                                <a:lnTo>
                                  <a:pt x="268" y="954"/>
                                </a:lnTo>
                                <a:lnTo>
                                  <a:pt x="262" y="954"/>
                                </a:lnTo>
                                <a:lnTo>
                                  <a:pt x="260" y="954"/>
                                </a:lnTo>
                                <a:lnTo>
                                  <a:pt x="260" y="956"/>
                                </a:lnTo>
                                <a:lnTo>
                                  <a:pt x="256" y="968"/>
                                </a:lnTo>
                                <a:lnTo>
                                  <a:pt x="246" y="976"/>
                                </a:lnTo>
                                <a:lnTo>
                                  <a:pt x="234" y="982"/>
                                </a:lnTo>
                                <a:lnTo>
                                  <a:pt x="224" y="988"/>
                                </a:lnTo>
                                <a:lnTo>
                                  <a:pt x="222" y="994"/>
                                </a:lnTo>
                                <a:lnTo>
                                  <a:pt x="218" y="1000"/>
                                </a:lnTo>
                                <a:lnTo>
                                  <a:pt x="214" y="1006"/>
                                </a:lnTo>
                                <a:lnTo>
                                  <a:pt x="208" y="1014"/>
                                </a:lnTo>
                                <a:lnTo>
                                  <a:pt x="198" y="1024"/>
                                </a:lnTo>
                                <a:lnTo>
                                  <a:pt x="186" y="1036"/>
                                </a:lnTo>
                                <a:lnTo>
                                  <a:pt x="174" y="1044"/>
                                </a:lnTo>
                                <a:lnTo>
                                  <a:pt x="166" y="1048"/>
                                </a:lnTo>
                                <a:lnTo>
                                  <a:pt x="164" y="1040"/>
                                </a:lnTo>
                                <a:lnTo>
                                  <a:pt x="162" y="1034"/>
                                </a:lnTo>
                                <a:lnTo>
                                  <a:pt x="158" y="1028"/>
                                </a:lnTo>
                                <a:lnTo>
                                  <a:pt x="152" y="1022"/>
                                </a:lnTo>
                                <a:lnTo>
                                  <a:pt x="130" y="1022"/>
                                </a:lnTo>
                                <a:lnTo>
                                  <a:pt x="106" y="1022"/>
                                </a:lnTo>
                                <a:lnTo>
                                  <a:pt x="100" y="1014"/>
                                </a:lnTo>
                                <a:lnTo>
                                  <a:pt x="94" y="1008"/>
                                </a:lnTo>
                                <a:lnTo>
                                  <a:pt x="96" y="1006"/>
                                </a:lnTo>
                                <a:lnTo>
                                  <a:pt x="100" y="1004"/>
                                </a:lnTo>
                                <a:lnTo>
                                  <a:pt x="106" y="1000"/>
                                </a:lnTo>
                                <a:lnTo>
                                  <a:pt x="110" y="998"/>
                                </a:lnTo>
                                <a:lnTo>
                                  <a:pt x="114" y="996"/>
                                </a:lnTo>
                                <a:lnTo>
                                  <a:pt x="118" y="992"/>
                                </a:lnTo>
                                <a:lnTo>
                                  <a:pt x="118" y="974"/>
                                </a:lnTo>
                                <a:lnTo>
                                  <a:pt x="118" y="956"/>
                                </a:lnTo>
                                <a:lnTo>
                                  <a:pt x="108" y="948"/>
                                </a:lnTo>
                                <a:lnTo>
                                  <a:pt x="98" y="940"/>
                                </a:lnTo>
                                <a:lnTo>
                                  <a:pt x="90" y="932"/>
                                </a:lnTo>
                                <a:lnTo>
                                  <a:pt x="84" y="922"/>
                                </a:lnTo>
                                <a:lnTo>
                                  <a:pt x="82" y="908"/>
                                </a:lnTo>
                                <a:lnTo>
                                  <a:pt x="86" y="906"/>
                                </a:lnTo>
                                <a:lnTo>
                                  <a:pt x="88" y="902"/>
                                </a:lnTo>
                                <a:lnTo>
                                  <a:pt x="90" y="898"/>
                                </a:lnTo>
                                <a:lnTo>
                                  <a:pt x="90" y="894"/>
                                </a:lnTo>
                                <a:lnTo>
                                  <a:pt x="98" y="890"/>
                                </a:lnTo>
                                <a:lnTo>
                                  <a:pt x="104" y="886"/>
                                </a:lnTo>
                                <a:lnTo>
                                  <a:pt x="106" y="882"/>
                                </a:lnTo>
                                <a:lnTo>
                                  <a:pt x="110" y="878"/>
                                </a:lnTo>
                                <a:lnTo>
                                  <a:pt x="114" y="872"/>
                                </a:lnTo>
                                <a:lnTo>
                                  <a:pt x="118" y="866"/>
                                </a:lnTo>
                                <a:lnTo>
                                  <a:pt x="120" y="860"/>
                                </a:lnTo>
                                <a:lnTo>
                                  <a:pt x="120" y="844"/>
                                </a:lnTo>
                                <a:lnTo>
                                  <a:pt x="120" y="822"/>
                                </a:lnTo>
                                <a:lnTo>
                                  <a:pt x="120" y="800"/>
                                </a:lnTo>
                                <a:lnTo>
                                  <a:pt x="120" y="784"/>
                                </a:lnTo>
                                <a:lnTo>
                                  <a:pt x="118" y="778"/>
                                </a:lnTo>
                                <a:lnTo>
                                  <a:pt x="114" y="774"/>
                                </a:lnTo>
                                <a:lnTo>
                                  <a:pt x="112" y="772"/>
                                </a:lnTo>
                                <a:lnTo>
                                  <a:pt x="106" y="760"/>
                                </a:lnTo>
                                <a:lnTo>
                                  <a:pt x="94" y="750"/>
                                </a:lnTo>
                                <a:lnTo>
                                  <a:pt x="84" y="740"/>
                                </a:lnTo>
                                <a:lnTo>
                                  <a:pt x="74" y="730"/>
                                </a:lnTo>
                                <a:lnTo>
                                  <a:pt x="70" y="716"/>
                                </a:lnTo>
                                <a:lnTo>
                                  <a:pt x="58" y="700"/>
                                </a:lnTo>
                                <a:lnTo>
                                  <a:pt x="52" y="684"/>
                                </a:lnTo>
                                <a:lnTo>
                                  <a:pt x="48" y="684"/>
                                </a:lnTo>
                                <a:lnTo>
                                  <a:pt x="44" y="684"/>
                                </a:lnTo>
                                <a:lnTo>
                                  <a:pt x="44" y="678"/>
                                </a:lnTo>
                                <a:lnTo>
                                  <a:pt x="44" y="674"/>
                                </a:lnTo>
                                <a:lnTo>
                                  <a:pt x="36" y="674"/>
                                </a:lnTo>
                                <a:lnTo>
                                  <a:pt x="30" y="670"/>
                                </a:lnTo>
                                <a:lnTo>
                                  <a:pt x="26" y="668"/>
                                </a:lnTo>
                                <a:lnTo>
                                  <a:pt x="22" y="664"/>
                                </a:lnTo>
                                <a:lnTo>
                                  <a:pt x="16" y="658"/>
                                </a:lnTo>
                                <a:lnTo>
                                  <a:pt x="16" y="654"/>
                                </a:lnTo>
                                <a:lnTo>
                                  <a:pt x="16" y="648"/>
                                </a:lnTo>
                                <a:lnTo>
                                  <a:pt x="10" y="648"/>
                                </a:lnTo>
                                <a:lnTo>
                                  <a:pt x="6" y="648"/>
                                </a:lnTo>
                                <a:lnTo>
                                  <a:pt x="4" y="630"/>
                                </a:lnTo>
                                <a:lnTo>
                                  <a:pt x="0" y="612"/>
                                </a:lnTo>
                                <a:lnTo>
                                  <a:pt x="0" y="594"/>
                                </a:lnTo>
                                <a:lnTo>
                                  <a:pt x="4" y="586"/>
                                </a:lnTo>
                                <a:lnTo>
                                  <a:pt x="6" y="576"/>
                                </a:lnTo>
                                <a:lnTo>
                                  <a:pt x="6" y="566"/>
                                </a:lnTo>
                                <a:lnTo>
                                  <a:pt x="6" y="556"/>
                                </a:lnTo>
                                <a:lnTo>
                                  <a:pt x="10" y="554"/>
                                </a:lnTo>
                                <a:lnTo>
                                  <a:pt x="14" y="554"/>
                                </a:lnTo>
                                <a:lnTo>
                                  <a:pt x="16" y="538"/>
                                </a:lnTo>
                                <a:lnTo>
                                  <a:pt x="16" y="522"/>
                                </a:lnTo>
                                <a:lnTo>
                                  <a:pt x="70" y="522"/>
                                </a:lnTo>
                                <a:lnTo>
                                  <a:pt x="124" y="522"/>
                                </a:lnTo>
                                <a:lnTo>
                                  <a:pt x="130" y="518"/>
                                </a:lnTo>
                                <a:lnTo>
                                  <a:pt x="136" y="514"/>
                                </a:lnTo>
                                <a:lnTo>
                                  <a:pt x="140" y="514"/>
                                </a:lnTo>
                                <a:lnTo>
                                  <a:pt x="146" y="512"/>
                                </a:lnTo>
                                <a:lnTo>
                                  <a:pt x="154" y="512"/>
                                </a:lnTo>
                                <a:lnTo>
                                  <a:pt x="160" y="498"/>
                                </a:lnTo>
                                <a:lnTo>
                                  <a:pt x="168" y="492"/>
                                </a:lnTo>
                                <a:lnTo>
                                  <a:pt x="178" y="488"/>
                                </a:lnTo>
                                <a:lnTo>
                                  <a:pt x="192" y="488"/>
                                </a:lnTo>
                                <a:lnTo>
                                  <a:pt x="208" y="488"/>
                                </a:lnTo>
                                <a:lnTo>
                                  <a:pt x="212" y="492"/>
                                </a:lnTo>
                                <a:lnTo>
                                  <a:pt x="216" y="494"/>
                                </a:lnTo>
                                <a:lnTo>
                                  <a:pt x="222" y="496"/>
                                </a:lnTo>
                                <a:lnTo>
                                  <a:pt x="222" y="504"/>
                                </a:lnTo>
                                <a:lnTo>
                                  <a:pt x="222" y="514"/>
                                </a:lnTo>
                                <a:lnTo>
                                  <a:pt x="226" y="514"/>
                                </a:lnTo>
                                <a:lnTo>
                                  <a:pt x="230" y="514"/>
                                </a:lnTo>
                                <a:lnTo>
                                  <a:pt x="234" y="536"/>
                                </a:lnTo>
                                <a:lnTo>
                                  <a:pt x="244" y="554"/>
                                </a:lnTo>
                                <a:lnTo>
                                  <a:pt x="258" y="570"/>
                                </a:lnTo>
                                <a:lnTo>
                                  <a:pt x="260" y="580"/>
                                </a:lnTo>
                                <a:lnTo>
                                  <a:pt x="260" y="588"/>
                                </a:lnTo>
                                <a:lnTo>
                                  <a:pt x="296" y="588"/>
                                </a:lnTo>
                                <a:lnTo>
                                  <a:pt x="332" y="590"/>
                                </a:lnTo>
                                <a:lnTo>
                                  <a:pt x="332" y="610"/>
                                </a:lnTo>
                                <a:lnTo>
                                  <a:pt x="334" y="630"/>
                                </a:lnTo>
                                <a:lnTo>
                                  <a:pt x="338" y="636"/>
                                </a:lnTo>
                                <a:lnTo>
                                  <a:pt x="340" y="642"/>
                                </a:lnTo>
                                <a:lnTo>
                                  <a:pt x="342" y="648"/>
                                </a:lnTo>
                                <a:lnTo>
                                  <a:pt x="342" y="656"/>
                                </a:lnTo>
                                <a:lnTo>
                                  <a:pt x="356" y="658"/>
                                </a:lnTo>
                                <a:lnTo>
                                  <a:pt x="372" y="662"/>
                                </a:lnTo>
                                <a:lnTo>
                                  <a:pt x="390" y="666"/>
                                </a:lnTo>
                                <a:lnTo>
                                  <a:pt x="400" y="674"/>
                                </a:lnTo>
                                <a:lnTo>
                                  <a:pt x="430" y="672"/>
                                </a:lnTo>
                                <a:lnTo>
                                  <a:pt x="460" y="672"/>
                                </a:lnTo>
                                <a:lnTo>
                                  <a:pt x="466" y="668"/>
                                </a:lnTo>
                                <a:lnTo>
                                  <a:pt x="474" y="666"/>
                                </a:lnTo>
                                <a:lnTo>
                                  <a:pt x="480" y="666"/>
                                </a:lnTo>
                                <a:lnTo>
                                  <a:pt x="488" y="664"/>
                                </a:lnTo>
                                <a:lnTo>
                                  <a:pt x="490" y="660"/>
                                </a:lnTo>
                                <a:lnTo>
                                  <a:pt x="490" y="656"/>
                                </a:lnTo>
                                <a:lnTo>
                                  <a:pt x="500" y="654"/>
                                </a:lnTo>
                                <a:lnTo>
                                  <a:pt x="508" y="654"/>
                                </a:lnTo>
                                <a:lnTo>
                                  <a:pt x="520" y="642"/>
                                </a:lnTo>
                                <a:lnTo>
                                  <a:pt x="528" y="628"/>
                                </a:lnTo>
                                <a:lnTo>
                                  <a:pt x="536" y="616"/>
                                </a:lnTo>
                                <a:lnTo>
                                  <a:pt x="544" y="604"/>
                                </a:lnTo>
                                <a:lnTo>
                                  <a:pt x="558" y="594"/>
                                </a:lnTo>
                                <a:lnTo>
                                  <a:pt x="574" y="588"/>
                                </a:lnTo>
                                <a:lnTo>
                                  <a:pt x="574" y="584"/>
                                </a:lnTo>
                                <a:lnTo>
                                  <a:pt x="574" y="582"/>
                                </a:lnTo>
                                <a:lnTo>
                                  <a:pt x="582" y="580"/>
                                </a:lnTo>
                                <a:lnTo>
                                  <a:pt x="590" y="578"/>
                                </a:lnTo>
                                <a:lnTo>
                                  <a:pt x="592" y="574"/>
                                </a:lnTo>
                                <a:lnTo>
                                  <a:pt x="592" y="568"/>
                                </a:lnTo>
                                <a:lnTo>
                                  <a:pt x="594" y="564"/>
                                </a:lnTo>
                                <a:lnTo>
                                  <a:pt x="596" y="558"/>
                                </a:lnTo>
                                <a:lnTo>
                                  <a:pt x="600" y="554"/>
                                </a:lnTo>
                                <a:lnTo>
                                  <a:pt x="600" y="550"/>
                                </a:lnTo>
                                <a:lnTo>
                                  <a:pt x="602" y="548"/>
                                </a:lnTo>
                                <a:lnTo>
                                  <a:pt x="602" y="546"/>
                                </a:lnTo>
                                <a:lnTo>
                                  <a:pt x="604" y="542"/>
                                </a:lnTo>
                                <a:lnTo>
                                  <a:pt x="606" y="540"/>
                                </a:lnTo>
                                <a:lnTo>
                                  <a:pt x="610" y="536"/>
                                </a:lnTo>
                                <a:lnTo>
                                  <a:pt x="610" y="524"/>
                                </a:lnTo>
                                <a:lnTo>
                                  <a:pt x="612" y="514"/>
                                </a:lnTo>
                                <a:lnTo>
                                  <a:pt x="616" y="512"/>
                                </a:lnTo>
                                <a:lnTo>
                                  <a:pt x="620" y="512"/>
                                </a:lnTo>
                                <a:lnTo>
                                  <a:pt x="620" y="500"/>
                                </a:lnTo>
                                <a:lnTo>
                                  <a:pt x="622" y="488"/>
                                </a:lnTo>
                                <a:lnTo>
                                  <a:pt x="628" y="480"/>
                                </a:lnTo>
                                <a:lnTo>
                                  <a:pt x="630" y="464"/>
                                </a:lnTo>
                                <a:lnTo>
                                  <a:pt x="636" y="458"/>
                                </a:lnTo>
                                <a:lnTo>
                                  <a:pt x="642" y="454"/>
                                </a:lnTo>
                                <a:lnTo>
                                  <a:pt x="652" y="454"/>
                                </a:lnTo>
                                <a:lnTo>
                                  <a:pt x="662" y="452"/>
                                </a:lnTo>
                                <a:lnTo>
                                  <a:pt x="674" y="446"/>
                                </a:lnTo>
                                <a:lnTo>
                                  <a:pt x="674" y="440"/>
                                </a:lnTo>
                                <a:lnTo>
                                  <a:pt x="676" y="438"/>
                                </a:lnTo>
                                <a:lnTo>
                                  <a:pt x="684" y="436"/>
                                </a:lnTo>
                                <a:lnTo>
                                  <a:pt x="694" y="436"/>
                                </a:lnTo>
                                <a:lnTo>
                                  <a:pt x="696" y="432"/>
                                </a:lnTo>
                                <a:lnTo>
                                  <a:pt x="696" y="430"/>
                                </a:lnTo>
                                <a:lnTo>
                                  <a:pt x="700" y="428"/>
                                </a:lnTo>
                                <a:lnTo>
                                  <a:pt x="704" y="428"/>
                                </a:lnTo>
                                <a:lnTo>
                                  <a:pt x="704" y="424"/>
                                </a:lnTo>
                                <a:lnTo>
                                  <a:pt x="704" y="420"/>
                                </a:lnTo>
                                <a:lnTo>
                                  <a:pt x="708" y="420"/>
                                </a:lnTo>
                                <a:lnTo>
                                  <a:pt x="712" y="420"/>
                                </a:lnTo>
                                <a:lnTo>
                                  <a:pt x="712" y="416"/>
                                </a:lnTo>
                                <a:lnTo>
                                  <a:pt x="712" y="412"/>
                                </a:lnTo>
                                <a:lnTo>
                                  <a:pt x="728" y="408"/>
                                </a:lnTo>
                                <a:lnTo>
                                  <a:pt x="742" y="398"/>
                                </a:lnTo>
                                <a:lnTo>
                                  <a:pt x="752" y="386"/>
                                </a:lnTo>
                                <a:lnTo>
                                  <a:pt x="756" y="386"/>
                                </a:lnTo>
                                <a:lnTo>
                                  <a:pt x="760" y="386"/>
                                </a:lnTo>
                                <a:lnTo>
                                  <a:pt x="764" y="374"/>
                                </a:lnTo>
                                <a:lnTo>
                                  <a:pt x="772" y="364"/>
                                </a:lnTo>
                                <a:lnTo>
                                  <a:pt x="778" y="352"/>
                                </a:lnTo>
                                <a:lnTo>
                                  <a:pt x="782" y="352"/>
                                </a:lnTo>
                                <a:lnTo>
                                  <a:pt x="788" y="352"/>
                                </a:lnTo>
                                <a:lnTo>
                                  <a:pt x="788" y="346"/>
                                </a:lnTo>
                                <a:lnTo>
                                  <a:pt x="788" y="342"/>
                                </a:lnTo>
                                <a:lnTo>
                                  <a:pt x="792" y="338"/>
                                </a:lnTo>
                                <a:lnTo>
                                  <a:pt x="796" y="334"/>
                                </a:lnTo>
                                <a:lnTo>
                                  <a:pt x="802" y="322"/>
                                </a:lnTo>
                                <a:lnTo>
                                  <a:pt x="814" y="316"/>
                                </a:lnTo>
                                <a:lnTo>
                                  <a:pt x="830" y="314"/>
                                </a:lnTo>
                                <a:lnTo>
                                  <a:pt x="848" y="314"/>
                                </a:lnTo>
                                <a:lnTo>
                                  <a:pt x="862" y="318"/>
                                </a:lnTo>
                                <a:lnTo>
                                  <a:pt x="874" y="326"/>
                                </a:lnTo>
                                <a:lnTo>
                                  <a:pt x="880" y="326"/>
                                </a:lnTo>
                                <a:lnTo>
                                  <a:pt x="884" y="330"/>
                                </a:lnTo>
                                <a:lnTo>
                                  <a:pt x="888" y="332"/>
                                </a:lnTo>
                                <a:lnTo>
                                  <a:pt x="890" y="336"/>
                                </a:lnTo>
                                <a:lnTo>
                                  <a:pt x="892" y="338"/>
                                </a:lnTo>
                                <a:lnTo>
                                  <a:pt x="894" y="344"/>
                                </a:lnTo>
                                <a:lnTo>
                                  <a:pt x="898" y="348"/>
                                </a:lnTo>
                                <a:lnTo>
                                  <a:pt x="902" y="352"/>
                                </a:lnTo>
                                <a:lnTo>
                                  <a:pt x="934" y="352"/>
                                </a:lnTo>
                                <a:lnTo>
                                  <a:pt x="966" y="352"/>
                                </a:lnTo>
                                <a:lnTo>
                                  <a:pt x="970" y="350"/>
                                </a:lnTo>
                                <a:lnTo>
                                  <a:pt x="972" y="350"/>
                                </a:lnTo>
                                <a:lnTo>
                                  <a:pt x="970" y="334"/>
                                </a:lnTo>
                                <a:lnTo>
                                  <a:pt x="966" y="318"/>
                                </a:lnTo>
                                <a:lnTo>
                                  <a:pt x="964" y="302"/>
                                </a:lnTo>
                                <a:lnTo>
                                  <a:pt x="960" y="300"/>
                                </a:lnTo>
                                <a:lnTo>
                                  <a:pt x="956" y="296"/>
                                </a:lnTo>
                                <a:lnTo>
                                  <a:pt x="954" y="292"/>
                                </a:lnTo>
                                <a:lnTo>
                                  <a:pt x="952" y="286"/>
                                </a:lnTo>
                                <a:lnTo>
                                  <a:pt x="950" y="284"/>
                                </a:lnTo>
                                <a:lnTo>
                                  <a:pt x="946" y="280"/>
                                </a:lnTo>
                                <a:lnTo>
                                  <a:pt x="942" y="278"/>
                                </a:lnTo>
                                <a:lnTo>
                                  <a:pt x="936" y="278"/>
                                </a:lnTo>
                                <a:lnTo>
                                  <a:pt x="936" y="262"/>
                                </a:lnTo>
                                <a:lnTo>
                                  <a:pt x="934" y="246"/>
                                </a:lnTo>
                                <a:lnTo>
                                  <a:pt x="936" y="230"/>
                                </a:lnTo>
                                <a:lnTo>
                                  <a:pt x="942" y="218"/>
                                </a:lnTo>
                                <a:lnTo>
                                  <a:pt x="956" y="218"/>
                                </a:lnTo>
                                <a:lnTo>
                                  <a:pt x="970" y="218"/>
                                </a:lnTo>
                                <a:lnTo>
                                  <a:pt x="982" y="230"/>
                                </a:lnTo>
                                <a:lnTo>
                                  <a:pt x="996" y="242"/>
                                </a:lnTo>
                                <a:lnTo>
                                  <a:pt x="1008" y="248"/>
                                </a:lnTo>
                                <a:lnTo>
                                  <a:pt x="1022" y="250"/>
                                </a:lnTo>
                                <a:lnTo>
                                  <a:pt x="1038" y="240"/>
                                </a:lnTo>
                                <a:lnTo>
                                  <a:pt x="1040" y="236"/>
                                </a:lnTo>
                                <a:lnTo>
                                  <a:pt x="1040" y="232"/>
                                </a:lnTo>
                                <a:lnTo>
                                  <a:pt x="1042" y="228"/>
                                </a:lnTo>
                                <a:lnTo>
                                  <a:pt x="1046" y="224"/>
                                </a:lnTo>
                                <a:lnTo>
                                  <a:pt x="1046" y="198"/>
                                </a:lnTo>
                                <a:lnTo>
                                  <a:pt x="1048" y="172"/>
                                </a:lnTo>
                                <a:lnTo>
                                  <a:pt x="1056" y="168"/>
                                </a:lnTo>
                                <a:lnTo>
                                  <a:pt x="1068" y="168"/>
                                </a:lnTo>
                                <a:lnTo>
                                  <a:pt x="1080" y="170"/>
                                </a:lnTo>
                                <a:lnTo>
                                  <a:pt x="1088" y="174"/>
                                </a:lnTo>
                                <a:lnTo>
                                  <a:pt x="1114" y="174"/>
                                </a:lnTo>
                                <a:lnTo>
                                  <a:pt x="1140" y="174"/>
                                </a:lnTo>
                                <a:lnTo>
                                  <a:pt x="1148" y="164"/>
                                </a:lnTo>
                                <a:lnTo>
                                  <a:pt x="1158" y="156"/>
                                </a:lnTo>
                                <a:lnTo>
                                  <a:pt x="1162" y="144"/>
                                </a:lnTo>
                                <a:lnTo>
                                  <a:pt x="1172" y="136"/>
                                </a:lnTo>
                                <a:lnTo>
                                  <a:pt x="1180" y="126"/>
                                </a:lnTo>
                                <a:lnTo>
                                  <a:pt x="1188" y="116"/>
                                </a:lnTo>
                                <a:lnTo>
                                  <a:pt x="1208" y="110"/>
                                </a:lnTo>
                                <a:lnTo>
                                  <a:pt x="1224" y="98"/>
                                </a:lnTo>
                                <a:lnTo>
                                  <a:pt x="1236" y="82"/>
                                </a:lnTo>
                                <a:lnTo>
                                  <a:pt x="1252" y="68"/>
                                </a:lnTo>
                                <a:lnTo>
                                  <a:pt x="1270" y="56"/>
                                </a:lnTo>
                                <a:lnTo>
                                  <a:pt x="1274" y="42"/>
                                </a:lnTo>
                                <a:lnTo>
                                  <a:pt x="1278" y="32"/>
                                </a:lnTo>
                                <a:lnTo>
                                  <a:pt x="1288" y="26"/>
                                </a:lnTo>
                                <a:lnTo>
                                  <a:pt x="1300" y="22"/>
                                </a:lnTo>
                                <a:lnTo>
                                  <a:pt x="1300" y="26"/>
                                </a:lnTo>
                                <a:lnTo>
                                  <a:pt x="1300" y="28"/>
                                </a:lnTo>
                                <a:lnTo>
                                  <a:pt x="1322" y="28"/>
                                </a:lnTo>
                                <a:lnTo>
                                  <a:pt x="1346" y="30"/>
                                </a:lnTo>
                                <a:lnTo>
                                  <a:pt x="1346" y="26"/>
                                </a:lnTo>
                                <a:lnTo>
                                  <a:pt x="1346" y="22"/>
                                </a:lnTo>
                                <a:lnTo>
                                  <a:pt x="1350" y="22"/>
                                </a:lnTo>
                                <a:lnTo>
                                  <a:pt x="1352" y="20"/>
                                </a:lnTo>
                                <a:lnTo>
                                  <a:pt x="1354" y="20"/>
                                </a:lnTo>
                                <a:lnTo>
                                  <a:pt x="1356" y="18"/>
                                </a:lnTo>
                                <a:lnTo>
                                  <a:pt x="1360" y="14"/>
                                </a:lnTo>
                                <a:lnTo>
                                  <a:pt x="1392" y="14"/>
                                </a:lnTo>
                                <a:lnTo>
                                  <a:pt x="1426" y="12"/>
                                </a:lnTo>
                                <a:lnTo>
                                  <a:pt x="1442" y="2"/>
                                </a:lnTo>
                                <a:lnTo>
                                  <a:pt x="1452" y="0"/>
                                </a:lnTo>
                                <a:lnTo>
                                  <a:pt x="1458" y="0"/>
                                </a:lnTo>
                                <a:lnTo>
                                  <a:pt x="1464" y="4"/>
                                </a:lnTo>
                                <a:lnTo>
                                  <a:pt x="1472" y="8"/>
                                </a:lnTo>
                                <a:lnTo>
                                  <a:pt x="1486" y="14"/>
                                </a:lnTo>
                                <a:lnTo>
                                  <a:pt x="1486" y="26"/>
                                </a:lnTo>
                                <a:lnTo>
                                  <a:pt x="1488" y="38"/>
                                </a:lnTo>
                                <a:lnTo>
                                  <a:pt x="1498" y="52"/>
                                </a:lnTo>
                                <a:lnTo>
                                  <a:pt x="1506" y="66"/>
                                </a:lnTo>
                                <a:lnTo>
                                  <a:pt x="1512" y="80"/>
                                </a:lnTo>
                                <a:lnTo>
                                  <a:pt x="1522" y="94"/>
                                </a:lnTo>
                                <a:lnTo>
                                  <a:pt x="1522" y="112"/>
                                </a:lnTo>
                                <a:lnTo>
                                  <a:pt x="1524" y="130"/>
                                </a:lnTo>
                                <a:lnTo>
                                  <a:pt x="1546" y="148"/>
                                </a:lnTo>
                                <a:lnTo>
                                  <a:pt x="1570" y="164"/>
                                </a:lnTo>
                                <a:lnTo>
                                  <a:pt x="1586" y="166"/>
                                </a:lnTo>
                                <a:lnTo>
                                  <a:pt x="1596" y="172"/>
                                </a:lnTo>
                                <a:lnTo>
                                  <a:pt x="1608" y="182"/>
                                </a:lnTo>
                                <a:lnTo>
                                  <a:pt x="1640" y="184"/>
                                </a:lnTo>
                                <a:lnTo>
                                  <a:pt x="1672" y="184"/>
                                </a:lnTo>
                                <a:lnTo>
                                  <a:pt x="1672" y="188"/>
                                </a:lnTo>
                                <a:lnTo>
                                  <a:pt x="1672" y="192"/>
                                </a:lnTo>
                                <a:lnTo>
                                  <a:pt x="1678" y="192"/>
                                </a:lnTo>
                                <a:lnTo>
                                  <a:pt x="1684" y="192"/>
                                </a:lnTo>
                                <a:lnTo>
                                  <a:pt x="1702" y="206"/>
                                </a:lnTo>
                                <a:lnTo>
                                  <a:pt x="1720" y="214"/>
                                </a:lnTo>
                                <a:lnTo>
                                  <a:pt x="1740" y="218"/>
                                </a:lnTo>
                                <a:lnTo>
                                  <a:pt x="1752" y="226"/>
                                </a:lnTo>
                                <a:lnTo>
                                  <a:pt x="1766" y="230"/>
                                </a:lnTo>
                                <a:lnTo>
                                  <a:pt x="1782" y="236"/>
                                </a:lnTo>
                                <a:lnTo>
                                  <a:pt x="1794" y="242"/>
                                </a:lnTo>
                                <a:lnTo>
                                  <a:pt x="1800" y="244"/>
                                </a:lnTo>
                                <a:lnTo>
                                  <a:pt x="1812" y="244"/>
                                </a:lnTo>
                                <a:lnTo>
                                  <a:pt x="1826" y="244"/>
                                </a:lnTo>
                                <a:lnTo>
                                  <a:pt x="1840" y="244"/>
                                </a:lnTo>
                                <a:lnTo>
                                  <a:pt x="1844" y="242"/>
                                </a:lnTo>
                                <a:lnTo>
                                  <a:pt x="1848" y="238"/>
                                </a:lnTo>
                                <a:lnTo>
                                  <a:pt x="1854" y="234"/>
                                </a:lnTo>
                                <a:lnTo>
                                  <a:pt x="1890" y="234"/>
                                </a:lnTo>
                                <a:lnTo>
                                  <a:pt x="1926" y="234"/>
                                </a:lnTo>
                                <a:lnTo>
                                  <a:pt x="1936" y="242"/>
                                </a:lnTo>
                                <a:lnTo>
                                  <a:pt x="1944" y="248"/>
                                </a:lnTo>
                                <a:lnTo>
                                  <a:pt x="1952" y="250"/>
                                </a:lnTo>
                                <a:lnTo>
                                  <a:pt x="1964" y="252"/>
                                </a:lnTo>
                                <a:lnTo>
                                  <a:pt x="1966" y="260"/>
                                </a:lnTo>
                                <a:lnTo>
                                  <a:pt x="1968" y="266"/>
                                </a:lnTo>
                                <a:lnTo>
                                  <a:pt x="1968" y="274"/>
                                </a:lnTo>
                                <a:lnTo>
                                  <a:pt x="1974" y="280"/>
                                </a:lnTo>
                                <a:lnTo>
                                  <a:pt x="1980" y="284"/>
                                </a:lnTo>
                                <a:lnTo>
                                  <a:pt x="1982" y="290"/>
                                </a:lnTo>
                                <a:lnTo>
                                  <a:pt x="1986" y="294"/>
                                </a:lnTo>
                                <a:lnTo>
                                  <a:pt x="1988" y="302"/>
                                </a:lnTo>
                                <a:lnTo>
                                  <a:pt x="1992" y="302"/>
                                </a:lnTo>
                                <a:lnTo>
                                  <a:pt x="1998" y="302"/>
                                </a:lnTo>
                                <a:lnTo>
                                  <a:pt x="1998" y="308"/>
                                </a:lnTo>
                                <a:lnTo>
                                  <a:pt x="2000" y="310"/>
                                </a:lnTo>
                                <a:lnTo>
                                  <a:pt x="2002" y="312"/>
                                </a:lnTo>
                                <a:lnTo>
                                  <a:pt x="2006" y="316"/>
                                </a:lnTo>
                                <a:lnTo>
                                  <a:pt x="2006" y="334"/>
                                </a:lnTo>
                                <a:lnTo>
                                  <a:pt x="2006" y="352"/>
                                </a:lnTo>
                                <a:lnTo>
                                  <a:pt x="2012" y="352"/>
                                </a:lnTo>
                                <a:lnTo>
                                  <a:pt x="2016" y="352"/>
                                </a:lnTo>
                                <a:lnTo>
                                  <a:pt x="2016" y="360"/>
                                </a:lnTo>
                                <a:lnTo>
                                  <a:pt x="2018" y="366"/>
                                </a:lnTo>
                                <a:lnTo>
                                  <a:pt x="2020" y="370"/>
                                </a:lnTo>
                                <a:lnTo>
                                  <a:pt x="2024" y="376"/>
                                </a:lnTo>
                                <a:lnTo>
                                  <a:pt x="2024" y="410"/>
                                </a:lnTo>
                                <a:lnTo>
                                  <a:pt x="2024" y="444"/>
                                </a:lnTo>
                                <a:lnTo>
                                  <a:pt x="2028" y="448"/>
                                </a:lnTo>
                                <a:lnTo>
                                  <a:pt x="2030" y="450"/>
                                </a:lnTo>
                                <a:lnTo>
                                  <a:pt x="2032" y="452"/>
                                </a:lnTo>
                                <a:lnTo>
                                  <a:pt x="2032" y="458"/>
                                </a:lnTo>
                                <a:lnTo>
                                  <a:pt x="2026" y="464"/>
                                </a:lnTo>
                                <a:lnTo>
                                  <a:pt x="2022" y="470"/>
                                </a:lnTo>
                                <a:lnTo>
                                  <a:pt x="2020" y="474"/>
                                </a:lnTo>
                                <a:lnTo>
                                  <a:pt x="2014" y="480"/>
                                </a:lnTo>
                                <a:lnTo>
                                  <a:pt x="2008" y="486"/>
                                </a:lnTo>
                                <a:lnTo>
                                  <a:pt x="2004" y="498"/>
                                </a:lnTo>
                                <a:lnTo>
                                  <a:pt x="1994" y="506"/>
                                </a:lnTo>
                                <a:lnTo>
                                  <a:pt x="1982" y="510"/>
                                </a:lnTo>
                                <a:lnTo>
                                  <a:pt x="1968" y="514"/>
                                </a:lnTo>
                                <a:lnTo>
                                  <a:pt x="1966" y="522"/>
                                </a:lnTo>
                                <a:lnTo>
                                  <a:pt x="1962" y="530"/>
                                </a:lnTo>
                                <a:lnTo>
                                  <a:pt x="1956" y="534"/>
                                </a:lnTo>
                                <a:lnTo>
                                  <a:pt x="1950" y="538"/>
                                </a:lnTo>
                                <a:lnTo>
                                  <a:pt x="1942" y="540"/>
                                </a:lnTo>
                                <a:lnTo>
                                  <a:pt x="1928" y="554"/>
                                </a:lnTo>
                                <a:lnTo>
                                  <a:pt x="1918" y="572"/>
                                </a:lnTo>
                                <a:lnTo>
                                  <a:pt x="1906" y="588"/>
                                </a:lnTo>
                                <a:lnTo>
                                  <a:pt x="1892" y="588"/>
                                </a:lnTo>
                                <a:lnTo>
                                  <a:pt x="1880" y="588"/>
                                </a:lnTo>
                                <a:lnTo>
                                  <a:pt x="1858" y="576"/>
                                </a:lnTo>
                                <a:lnTo>
                                  <a:pt x="1834" y="568"/>
                                </a:lnTo>
                                <a:lnTo>
                                  <a:pt x="1810" y="560"/>
                                </a:lnTo>
                                <a:lnTo>
                                  <a:pt x="1788" y="548"/>
                                </a:lnTo>
                                <a:lnTo>
                                  <a:pt x="1788" y="546"/>
                                </a:lnTo>
                                <a:lnTo>
                                  <a:pt x="1750" y="546"/>
                                </a:lnTo>
                                <a:lnTo>
                                  <a:pt x="1710" y="546"/>
                                </a:lnTo>
                                <a:lnTo>
                                  <a:pt x="1710" y="548"/>
                                </a:lnTo>
                                <a:lnTo>
                                  <a:pt x="1710" y="552"/>
                                </a:lnTo>
                                <a:lnTo>
                                  <a:pt x="1710" y="556"/>
                                </a:lnTo>
                                <a:lnTo>
                                  <a:pt x="1702" y="558"/>
                                </a:lnTo>
                                <a:lnTo>
                                  <a:pt x="1696" y="560"/>
                                </a:lnTo>
                                <a:lnTo>
                                  <a:pt x="1690" y="564"/>
                                </a:lnTo>
                                <a:lnTo>
                                  <a:pt x="1686" y="570"/>
                                </a:lnTo>
                                <a:lnTo>
                                  <a:pt x="1682" y="576"/>
                                </a:lnTo>
                                <a:lnTo>
                                  <a:pt x="1680" y="582"/>
                                </a:lnTo>
                                <a:lnTo>
                                  <a:pt x="1676" y="582"/>
                                </a:lnTo>
                                <a:lnTo>
                                  <a:pt x="1672" y="582"/>
                                </a:lnTo>
                                <a:lnTo>
                                  <a:pt x="1672" y="598"/>
                                </a:lnTo>
                                <a:lnTo>
                                  <a:pt x="1672" y="614"/>
                                </a:lnTo>
                                <a:lnTo>
                                  <a:pt x="1660" y="614"/>
                                </a:lnTo>
                                <a:lnTo>
                                  <a:pt x="1650" y="614"/>
                                </a:lnTo>
                                <a:lnTo>
                                  <a:pt x="1650" y="638"/>
                                </a:lnTo>
                                <a:lnTo>
                                  <a:pt x="1650" y="660"/>
                                </a:lnTo>
                                <a:lnTo>
                                  <a:pt x="1646" y="666"/>
                                </a:lnTo>
                                <a:lnTo>
                                  <a:pt x="1644" y="672"/>
                                </a:lnTo>
                                <a:lnTo>
                                  <a:pt x="1642" y="678"/>
                                </a:lnTo>
                                <a:lnTo>
                                  <a:pt x="1636" y="686"/>
                                </a:lnTo>
                                <a:lnTo>
                                  <a:pt x="1632" y="696"/>
                                </a:lnTo>
                                <a:lnTo>
                                  <a:pt x="1632" y="710"/>
                                </a:lnTo>
                                <a:lnTo>
                                  <a:pt x="1632" y="722"/>
                                </a:lnTo>
                                <a:lnTo>
                                  <a:pt x="1626" y="726"/>
                                </a:lnTo>
                                <a:lnTo>
                                  <a:pt x="1622" y="730"/>
                                </a:lnTo>
                                <a:lnTo>
                                  <a:pt x="1620" y="732"/>
                                </a:lnTo>
                                <a:lnTo>
                                  <a:pt x="1618" y="736"/>
                                </a:lnTo>
                                <a:lnTo>
                                  <a:pt x="1616" y="740"/>
                                </a:lnTo>
                                <a:lnTo>
                                  <a:pt x="1616" y="746"/>
                                </a:lnTo>
                                <a:lnTo>
                                  <a:pt x="1612" y="748"/>
                                </a:lnTo>
                                <a:lnTo>
                                  <a:pt x="1610" y="748"/>
                                </a:lnTo>
                                <a:lnTo>
                                  <a:pt x="1606" y="750"/>
                                </a:lnTo>
                                <a:lnTo>
                                  <a:pt x="1602" y="750"/>
                                </a:lnTo>
                                <a:lnTo>
                                  <a:pt x="1596" y="752"/>
                                </a:lnTo>
                                <a:lnTo>
                                  <a:pt x="1596" y="758"/>
                                </a:lnTo>
                                <a:lnTo>
                                  <a:pt x="1596" y="764"/>
                                </a:lnTo>
                                <a:lnTo>
                                  <a:pt x="1586" y="768"/>
                                </a:lnTo>
                                <a:lnTo>
                                  <a:pt x="1574" y="778"/>
                                </a:lnTo>
                                <a:lnTo>
                                  <a:pt x="1564" y="792"/>
                                </a:lnTo>
                                <a:lnTo>
                                  <a:pt x="1556" y="806"/>
                                </a:lnTo>
                                <a:lnTo>
                                  <a:pt x="1550" y="818"/>
                                </a:lnTo>
                                <a:lnTo>
                                  <a:pt x="1544" y="820"/>
                                </a:lnTo>
                                <a:lnTo>
                                  <a:pt x="1538" y="822"/>
                                </a:lnTo>
                                <a:lnTo>
                                  <a:pt x="1534" y="828"/>
                                </a:lnTo>
                                <a:lnTo>
                                  <a:pt x="1528" y="832"/>
                                </a:lnTo>
                                <a:lnTo>
                                  <a:pt x="1524" y="838"/>
                                </a:lnTo>
                                <a:lnTo>
                                  <a:pt x="1522" y="998"/>
                                </a:lnTo>
                                <a:lnTo>
                                  <a:pt x="1522" y="1158"/>
                                </a:lnTo>
                                <a:lnTo>
                                  <a:pt x="1514" y="1156"/>
                                </a:lnTo>
                                <a:lnTo>
                                  <a:pt x="1508" y="1154"/>
                                </a:lnTo>
                                <a:lnTo>
                                  <a:pt x="1502" y="1152"/>
                                </a:lnTo>
                                <a:lnTo>
                                  <a:pt x="1494" y="1150"/>
                                </a:lnTo>
                                <a:lnTo>
                                  <a:pt x="1492" y="1146"/>
                                </a:lnTo>
                                <a:lnTo>
                                  <a:pt x="1492" y="1142"/>
                                </a:lnTo>
                                <a:lnTo>
                                  <a:pt x="1480" y="1138"/>
                                </a:lnTo>
                                <a:lnTo>
                                  <a:pt x="1466" y="1132"/>
                                </a:lnTo>
                                <a:lnTo>
                                  <a:pt x="1456" y="1124"/>
                                </a:lnTo>
                                <a:lnTo>
                                  <a:pt x="1442" y="1122"/>
                                </a:lnTo>
                                <a:lnTo>
                                  <a:pt x="1430" y="1118"/>
                                </a:lnTo>
                                <a:lnTo>
                                  <a:pt x="1418" y="1116"/>
                                </a:lnTo>
                                <a:lnTo>
                                  <a:pt x="1418" y="1110"/>
                                </a:lnTo>
                                <a:lnTo>
                                  <a:pt x="1418" y="1106"/>
                                </a:lnTo>
                                <a:lnTo>
                                  <a:pt x="1412" y="1106"/>
                                </a:lnTo>
                                <a:lnTo>
                                  <a:pt x="1408" y="1104"/>
                                </a:lnTo>
                                <a:lnTo>
                                  <a:pt x="1390" y="1096"/>
                                </a:lnTo>
                                <a:lnTo>
                                  <a:pt x="1370" y="1094"/>
                                </a:lnTo>
                                <a:lnTo>
                                  <a:pt x="1352" y="1090"/>
                                </a:lnTo>
                                <a:lnTo>
                                  <a:pt x="1334" y="1082"/>
                                </a:lnTo>
                                <a:lnTo>
                                  <a:pt x="1258" y="1082"/>
                                </a:lnTo>
                                <a:lnTo>
                                  <a:pt x="1182" y="1082"/>
                                </a:lnTo>
                                <a:lnTo>
                                  <a:pt x="1164" y="1088"/>
                                </a:lnTo>
                                <a:lnTo>
                                  <a:pt x="1146" y="1088"/>
                                </a:lnTo>
                                <a:lnTo>
                                  <a:pt x="1128" y="1084"/>
                                </a:lnTo>
                                <a:lnTo>
                                  <a:pt x="1110" y="1080"/>
                                </a:lnTo>
                                <a:lnTo>
                                  <a:pt x="1096" y="1068"/>
                                </a:lnTo>
                                <a:lnTo>
                                  <a:pt x="1084" y="1058"/>
                                </a:lnTo>
                                <a:lnTo>
                                  <a:pt x="1066" y="1056"/>
                                </a:lnTo>
                                <a:lnTo>
                                  <a:pt x="1064" y="1050"/>
                                </a:lnTo>
                                <a:lnTo>
                                  <a:pt x="1060" y="1044"/>
                                </a:lnTo>
                                <a:lnTo>
                                  <a:pt x="1056" y="1040"/>
                                </a:lnTo>
                                <a:lnTo>
                                  <a:pt x="1052" y="1038"/>
                                </a:lnTo>
                                <a:lnTo>
                                  <a:pt x="1048" y="1034"/>
                                </a:lnTo>
                                <a:lnTo>
                                  <a:pt x="1046" y="1028"/>
                                </a:lnTo>
                                <a:lnTo>
                                  <a:pt x="1046" y="1022"/>
                                </a:lnTo>
                                <a:lnTo>
                                  <a:pt x="1034" y="1022"/>
                                </a:lnTo>
                                <a:lnTo>
                                  <a:pt x="1020" y="1020"/>
                                </a:lnTo>
                                <a:lnTo>
                                  <a:pt x="1010" y="1014"/>
                                </a:lnTo>
                                <a:close/>
                              </a:path>
                            </a:pathLst>
                          </a:cu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4" o:spid="_x0000_s1026" editas="canvas" style="position:absolute;margin-left:16.45pt;margin-top:287.3pt;width:453.6pt;height:270.65pt;z-index:251664384" coordsize="57607,3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7;height:34372;visibility:visible;mso-wrap-style:square">
                  <v:fill o:detectmouseclick="t"/>
                  <v:path o:connecttype="none"/>
                </v:shape>
                <v:rect id="Rectangle 16" o:spid="_x0000_s1028" style="position:absolute;width:57607;height:34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pr8A&#10;AADbAAAADwAAAGRycy9kb3ducmV2LnhtbERPS4vCMBC+C/6HMII3TZVFl65RZGFx8eYD7HFIxqbY&#10;TEoTa/33RljY23x8z1lteleLjtpQeVYwm2YgiLU3FZcKzqefySeIEJEN1p5JwZMCbNbDwQpz4x98&#10;oO4YS5FCOOSowMbY5FIGbclhmPqGOHFX3zqMCbalNC0+Urir5TzLFtJhxanBYkPflvTteHcKtl0x&#10;vxTlztTF/vZxsDoUl6iVGo/67ReISH38F/+5f02av4T3L+k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Qr+mvwAAANsAAAAPAAAAAAAAAAAAAAAAAJgCAABkcnMvZG93bnJl&#10;di54bWxQSwUGAAAAAAQABAD1AAAAhAMAAAAA&#10;" filled="f" stroked="f" strokeweight="0"/>
                <v:shape id="Freeform 17" o:spid="_x0000_s1029" style="position:absolute;left:13079;top:16383;width:26207;height:17989;visibility:visible;mso-wrap-style:square;v-text-anchor:top" coordsize="222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q+8YA&#10;AADbAAAADwAAAGRycy9kb3ducmV2LnhtbESPT0/DMAzF70h8h8hIu7F002DQLZvQJlDFtgPl39Vq&#10;vLaicaokbOXb4wMSN1vv+b2fl+vBdepEIbaeDUzGGSjiytuWawNvr4/Xd6BiQrbYeSYDPxRhvbq8&#10;WGJu/Zlf6FSmWkkIxxwNNCn1udaxashhHPueWLSjDw6TrKHWNuBZwl2np1l2qx22LA0N9rRpqPoq&#10;v52B6lDsP2ehvHl6vt/OD8XH+3SHE2NGV8PDAlSiIf2b/64LK/gCK7/IA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jq+8YAAADbAAAADwAAAAAAAAAAAAAAAACYAgAAZHJz&#10;L2Rvd25yZXYueG1sUEsFBgAAAAAEAAQA9QAAAIsDAAAAAA==&#10;" path="m1212,1524r-4,-4l1202,1514r-8,-4l1188,1508r-6,-12l1170,1492r-12,-2l1146,1492r-14,-2l1122,1484r-4,l1114,1482r,-4l1114,1474r-14,-4l1086,1464r-12,-6l1056,1456r-18,l1038,1452r,-4l1020,1444r-18,-4l1002,1436r,-4l982,1426r-18,-10l958,1404r-14,-6l928,1394r-18,2l894,1400r-10,6l878,1416r-10,6l856,1424r-14,l828,1424r-14,-2l810,1412r-10,-10l788,1394r-8,-6l778,1384r,-4l758,1384r-18,4l720,1388r-16,-6l694,1380r-8,-4l682,1370r-4,-6l676,1356r-4,-2l668,1354r-8,-16l648,1328r-18,-6l630,1316r,-4l616,1308r-10,-8l596,1292r-12,-6l582,1284r,-4l580,1278r-2,-2l576,1274r-6,-16l564,1248r-12,-12l548,1238r-4,2l542,1242r-2,2l536,1248r-4,4l526,1254r-6,l516,1258r-4,2l510,1266r,6l504,1272r-6,2l494,1278r-4,4l486,1286r-28,l432,1286r-12,-10l408,1266r,-44l406,1178r-16,-12l374,1156r-22,-4l352,1162r-2,10l332,1180r-16,14l308,1192r-8,l290,1186r-10,-2l270,1182r-10,-2l252,1174r-6,-14l242,1148r,-14l248,1120r8,-10l256,1088r,-22l250,1060r-6,-4l238,1052r-8,-2l230,1044r,-2l226,1042r-4,l220,1036r-4,-6l212,1028r-4,-4l204,1020r-2,-6l200,1010r-8,-2l184,1008r-2,-4l182,1000r-6,-2l170,996r-6,-4l156,992r-10,-2l146,986r,-4l128,982r-10,-2l112,974r-4,-16l96,950r-8,-4l82,946r-6,-2l74,934,72,914r-10,l54,914r-2,-6l48,902r-4,-8l40,888r-4,-4l34,874r,-10l30,862r-4,-2l26,854r,-8l16,846r-8,l8,820r,-26l18,778r8,-18l34,752r10,-8l44,728r,-16l40,710r-4,l36,686,34,662r-4,-6l28,650r-2,-4l24,640r-2,-6l18,630r,-6l16,620r-4,-4l10,612,4,608,,604,,592,,580,6,570r,-14l6,542r,-12l12,518r18,-4l46,510r16,-4l74,496r10,-4l94,490r16,l110,486r,-4l124,482r14,l138,470r,-12l132,454r-6,-2l122,450r-2,l118,448r-4,-2l112,444r,-16l112,412r10,-8l132,398r8,-6l146,380r6,l156,378r4,-4l172,374r12,-2l184,368r,-4l198,360r10,-6l220,344r,-10l222,324r-6,-6l210,312r-6,-2l200,310r-2,l196,308r-2,l192,306r-34,-2l126,304r-2,-2l120,300r-2,-2l114,298r-4,-2l110,290r-4,-4l104,284r-4,-2l94,280r-4,-2l86,276r-4,-2l82,262r,-12l86,244r4,-6l94,232r4,-6l100,218r2,-6l104,210r4,l110,196r2,-14l128,178r20,l154,192r12,8l182,202r2,-6l186,190r16,-8l222,178r,4l222,186r8,2l240,190r8,2l254,188r4,-10l268,176r8,l280,164r8,-8l298,152r14,l326,152r4,12l338,170r12,6l362,178r6,14l382,202r16,4l418,210r20,l458,210r18,l490,208r6,-2l502,202r8,-4l518,194r,-12l518,170,506,160,494,150r-12,-6l476,130,466,114,454,102,452,90,448,78,446,64r10,-6l468,58r14,l482,50r,-8l492,38,504,28,514,18,518,8,528,6r8,-2l544,r32,l606,r4,2l616,6r16,4l644,16r10,10l660,42r24,l708,42r6,4l718,48r6,2l728,48r6,-2l738,42r86,l908,40r,-2l910,34r14,l938,34r,2l938,42r6,l950,44r6,4l956,90r2,44l966,146r6,16l974,176r4,l984,178r,4l984,188r2,4l988,194r4,4l992,216r2,18l1004,244r10,8l1014,254r20,l1056,254r,-2l1062,250r6,-4l1068,250r,4l1078,254r8,l1088,258r,4l1096,264r8,2l1104,280r,16l1100,296r-4,l1096,308r,12l1100,324r2,4l1106,334r2,4l1112,342r,16l1112,376r-4,4l1106,386r-4,4l1100,392r-4,4l1088,398r-4,4l1080,404r-6,2l1068,406r,14l1066,434r-6,10l1062,454r6,10l1078,472r8,8l1086,494r,14l1072,510r-12,6l1050,528r-2,10l1048,550r8,l1062,552r6,4l1072,560r6,4l1096,566r18,l1114,564r,-4l1152,560r40,l1198,564r4,4l1204,572r2,6l1208,584r2,l1216,584r,50l1216,684r14,l1242,684r,-4l1244,678r26,-2l1298,676r,-4l1298,666r10,-10l1316,642r4,-14l1322,628r2,-2l1358,626r34,l1396,614r8,-6l1416,608r14,2l1430,614r,4l1434,618r6,l1440,636r,16l1444,652r4,l1448,656r,4l1466,662r18,4l1502,668r16,-6l1522,662r6,l1534,666r4,2l1544,668r8,2l1552,672r,4l1558,678r4,l1566,680r2,4l1588,684r18,l1622,668r16,-16l1668,652r30,l1710,672r16,18l1736,714r10,22l1826,736r80,2l1912,742r4,2l1922,746r,2l1924,754r18,l1960,754r,4l1960,762r16,2l1992,764r20,18l2030,800r4,6l2036,812r4,4l2044,822r6,l2060,822r14,l2084,822r4,l2090,810r,-10l2094,796r2,-4l2098,788r6,-2l2108,784r4,-4l2116,776r2,-6l2122,772r2,2l2126,780r,6l2130,786r6,2l2136,792r2,2l2140,796r,2l2144,802r4,16l2156,834r12,14l2182,856r,16l2184,890r4,l2192,890r,4l2196,898r2,4l2202,906r6,4l2208,916r4,6l2216,922r4,2l2220,936r,12l2174,948r-46,l2126,952r-2,l2122,954r-4,2l2114,956r-4,2l2094,972r-14,14l2078,1004r,18l2072,1026r-4,6l2064,1038r-4,6l2056,1050r-24,l2006,1050r,-4l2004,1042r-6,-2l1986,1040r-16,l1958,1040r-6,2l1938,1052r-16,4l1902,1058r-16,2l1880,1064r-4,2l1870,1066r-6,l1858,1068r-2,4l1856,1078r-4,2l1848,1084r,20l1848,1126r16,2l1878,1136r12,10l1894,1160r6,l1904,1160r2,6l1908,1170r2,4l1912,1180r2,6l1918,1186r4,l1924,1190r4,6l1930,1202r2,6l1940,1222r6,16l1950,1254r-4,l1942,1254r,2l1942,1260r,10l1942,1286r,26l1942,1344r-2,46l1936,1390r-4,l1932,1392r,4l1926,1396r-2,2l1922,1402r,4l1918,1406r-4,2l1910,1410r-4,2l1860,1414r-48,l1812,1418r,4l1798,1428r-12,8l1776,1448r-22,l1730,1446r-22,-4l1688,1432r-46,2l1596,1434r-4,4l1586,1442r-4,4l1580,1450r-2,6l1574,1456r-4,l1570,1464r-2,6l1566,1476r-4,6l1542,1482r-20,l1520,1478r,-4l1488,1474r-30,l1450,1482r-8,8l1428,1490r-12,2l1406,1500r-22,l1364,1500r,4l1364,1508r-32,2l1300,1510r-8,6l1284,1524r-36,l1212,1524xe" fillcolor="white [3201]" strokecolor="#d34817 [3204]" strokeweight="1pt">
                  <v:stroke dashstyle="dash"/>
                  <v:shadow color="#868686"/>
                  <v:path arrowok="t" o:connecttype="custom" o:connectlocs="1324493,1751678;1225333,1709184;1055345,1652526;920771,1638362;798001,1600590;689398,1517964;639818,1466027;587877,1503799;441498,1364515;306924,1392844;280953,1241756;238456,1196901;172349,1163851;84994,1078864;30692,1015123;51941,859314;21249,743637;7083,639764;129852,568941;132213,524087;217207,439100;236095,365917;129852,349391;101521,288012;174710,210107;283314,224271;389557,193582;578433,245518;550101,134563;594960,33051;760226,18886;972712,49576;1128534,106234;1171031,233714;1253665,295094;1303245,349391;1312688,443821;1260748,495758;1239499,623239;1315049,661011;1435458,807377;1558227,741276;1692801,729472;1791961,781409;1848624,802656;2061110,868757;2313731,899447;2448306,970269;2497886,915972;2526217,941940;2592324,1059978;2512051,1118996;2445945,1211066;2325536,1227591;2193323,1260642;2242903,1369236;2278317,1418812;2292483,1517964;2268873,1659609;2096524,1709184;1862790,1718627;1756547,1739874;1572393,1782368" o:connectangles="0,0,0,0,0,0,0,0,0,0,0,0,0,0,0,0,0,0,0,0,0,0,0,0,0,0,0,0,0,0,0,0,0,0,0,0,0,0,0,0,0,0,0,0,0,0,0,0,0,0,0,0,0,0,0,0,0,0,0,0,0,0,0"/>
                </v:shape>
                <v:shape id="Freeform 18" o:spid="_x0000_s1030" style="position:absolute;left:23;top:11756;width:19053;height:21507;visibility:visible;mso-wrap-style:square;v-text-anchor:top" coordsize="1614,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39sIA&#10;AADbAAAADwAAAGRycy9kb3ducmV2LnhtbERPTWvCQBC9F/wPywjemo2VlhhdxVoK7bFREW9DdkyC&#10;u7Mhu03Sf98tFLzN433OejtaI3rqfONYwTxJQRCXTjdcKTge3h8zED4gazSOScEPedhuJg9rzLUb&#10;+Iv6IlQihrDPUUEdQptL6cuaLPrEtcSRu7rOYoiwq6TucIjh1sinNH2RFhuODTW2tK+pvBXfVkHV&#10;F7gsL8Zk2en8/HZdDPvXz0Gp2XTcrUAEGsNd/O/+0HH+Ev5+i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vf2wgAAANsAAAAPAAAAAAAAAAAAAAAAAJgCAABkcnMvZG93&#10;bnJldi54bWxQSwUGAAAAAAQABAD1AAAAhwMAAAAA&#10;" path="m446,1808r,-28l446,1752r4,-4l452,1742r2,-6l454,1728r,-6l458,1722r4,l464,1700r,-12l464,1682r,-4l462,1678r-4,l454,1678r,-32l452,1612r-4,l444,1612r,-10l446,1590r2,-2l450,1584r2,-2l452,1580r2,-2l458,1578r4,l464,1524r,-52l470,1466r2,-6l476,1454r6,-6l484,1448r,-38l484,1374r-2,l478,1374r-4,l472,1358r-4,-8l464,1346r-8,-4l444,1334r,-4l442,1326r,-2l438,1322r-2,-4l430,1298r-8,-20l414,1256r-4,-4l408,1246r,-6l406,1232r-6,-12l398,1206r-2,-12l390,1182r-2,-6l388,1172r-4,-2l380,1170r-2,-8l376,1156r-2,-4l368,1150r-6,-4l360,1142r,-6l348,1136r-14,-2l324,1128r-20,l286,1128r,-4l286,1120r-18,-2l258,1118r-6,-2l250,1116r,-6l250,1104r-26,-2l200,1102r-6,-4l190,1096r-4,l182,1094r-6,l176,1090r,-4l168,1084r-6,-2l156,1080r-4,-4l146,1070r-14,-8l122,1052r-10,-12l102,1028r-6,-12l86,1008r-10,-6l64,996r,-14l62,968r-4,-2l56,966,48,952,40,940,28,928r,-10l26,910r-4,-4l16,902r-6,-2l,900,,868,2,836r2,-2l6,832r6,-14l22,810r12,-6l48,800r12,-2l72,790r14,-6l100,782r,-22l102,740r4,l110,740r,-14l112,712r6,-10l120,690r6,-10l126,676r-2,-4l120,666r-2,-10l118,646r,-8l112,632r-8,-4l96,626,80,612,66,598r,-32l66,536r4,l74,536r,-6l74,524r6,-10l80,504r2,-12l84,482r8,-6l92,472r,-4l88,466r-2,-2l84,464r-2,-2l82,400r,-62l86,334r4,-2l96,332r4,-2l100,326r,-2l124,312r24,-8l158,298r12,-2l180,290r16,l212,288r,-2l214,282r36,-2l286,280r4,-12l300,262r12,-4l324,256r,-4l324,248r,-26l324,196r4,l332,196r2,-16l340,170r10,-6l362,162r16,-2l388,152r10,-8l398,124r2,-18l404,104r2,-4l408,96r,-4l408,86r6,-2l420,80r4,-4l428,72r6,-2l448,68r14,l466,64r4,-2l474,60r6,l484,44r8,-16l510,28r20,2l550,34r18,8l572,42r6,2l584,44r6,2l594,50r26,2l642,56r24,2l678,52r14,-2l706,50r12,-6l726,44r8,l734,36r,-6l736,28r2,l758,22,780,12,798,r2,8l804,12r4,4l816,18r,32l818,84r4,4l826,92r4,2l836,94r,8l836,112r8,l856,112r12,8l880,128r12,8l906,136r12,2l918,132r2,-4l928,128r8,-2l940,122r4,-4l946,116r2,l950,114r2,l966,124r18,10l984,140r,6l996,146r10,l1018,144r8,-6l1030,128r10,-4l1048,118r6,-8l1062,104r10,l1082,104r4,4l1090,112r2,4l1094,122r2,6l1186,128r90,2l1288,144r8,14l1300,174r2,22l1308,204r2,8l1312,220r6,6l1328,230r,8l1328,246r6,2l1340,248r4,4l1350,256r20,l1392,256r,66l1394,390r18,12l1432,408r,4l1432,418r12,2l1458,424r10,8l1486,434r14,4l1514,448r14,l1542,450r,12l1544,476r4,4l1550,484r2,4l1552,494r,6l1558,506r4,4l1566,514r2,4l1570,526r4,2l1578,532r,6l1578,544r14,4l1604,556r10,10l1614,574r,4l1612,582r-4,2l1606,586r-4,l1598,590r-6,2l1550,594r-40,l1498,588r-10,-6l1480,574r-4,-12l1458,558r-12,-6l1438,538r-22,-2l1396,536r-6,4l1384,544r-4,6l1376,554r-2,8l1366,562r-10,l1356,566r-2,6l1352,576r-4,-4l1344,572r-2,-2l1340,570r-4,l1336,564r,-2l1326,562r-14,2l1296,568r-10,8l1282,586r-8,-2l1270,580r-4,-6l1264,568r-2,-6l1240,562r-22,l1212,568r-2,8l1208,582r,12l1204,594r-6,l1194,618r-14,20l1180,654r,16l1186,674r4,2l1194,678r4,2l1202,682r4,2l1208,690r,6l1214,696r6,2l1224,702r4,4l1260,706r34,l1298,710r6,2l1306,714r4,l1312,716r2,2l1316,720r,6l1318,734r-12,8l1296,746r-14,2l1280,752r,4l1262,758r-16,6l1240,778r-10,6l1220,790r-12,8l1208,814r2,14l1212,840r8,10l1236,858r,4l1236,866r-14,l1208,866r,4l1208,874r-14,l1180,876r-20,12l1138,896r-22,4l1112,904r-2,2l1108,908r-2,l1106,910r-2,26l1104,962r-4,4l1096,968r,14l1096,996r6,12l1112,1014r6,10l1122,1036r4,12l1132,1058r2,26l1134,1112r4,l1142,1112r,10l1142,1132r-14,16l1118,1166r-12,16l1104,1182r,32l1104,1234r,8l1106,1246r8,l1124,1248r,4l1126,1256r4,4l1136,1280r8,16l1152,1314r8,l1170,1316r2,16l1176,1340r4,4l1188,1346r10,2l1208,1354r2,18l1216,1378r12,4l1244,1382r,4l1244,1390r12,2l1268,1392r2,4l1272,1396r2,2l1278,1400r4,l1282,1404r,4l1290,1408r10,l1304,1418r6,6l1316,1432r2,10l1322,1442r4,l1326,1446r2,4l1342,1452r8,8l1354,1470r,12l1354,1496r-10,12l1340,1524r-2,18l1344,1556r2,6l1348,1568r4,4l1356,1576r4,4l1366,1584r30,4l1426,1594r14,-10l1452,1576r14,-8l1468,1560r,-8l1486,1562r18,12l1504,1592r2,20l1490,1614r-12,6l1470,1630r-8,12l1452,1652r-10,l1434,1652r-6,-4l1424,1646r-6,l1412,1644r-6,l1396,1634r-8,-4l1378,1630r-14,l1360,1634r-4,4l1352,1652r-8,12l1338,1678r-6,l1328,1678r-2,18l1326,1716r-2,2l1322,1722r-2,2l1320,1726r-2,4l1312,1730r-4,l1302,1730r-4,4l1294,1738r-34,l1228,1738r-20,8l1184,1748r-26,l1134,1748r-2,4l1130,1758r-2,4l1126,1768r-2,4l1118,1774r-4,l1112,1778r-4,2l1070,1780r-38,2l1022,1788r-14,l994,1790r,4l994,1798r-8,l980,1800r-4,l972,1800r-4,l964,1800r,-6l960,1788r-4,-4l952,1782r-4,-4l942,1776r-8,-2l934,1772r-2,l924,1772r-16,l884,1772r-38,2l846,1776r,4l840,1780r-4,l836,1784r,6l822,1790r-10,l804,1796r-6,10l766,1806r-32,l734,1798r,-8l728,1790r-4,l724,1784r,-4l718,1780r-4,l708,1770r-8,-6l690,1764r-10,4l670,1770r-10,2l660,1776r,4l648,1784r-14,6l624,1798r,8l622,1814r-4,l614,1814r-2,4l612,1822r-68,l474,1822r,-4l472,1814r-6,l460,1814r-4,l450,1812r-4,-4xe" fillcolor="white [3201]" strokecolor="#d34817 [3204]" strokeweight="1pt">
                  <v:stroke dashstyle="dash"/>
                  <v:shadow color="#868686"/>
                  <v:path arrowok="t" o:connecttype="custom" o:connectlocs="547741,2006639;524131,1890962;554823,1730431;559545,1621837;507604,1532128;458024,1388122;410805,1340907;295119,1310217;198320,1279528;89716,1182737;25970,1069421;56663,944301;139296,828624;113326,738915;96799,580745;101521,394246;231373,342309;382474,292733;469829,169974;505243,84987;625652,35411;800362,61380;920771,14165;986877,110955;1086037,151088;1161588,165253;1265469,122759;1534618,205385;1586559,297455;1721133,500479;1832098,576023;1862790,642125;1879317,698783;1647943,632682;1591281,675175;1513369,691700;1426014,701143;1418931,805016;1539340,840428;1511008,887643;1440180,1003320;1343381,1057617;1293801,1142604;1343381,1312578;1303245,1466027;1369351,1551014;1468511,1631280;1513369,1661969;1584198,1713906;1596002,1855551;1754186,1843747;1685719,1945260;1596002,1949981;1555866,2042050;1338659,2063297;1218250,2103430;1137978,2124677;1071871,2091626;949102,2119955;842859,2101069;736617,2122316;550101,2141202" o:connectangles="0,0,0,0,0,0,0,0,0,0,0,0,0,0,0,0,0,0,0,0,0,0,0,0,0,0,0,0,0,0,0,0,0,0,0,0,0,0,0,0,0,0,0,0,0,0,0,0,0,0,0,0,0,0,0,0,0,0,0,0,0,0"/>
                </v:shape>
                <v:shape id="Freeform 19" o:spid="_x0000_s1031" style="position:absolute;left:24483;top:13267;width:28709;height:14212;visibility:visible;mso-wrap-style:square;v-text-anchor:top" coordsize="2432,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L7sMA&#10;AADbAAAADwAAAGRycy9kb3ducmV2LnhtbERPPW/CMBDdkfofrKvEBk6BIkgxqKpUoEwQYGC7xkcS&#10;EZ+j2JDAr8dDpY5P73u2aE0pblS7wrKCt34Egji1uuBMwWH/3ZuAcB5ZY2mZFNzJwWL+0plhrG3D&#10;O7olPhMhhF2MCnLvq1hKl+Zk0PVtRRy4s60N+gDrTOoamxBuSjmIorE0WHBoyLGir5zSS3I1CkbJ&#10;5vw7Pe5329Pycpw0P8PH+H2lVPe1/fwA4an1/+I/91orGIT14U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oL7sMAAADbAAAADwAAAAAAAAAAAAAAAACYAgAAZHJzL2Rv&#10;d25yZXYueG1sUEsFBgAAAAAEAAQA9QAAAIgDAAAAAA==&#10;" path="m854,992r,l850,992r-10,l820,992r-32,l778,972,768,952,756,940r-8,-14l742,908r-6,l724,908r-18,-2l688,908r-12,l670,908r-18,18l632,942r-12,l608,942r-4,-4l600,934r-6,-2l594,928r,-4l582,924r-10,l568,920r-4,-4l550,918r-14,4l522,924r-14,-8l498,916r-6,l492,912r,-4l486,908r-4,l482,890r,-16l478,874r-6,l472,870r,-4l450,866r-12,-2l430,864r-2,2l424,870r-4,6l418,882r-32,l354,884r-8,8l340,904r-6,12l326,926r-2,2l324,932r-28,l270,934r,4l268,942r-4,l258,942r,-52l258,840r-4,-2l250,838r-4,-10l236,820r-16,-4l202,814r-20,l164,814r-14,l140,814r-2,4l138,822r-12,l116,820r-6,-4l104,810r-6,-2l92,806r4,-14l102,784r12,-2l128,780r-2,-26l126,730r-8,-4l112,724r-4,-4l104,716r-2,-8l106,704r2,-6l110,692r,-6l110,678r18,-6l140,664r8,-16l152,646r2,-2l154,622r,-20l146,592r-6,-12l138,568r4,l148,568r,-16l146,538r-4,-12l130,516r-2,-2l128,510r-8,l110,510r,-6l108,502r-6,l98,502r-4,l92,504r-6,4l68,508r-18,l44,502r-8,-6l36,480,34,466,28,454r,-12l26,434r-4,l16,434r,-6l14,426r,-2l12,422r-2,-4l8,412,6,404,4,398,,394,,362,,328,16,318r18,-4l48,306r22,-6l92,298r24,2l136,304r16,10l158,314r18,l200,314r26,l252,314r16,l276,314r12,-8l302,304r14,2l328,314r6,l348,314r18,l384,314r16,l404,314r6,-4l414,306r20,l454,306r,-4l454,298r4,-2l462,296r2,-2l466,292r4,-2l512,288r42,l556,284r,-4l584,280r28,l612,282r2,4l622,286r6,l630,282r,-2l640,280r8,-4l656,272r60,-2l778,270r,-4l778,264r20,-2l816,262r,-4l816,254r14,-8l834,236r2,-16l840,220r2,-2l844,218r4,-2l850,212r4,-16l862,186r12,-6l892,178r,-4l892,170r10,-6l912,152r8,-16l926,124r4,-14l934,102r8,-4l952,92r10,-6l964,80r2,-6l970,70r14,-6l992,54r6,-12l1006,32r12,-6l1024,20r6,-4l1034,12r4,-6l1040,r14,l1066,r8,12l1076,22r2,12l1086,36r4,2l1096,40r4,4l1106,50r10,-4l1128,36r10,-10l1146,18r12,2l1168,22r12,4l1180,30r,4l1192,36r8,6l1204,50r6,8l1216,64r,14l1216,92r-4,l1208,94r,12l1208,118r12,12l1230,144r10,12l1254,166r16,6l1276,154r10,-16l1300,124r,-14l1300,98r8,-4l1316,90r8,-2l1332,86r12,6l1358,92r14,2l1376,82r6,-6l1390,70r10,-4l1406,62r6,-10l1432,52r22,l1460,58r8,6l1476,68r2,4l1478,76r6,2l1490,78r4,4l1500,86r28,l1556,86r12,-8l1582,78r16,l1598,74r,-4l1618,68r22,l1644,64r4,-4l1714,60r64,l1788,66r10,2l1810,68r4,8l1820,84r6,8l1830,102r16,l1856,108r10,8l1878,126r10,2l1898,130r8,4l1910,136r10,l1934,136r10,l1948,134r4,-2l1958,128r72,l2102,128r4,4l2110,134r26,6l2158,146r26,8l2184,156r,4l2188,160r4,2l2196,162r2,4l2202,168r20,6l2240,180r18,8l2258,192r,4l2276,198r18,6l2294,244r2,42l2300,290r,6l2302,302r-2,6l2298,314r-40,l2230,314r-18,l2200,316r-4,l2194,316r-4,14l2186,342r-2,14l2170,358r-14,l2142,370r-14,12l2126,390r-2,4l2120,398r-4,l2110,400r-6,12l2094,422r-10,10l2078,432r-6,l2072,446r,16l2066,464r-6,2l2054,468r-8,l2032,480r-14,12l2006,498r-12,12l1986,524r-6,16l1976,556r-4,4l1970,564r,6l1970,576r6,2l1992,578r22,l2036,578r16,l2060,576r2,-2l2064,570r24,l2112,568r26,l2162,570r20,8l2184,588r,6l2188,602r4,6l2192,634r2,26l2200,666r6,6l2212,676r8,2l2220,684r4,6l2228,694r6,4l2238,700r,10l2240,722r4,l2248,722r,6l2244,734r-4,4l2240,754r,16l2252,778r14,2l2282,782r2,2l2284,786r2,l2290,788r4,2l2294,792r2,6l2308,802r12,6l2330,818r2,22l2332,862r4,6l2340,874r2,6l2350,882r6,2l2362,888r6,2l2370,898r2,8l2374,910r4,2l2384,916r8,2l2408,936r14,18l2424,960r2,4l2428,966r,2l2430,970r2,2l2432,992r,22l2430,1016r-4,2l2396,1018r-32,l2360,1014r-2,-4l2352,1010r-12,-2l2324,1008r-14,2l2306,1010r-8,10l2294,1030r,14l2260,1044r-34,l2218,1036r-8,-8l2204,1026r-4,l2198,1024r-2,l2194,1022r-4,-2l2190,1018r-32,l2126,1018r,12l2126,1044r-4,6l2116,1054r-4,6l2108,1066r-32,l2044,1066r-2,-2l2042,1060r-20,-6l2004,1048r-20,-6l1976,1036r-8,-6l1968,1024r,-6l1964,1018r-4,l1958,1014r,-4l1950,1008r-6,l1940,1006r-4,l1934,1006r-2,-2l1932,998r,-6l1906,988r-24,-8l1856,974r,-8l1856,960r-6,-2l1844,956r-6,-4l1834,948r-6,-4l1820,942r-10,l1810,946r,4l1802,950r-10,l1792,954r,6l1782,962r-14,6l1758,974r-22,l1716,974r-4,-2l1710,972r-6,-16l1692,946r-14,-4l1662,944r-18,16l1626,976r,6l1624,986r-2,4l1618,990r-4,2l1608,994r-8,6l1594,1004r-6,4l1580,1010r-18,10l1542,1026r-20,8l1522,1030r,-2l1506,1024r-14,-2l1476,1020r-2,2l1472,1024r-2,l1466,1026r-8,l1458,1030r,4l1450,1034r-10,l1440,1038r,6l1402,1044r-36,l1366,1048r,4l1350,1056r-16,10l1318,1078r-14,16l1298,1106r-6,12l1290,1136r,22l1290,1176r,16l1284,1196r-4,4l1274,1202r-4,l1262,1204r,-12l1260,1180r-4,l1254,1178r-2,-4l1248,1170r-4,-4l1240,1162r-4,-4l1234,1150r,-6l1230,1144r-4,l1226,1128r,-18l1208,1106r-10,-12l1190,1078r-4,-18l1182,1058r-2,-4l1180,1052r-2,-4l1178,1044r-4,-2l1170,1042r,-4l1166,1034r-4,-4l1158,1028r-4,l1148,1028r-4,l1142,1034r-2,4l1136,1040r-6,4l1124,1044r-2,8l1118,1060r-2,8l1112,1076r-14,l1088,1076r-8,-4l1074,1060r-22,-20l1028,1020r-12,l1002,1018r,-4l1002,1010r-20,l964,1010r,-4l964,1002r-6,-2l954,1000r-6,-4l944,994r-46,-2l854,992xe" fillcolor="#ee8c69 [1940]" strokecolor="#ee8c69 [1940]" strokeweight="1pt">
                  <v:fill color2="#f9d8cd [660]" rotate="t" angle="135" focus="50%" type="gradient"/>
                  <v:shadow on="t" color="#68230b [1604]" opacity=".5" offset="1pt"/>
                  <v:path arrowok="t" o:connecttype="custom" o:connectlocs="875913,1071782;713007,1107193;616208,1090668;557184,1031649;455663,1041092;316367,1111914;214847,960826;108604,951383;120408,835706;181793,734194;151101,606713;80272,599631;18888,505201;18888,375360;266787,370638;453303,370638;547741,347031;734256,337588;942019,309259;1003404,250240;1097842,129841;1187558,37772;1272552,40133;1378795,25968;1430736,108595;1534618,146367;1631417,89709;1744743,89709;1886400,82626;2148465,99152;2266513,160531;2547466,172335;2665513,221911;2712732,370638;2561631,422575;2460111,509923;2368034,587827;2377477,682257;2578158,694061;2625377,814460;2644265,890004;2710371,941940;2788283,1048174;2863833,1137883;2785922,1196902;2627738,1232313;2547466,1201623;2410531,1251199;2311371,1192180;2221655,1156769;2136660,1116636;2020974,1147326;1910009,1168572;1796683,1213427;1711689,1220509;1539340,1291332;1489760,1421173;1456707,1350350;1392961,1241756;1350464,1213427;1284357,1270085;1137978,1187459" o:connectangles="0,0,0,0,0,0,0,0,0,0,0,0,0,0,0,0,0,0,0,0,0,0,0,0,0,0,0,0,0,0,0,0,0,0,0,0,0,0,0,0,0,0,0,0,0,0,0,0,0,0,0,0,0,0,0,0,0,0,0,0,0,0"/>
                </v:shape>
                <v:shape id="Freeform 20" o:spid="_x0000_s1032" style="position:absolute;left:354;top:94;width:25852;height:16879;visibility:visible;mso-wrap-style:square;v-text-anchor:top" coordsize="2190,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UPsMA&#10;AADbAAAADwAAAGRycy9kb3ducmV2LnhtbESPX2vCMBTF34V9h3AHe9O0YoN0RhmCoDAE/+z9rrlr&#10;y5Kb0kTtvv0iCD4ezjm/w1msBmfFlfrQetaQTzIQxJU3LdcazqfNeA4iRGSD1jNp+KMAq+XLaIGl&#10;8Tc+0PUYa5EgHErU0MTYlVKGqiGHYeI74uT9+N5hTLKvpenxluDOymmWKemw5bTQYEfrhqrf48Vp&#10;sJfiq5Cbz8NOGav2LlfF90xp/fY6fLyDiDTEZ/jR3hoN0xzuX9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UPsMAAADbAAAADwAAAAAAAAAAAAAAAACYAgAAZHJzL2Rv&#10;d25yZXYueG1sUEsFBgAAAAAEAAQA9QAAAIgDAAAAAA==&#10;" path="m1374,1372r-2,-68l1372,1236r-24,-2l1324,1234r-4,-4l1318,1228r-4,l1308,1226r,-8l1308,1210r-12,-6l1290,1198r-2,-10l1282,1178r-2,-22l1274,1138r-8,-14l1250,1108r-30,l1190,1108r-6,l1180,1108r-52,l1076,1106r-8,-12l1058,1086r-12,-2l1030,1084r-10,10l1008,1104r-14,4l994,1114r-2,6l986,1122r-6,2l972,1124r-6,2l964,1120r-4,-4l958,1112r-4,-2l948,1108r-4,-2l938,1102r-4,-4l930,1094r-6,-2l918,1092r-10,10l896,1106r-14,2l882,1112r,6l856,1108r-24,-16l824,1090r-8,l816,1082r,-8l810,1074r-6,-2l800,1070r-2,-36l798,998r-8,l786,996r-4,-2l780,992r-2,-6l778,980r-18,4l744,992r-16,12l718,1006r-10,2l700,1012r-4,12l692,1024r-4,l686,1026r-2,l682,1028r-34,6l616,1038r-4,-2l610,1032r-16,-2l570,1028r-26,-6l522,1016r-14,-8l508,1006r,-2l480,1004r-26,l454,1006r,2l446,998r-4,-12l436,974r-18,-4l404,962,392,952,380,940r-14,-6l356,926r-6,-8l342,906r-6,l332,904r,-12l330,880r-6,-10l322,860r,-10l318,842r-12,-6l286,836r-20,l246,824r-20,-6l224,814r-4,-2l216,810r-2,l212,806r,-2l202,802r-12,l174,786,156,770r-8,-2l138,768r,-4l138,760r-6,l128,760r-2,-6l124,750r-4,-4l116,744r-4,-4l106,720r-6,-20l96,700r-4,l92,666,90,634r-4,l82,634r,-8l82,618,72,604,66,584,64,566,54,556,48,542,46,526,42,512,34,500r-6,-2l24,496r-2,l20,494r-2,l18,492,14,478,8,464,,452,,358,,266r4,-6l6,254r2,-6l8,242r,-6l12,234r4,l18,228r2,-6l24,218r4,-4l32,210r2,-12l36,188r18,-4l72,184r,-4l74,176r18,-6l110,168r,-8l112,154r8,-2l128,146r6,-4l138,134r4,-2l146,132r2,-8l148,120r,-4l150,112r4,-2l158,108r8,l166,104r,-4l176,94r6,-8l186,74r,-12l186,48r,-12l194,28r8,-6l202,16r2,-4l206,10r2,-4l210,4,212,r34,l280,r26,18l332,32r30,8l362,44r,4l382,52r16,10l410,64r12,2l426,70r4,2l436,74r,4l436,82r4,l446,82r,4l446,92r8,l464,92r,4l464,100r16,2l494,106r16,2l512,114r2,4l518,122r2,14l520,150r4,l528,152r,2l530,160r-16,2l496,170r-16,12l468,192r-8,l456,196r-6,4l448,204r-2,6l432,216r-10,6l410,228r-2,4l408,238r-4,2l400,244r,8l398,262r-4,l390,264r-4,2l382,270r,34l380,338r10,l398,338r,2l400,344r12,4l424,356r12,6l436,366r,4l464,370r28,2l506,370r12,l518,366r,-4l542,358r24,-8l590,344r4,-4l600,336r104,l808,338r,2l808,344r26,6l860,358r26,6l896,370r12,l920,372r10,6l934,378r4,2l938,384r,4l942,388r6,l948,396r,8l974,408r24,14l1002,422r4,2l1008,424r4,4l1024,428r16,2l1040,426r,-4l1062,422r22,l1086,418r4,-2l1092,414r2,l1098,414r14,6l1126,422r16,l1146,432r10,6l1168,440r12,2l1190,446r24,l1236,448r6,2l1246,454r28,l1302,454r12,8l1326,468r12,6l1350,480r10,10l1366,504r36,6l1438,514r,-4l1440,506r14,l1468,506r10,-6l1486,490r10,-4l1512,480r14,-8l1536,466r12,l1560,464r,-4l1560,454r18,-2l1596,448r18,-8l1648,440r36,l1688,442r2,2l1692,446r4,l1700,448r,4l1700,454r16,2l1732,456r18,16l1770,484r22,6l1794,494r,4l1810,496r20,-2l1848,490r14,-8l1890,480r28,l1924,476r4,-2l2024,474r96,l2126,478r6,2l2138,480r8,2l2146,486r,4l2156,490r10,l2166,496r-2,6l2164,506r-4,6l2156,516r,6l2156,534r,14l2156,560r,4l2160,568r4,2l2164,594r,24l2154,626r-4,8l2148,640r-2,12l2136,660r-8,8l2128,674r-2,12l2126,700r2,12l2128,716r6,6l2138,726r4,4l2144,736r2,6l2156,744r8,l2168,744r2,2l2172,752r2,6l2174,766r6,12l2184,788r6,12l2190,810r,12l2188,826r-4,4l2184,832r-2,6l2174,838r-8,l2164,840r,4l2156,848r-4,2l2148,856r-2,6l2146,870r-10,l2128,872r,2l2126,880r-4,l2118,880r-2,14l2116,910r-10,8l2096,928r-16,4l2074,940r-2,12l2070,968r-4,2l2064,974r-2,2l2062,982r-14,l2034,982r,2l2034,988r-24,6l1986,1000r-4,4l1980,1008r-2,64l1976,1138r-2,l1972,1140r-2,2l1966,1142r-6,2l1952,1152r-6,6l1944,1164r-2,12l1950,1182r8,8l1958,1208r,22l1952,1240r-2,14l1952,1268r8,8l1972,1286r18,l2010,1286r2,4l2014,1290r4,2l2020,1294r4,l2026,1298r2,4l2030,1306r4,2l2034,1324r,14l2030,1342r-2,2l2010,1354r-10,12l1998,1382r,24l1988,1406r-10,l1978,1410r,4l1896,1414r-84,l1806,1418r-4,4l1784,1414r-18,l1746,1414r-4,-10l1732,1396r-10,-10l1714,1380r-8,l1700,1378r-8,-4l1686,1370r-30,l1638,1370r-12,l1620,1370r-2,l1616,1372r-6,4l1604,1378r-8,2l1588,1380r-8,16l1568,1408r-16,6l1552,1422r-2,8l1522,1430r-30,l1482,1422r-10,-8l1454,1412r-14,-6l1428,1400r-16,-4l1410,1392r,-4l1398,1384r-14,-4l1374,1372xe" fillcolor="white [3201]" strokecolor="#956251 [3207]" strokeweight="1pt">
                  <v:stroke dashstyle="dash"/>
                  <v:shadow color="#868686"/>
                  <v:path arrowok="t" o:connecttype="custom" o:connectlocs="1544062,1437698;1440180,1307857;1204085,1291332;1133256,1317300;1071872,1300775;963268,1267724;918410,1163851;812167,1208705;642179,1206345;521770,1163851;396640,1069421;314006,986795;238456,946662;148740,890004;106243,748359;54302,620878;9444,547695;18888,276208;84994,212468;167627,155810;195959,118038;240817,14165;427332,51937;514687,96791;583155,125120;625652,188860;509965,254961;460385,311619;500522,420214;639818,422575;1015209,422575;1112008,457986;1208807,505201;1296162,488676;1459068,528809;1612529,594910;1784879,566581;1945423,519366;2044583,538252;2231098,566581;2533300,573663;2545105,630321;2535661,755441;2523856,856953;2566353,904168;2566353,989155;2512052,1029288;2448306,1109554;2401087,1166212;2320815,1347990;2304288,1463667;2384560,1527407;2372755,1598229;2131938,1673773;2006808,1626558;1893482,1626558;1749464,1678495;1621973,1619476" o:connectangles="0,0,0,0,0,0,0,0,0,0,0,0,0,0,0,0,0,0,0,0,0,0,0,0,0,0,0,0,0,0,0,0,0,0,0,0,0,0,0,0,0,0,0,0,0,0,0,0,0,0,0,0,0,0,0,0,0,0"/>
                </v:shape>
                <v:shape id="Freeform 21" o:spid="_x0000_s1033" style="position:absolute;left:23397;top:684;width:25309;height:16289;visibility:visible;mso-wrap-style:square;v-text-anchor:top" coordsize="2144,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Xx8MA&#10;AADbAAAADwAAAGRycy9kb3ducmV2LnhtbESPzWrDMBCE74W+g9hCb40cH5rgRgmtoZBDKOTnARZr&#10;bTmVVq6kOO7bV4VAjsPMfMOsNpOzYqQQe88K5rMCBHHjdc+dgtPx82UJIiZkjdYzKfilCJv148MK&#10;K+2vvKfxkDqRIRwrVGBSGiopY2PIYZz5gTh7rQ8OU5ahkzrgNcOdlWVRvEqHPecFgwPVhprvw8Up&#10;aKkoz6Op649zY7/Crp3/LHZWqeen6f0NRKIp3cO39lYrKEv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MXx8MAAADbAAAADwAAAAAAAAAAAAAAAACYAgAAZHJzL2Rv&#10;d25yZXYueG1sUEsFBgAAAAAEAAQA9QAAAIgDAAAAAA==&#10;" path="m14,1184r2,-6l16,1166r,-14l16,1142r-2,-6l10,1132r-4,-4l2,1124,,1120r,-6l16,1102r18,-12l34,1026r2,-64l44,956r16,-4l78,948r12,-2l90,942r,-4l104,938r14,l120,932r,-4l122,926r4,-4l128,908r2,-14l132,892r2,-2l136,890r2,-2l144,888r14,-14l172,862r2,-12l174,836r4,l184,836r,-4l184,830r8,l202,830r,-10l202,814r,-4l204,808r4,-2l214,806r6,-2l220,800r2,-4l230,794r10,l240,788r,-6l244,780r4,-2l248,762r,-16l238,734r-4,-16l228,702r-8,-16l210,686r-8,l200,678r-4,-4l190,668r-4,-6l186,642r,-22l192,614r8,-6l204,594r6,-10l220,574r2,-6l222,554r,-16l222,522r-2,-6l212,504r,-16l212,470r4,-4l218,460r2,-6l220,446r,-6l226,440r4,l234,448r6,6l250,456r10,2l272,460r6,4l304,474r26,10l356,492r6,6l372,506r14,l402,506r14,2l428,516r16,l462,516r8,-8l484,506r14,l510,506r12,-6l536,500r14,-2l562,492r18,-2l598,490r14,-12l628,470r20,-6l648,460r,-4l660,452r12,-10l682,432r12,-20l708,394r14,-18l732,356r6,-4l744,350r4,-4l754,342r6,-4l760,330r,-10l770,316r8,-10l784,296r8,-8l808,282r14,-10l834,260r,-4l834,254r14,-4l858,246r12,-2l870,240r,-4l874,236r6,l880,230r2,-6l884,222r4,-2l892,220r4,-2l902,218r6,l914,202r14,-12l944,184r,-8l944,168r8,-2l958,162r4,-4l968,152r30,-8l1026,132r28,-8l1056,122r,-4l1076,116r18,l1094,112r,-2l1112,108r16,-6l1150,100r22,-6l1192,84r16,-2l1218,76r10,-8l1240,60r22,l1284,60r22,-2l1324,50r32,l1390,50r14,-6l1418,42r14,-2l1444,34r26,-4l1494,26r26,-2l1530,18r12,-4l1556,16r12,l1568,12r,-4l1572,6r2,l1578,4r2,-2l1582,r70,l1720,r10,6l1742,12r14,2l1768,18r10,6l1788,34r4,16l1804,52r12,4l1830,58r2,6l1834,70r6,4l1844,78r6,4l1866,84r16,6l1896,98r26,l1948,100r,-4l1950,92r4,l1956,90r4,-2l1962,86r2,-2l2004,84r38,l2048,94r8,4l2066,100r12,l2080,92r2,-4l2084,86r2,-2l2090,82r8,l2098,74r2,-8l2100,62r2,-2l2106,58r6,l2118,58r8,l2128,62r,4l2132,70r2,6l2136,80r2,6l2140,92r4,4l2144,108r,12l2140,124r-2,2l2136,130r,2l2134,138r-2,2l2128,142r-6,18l2108,170r-18,6l2084,192r-10,10l2060,208r-16,4l2040,224r-10,10l2020,244r-8,14l2006,264r-6,6l1978,270r-22,l1948,264r-14,-2l1922,262r-12,4l1904,272r,26l1902,324r-4,6l1896,334r-4,4l1890,340r-2,2l1884,344r-4,l1872,344r-18,-14l1838,314r-18,l1800,314r-4,4l1792,324r-2,l1790,356r,32l1792,388r8,2l1806,390r6,10l1818,412r6,14l1828,438r2,10l1800,448r-30,l1766,442r-4,-6l1758,430r-4,-6l1748,424r-4,-2l1740,420r-2,-2l1732,416r-18,-2l1696,410r-16,-8l1676,404r-2,2l1672,410r-2,4l1664,416r-4,2l1656,422r-2,4l1654,430r-2,2l1648,436r-4,4l1644,444r-2,4l1638,448r-4,l1628,462r-8,8l1614,482r-4,l1606,482r-2,6l1602,492r-2,4l1598,498r-4,l1590,500r-4,2l1582,506r-6,l1568,508r,4l1568,516r-4,l1560,516r,4l1560,524r-4,l1550,524r,4l1550,534r-8,l1532,534r-4,12l1520,550r-12,2l1494,552r-4,6l1486,564r-2,8l1482,578r-4,6l1476,596r,12l1472,608r-6,l1464,628r-4,18l1448,660r,8l1446,676r-8,l1430,676r,4l1430,686r-18,6l1398,706r-14,14l1382,736r-8,10l1362,750r-16,2l1346,756r,4l1338,760r-6,2l1326,764r-6,4l1294,770r-26,l1252,762r-18,-6l1216,752r-2,-6l1214,740r-2,-4l1206,730r,-22l1206,686r-38,l1132,686r-4,-14l1124,664r-8,-10l1110,644r-6,-10l1104,622r,-14l1098,608r-4,l1094,600r,-8l1086,590r-6,-2l1074,584r-4,-2l1056,582r-24,2l1026,588r-8,6l1012,598r,4l1012,608r-8,l1000,608r-6,2l990,612r-4,6l930,618r-58,l872,634r,16l866,650r-4,l860,676r-4,24l854,726r6,10l862,748r,14l866,762r6,l874,768r2,6l882,778r6,4l894,784r6,4l900,790r,4l904,794r4,2l908,798r2,6l914,808r2,6l920,818r4,4l926,826r2,6l930,838r6,4l940,846r6,6l946,858r,6l954,866r4,l960,870r2,2l964,874r2,4l970,882r4,4l972,926r,42l968,972r-2,4l964,978r-2,4l960,984r-2,4l954,990r-8,l946,996r-2,4l942,1004r-4,4l938,1020r,12l942,1036r4,4l946,1044r2,6l958,1056r8,4l970,1062r2,6l974,1076r-2,18l970,1098r-4,l962,1100r-4,2l954,1104r-4,4l948,1110r,6l956,1124r10,10l988,1134r24,2l1012,1140r,4l1016,1144r4,4l1020,1154r,10l1016,1166r-4,4l1012,1174r-2,4l1010,1184r-2,6l1000,1202r-6,12l986,1226r-6,l974,1228r,4l974,1236r-14,2l948,1244r-10,10l936,1264r,8l934,1274r-2,2l928,1276r-4,2l918,1278r,16l916,1310r-2,l912,1312r-2,l906,1312r-6,l900,1316r,4l880,1320r-18,l862,1324r,4l802,1330r-58,l738,1334r-4,4l700,1338r-26,l656,1338r-10,l642,1340r-2,l638,1342r,4l622,1344r-20,l584,1344r-18,2l550,1352r-6,2l538,1356r,2l538,1364r-18,l502,1364r-14,6l468,1372r-20,l428,1370r-14,-6l410,1362r-12,l386,1362r-10,l372,1364r-10,4l342,1370r-24,2l292,1372r-24,-2l250,1368r-12,-4l230,1364r-8,-2l216,1360r-8,-4l188,1356r-20,l156,1362r-14,2l128,1364r-10,8l104,1378r-14,2l90,1374r-4,-4l82,1366r-4,-2l72,1364r,-4l72,1356r-10,l54,1356r,-20l54,1318r18,-14l90,1294r-2,-20l88,1254r-2,-4l82,1246r,-4l80,1236r-18,-6l42,1228r-20,-2l14,1220r-8,-8l6,1204r,-6l8,1194r2,-6l14,1184xe" fillcolor="white [3201]" strokecolor="#d34817 [3204]" strokeweight="1pt">
                  <v:stroke dashstyle="dash"/>
                  <v:shadow color="#868686"/>
                  <v:path arrowok="t" o:connecttype="custom" o:connectlocs="0,1314939;122769,1107193;162906,1048174;238456,979712;283314,937219;247900,809738;247900,689340;257344,542973;328172,547695;545380,609074;722451,564220;864108,420214;934936,339948;1031735,278569;1095481,224271;1246582,144006;1426014,96791;1673914,49576;1850985,9443;2087080,21247;2183879,96791;2316092,101512;2462471,99152;2512051,73183;2523856,148727;2431779,245518;2283039,309259;2224015,406049;2113051,420214;2124856,528808;2023335,488676;1952506,507562;1900565,568941;1850985,599631;1820293,630321;1742382,703504;1688080,802656;1579476,897086;1430736,868757;1303245,734194;1246582,686979;1163949,729472;1017570,882921;1062428,937219;1097842,989155;1140339,1036370;1126173,1168572;1119091,1239395;1126173,1303135;1204085,1355072;1163949,1447141;1100203,1506160;1062428,1553375;795640,1579343;668149,1588786;505243,1617115;316367,1617115;151101,1610033;73189,1600590;94438,1458945" o:connectangles="0,0,0,0,0,0,0,0,0,0,0,0,0,0,0,0,0,0,0,0,0,0,0,0,0,0,0,0,0,0,0,0,0,0,0,0,0,0,0,0,0,0,0,0,0,0,0,0,0,0,0,0,0,0,0,0,0,0,0,0"/>
                </v:shape>
                <v:shape id="Freeform 22" o:spid="_x0000_s1034" style="position:absolute;left:33596;top:1912;width:23987;height:13668;visibility:visible;mso-wrap-style:square;v-text-anchor:top" coordsize="203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2ocQA&#10;AADbAAAADwAAAGRycy9kb3ducmV2LnhtbESPQWvCQBSE7wX/w/IEL0U3pmBLdBUriLk2htLjI/tM&#10;otm3aXZN0v76bqHQ4zAz3zCb3Wga0VPnassKlosIBHFhdc2lgvx8nL+AcB5ZY2OZFHyRg9128rDB&#10;RNuB36jPfCkChF2CCirv20RKV1Rk0C1sSxy8i+0M+iC7UuoOhwA3jYyjaCUN1hwWKmzpUFFxy+5G&#10;Qfr4bFp6XR2yd2euH6d7/onfuVKz6bhfg/A0+v/wXzvVCuIn+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dqHEAAAA2wAAAA8AAAAAAAAAAAAAAAAAmAIAAGRycy9k&#10;b3ducmV2LnhtbFBLBQYAAAAABAAEAPUAAACJAwAAAAA=&#10;" path="m1010,1014r,-2l942,1012r-68,l874,1014r-12,6l848,1022r-16,2l816,1022r,4l816,1030r-14,l792,1032r-12,8l756,1040r-26,l724,1036r-4,-4l712,1030r,-4l712,1022r-6,l700,1018r-6,-4l688,1010r-6,-4l656,1006r-26,l626,1016r-8,8l608,1028r-8,8l594,1048r-12,-2l572,1046r-12,-4l544,1042r-12,6l520,1056r,14l518,1084r-16,18l490,1124r-16,-10l458,1100r-10,-18l444,1064r4,l452,1064r2,-22l454,1030r,-6l454,1020r-2,l450,1016r-4,-6l440,1006r-4,-6l432,994r-4,-4l422,990r-6,-2l416,984r,-6l408,978r-6,-2l396,972r-14,l370,972r-16,14l338,1000r-4,-2l328,996r-4,-4l320,990r-8,-2l312,976r-4,-10l304,954r-22,l268,954r-6,l260,954r,2l256,968r-10,8l234,982r-10,6l222,994r-4,6l214,1006r-6,8l198,1024r-12,12l174,1044r-8,4l164,1040r-2,-6l158,1028r-6,-6l130,1022r-24,l100,1014r-6,-6l96,1006r4,-2l106,1000r4,-2l114,996r4,-4l118,974r,-18l108,948,98,940r-8,-8l84,922,82,908r4,-2l88,902r2,-4l90,894r8,-4l104,886r2,-4l110,878r4,-6l118,866r2,-6l120,844r,-22l120,800r,-16l118,778r-4,-4l112,772r-6,-12l94,750,84,740,74,730,70,716,58,700,52,684r-4,l44,684r,-6l44,674r-8,l30,670r-4,-2l22,664r-6,-6l16,654r,-6l10,648r-4,l4,630,,612,,594r4,-8l6,576r,-10l6,556r4,-2l14,554r2,-16l16,522r54,l124,522r6,-4l136,514r4,l146,512r8,l160,498r8,-6l178,488r14,l208,488r4,4l216,494r6,2l222,504r,10l226,514r4,l234,536r10,18l258,570r2,10l260,588r36,l332,590r,20l334,630r4,6l340,642r2,6l342,656r14,2l372,662r18,4l400,674r30,-2l460,672r6,-4l474,666r6,l488,664r2,-4l490,656r10,-2l508,654r12,-12l528,628r8,-12l544,604r14,-10l574,588r,-4l574,582r8,-2l590,578r2,-4l592,568r2,-4l596,558r4,-4l600,550r2,-2l602,546r2,-4l606,540r4,-4l610,524r2,-10l616,512r4,l620,500r2,-12l628,480r2,-16l636,458r6,-4l652,454r10,-2l674,446r,-6l676,438r8,-2l694,436r2,-4l696,430r4,-2l704,428r,-4l704,420r4,l712,420r,-4l712,412r16,-4l742,398r10,-12l756,386r4,l764,374r8,-10l778,352r4,l788,352r,-6l788,342r4,-4l796,334r6,-12l814,316r16,-2l848,314r14,4l874,326r6,l884,330r4,2l890,336r2,2l894,344r4,4l902,352r32,l966,352r4,-2l972,350r-2,-16l966,318r-2,-16l960,300r-4,-4l954,292r-2,-6l950,284r-4,-4l942,278r-6,l936,262r-2,-16l936,230r6,-12l956,218r14,l982,230r14,12l1008,248r14,2l1038,240r2,-4l1040,232r2,-4l1046,224r,-26l1048,172r8,-4l1068,168r12,2l1088,174r26,l1140,174r8,-10l1158,156r4,-12l1172,136r8,-10l1188,116r20,-6l1224,98r12,-16l1252,68r18,-12l1274,42r4,-10l1288,26r12,-4l1300,26r,2l1322,28r24,2l1346,26r,-4l1350,22r2,-2l1354,20r2,-2l1360,14r32,l1426,12,1442,2,1452,r6,l1464,4r8,4l1486,14r,12l1488,38r10,14l1506,66r6,14l1522,94r,18l1524,130r22,18l1570,164r16,2l1596,172r12,10l1640,184r32,l1672,188r,4l1678,192r6,l1702,206r18,8l1740,218r12,8l1766,230r16,6l1794,242r6,2l1812,244r14,l1840,244r4,-2l1848,238r6,-4l1890,234r36,l1936,242r8,6l1952,250r12,2l1966,260r2,6l1968,274r6,6l1980,284r2,6l1986,294r2,8l1992,302r6,l1998,308r2,2l2002,312r4,4l2006,334r,18l2012,352r4,l2016,360r2,6l2020,370r4,6l2024,410r,34l2028,448r2,2l2032,452r,6l2026,464r-4,6l2020,474r-6,6l2008,486r-4,12l1994,506r-12,4l1968,514r-2,8l1962,530r-6,4l1950,538r-8,2l1928,554r-10,18l1906,588r-14,l1880,588r-22,-12l1834,568r-24,-8l1788,548r,-2l1750,546r-40,l1710,548r,4l1710,556r-8,2l1696,560r-6,4l1686,570r-4,6l1680,582r-4,l1672,582r,16l1672,614r-12,l1650,614r,24l1650,660r-4,6l1644,672r-2,6l1636,686r-4,10l1632,710r,12l1626,726r-4,4l1620,732r-2,4l1616,740r,6l1612,748r-2,l1606,750r-4,l1596,752r,6l1596,764r-10,4l1574,778r-10,14l1556,806r-6,12l1544,820r-6,2l1534,828r-6,4l1524,838r-2,160l1522,1158r-8,-2l1508,1154r-6,-2l1494,1150r-2,-4l1492,1142r-12,-4l1466,1132r-10,-8l1442,1122r-12,-4l1418,1116r,-6l1418,1106r-6,l1408,1104r-18,-8l1370,1094r-18,-4l1334,1082r-76,l1182,1082r-18,6l1146,1088r-18,-4l1110,1080r-14,-12l1084,1058r-18,-2l1064,1050r-4,-6l1056,1040r-4,-2l1048,1034r-2,-6l1046,1022r-12,l1020,1020r-10,-6xe" fillcolor="white [3201]" strokecolor="#d34817 [3204]" strokeweight="1pt">
                  <v:stroke dashstyle="dash"/>
                  <v:shadow color="#868686"/>
                  <v:path arrowok="t" o:connecttype="custom" o:connectlocs="1001043,1206344;861747,1227591;812167,1192179;687037,1234673;578433,1326742;535936,1208705;498161,1168572;417888,1163850;358865,1126078;264426,1166211;193598,1227591;118048,1185097;106243,1100110;125130,1041091;139296,918332;61385,807377;18888,776687;7083,679896;153462,611435;245539,576023;288036,653928;401362,757801;550102,788491;623291,741276;698841,677536;715368,637403;743699,547694;819250,514644;840498,491036;918410,415492;979795,370638;1055345,406049;1137978,356473;1104925,309258;1206446,295094;1260748,198303;1392961,148727;1520452,30690;1596003,23608;1728216,4722;1796684,132202;1973755,221911;2103607,278569;2231098,276208;2330258,330505;2363312,368277;2389282,443821;2384560,559498;2309010,630321;2164992,670453;2018613,651567;1973755,686979;1938341,800295;1907648,873478;1872234,906528;1799045,989155;1747104,1343267;1662109,1303135;1331576,1279527;1237138,1220508" o:connectangles="0,0,0,0,0,0,0,0,0,0,0,0,0,0,0,0,0,0,0,0,0,0,0,0,0,0,0,0,0,0,0,0,0,0,0,0,0,0,0,0,0,0,0,0,0,0,0,0,0,0,0,0,0,0,0,0,0,0,0,0"/>
                </v:shape>
              </v:group>
            </w:pict>
          </mc:Fallback>
        </mc:AlternateContent>
      </w:r>
      <w:sdt>
        <w:sdtPr>
          <w:rPr>
            <w:rFonts w:ascii="Times New Roman" w:hAnsi="Times New Roman"/>
            <w:lang w:val="bg-BG"/>
          </w:rPr>
          <w:id w:val="-831605760"/>
          <w:docPartObj>
            <w:docPartGallery w:val="Cover Pages"/>
            <w:docPartUnique/>
          </w:docPartObj>
        </w:sdtPr>
        <w:sdtEndPr/>
        <w:sdtContent>
          <w:r w:rsidR="005E4027" w:rsidRPr="0056111E">
            <w:rPr>
              <w:rFonts w:ascii="Times New Roman" w:hAnsi="Times New Roman"/>
              <w:noProof/>
              <w:lang w:val="bg-BG" w:eastAsia="bg-BG"/>
            </w:rPr>
            <mc:AlternateContent>
              <mc:Choice Requires="wps">
                <w:drawing>
                  <wp:anchor distT="0" distB="0" distL="114300" distR="114300" simplePos="0" relativeHeight="251662336" behindDoc="0" locked="0" layoutInCell="0" allowOverlap="1" wp14:anchorId="29DE093D" wp14:editId="461526FA">
                    <wp:simplePos x="0" y="0"/>
                    <wp:positionH relativeFrom="page">
                      <wp:align>center</wp:align>
                    </wp:positionH>
                    <wp:positionV relativeFrom="page">
                      <wp:align>center</wp:align>
                    </wp:positionV>
                    <wp:extent cx="7129145" cy="9435465"/>
                    <wp:effectExtent l="9525" t="9525" r="12065" b="10160"/>
                    <wp:wrapNone/>
                    <wp:docPr id="1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9145" cy="943546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622" o:spid="_x0000_s1026" style="position:absolute;margin-left:0;margin-top:0;width:561.35pt;height:742.95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" o:allowincell="f" filled="f" fillcolor="black">
                    <w10:wrap anchorx="page" anchory="page"/>
                  </v:roundrect>
                </w:pict>
              </mc:Fallback>
            </mc:AlternateContent>
          </w:r>
          <w:r w:rsidR="005E4027" w:rsidRPr="0056111E">
            <w:rPr>
              <w:rFonts w:ascii="Times New Roman" w:hAnsi="Times New Roman"/>
              <w:noProof/>
              <w:lang w:val="bg-BG" w:eastAsia="bg-BG"/>
            </w:rPr>
            <mc:AlternateContent>
              <mc:Choice Requires="wps">
                <w:drawing>
                  <wp:anchor distT="0" distB="0" distL="114300" distR="114300" simplePos="0" relativeHeight="251661312" behindDoc="0" locked="0" layoutInCell="0" allowOverlap="1" wp14:anchorId="3485190A" wp14:editId="711E74C3">
                    <wp:simplePos x="0" y="0"/>
                    <wp:positionH relativeFrom="page">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7125970" cy="2205990"/>
                    <wp:effectExtent l="0" t="4445" r="1270" b="0"/>
                    <wp:wrapNone/>
                    <wp:docPr id="15"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5970" cy="22059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B733CA">
                                  <w:trPr>
                                    <w:trHeight w:val="144"/>
                                    <w:jc w:val="center"/>
                                  </w:trPr>
                                  <w:tc>
                                    <w:tcPr>
                                      <w:tcW w:w="0" w:type="auto"/>
                                      <w:shd w:val="clear" w:color="auto" w:fill="F4B29B" w:themeFill="accent1" w:themeFillTint="66"/>
                                      <w:tcMar>
                                        <w:top w:w="0" w:type="dxa"/>
                                        <w:bottom w:w="0" w:type="dxa"/>
                                      </w:tcMar>
                                      <w:vAlign w:val="center"/>
                                    </w:tcPr>
                                    <w:p w:rsidR="00B733CA" w:rsidRDefault="00B733CA">
                                      <w:pPr>
                                        <w:pStyle w:val="NoSpacing"/>
                                        <w:rPr>
                                          <w:sz w:val="8"/>
                                          <w:szCs w:val="8"/>
                                        </w:rPr>
                                      </w:pPr>
                                    </w:p>
                                  </w:tc>
                                </w:tr>
                                <w:tr w:rsidR="00B733CA">
                                  <w:trPr>
                                    <w:trHeight w:val="1440"/>
                                    <w:jc w:val="center"/>
                                  </w:trPr>
                                  <w:tc>
                                    <w:tcPr>
                                      <w:tcW w:w="0" w:type="auto"/>
                                      <w:shd w:val="clear" w:color="auto" w:fill="D34817" w:themeFill="accent1"/>
                                      <w:vAlign w:val="center"/>
                                    </w:tcPr>
                                    <w:p w:rsidR="00B733CA" w:rsidRDefault="00175DBC" w:rsidP="00A374CB">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b/>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B733CA">
                                            <w:rPr>
                                              <w:rFonts w:asciiTheme="majorHAnsi" w:eastAsiaTheme="majorEastAsia" w:hAnsiTheme="majorHAnsi" w:cstheme="majorBidi"/>
                                              <w:b/>
                                              <w:color w:val="FFFFFF" w:themeColor="background1"/>
                                              <w:sz w:val="72"/>
                                              <w:szCs w:val="72"/>
                                              <w:lang w:val="bg-BG"/>
                                            </w:rPr>
                                            <w:t>ГОДИШЕН ДОКЛАД</w:t>
                                          </w:r>
                                        </w:sdtContent>
                                      </w:sdt>
                                    </w:p>
                                  </w:tc>
                                </w:tr>
                                <w:tr w:rsidR="00B733CA">
                                  <w:trPr>
                                    <w:trHeight w:val="144"/>
                                    <w:jc w:val="center"/>
                                  </w:trPr>
                                  <w:tc>
                                    <w:tcPr>
                                      <w:tcW w:w="0" w:type="auto"/>
                                      <w:shd w:val="clear" w:color="auto" w:fill="918485" w:themeFill="accent5"/>
                                      <w:tcMar>
                                        <w:top w:w="0" w:type="dxa"/>
                                        <w:bottom w:w="0" w:type="dxa"/>
                                      </w:tcMar>
                                      <w:vAlign w:val="center"/>
                                    </w:tcPr>
                                    <w:p w:rsidR="00B733CA" w:rsidRDefault="00B733CA">
                                      <w:pPr>
                                        <w:pStyle w:val="NoSpacing"/>
                                        <w:rPr>
                                          <w:sz w:val="8"/>
                                          <w:szCs w:val="8"/>
                                        </w:rPr>
                                      </w:pPr>
                                    </w:p>
                                  </w:tc>
                                </w:tr>
                                <w:tr w:rsidR="00B733CA">
                                  <w:trPr>
                                    <w:trHeight w:val="720"/>
                                    <w:jc w:val="center"/>
                                  </w:trPr>
                                  <w:tc>
                                    <w:tcPr>
                                      <w:tcW w:w="0" w:type="auto"/>
                                      <w:vAlign w:val="bottom"/>
                                    </w:tcPr>
                                    <w:p w:rsidR="00B733CA" w:rsidRDefault="00175DBC" w:rsidP="00A374CB">
                                      <w:pPr>
                                        <w:pStyle w:val="NoSpacing"/>
                                        <w:suppressOverlap/>
                                        <w:jc w:val="center"/>
                                        <w:rPr>
                                          <w:rFonts w:asciiTheme="majorHAnsi" w:eastAsiaTheme="majorEastAsia" w:hAnsiTheme="majorHAnsi" w:cstheme="majorBidi"/>
                                          <w:i/>
                                          <w:iCs/>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B733CA">
                                            <w:rPr>
                                              <w:rFonts w:ascii="Times New Roman" w:hAnsi="Times New Roman"/>
                                              <w:sz w:val="36"/>
                                              <w:szCs w:val="36"/>
                                              <w:lang w:val="bg-BG"/>
                                            </w:rPr>
                                            <w:t>за наблюдение изпълнението на  Регионалния план за развитие на Югоизточен район за 2014 г.</w:t>
                                          </w:r>
                                        </w:sdtContent>
                                      </w:sdt>
                                    </w:p>
                                  </w:tc>
                                </w:tr>
                              </w:tbl>
                              <w:p w:rsidR="00B733CA" w:rsidRDefault="00B733CA"/>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id="Rectangle 619" o:spid="_x0000_s1027" style="position:absolute;margin-left:0;margin-top:0;width:561.1pt;height:173.7pt;z-index:251661312;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37"/>
                          </w:tblGrid>
                          <w:tr w:rsidR="00B733CA">
                            <w:trPr>
                              <w:trHeight w:val="144"/>
                              <w:jc w:val="center"/>
                            </w:trPr>
                            <w:tc>
                              <w:tcPr>
                                <w:tcW w:w="0" w:type="auto"/>
                                <w:shd w:val="clear" w:color="auto" w:fill="F4B29B" w:themeFill="accent1" w:themeFillTint="66"/>
                                <w:tcMar>
                                  <w:top w:w="0" w:type="dxa"/>
                                  <w:bottom w:w="0" w:type="dxa"/>
                                </w:tcMar>
                                <w:vAlign w:val="center"/>
                              </w:tcPr>
                              <w:p w:rsidR="00B733CA" w:rsidRDefault="00B733CA">
                                <w:pPr>
                                  <w:pStyle w:val="NoSpacing"/>
                                  <w:rPr>
                                    <w:sz w:val="8"/>
                                    <w:szCs w:val="8"/>
                                  </w:rPr>
                                </w:pPr>
                              </w:p>
                            </w:tc>
                          </w:tr>
                          <w:tr w:rsidR="00B733CA">
                            <w:trPr>
                              <w:trHeight w:val="1440"/>
                              <w:jc w:val="center"/>
                            </w:trPr>
                            <w:tc>
                              <w:tcPr>
                                <w:tcW w:w="0" w:type="auto"/>
                                <w:shd w:val="clear" w:color="auto" w:fill="D34817" w:themeFill="accent1"/>
                                <w:vAlign w:val="center"/>
                              </w:tcPr>
                              <w:p w:rsidR="00B733CA" w:rsidRDefault="00175DBC" w:rsidP="00A374CB">
                                <w:pPr>
                                  <w:pStyle w:val="NoSpacing"/>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b/>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B733CA">
                                      <w:rPr>
                                        <w:rFonts w:asciiTheme="majorHAnsi" w:eastAsiaTheme="majorEastAsia" w:hAnsiTheme="majorHAnsi" w:cstheme="majorBidi"/>
                                        <w:b/>
                                        <w:color w:val="FFFFFF" w:themeColor="background1"/>
                                        <w:sz w:val="72"/>
                                        <w:szCs w:val="72"/>
                                        <w:lang w:val="bg-BG"/>
                                      </w:rPr>
                                      <w:t>ГОДИШЕН ДОКЛАД</w:t>
                                    </w:r>
                                  </w:sdtContent>
                                </w:sdt>
                              </w:p>
                            </w:tc>
                          </w:tr>
                          <w:tr w:rsidR="00B733CA">
                            <w:trPr>
                              <w:trHeight w:val="144"/>
                              <w:jc w:val="center"/>
                            </w:trPr>
                            <w:tc>
                              <w:tcPr>
                                <w:tcW w:w="0" w:type="auto"/>
                                <w:shd w:val="clear" w:color="auto" w:fill="918485" w:themeFill="accent5"/>
                                <w:tcMar>
                                  <w:top w:w="0" w:type="dxa"/>
                                  <w:bottom w:w="0" w:type="dxa"/>
                                </w:tcMar>
                                <w:vAlign w:val="center"/>
                              </w:tcPr>
                              <w:p w:rsidR="00B733CA" w:rsidRDefault="00B733CA">
                                <w:pPr>
                                  <w:pStyle w:val="NoSpacing"/>
                                  <w:rPr>
                                    <w:sz w:val="8"/>
                                    <w:szCs w:val="8"/>
                                  </w:rPr>
                                </w:pPr>
                              </w:p>
                            </w:tc>
                          </w:tr>
                          <w:tr w:rsidR="00B733CA">
                            <w:trPr>
                              <w:trHeight w:val="720"/>
                              <w:jc w:val="center"/>
                            </w:trPr>
                            <w:tc>
                              <w:tcPr>
                                <w:tcW w:w="0" w:type="auto"/>
                                <w:vAlign w:val="bottom"/>
                              </w:tcPr>
                              <w:p w:rsidR="00B733CA" w:rsidRDefault="00175DBC" w:rsidP="00A374CB">
                                <w:pPr>
                                  <w:pStyle w:val="NoSpacing"/>
                                  <w:suppressOverlap/>
                                  <w:jc w:val="center"/>
                                  <w:rPr>
                                    <w:rFonts w:asciiTheme="majorHAnsi" w:eastAsiaTheme="majorEastAsia" w:hAnsiTheme="majorHAnsi" w:cstheme="majorBidi"/>
                                    <w:i/>
                                    <w:iCs/>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B733CA">
                                      <w:rPr>
                                        <w:rFonts w:ascii="Times New Roman" w:hAnsi="Times New Roman"/>
                                        <w:sz w:val="36"/>
                                        <w:szCs w:val="36"/>
                                        <w:lang w:val="bg-BG"/>
                                      </w:rPr>
                                      <w:t>за наблюдение изпълнението на  Регионалния план за развитие на Югоизточен район за 2014 г.</w:t>
                                    </w:r>
                                  </w:sdtContent>
                                </w:sdt>
                              </w:p>
                            </w:tc>
                          </w:tr>
                        </w:tbl>
                        <w:p w:rsidR="00B733CA" w:rsidRDefault="00B733CA"/>
                      </w:txbxContent>
                    </v:textbox>
                    <w10:wrap anchorx="page" anchory="page"/>
                  </v:rect>
                </w:pict>
              </mc:Fallback>
            </mc:AlternateContent>
          </w:r>
          <w:r w:rsidR="005E4027" w:rsidRPr="0056111E">
            <w:rPr>
              <w:rFonts w:ascii="Times New Roman" w:hAnsi="Times New Roman"/>
              <w:lang w:val="bg-BG"/>
            </w:rPr>
            <w:br w:type="page"/>
          </w:r>
        </w:sdtContent>
      </w:sdt>
    </w:p>
    <w:p w:rsidR="00663C60" w:rsidRPr="0056111E" w:rsidRDefault="00175DBC">
      <w:pPr>
        <w:pStyle w:val="Title"/>
        <w:rPr>
          <w:rFonts w:ascii="Times New Roman" w:hAnsi="Times New Roman"/>
          <w:smallCaps w:val="0"/>
          <w:color w:val="9D3511" w:themeColor="accent1" w:themeShade="BF"/>
          <w:lang w:val="bg-BG"/>
        </w:rPr>
      </w:pPr>
      <w:sdt>
        <w:sdtPr>
          <w:rPr>
            <w:rFonts w:ascii="Times New Roman" w:hAnsi="Times New Roman"/>
            <w:smallCaps w:val="0"/>
            <w:color w:val="9D3511" w:themeColor="accent1" w:themeShade="BF"/>
            <w:lang w:val="bg-BG"/>
          </w:rPr>
          <w:alias w:val="Title"/>
          <w:tag w:val="Title"/>
          <w:id w:val="11808329"/>
          <w:dataBinding w:prefixMappings="xmlns:ns0='http://schemas.openxmlformats.org/package/2006/metadata/core-properties' xmlns:ns1='http://purl.org/dc/elements/1.1/'" w:xpath="/ns0:coreProperties[1]/ns1:title[1]" w:storeItemID="{6C3C8BC8-F283-45AE-878A-BAB7291924A1}"/>
          <w:text/>
        </w:sdtPr>
        <w:sdtEndPr/>
        <w:sdtContent>
          <w:r w:rsidR="002842F1">
            <w:rPr>
              <w:rFonts w:ascii="Times New Roman" w:hAnsi="Times New Roman"/>
              <w:smallCaps w:val="0"/>
              <w:color w:val="9D3511" w:themeColor="accent1" w:themeShade="BF"/>
              <w:lang w:val="bg-BG"/>
            </w:rPr>
            <w:t>ГОДИШЕН ДОКЛАД</w:t>
          </w:r>
        </w:sdtContent>
      </w:sdt>
    </w:p>
    <w:p w:rsidR="00663C60" w:rsidRPr="0056111E" w:rsidRDefault="00175DBC" w:rsidP="00F26116">
      <w:pPr>
        <w:pStyle w:val="Subtitle"/>
        <w:rPr>
          <w:rFonts w:ascii="Times New Roman" w:hAnsi="Times New Roman" w:cs="Times New Roman"/>
          <w:lang w:val="bg-BG"/>
        </w:rPr>
      </w:pPr>
      <w:sdt>
        <w:sdtPr>
          <w:rPr>
            <w:rFonts w:ascii="Times New Roman" w:hAnsi="Times New Roman" w:cs="Times New Roman"/>
            <w:lang w:val="bg-BG"/>
          </w:rPr>
          <w:alias w:val="Subtitle"/>
          <w:tag w:val="Subtitle"/>
          <w:id w:val="11808339"/>
          <w:dataBinding w:prefixMappings="xmlns:ns0='http://schemas.openxmlformats.org/package/2006/metadata/core-properties' xmlns:ns1='http://purl.org/dc/elements/1.1/'" w:xpath="/ns0:coreProperties[1]/ns1:subject[1]" w:storeItemID="{6C3C8BC8-F283-45AE-878A-BAB7291924A1}"/>
          <w:text/>
        </w:sdtPr>
        <w:sdtEndPr/>
        <w:sdtContent>
          <w:r w:rsidR="004A5502" w:rsidRPr="0056111E">
            <w:rPr>
              <w:rFonts w:ascii="Times New Roman" w:hAnsi="Times New Roman" w:cs="Times New Roman"/>
              <w:lang w:val="bg-BG"/>
            </w:rPr>
            <w:t>за наблюдение изпълнението на  Регионалния план за развитие на Югоизточен район за 2014 г.</w:t>
          </w:r>
        </w:sdtContent>
      </w:sdt>
    </w:p>
    <w:p w:rsidR="00F26116" w:rsidRPr="0056111E" w:rsidRDefault="00040D56" w:rsidP="00F26116">
      <w:pPr>
        <w:pStyle w:val="Subtitle"/>
        <w:rPr>
          <w:rFonts w:ascii="Times New Roman" w:hAnsi="Times New Roman" w:cs="Times New Roman"/>
          <w:b/>
          <w:color w:val="9D3511" w:themeColor="accent1" w:themeShade="BF"/>
          <w:lang w:val="bg-BG"/>
        </w:rPr>
      </w:pPr>
      <w:r w:rsidRPr="0056111E">
        <w:rPr>
          <w:rFonts w:ascii="Times New Roman" w:hAnsi="Times New Roman" w:cs="Times New Roman"/>
          <w:b/>
          <w:color w:val="9D3511" w:themeColor="accent1" w:themeShade="BF"/>
          <w:lang w:val="bg-BG"/>
        </w:rPr>
        <w:t xml:space="preserve">СЪДЪРЖАНИЕ </w:t>
      </w:r>
    </w:p>
    <w:p w:rsidR="00F26116" w:rsidRPr="0056111E" w:rsidRDefault="00F26116" w:rsidP="00957FF6">
      <w:pPr>
        <w:pStyle w:val="title17"/>
        <w:numPr>
          <w:ilvl w:val="0"/>
          <w:numId w:val="6"/>
        </w:numPr>
        <w:spacing w:line="360" w:lineRule="auto"/>
        <w:ind w:left="567" w:hanging="207"/>
        <w:jc w:val="left"/>
        <w:rPr>
          <w:b w:val="0"/>
          <w:sz w:val="24"/>
          <w:szCs w:val="24"/>
        </w:rPr>
      </w:pPr>
      <w:r w:rsidRPr="0056111E">
        <w:rPr>
          <w:b w:val="0"/>
          <w:sz w:val="24"/>
          <w:szCs w:val="24"/>
        </w:rPr>
        <w:t>Въведение........................................................................................................</w:t>
      </w:r>
      <w:r w:rsidR="00F911B1" w:rsidRPr="0056111E">
        <w:rPr>
          <w:b w:val="0"/>
          <w:sz w:val="24"/>
          <w:szCs w:val="24"/>
        </w:rPr>
        <w:t>...</w:t>
      </w:r>
      <w:r w:rsidRPr="0056111E">
        <w:rPr>
          <w:b w:val="0"/>
          <w:sz w:val="24"/>
          <w:szCs w:val="24"/>
        </w:rPr>
        <w:t>.........</w:t>
      </w:r>
      <w:r w:rsidR="00C730D1">
        <w:rPr>
          <w:b w:val="0"/>
          <w:sz w:val="24"/>
          <w:szCs w:val="24"/>
        </w:rPr>
        <w:t>........</w:t>
      </w:r>
      <w:r w:rsidRPr="0056111E">
        <w:rPr>
          <w:b w:val="0"/>
          <w:sz w:val="24"/>
          <w:szCs w:val="24"/>
        </w:rPr>
        <w:t>.</w:t>
      </w:r>
      <w:r w:rsidR="003E5716">
        <w:rPr>
          <w:b w:val="0"/>
          <w:sz w:val="24"/>
          <w:szCs w:val="24"/>
        </w:rPr>
        <w:t>9</w:t>
      </w:r>
    </w:p>
    <w:p w:rsidR="00F26116" w:rsidRPr="0056111E" w:rsidRDefault="00F26116" w:rsidP="00957FF6">
      <w:pPr>
        <w:pStyle w:val="ListParagraph"/>
        <w:numPr>
          <w:ilvl w:val="0"/>
          <w:numId w:val="6"/>
        </w:numPr>
        <w:spacing w:line="360" w:lineRule="auto"/>
        <w:ind w:left="567" w:hanging="207"/>
        <w:textAlignment w:val="center"/>
        <w:rPr>
          <w:lang w:val="bg-BG"/>
        </w:rPr>
      </w:pPr>
      <w:r w:rsidRPr="0056111E">
        <w:rPr>
          <w:lang w:val="bg-BG"/>
        </w:rPr>
        <w:t xml:space="preserve">Общите условия за изпълнение на </w:t>
      </w:r>
      <w:r w:rsidR="003E5716">
        <w:rPr>
          <w:lang w:val="bg-BG"/>
        </w:rPr>
        <w:t xml:space="preserve">Регионалния </w:t>
      </w:r>
      <w:r w:rsidRPr="0056111E">
        <w:rPr>
          <w:lang w:val="bg-BG"/>
        </w:rPr>
        <w:t xml:space="preserve"> план за развитие на Югоизточен район и промени в социално - икономическите условия и политики за развитие на национално, регионално и местно ниво..........................................</w:t>
      </w:r>
      <w:r w:rsidR="00F911B1" w:rsidRPr="0056111E">
        <w:rPr>
          <w:lang w:val="bg-BG"/>
        </w:rPr>
        <w:t>..</w:t>
      </w:r>
      <w:r w:rsidRPr="0056111E">
        <w:rPr>
          <w:lang w:val="bg-BG"/>
        </w:rPr>
        <w:t>............</w:t>
      </w:r>
      <w:r w:rsidR="003E5716">
        <w:rPr>
          <w:lang w:val="bg-BG"/>
        </w:rPr>
        <w:t>...................10</w:t>
      </w:r>
    </w:p>
    <w:p w:rsidR="00F26116" w:rsidRPr="0056111E" w:rsidRDefault="00F26116" w:rsidP="00F26116">
      <w:pPr>
        <w:pStyle w:val="ListParagraph"/>
        <w:spacing w:line="360" w:lineRule="auto"/>
        <w:ind w:left="567" w:hanging="425"/>
        <w:textAlignment w:val="center"/>
        <w:rPr>
          <w:lang w:val="bg-BG"/>
        </w:rPr>
      </w:pPr>
      <w:r w:rsidRPr="0056111E">
        <w:rPr>
          <w:lang w:val="bg-BG"/>
        </w:rPr>
        <w:t xml:space="preserve">1. </w:t>
      </w:r>
      <w:r w:rsidRPr="0056111E">
        <w:rPr>
          <w:lang w:val="bg-BG"/>
        </w:rPr>
        <w:tab/>
        <w:t>Общ</w:t>
      </w:r>
      <w:r w:rsidR="003E5716">
        <w:rPr>
          <w:lang w:val="bg-BG"/>
        </w:rPr>
        <w:t>а</w:t>
      </w:r>
      <w:r w:rsidRPr="0056111E">
        <w:rPr>
          <w:lang w:val="bg-BG"/>
        </w:rPr>
        <w:t xml:space="preserve"> условия за изпълнение на </w:t>
      </w:r>
      <w:r w:rsidR="003E5716">
        <w:rPr>
          <w:lang w:val="bg-BG"/>
        </w:rPr>
        <w:t xml:space="preserve">Регионалния </w:t>
      </w:r>
      <w:r w:rsidRPr="0056111E">
        <w:rPr>
          <w:lang w:val="bg-BG"/>
        </w:rPr>
        <w:t xml:space="preserve"> план за развитие на Югоизточния район и промени в социално - икономическите </w:t>
      </w:r>
      <w:r w:rsidR="003E5716" w:rsidRPr="0056111E">
        <w:rPr>
          <w:lang w:val="bg-BG"/>
        </w:rPr>
        <w:t>условия</w:t>
      </w:r>
      <w:r w:rsidR="003E5716" w:rsidRPr="003E5716">
        <w:rPr>
          <w:lang w:val="bg-BG"/>
        </w:rPr>
        <w:t>.</w:t>
      </w:r>
      <w:r w:rsidR="003E5716">
        <w:rPr>
          <w:lang w:val="bg-BG"/>
        </w:rPr>
        <w:t xml:space="preserve"> </w:t>
      </w:r>
      <w:r w:rsidRPr="0056111E">
        <w:rPr>
          <w:lang w:val="bg-BG"/>
        </w:rPr>
        <w:t>…………</w:t>
      </w:r>
      <w:r w:rsidR="00F911B1" w:rsidRPr="0056111E">
        <w:rPr>
          <w:lang w:val="bg-BG"/>
        </w:rPr>
        <w:t>..</w:t>
      </w:r>
      <w:r w:rsidRPr="0056111E">
        <w:rPr>
          <w:lang w:val="bg-BG"/>
        </w:rPr>
        <w:t>…</w:t>
      </w:r>
      <w:r w:rsidR="003E5716">
        <w:rPr>
          <w:lang w:val="bg-BG"/>
        </w:rPr>
        <w:t>……………</w:t>
      </w:r>
      <w:r w:rsidRPr="0056111E">
        <w:rPr>
          <w:lang w:val="bg-BG"/>
        </w:rPr>
        <w:t>...</w:t>
      </w:r>
      <w:r w:rsidR="003E5716">
        <w:rPr>
          <w:lang w:val="bg-BG"/>
        </w:rPr>
        <w:t>10</w:t>
      </w:r>
    </w:p>
    <w:p w:rsidR="00F26116" w:rsidRDefault="00F26116" w:rsidP="00F26116">
      <w:pPr>
        <w:pStyle w:val="ListParagraph"/>
        <w:spacing w:line="360" w:lineRule="auto"/>
        <w:ind w:left="0"/>
        <w:textAlignment w:val="center"/>
        <w:rPr>
          <w:lang w:val="bg-BG"/>
        </w:rPr>
      </w:pPr>
      <w:r w:rsidRPr="0056111E">
        <w:rPr>
          <w:lang w:val="bg-BG"/>
        </w:rPr>
        <w:t xml:space="preserve">  1.</w:t>
      </w:r>
      <w:r w:rsidR="00E97562">
        <w:rPr>
          <w:lang w:val="bg-BG"/>
        </w:rPr>
        <w:t>1</w:t>
      </w:r>
      <w:r w:rsidRPr="0056111E">
        <w:rPr>
          <w:lang w:val="bg-BG"/>
        </w:rPr>
        <w:t>.  Анализ и тенденции в изменението на основните икономически показатели…</w:t>
      </w:r>
      <w:r w:rsidR="00F911B1" w:rsidRPr="0056111E">
        <w:rPr>
          <w:lang w:val="bg-BG"/>
        </w:rPr>
        <w:t>..</w:t>
      </w:r>
      <w:r w:rsidRPr="0056111E">
        <w:rPr>
          <w:lang w:val="bg-BG"/>
        </w:rPr>
        <w:t xml:space="preserve">… </w:t>
      </w:r>
      <w:r w:rsidR="00E97562">
        <w:rPr>
          <w:lang w:val="bg-BG"/>
        </w:rPr>
        <w:t>.</w:t>
      </w:r>
      <w:r w:rsidRPr="0056111E">
        <w:rPr>
          <w:lang w:val="bg-BG"/>
        </w:rPr>
        <w:t>1</w:t>
      </w:r>
      <w:r w:rsidR="00E97562">
        <w:rPr>
          <w:lang w:val="bg-BG"/>
        </w:rPr>
        <w:t>0</w:t>
      </w:r>
    </w:p>
    <w:p w:rsidR="009A4ADC" w:rsidRPr="0056111E" w:rsidRDefault="009A4ADC" w:rsidP="009A4ADC">
      <w:pPr>
        <w:pStyle w:val="ListParagraph"/>
        <w:spacing w:line="360" w:lineRule="auto"/>
        <w:ind w:left="567" w:hanging="709"/>
        <w:textAlignment w:val="center"/>
        <w:rPr>
          <w:lang w:val="bg-BG"/>
        </w:rPr>
      </w:pPr>
      <w:r>
        <w:rPr>
          <w:lang w:val="bg-BG"/>
        </w:rPr>
        <w:t xml:space="preserve">    1.2. </w:t>
      </w:r>
      <w:r w:rsidRPr="009A4ADC">
        <w:rPr>
          <w:rFonts w:hint="cs"/>
          <w:lang w:val="bg-BG"/>
        </w:rPr>
        <w:t>Анализ</w:t>
      </w:r>
      <w:r w:rsidRPr="009A4ADC">
        <w:rPr>
          <w:lang w:val="bg-BG"/>
        </w:rPr>
        <w:t xml:space="preserve"> </w:t>
      </w:r>
      <w:r w:rsidRPr="009A4ADC">
        <w:rPr>
          <w:rFonts w:hint="cs"/>
          <w:lang w:val="bg-BG"/>
        </w:rPr>
        <w:t>на</w:t>
      </w:r>
      <w:r w:rsidRPr="009A4ADC">
        <w:rPr>
          <w:lang w:val="bg-BG"/>
        </w:rPr>
        <w:t xml:space="preserve"> </w:t>
      </w:r>
      <w:r w:rsidRPr="009A4ADC">
        <w:rPr>
          <w:rFonts w:hint="cs"/>
          <w:lang w:val="bg-BG"/>
        </w:rPr>
        <w:t>изпълнението</w:t>
      </w:r>
      <w:r w:rsidRPr="009A4ADC">
        <w:rPr>
          <w:lang w:val="bg-BG"/>
        </w:rPr>
        <w:t xml:space="preserve"> </w:t>
      </w:r>
      <w:r w:rsidRPr="009A4ADC">
        <w:rPr>
          <w:rFonts w:hint="cs"/>
          <w:lang w:val="bg-BG"/>
        </w:rPr>
        <w:t>на</w:t>
      </w:r>
      <w:r w:rsidRPr="009A4ADC">
        <w:rPr>
          <w:lang w:val="bg-BG"/>
        </w:rPr>
        <w:t xml:space="preserve"> </w:t>
      </w:r>
      <w:r w:rsidRPr="009A4ADC">
        <w:rPr>
          <w:rFonts w:hint="cs"/>
          <w:lang w:val="bg-BG"/>
        </w:rPr>
        <w:t>оперативните</w:t>
      </w:r>
      <w:r w:rsidRPr="009A4ADC">
        <w:rPr>
          <w:lang w:val="bg-BG"/>
        </w:rPr>
        <w:t xml:space="preserve"> </w:t>
      </w:r>
      <w:r w:rsidRPr="009A4ADC">
        <w:rPr>
          <w:rFonts w:hint="cs"/>
          <w:lang w:val="bg-BG"/>
        </w:rPr>
        <w:t>програми</w:t>
      </w:r>
      <w:r w:rsidRPr="009A4ADC">
        <w:rPr>
          <w:lang w:val="bg-BG"/>
        </w:rPr>
        <w:t xml:space="preserve">, </w:t>
      </w:r>
      <w:r w:rsidRPr="009A4ADC">
        <w:rPr>
          <w:rFonts w:hint="cs"/>
          <w:lang w:val="bg-BG"/>
        </w:rPr>
        <w:t>съфинансирани</w:t>
      </w:r>
      <w:r w:rsidRPr="009A4ADC">
        <w:rPr>
          <w:lang w:val="bg-BG"/>
        </w:rPr>
        <w:t xml:space="preserve"> </w:t>
      </w:r>
      <w:r w:rsidRPr="009A4ADC">
        <w:rPr>
          <w:rFonts w:hint="cs"/>
          <w:lang w:val="bg-BG"/>
        </w:rPr>
        <w:t>от</w:t>
      </w:r>
      <w:r w:rsidRPr="009A4ADC">
        <w:rPr>
          <w:lang w:val="bg-BG"/>
        </w:rPr>
        <w:t xml:space="preserve"> </w:t>
      </w:r>
      <w:r w:rsidRPr="009A4ADC">
        <w:rPr>
          <w:rFonts w:hint="cs"/>
          <w:lang w:val="bg-BG"/>
        </w:rPr>
        <w:t>ЕФРР</w:t>
      </w:r>
      <w:r w:rsidRPr="009A4ADC">
        <w:rPr>
          <w:lang w:val="bg-BG"/>
        </w:rPr>
        <w:t xml:space="preserve">, </w:t>
      </w:r>
      <w:r w:rsidRPr="009A4ADC">
        <w:rPr>
          <w:rFonts w:hint="cs"/>
          <w:lang w:val="bg-BG"/>
        </w:rPr>
        <w:t>ЕСФ</w:t>
      </w:r>
      <w:r w:rsidRPr="009A4ADC">
        <w:rPr>
          <w:lang w:val="bg-BG"/>
        </w:rPr>
        <w:t xml:space="preserve"> </w:t>
      </w:r>
      <w:r w:rsidRPr="009A4ADC">
        <w:rPr>
          <w:rFonts w:hint="cs"/>
          <w:lang w:val="bg-BG"/>
        </w:rPr>
        <w:t>и</w:t>
      </w:r>
      <w:r w:rsidRPr="009A4ADC">
        <w:rPr>
          <w:lang w:val="bg-BG"/>
        </w:rPr>
        <w:t xml:space="preserve"> </w:t>
      </w:r>
      <w:r>
        <w:rPr>
          <w:lang w:val="bg-BG"/>
        </w:rPr>
        <w:t xml:space="preserve">   </w:t>
      </w:r>
      <w:r w:rsidRPr="009A4ADC">
        <w:rPr>
          <w:rFonts w:hint="cs"/>
          <w:lang w:val="bg-BG"/>
        </w:rPr>
        <w:t>КФ</w:t>
      </w:r>
      <w:r w:rsidRPr="009A4ADC">
        <w:rPr>
          <w:lang w:val="bg-BG"/>
        </w:rPr>
        <w:t xml:space="preserve"> </w:t>
      </w:r>
      <w:r w:rsidRPr="009A4ADC">
        <w:rPr>
          <w:rFonts w:hint="cs"/>
          <w:lang w:val="bg-BG"/>
        </w:rPr>
        <w:t>на</w:t>
      </w:r>
      <w:r w:rsidRPr="009A4ADC">
        <w:rPr>
          <w:lang w:val="bg-BG"/>
        </w:rPr>
        <w:t xml:space="preserve"> </w:t>
      </w:r>
      <w:r w:rsidRPr="009A4ADC">
        <w:rPr>
          <w:rFonts w:hint="cs"/>
          <w:lang w:val="bg-BG"/>
        </w:rPr>
        <w:t>територията</w:t>
      </w:r>
      <w:r w:rsidRPr="009A4ADC">
        <w:rPr>
          <w:lang w:val="bg-BG"/>
        </w:rPr>
        <w:t xml:space="preserve"> </w:t>
      </w:r>
      <w:r w:rsidRPr="009A4ADC">
        <w:rPr>
          <w:rFonts w:hint="cs"/>
          <w:lang w:val="bg-BG"/>
        </w:rPr>
        <w:t>на</w:t>
      </w:r>
      <w:r w:rsidRPr="009A4ADC">
        <w:rPr>
          <w:lang w:val="bg-BG"/>
        </w:rPr>
        <w:t xml:space="preserve"> </w:t>
      </w:r>
      <w:r w:rsidRPr="009A4ADC">
        <w:rPr>
          <w:rFonts w:hint="cs"/>
          <w:lang w:val="bg-BG"/>
        </w:rPr>
        <w:t>Югоизточен</w:t>
      </w:r>
      <w:r w:rsidRPr="009A4ADC">
        <w:rPr>
          <w:lang w:val="bg-BG"/>
        </w:rPr>
        <w:t xml:space="preserve"> </w:t>
      </w:r>
      <w:r w:rsidRPr="009A4ADC">
        <w:rPr>
          <w:rFonts w:hint="cs"/>
          <w:lang w:val="bg-BG"/>
        </w:rPr>
        <w:t>район</w:t>
      </w:r>
      <w:r>
        <w:rPr>
          <w:lang w:val="bg-BG"/>
        </w:rPr>
        <w:t>………………………………………….…..22</w:t>
      </w:r>
    </w:p>
    <w:p w:rsidR="00F26116" w:rsidRPr="0056111E" w:rsidRDefault="00F26116" w:rsidP="00F26116">
      <w:pPr>
        <w:pStyle w:val="ListParagraph"/>
        <w:spacing w:line="360" w:lineRule="auto"/>
        <w:ind w:left="0"/>
        <w:textAlignment w:val="center"/>
        <w:rPr>
          <w:lang w:val="bg-BG"/>
        </w:rPr>
      </w:pPr>
      <w:r w:rsidRPr="0056111E">
        <w:rPr>
          <w:lang w:val="bg-BG"/>
        </w:rPr>
        <w:t xml:space="preserve">  1.3.  Анализ и тенденции в изменението на демографските  показатели……………</w:t>
      </w:r>
      <w:r w:rsidR="00F911B1" w:rsidRPr="0056111E">
        <w:rPr>
          <w:lang w:val="bg-BG"/>
        </w:rPr>
        <w:t>.</w:t>
      </w:r>
      <w:r w:rsidRPr="0056111E">
        <w:rPr>
          <w:lang w:val="bg-BG"/>
        </w:rPr>
        <w:t>……2</w:t>
      </w:r>
      <w:r w:rsidR="009A4ADC">
        <w:rPr>
          <w:lang w:val="bg-BG"/>
        </w:rPr>
        <w:t>8</w:t>
      </w:r>
    </w:p>
    <w:p w:rsidR="00F26116" w:rsidRPr="0056111E" w:rsidRDefault="00F26116" w:rsidP="00F26116">
      <w:pPr>
        <w:pStyle w:val="ListParagraph"/>
        <w:spacing w:line="360" w:lineRule="auto"/>
        <w:ind w:left="567" w:hanging="567"/>
        <w:textAlignment w:val="center"/>
        <w:rPr>
          <w:lang w:val="bg-BG"/>
        </w:rPr>
      </w:pPr>
      <w:r w:rsidRPr="0056111E">
        <w:rPr>
          <w:lang w:val="bg-BG"/>
        </w:rPr>
        <w:t xml:space="preserve">  1.4.  Анализ и тенденции в изменението на показателите, характеризиращи пазара на труда, културата, образованието и здравеопазването……………………………...…..</w:t>
      </w:r>
      <w:r w:rsidR="009A4ADC">
        <w:rPr>
          <w:lang w:val="bg-BG"/>
        </w:rPr>
        <w:t>34</w:t>
      </w:r>
    </w:p>
    <w:p w:rsidR="00F26116" w:rsidRPr="0056111E" w:rsidRDefault="00F26116" w:rsidP="00F26116">
      <w:pPr>
        <w:pStyle w:val="ListParagraph"/>
        <w:spacing w:line="360" w:lineRule="auto"/>
        <w:ind w:left="567" w:hanging="567"/>
        <w:textAlignment w:val="center"/>
        <w:rPr>
          <w:lang w:val="bg-BG"/>
        </w:rPr>
      </w:pPr>
      <w:r w:rsidRPr="0056111E">
        <w:rPr>
          <w:lang w:val="bg-BG"/>
        </w:rPr>
        <w:t xml:space="preserve">  1.5.  Анализ и тенденции в изменението на основни инфраструктурни и екологични показатели……………………………………………………………………………...…</w:t>
      </w:r>
      <w:r w:rsidR="00353E81">
        <w:rPr>
          <w:lang w:val="bg-BG"/>
        </w:rPr>
        <w:t>46</w:t>
      </w:r>
    </w:p>
    <w:p w:rsidR="00F26116" w:rsidRPr="0056111E" w:rsidRDefault="00F26116" w:rsidP="00F26116">
      <w:pPr>
        <w:pStyle w:val="ListParagraph"/>
        <w:spacing w:line="360" w:lineRule="auto"/>
        <w:ind w:left="567" w:hanging="567"/>
        <w:textAlignment w:val="center"/>
        <w:rPr>
          <w:lang w:val="bg-BG"/>
        </w:rPr>
      </w:pPr>
      <w:r w:rsidRPr="0056111E">
        <w:rPr>
          <w:lang w:val="bg-BG"/>
        </w:rPr>
        <w:t xml:space="preserve">   2.    Промени в политиките за развитие на европейско, национално, регионално и местно ниво………………………………………………………………………………………..</w:t>
      </w:r>
      <w:r w:rsidR="00EC39F5">
        <w:rPr>
          <w:lang w:val="bg-BG"/>
        </w:rPr>
        <w:t>55</w:t>
      </w:r>
    </w:p>
    <w:p w:rsidR="00F26116" w:rsidRPr="0056111E" w:rsidRDefault="00F26116" w:rsidP="00957FF6">
      <w:pPr>
        <w:pStyle w:val="ListParagraph"/>
        <w:numPr>
          <w:ilvl w:val="0"/>
          <w:numId w:val="6"/>
        </w:numPr>
        <w:spacing w:line="360" w:lineRule="auto"/>
        <w:ind w:left="567" w:hanging="207"/>
        <w:textAlignment w:val="center"/>
        <w:rPr>
          <w:lang w:val="bg-BG"/>
        </w:rPr>
      </w:pPr>
      <w:r w:rsidRPr="0056111E">
        <w:rPr>
          <w:lang w:val="bg-BG"/>
        </w:rPr>
        <w:t>Постигнат напредък по изпълнението на целите и приоритетите на Регионален план за развитие  въз основа на индикаторите за наблюдение…………</w:t>
      </w:r>
      <w:r w:rsidR="00820D22">
        <w:rPr>
          <w:lang w:val="bg-BG"/>
        </w:rPr>
        <w:t>…………………..</w:t>
      </w:r>
      <w:r w:rsidRPr="0056111E">
        <w:rPr>
          <w:lang w:val="bg-BG"/>
        </w:rPr>
        <w:t xml:space="preserve"> </w:t>
      </w:r>
      <w:r w:rsidR="00820D22">
        <w:rPr>
          <w:lang w:val="bg-BG"/>
        </w:rPr>
        <w:t>66</w:t>
      </w:r>
    </w:p>
    <w:p w:rsidR="00F911B1" w:rsidRPr="008D65C9" w:rsidRDefault="008D65C9" w:rsidP="008D65C9">
      <w:pPr>
        <w:spacing w:line="360" w:lineRule="auto"/>
        <w:ind w:firstLine="360"/>
        <w:jc w:val="both"/>
        <w:textAlignment w:val="center"/>
        <w:rPr>
          <w:rFonts w:ascii="Times New Roman" w:hAnsi="Times New Roman"/>
          <w:sz w:val="24"/>
          <w:szCs w:val="24"/>
          <w:lang w:val="bg-BG"/>
        </w:rPr>
      </w:pPr>
      <w:r w:rsidRPr="008D65C9">
        <w:rPr>
          <w:rFonts w:ascii="Times New Roman" w:hAnsi="Times New Roman"/>
          <w:b/>
          <w:sz w:val="24"/>
          <w:szCs w:val="24"/>
          <w:lang w:val="bg-BG"/>
        </w:rPr>
        <w:t xml:space="preserve">   </w:t>
      </w:r>
      <w:r w:rsidR="00F911B1" w:rsidRPr="008D65C9">
        <w:rPr>
          <w:rFonts w:ascii="Times New Roman" w:hAnsi="Times New Roman"/>
          <w:b/>
          <w:sz w:val="24"/>
          <w:szCs w:val="24"/>
          <w:lang w:val="bg-BG"/>
        </w:rPr>
        <w:t>Стратегическа цел 1:</w:t>
      </w:r>
      <w:r w:rsidR="00F911B1" w:rsidRPr="008D65C9">
        <w:rPr>
          <w:rFonts w:ascii="Times New Roman" w:hAnsi="Times New Roman"/>
          <w:sz w:val="24"/>
          <w:szCs w:val="24"/>
          <w:lang w:val="bg-BG"/>
        </w:rPr>
        <w:t xml:space="preserve"> Икономическо сближаване на ЮИР на междурегионално </w:t>
      </w:r>
      <w:r w:rsidR="0050396A">
        <w:rPr>
          <w:rFonts w:ascii="Times New Roman" w:hAnsi="Times New Roman"/>
          <w:sz w:val="24"/>
          <w:szCs w:val="24"/>
          <w:lang w:val="bg-BG"/>
        </w:rPr>
        <w:t xml:space="preserve">  </w:t>
      </w:r>
      <w:r w:rsidR="00F911B1" w:rsidRPr="008D65C9">
        <w:rPr>
          <w:rFonts w:ascii="Times New Roman" w:hAnsi="Times New Roman"/>
          <w:sz w:val="24"/>
          <w:szCs w:val="24"/>
          <w:lang w:val="bg-BG"/>
        </w:rPr>
        <w:t xml:space="preserve">(с </w:t>
      </w:r>
      <w:r w:rsidR="0050396A">
        <w:rPr>
          <w:rFonts w:ascii="Times New Roman" w:hAnsi="Times New Roman"/>
          <w:sz w:val="24"/>
          <w:szCs w:val="24"/>
          <w:lang w:val="bg-BG"/>
        </w:rPr>
        <w:t xml:space="preserve"> </w:t>
      </w:r>
      <w:r w:rsidR="00F911B1" w:rsidRPr="008D65C9">
        <w:rPr>
          <w:rFonts w:ascii="Times New Roman" w:hAnsi="Times New Roman"/>
          <w:sz w:val="24"/>
          <w:szCs w:val="24"/>
          <w:lang w:val="bg-BG"/>
        </w:rPr>
        <w:t>другите райони от ниво 2 в страната) и вътрешнорегионално (между областите в рамките на района от ниво 2) ниво посредством използване на собствения потенциал на района в условията на щадящо околната среда развитие</w:t>
      </w:r>
      <w:r w:rsidR="00820D22" w:rsidRPr="008D65C9">
        <w:rPr>
          <w:rFonts w:ascii="Times New Roman" w:hAnsi="Times New Roman"/>
          <w:sz w:val="24"/>
          <w:szCs w:val="24"/>
          <w:lang w:val="bg-BG"/>
        </w:rPr>
        <w:t>……….…..</w:t>
      </w:r>
      <w:r>
        <w:rPr>
          <w:rFonts w:ascii="Times New Roman" w:hAnsi="Times New Roman"/>
          <w:sz w:val="24"/>
          <w:szCs w:val="24"/>
          <w:lang w:val="bg-BG"/>
        </w:rPr>
        <w:t>....................................................</w:t>
      </w:r>
      <w:r w:rsidR="00820D22" w:rsidRPr="008D65C9">
        <w:rPr>
          <w:rFonts w:ascii="Times New Roman" w:hAnsi="Times New Roman"/>
          <w:sz w:val="24"/>
          <w:szCs w:val="24"/>
          <w:lang w:val="bg-BG"/>
        </w:rPr>
        <w:t>.66</w:t>
      </w:r>
    </w:p>
    <w:p w:rsidR="00820D22" w:rsidRDefault="00820D22" w:rsidP="00820D22">
      <w:pPr>
        <w:pStyle w:val="ListParagraph"/>
        <w:spacing w:line="360" w:lineRule="auto"/>
        <w:jc w:val="both"/>
        <w:textAlignment w:val="center"/>
        <w:rPr>
          <w:b/>
          <w:lang w:val="bg-BG"/>
        </w:rPr>
      </w:pPr>
      <w:r w:rsidRPr="00820D22">
        <w:rPr>
          <w:rFonts w:hint="cs"/>
          <w:b/>
          <w:lang w:val="bg-BG"/>
        </w:rPr>
        <w:t>Приоритет</w:t>
      </w:r>
      <w:r w:rsidRPr="00820D22">
        <w:rPr>
          <w:b/>
          <w:lang w:val="bg-BG"/>
        </w:rPr>
        <w:t xml:space="preserve"> 1:</w:t>
      </w:r>
      <w:r>
        <w:rPr>
          <w:b/>
          <w:lang w:val="bg-BG"/>
        </w:rPr>
        <w:t xml:space="preserve"> </w:t>
      </w:r>
      <w:r w:rsidRPr="00820D22">
        <w:rPr>
          <w:rFonts w:hint="cs"/>
          <w:lang w:val="bg-BG"/>
        </w:rPr>
        <w:t>Повишаване</w:t>
      </w:r>
      <w:r w:rsidRPr="00820D22">
        <w:rPr>
          <w:lang w:val="bg-BG"/>
        </w:rPr>
        <w:t xml:space="preserve"> </w:t>
      </w:r>
      <w:r w:rsidRPr="00820D22">
        <w:rPr>
          <w:rFonts w:hint="cs"/>
          <w:lang w:val="bg-BG"/>
        </w:rPr>
        <w:t>конкурентоспособността</w:t>
      </w:r>
      <w:r w:rsidRPr="00820D22">
        <w:rPr>
          <w:lang w:val="bg-BG"/>
        </w:rPr>
        <w:t xml:space="preserve"> </w:t>
      </w:r>
      <w:r w:rsidRPr="00820D22">
        <w:rPr>
          <w:rFonts w:hint="cs"/>
          <w:lang w:val="bg-BG"/>
        </w:rPr>
        <w:t>на</w:t>
      </w:r>
      <w:r w:rsidRPr="00820D22">
        <w:rPr>
          <w:lang w:val="bg-BG"/>
        </w:rPr>
        <w:t xml:space="preserve"> </w:t>
      </w:r>
      <w:r w:rsidRPr="00820D22">
        <w:rPr>
          <w:rFonts w:hint="cs"/>
          <w:lang w:val="bg-BG"/>
        </w:rPr>
        <w:t>регионалната</w:t>
      </w:r>
      <w:r w:rsidRPr="00820D22">
        <w:rPr>
          <w:lang w:val="bg-BG"/>
        </w:rPr>
        <w:t xml:space="preserve"> </w:t>
      </w:r>
      <w:r w:rsidRPr="00820D22">
        <w:rPr>
          <w:rFonts w:hint="cs"/>
          <w:lang w:val="bg-BG"/>
        </w:rPr>
        <w:t>икономика</w:t>
      </w:r>
      <w:r w:rsidRPr="00820D22">
        <w:rPr>
          <w:lang w:val="bg-BG"/>
        </w:rPr>
        <w:t xml:space="preserve"> </w:t>
      </w:r>
      <w:r w:rsidRPr="00820D22">
        <w:rPr>
          <w:rFonts w:hint="cs"/>
          <w:lang w:val="bg-BG"/>
        </w:rPr>
        <w:t>и</w:t>
      </w:r>
      <w:r w:rsidRPr="00820D22">
        <w:rPr>
          <w:lang w:val="bg-BG"/>
        </w:rPr>
        <w:t xml:space="preserve"> </w:t>
      </w:r>
      <w:r w:rsidRPr="00820D22">
        <w:rPr>
          <w:rFonts w:hint="cs"/>
          <w:lang w:val="bg-BG"/>
        </w:rPr>
        <w:t>подкрепа</w:t>
      </w:r>
      <w:r w:rsidRPr="00820D22">
        <w:rPr>
          <w:lang w:val="bg-BG"/>
        </w:rPr>
        <w:t xml:space="preserve"> </w:t>
      </w:r>
      <w:r w:rsidRPr="00820D22">
        <w:rPr>
          <w:rFonts w:hint="cs"/>
          <w:lang w:val="bg-BG"/>
        </w:rPr>
        <w:t>за</w:t>
      </w:r>
      <w:r w:rsidRPr="00820D22">
        <w:rPr>
          <w:lang w:val="bg-BG"/>
        </w:rPr>
        <w:t xml:space="preserve"> </w:t>
      </w:r>
      <w:r w:rsidRPr="00820D22">
        <w:rPr>
          <w:rFonts w:hint="cs"/>
          <w:lang w:val="bg-BG"/>
        </w:rPr>
        <w:t>малкия</w:t>
      </w:r>
      <w:r w:rsidRPr="00820D22">
        <w:rPr>
          <w:lang w:val="bg-BG"/>
        </w:rPr>
        <w:t xml:space="preserve"> </w:t>
      </w:r>
      <w:r w:rsidRPr="00820D22">
        <w:rPr>
          <w:rFonts w:hint="cs"/>
          <w:lang w:val="bg-BG"/>
        </w:rPr>
        <w:t>и</w:t>
      </w:r>
      <w:r w:rsidRPr="00820D22">
        <w:rPr>
          <w:lang w:val="bg-BG"/>
        </w:rPr>
        <w:t xml:space="preserve"> </w:t>
      </w:r>
      <w:r w:rsidRPr="00820D22">
        <w:rPr>
          <w:rFonts w:hint="cs"/>
          <w:lang w:val="bg-BG"/>
        </w:rPr>
        <w:t>средния</w:t>
      </w:r>
      <w:r w:rsidRPr="00820D22">
        <w:rPr>
          <w:lang w:val="bg-BG"/>
        </w:rPr>
        <w:t xml:space="preserve"> </w:t>
      </w:r>
      <w:r w:rsidRPr="00820D22">
        <w:rPr>
          <w:rFonts w:hint="cs"/>
          <w:lang w:val="bg-BG"/>
        </w:rPr>
        <w:t>бизнес</w:t>
      </w:r>
      <w:r w:rsidRPr="00820D22">
        <w:rPr>
          <w:lang w:val="bg-BG"/>
        </w:rPr>
        <w:t xml:space="preserve"> </w:t>
      </w:r>
      <w:r w:rsidRPr="00820D22">
        <w:rPr>
          <w:rFonts w:hint="cs"/>
          <w:lang w:val="bg-BG"/>
        </w:rPr>
        <w:t>в</w:t>
      </w:r>
      <w:r w:rsidRPr="00820D22">
        <w:rPr>
          <w:lang w:val="bg-BG"/>
        </w:rPr>
        <w:t xml:space="preserve"> </w:t>
      </w:r>
      <w:r w:rsidRPr="00820D22">
        <w:rPr>
          <w:rFonts w:hint="cs"/>
          <w:lang w:val="bg-BG"/>
        </w:rPr>
        <w:t>Югоизточен</w:t>
      </w:r>
      <w:r w:rsidRPr="00820D22">
        <w:rPr>
          <w:lang w:val="bg-BG"/>
        </w:rPr>
        <w:t xml:space="preserve"> </w:t>
      </w:r>
      <w:r w:rsidRPr="00820D22">
        <w:rPr>
          <w:rFonts w:hint="cs"/>
          <w:lang w:val="bg-BG"/>
        </w:rPr>
        <w:t>район</w:t>
      </w:r>
      <w:r w:rsidRPr="00820D22">
        <w:rPr>
          <w:lang w:val="bg-BG"/>
        </w:rPr>
        <w:t>…………………………66</w:t>
      </w:r>
    </w:p>
    <w:p w:rsidR="00820D22" w:rsidRDefault="00820D22" w:rsidP="00820D22">
      <w:pPr>
        <w:pStyle w:val="ListParagraph"/>
        <w:spacing w:line="360" w:lineRule="auto"/>
        <w:jc w:val="both"/>
        <w:textAlignment w:val="center"/>
        <w:rPr>
          <w:b/>
          <w:lang w:val="bg-BG"/>
        </w:rPr>
      </w:pPr>
      <w:r w:rsidRPr="00820D22">
        <w:rPr>
          <w:rFonts w:hint="cs"/>
          <w:b/>
          <w:lang w:val="bg-BG"/>
        </w:rPr>
        <w:lastRenderedPageBreak/>
        <w:t>Приоритет</w:t>
      </w:r>
      <w:r w:rsidRPr="00820D22">
        <w:rPr>
          <w:b/>
          <w:lang w:val="bg-BG"/>
        </w:rPr>
        <w:t xml:space="preserve"> 2</w:t>
      </w:r>
      <w:r>
        <w:rPr>
          <w:b/>
          <w:lang w:val="bg-BG"/>
        </w:rPr>
        <w:t>:</w:t>
      </w:r>
      <w:r w:rsidRPr="00820D22">
        <w:rPr>
          <w:b/>
          <w:lang w:val="bg-BG"/>
        </w:rPr>
        <w:t xml:space="preserve"> </w:t>
      </w:r>
      <w:r w:rsidRPr="00820D22">
        <w:rPr>
          <w:rFonts w:hint="cs"/>
          <w:lang w:val="bg-BG"/>
        </w:rPr>
        <w:t>Развитие</w:t>
      </w:r>
      <w:r w:rsidRPr="00820D22">
        <w:rPr>
          <w:lang w:val="bg-BG"/>
        </w:rPr>
        <w:t xml:space="preserve"> </w:t>
      </w:r>
      <w:r w:rsidRPr="00820D22">
        <w:rPr>
          <w:rFonts w:hint="cs"/>
          <w:lang w:val="bg-BG"/>
        </w:rPr>
        <w:t>на</w:t>
      </w:r>
      <w:r w:rsidRPr="00820D22">
        <w:rPr>
          <w:lang w:val="bg-BG"/>
        </w:rPr>
        <w:t xml:space="preserve"> </w:t>
      </w:r>
      <w:r w:rsidRPr="00820D22">
        <w:rPr>
          <w:rFonts w:hint="cs"/>
          <w:lang w:val="bg-BG"/>
        </w:rPr>
        <w:t>устойчиви</w:t>
      </w:r>
      <w:r w:rsidRPr="00820D22">
        <w:rPr>
          <w:lang w:val="bg-BG"/>
        </w:rPr>
        <w:t xml:space="preserve"> </w:t>
      </w:r>
      <w:r w:rsidRPr="00820D22">
        <w:rPr>
          <w:rFonts w:hint="cs"/>
          <w:lang w:val="bg-BG"/>
        </w:rPr>
        <w:t>форми</w:t>
      </w:r>
      <w:r w:rsidRPr="00820D22">
        <w:rPr>
          <w:lang w:val="bg-BG"/>
        </w:rPr>
        <w:t xml:space="preserve"> </w:t>
      </w:r>
      <w:r w:rsidRPr="00820D22">
        <w:rPr>
          <w:rFonts w:hint="cs"/>
          <w:lang w:val="bg-BG"/>
        </w:rPr>
        <w:t>на</w:t>
      </w:r>
      <w:r w:rsidRPr="00820D22">
        <w:rPr>
          <w:lang w:val="bg-BG"/>
        </w:rPr>
        <w:t xml:space="preserve"> </w:t>
      </w:r>
      <w:r w:rsidRPr="00820D22">
        <w:rPr>
          <w:rFonts w:hint="cs"/>
          <w:lang w:val="bg-BG"/>
        </w:rPr>
        <w:t>туризъм</w:t>
      </w:r>
      <w:r w:rsidRPr="00820D22">
        <w:rPr>
          <w:lang w:val="bg-BG"/>
        </w:rPr>
        <w:t xml:space="preserve"> </w:t>
      </w:r>
      <w:r w:rsidRPr="00820D22">
        <w:rPr>
          <w:rFonts w:hint="cs"/>
          <w:lang w:val="bg-BG"/>
        </w:rPr>
        <w:t>и</w:t>
      </w:r>
      <w:r w:rsidRPr="00820D22">
        <w:rPr>
          <w:lang w:val="bg-BG"/>
        </w:rPr>
        <w:t xml:space="preserve"> </w:t>
      </w:r>
      <w:r w:rsidRPr="00820D22">
        <w:rPr>
          <w:rFonts w:hint="cs"/>
          <w:lang w:val="bg-BG"/>
        </w:rPr>
        <w:t>на</w:t>
      </w:r>
      <w:r w:rsidRPr="00820D22">
        <w:rPr>
          <w:lang w:val="bg-BG"/>
        </w:rPr>
        <w:t xml:space="preserve"> </w:t>
      </w:r>
      <w:r w:rsidRPr="00820D22">
        <w:rPr>
          <w:rFonts w:hint="cs"/>
          <w:lang w:val="bg-BG"/>
        </w:rPr>
        <w:t>културните</w:t>
      </w:r>
      <w:r w:rsidRPr="00820D22">
        <w:rPr>
          <w:lang w:val="bg-BG"/>
        </w:rPr>
        <w:t xml:space="preserve"> </w:t>
      </w:r>
      <w:r w:rsidRPr="00820D22">
        <w:rPr>
          <w:rFonts w:hint="cs"/>
          <w:lang w:val="bg-BG"/>
        </w:rPr>
        <w:t>и</w:t>
      </w:r>
      <w:r w:rsidRPr="00820D22">
        <w:rPr>
          <w:lang w:val="bg-BG"/>
        </w:rPr>
        <w:t xml:space="preserve"> </w:t>
      </w:r>
      <w:r w:rsidRPr="00820D22">
        <w:rPr>
          <w:rFonts w:hint="cs"/>
          <w:lang w:val="bg-BG"/>
        </w:rPr>
        <w:t>творческите</w:t>
      </w:r>
      <w:r w:rsidRPr="00820D22">
        <w:rPr>
          <w:lang w:val="bg-BG"/>
        </w:rPr>
        <w:t xml:space="preserve"> </w:t>
      </w:r>
      <w:r w:rsidRPr="00820D22">
        <w:rPr>
          <w:rFonts w:hint="cs"/>
          <w:lang w:val="bg-BG"/>
        </w:rPr>
        <w:t>индустрии</w:t>
      </w:r>
      <w:r w:rsidRPr="00820D22">
        <w:rPr>
          <w:lang w:val="bg-BG"/>
        </w:rPr>
        <w:t xml:space="preserve"> </w:t>
      </w:r>
      <w:r w:rsidRPr="00820D22">
        <w:rPr>
          <w:rFonts w:hint="cs"/>
          <w:lang w:val="bg-BG"/>
        </w:rPr>
        <w:t>в</w:t>
      </w:r>
      <w:r w:rsidRPr="00820D22">
        <w:rPr>
          <w:lang w:val="bg-BG"/>
        </w:rPr>
        <w:t xml:space="preserve"> </w:t>
      </w:r>
      <w:r w:rsidRPr="00820D22">
        <w:rPr>
          <w:rFonts w:hint="cs"/>
          <w:lang w:val="bg-BG"/>
        </w:rPr>
        <w:t>Югоизточен</w:t>
      </w:r>
      <w:r w:rsidRPr="00820D22">
        <w:rPr>
          <w:lang w:val="bg-BG"/>
        </w:rPr>
        <w:t xml:space="preserve"> </w:t>
      </w:r>
      <w:r w:rsidRPr="00820D22">
        <w:rPr>
          <w:rFonts w:hint="cs"/>
          <w:lang w:val="bg-BG"/>
        </w:rPr>
        <w:t>район</w:t>
      </w:r>
      <w:r w:rsidRPr="00820D22">
        <w:rPr>
          <w:lang w:val="bg-BG"/>
        </w:rPr>
        <w:t>………………………………………</w:t>
      </w:r>
      <w:r w:rsidR="00D06098">
        <w:rPr>
          <w:lang w:val="bg-BG"/>
        </w:rPr>
        <w:t>.</w:t>
      </w:r>
      <w:r w:rsidRPr="00820D22">
        <w:rPr>
          <w:lang w:val="bg-BG"/>
        </w:rPr>
        <w:t>.</w:t>
      </w:r>
      <w:r w:rsidR="00D06098">
        <w:rPr>
          <w:lang w:val="bg-BG"/>
        </w:rPr>
        <w:t>.</w:t>
      </w:r>
      <w:r w:rsidRPr="00820D22">
        <w:rPr>
          <w:lang w:val="bg-BG"/>
        </w:rPr>
        <w:t>73</w:t>
      </w:r>
    </w:p>
    <w:p w:rsidR="00820D22" w:rsidRPr="00820D22" w:rsidRDefault="00820D22" w:rsidP="00820D22">
      <w:pPr>
        <w:pStyle w:val="ListParagraph"/>
        <w:spacing w:line="360" w:lineRule="auto"/>
        <w:jc w:val="both"/>
        <w:textAlignment w:val="center"/>
        <w:rPr>
          <w:lang w:val="bg-BG"/>
        </w:rPr>
      </w:pPr>
      <w:r w:rsidRPr="00820D22">
        <w:rPr>
          <w:rFonts w:hint="cs"/>
          <w:b/>
          <w:lang w:val="bg-BG"/>
        </w:rPr>
        <w:t>Приоритет</w:t>
      </w:r>
      <w:r w:rsidRPr="00820D22">
        <w:rPr>
          <w:b/>
          <w:lang w:val="bg-BG"/>
        </w:rPr>
        <w:t xml:space="preserve"> </w:t>
      </w:r>
      <w:r>
        <w:rPr>
          <w:b/>
          <w:lang w:val="bg-BG"/>
        </w:rPr>
        <w:t>3:</w:t>
      </w:r>
      <w:r w:rsidRPr="00820D22">
        <w:rPr>
          <w:b/>
          <w:lang w:val="bg-BG"/>
        </w:rPr>
        <w:t xml:space="preserve">  </w:t>
      </w:r>
      <w:r w:rsidRPr="00820D22">
        <w:rPr>
          <w:rFonts w:hint="cs"/>
          <w:lang w:val="bg-BG"/>
        </w:rPr>
        <w:t>Развитие</w:t>
      </w:r>
      <w:r w:rsidRPr="00820D22">
        <w:rPr>
          <w:lang w:val="bg-BG"/>
        </w:rPr>
        <w:t xml:space="preserve"> </w:t>
      </w:r>
      <w:r w:rsidRPr="00820D22">
        <w:rPr>
          <w:rFonts w:hint="cs"/>
          <w:lang w:val="bg-BG"/>
        </w:rPr>
        <w:t>на</w:t>
      </w:r>
      <w:r w:rsidRPr="00820D22">
        <w:rPr>
          <w:lang w:val="bg-BG"/>
        </w:rPr>
        <w:t xml:space="preserve"> </w:t>
      </w:r>
      <w:r w:rsidRPr="00820D22">
        <w:rPr>
          <w:rFonts w:hint="cs"/>
          <w:lang w:val="bg-BG"/>
        </w:rPr>
        <w:t>инфраструктурата</w:t>
      </w:r>
      <w:r w:rsidRPr="00820D22">
        <w:rPr>
          <w:lang w:val="bg-BG"/>
        </w:rPr>
        <w:t xml:space="preserve"> </w:t>
      </w:r>
      <w:r w:rsidRPr="00820D22">
        <w:rPr>
          <w:rFonts w:hint="cs"/>
          <w:lang w:val="bg-BG"/>
        </w:rPr>
        <w:t>за</w:t>
      </w:r>
      <w:r w:rsidRPr="00820D22">
        <w:rPr>
          <w:lang w:val="bg-BG"/>
        </w:rPr>
        <w:t xml:space="preserve"> </w:t>
      </w:r>
      <w:r w:rsidRPr="00820D22">
        <w:rPr>
          <w:rFonts w:hint="cs"/>
          <w:lang w:val="bg-BG"/>
        </w:rPr>
        <w:t>опазване</w:t>
      </w:r>
      <w:r w:rsidRPr="00820D22">
        <w:rPr>
          <w:lang w:val="bg-BG"/>
        </w:rPr>
        <w:t xml:space="preserve"> </w:t>
      </w:r>
      <w:r w:rsidRPr="00820D22">
        <w:rPr>
          <w:rFonts w:hint="cs"/>
          <w:lang w:val="bg-BG"/>
        </w:rPr>
        <w:t>на</w:t>
      </w:r>
      <w:r w:rsidRPr="00820D22">
        <w:rPr>
          <w:lang w:val="bg-BG"/>
        </w:rPr>
        <w:t xml:space="preserve"> </w:t>
      </w:r>
      <w:r w:rsidRPr="00820D22">
        <w:rPr>
          <w:rFonts w:hint="cs"/>
          <w:lang w:val="bg-BG"/>
        </w:rPr>
        <w:t>околната</w:t>
      </w:r>
      <w:r w:rsidRPr="00820D22">
        <w:rPr>
          <w:lang w:val="bg-BG"/>
        </w:rPr>
        <w:t xml:space="preserve"> </w:t>
      </w:r>
      <w:r w:rsidRPr="00820D22">
        <w:rPr>
          <w:rFonts w:hint="cs"/>
          <w:lang w:val="bg-BG"/>
        </w:rPr>
        <w:t>среда</w:t>
      </w:r>
      <w:r w:rsidRPr="00820D22">
        <w:rPr>
          <w:lang w:val="bg-BG"/>
        </w:rPr>
        <w:t xml:space="preserve"> </w:t>
      </w:r>
      <w:r w:rsidRPr="00820D22">
        <w:rPr>
          <w:rFonts w:hint="cs"/>
          <w:lang w:val="bg-BG"/>
        </w:rPr>
        <w:t>в</w:t>
      </w:r>
      <w:r w:rsidRPr="00820D22">
        <w:rPr>
          <w:lang w:val="bg-BG"/>
        </w:rPr>
        <w:t xml:space="preserve"> </w:t>
      </w:r>
      <w:r w:rsidRPr="00820D22">
        <w:rPr>
          <w:rFonts w:hint="cs"/>
          <w:lang w:val="bg-BG"/>
        </w:rPr>
        <w:t>Югоизточен</w:t>
      </w:r>
      <w:r w:rsidRPr="00820D22">
        <w:rPr>
          <w:lang w:val="bg-BG"/>
        </w:rPr>
        <w:t xml:space="preserve"> </w:t>
      </w:r>
      <w:r w:rsidRPr="00820D22">
        <w:rPr>
          <w:rFonts w:hint="cs"/>
          <w:lang w:val="bg-BG"/>
        </w:rPr>
        <w:t>район</w:t>
      </w:r>
      <w:r>
        <w:rPr>
          <w:lang w:val="bg-BG"/>
        </w:rPr>
        <w:t>…………………………………………………………………….</w:t>
      </w:r>
      <w:r w:rsidR="00D06098">
        <w:rPr>
          <w:lang w:val="bg-BG"/>
        </w:rPr>
        <w:t>.</w:t>
      </w:r>
      <w:r>
        <w:rPr>
          <w:lang w:val="bg-BG"/>
        </w:rPr>
        <w:t>.84</w:t>
      </w:r>
    </w:p>
    <w:p w:rsidR="00F911B1" w:rsidRPr="0056111E" w:rsidRDefault="00F911B1" w:rsidP="00820D22">
      <w:pPr>
        <w:pStyle w:val="ListParagraph"/>
        <w:spacing w:line="360" w:lineRule="auto"/>
        <w:jc w:val="both"/>
        <w:textAlignment w:val="center"/>
        <w:rPr>
          <w:lang w:val="bg-BG"/>
        </w:rPr>
      </w:pPr>
      <w:r w:rsidRPr="0056111E">
        <w:rPr>
          <w:b/>
          <w:lang w:val="bg-BG"/>
        </w:rPr>
        <w:t>Стратегическа цел 2:</w:t>
      </w:r>
      <w:r w:rsidRPr="0056111E">
        <w:rPr>
          <w:lang w:val="bg-BG"/>
        </w:rPr>
        <w:t xml:space="preserve">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r w:rsidR="00514E27" w:rsidRPr="0056111E">
        <w:rPr>
          <w:lang w:val="bg-BG"/>
        </w:rPr>
        <w:t>…………………………………………………………..</w:t>
      </w:r>
      <w:r w:rsidRPr="0056111E">
        <w:rPr>
          <w:lang w:val="bg-BG"/>
        </w:rPr>
        <w:t xml:space="preserve"> </w:t>
      </w:r>
      <w:r w:rsidR="00D06098">
        <w:rPr>
          <w:lang w:val="bg-BG"/>
        </w:rPr>
        <w:t>.</w:t>
      </w:r>
      <w:r w:rsidR="00820D22">
        <w:rPr>
          <w:lang w:val="bg-BG"/>
        </w:rPr>
        <w:t>89</w:t>
      </w:r>
    </w:p>
    <w:p w:rsidR="00820D22" w:rsidRPr="00820D22" w:rsidRDefault="00820D22" w:rsidP="00F911B1">
      <w:pPr>
        <w:pStyle w:val="ListParagraph"/>
        <w:spacing w:line="360" w:lineRule="auto"/>
        <w:textAlignment w:val="center"/>
        <w:rPr>
          <w:lang w:val="bg-BG"/>
        </w:rPr>
      </w:pPr>
      <w:r w:rsidRPr="00820D22">
        <w:rPr>
          <w:rFonts w:hint="cs"/>
          <w:b/>
          <w:lang w:val="bg-BG"/>
        </w:rPr>
        <w:t>Приоритет</w:t>
      </w:r>
      <w:r w:rsidRPr="00820D22">
        <w:rPr>
          <w:b/>
          <w:lang w:val="bg-BG"/>
        </w:rPr>
        <w:t xml:space="preserve"> 1:</w:t>
      </w:r>
      <w:r>
        <w:rPr>
          <w:b/>
          <w:lang w:val="bg-BG"/>
        </w:rPr>
        <w:t xml:space="preserve"> </w:t>
      </w:r>
      <w:r w:rsidRPr="00820D22">
        <w:rPr>
          <w:rFonts w:hint="cs"/>
          <w:lang w:val="bg-BG"/>
        </w:rPr>
        <w:t>Подобряване</w:t>
      </w:r>
      <w:r w:rsidRPr="00820D22">
        <w:rPr>
          <w:lang w:val="bg-BG"/>
        </w:rPr>
        <w:t xml:space="preserve"> </w:t>
      </w:r>
      <w:r w:rsidRPr="00820D22">
        <w:rPr>
          <w:rFonts w:hint="cs"/>
          <w:lang w:val="bg-BG"/>
        </w:rPr>
        <w:t>на</w:t>
      </w:r>
      <w:r w:rsidRPr="00820D22">
        <w:rPr>
          <w:lang w:val="bg-BG"/>
        </w:rPr>
        <w:t xml:space="preserve"> </w:t>
      </w:r>
      <w:r w:rsidRPr="00820D22">
        <w:rPr>
          <w:rFonts w:hint="cs"/>
          <w:lang w:val="bg-BG"/>
        </w:rPr>
        <w:t>достъпа</w:t>
      </w:r>
      <w:r w:rsidRPr="00820D22">
        <w:rPr>
          <w:lang w:val="bg-BG"/>
        </w:rPr>
        <w:t xml:space="preserve"> </w:t>
      </w:r>
      <w:r w:rsidRPr="00820D22">
        <w:rPr>
          <w:rFonts w:hint="cs"/>
          <w:lang w:val="bg-BG"/>
        </w:rPr>
        <w:t>до</w:t>
      </w:r>
      <w:r w:rsidRPr="00820D22">
        <w:rPr>
          <w:lang w:val="bg-BG"/>
        </w:rPr>
        <w:t xml:space="preserve"> </w:t>
      </w:r>
      <w:r w:rsidRPr="00820D22">
        <w:rPr>
          <w:rFonts w:hint="cs"/>
          <w:lang w:val="bg-BG"/>
        </w:rPr>
        <w:t>образователни</w:t>
      </w:r>
      <w:r w:rsidRPr="00820D22">
        <w:rPr>
          <w:lang w:val="bg-BG"/>
        </w:rPr>
        <w:t xml:space="preserve">, </w:t>
      </w:r>
      <w:r w:rsidRPr="00820D22">
        <w:rPr>
          <w:rFonts w:hint="cs"/>
          <w:lang w:val="bg-BG"/>
        </w:rPr>
        <w:t>здравни</w:t>
      </w:r>
      <w:r w:rsidRPr="00820D22">
        <w:rPr>
          <w:lang w:val="bg-BG"/>
        </w:rPr>
        <w:t xml:space="preserve">, </w:t>
      </w:r>
      <w:r w:rsidRPr="00820D22">
        <w:rPr>
          <w:rFonts w:hint="cs"/>
          <w:lang w:val="bg-BG"/>
        </w:rPr>
        <w:t>социални</w:t>
      </w:r>
      <w:r w:rsidRPr="00820D22">
        <w:rPr>
          <w:lang w:val="bg-BG"/>
        </w:rPr>
        <w:t xml:space="preserve">, </w:t>
      </w:r>
      <w:r w:rsidRPr="00820D22">
        <w:rPr>
          <w:rFonts w:hint="cs"/>
          <w:lang w:val="bg-BG"/>
        </w:rPr>
        <w:t>културни</w:t>
      </w:r>
      <w:r w:rsidRPr="00820D22">
        <w:rPr>
          <w:lang w:val="bg-BG"/>
        </w:rPr>
        <w:t xml:space="preserve"> </w:t>
      </w:r>
      <w:r w:rsidRPr="00820D22">
        <w:rPr>
          <w:rFonts w:hint="cs"/>
          <w:lang w:val="bg-BG"/>
        </w:rPr>
        <w:t>услуги</w:t>
      </w:r>
      <w:r w:rsidRPr="00820D22">
        <w:rPr>
          <w:lang w:val="bg-BG"/>
        </w:rPr>
        <w:t xml:space="preserve"> </w:t>
      </w:r>
      <w:r w:rsidRPr="00820D22">
        <w:rPr>
          <w:rFonts w:hint="cs"/>
          <w:lang w:val="bg-BG"/>
        </w:rPr>
        <w:t>и</w:t>
      </w:r>
      <w:r w:rsidRPr="00820D22">
        <w:rPr>
          <w:lang w:val="bg-BG"/>
        </w:rPr>
        <w:t xml:space="preserve"> </w:t>
      </w:r>
      <w:r w:rsidRPr="00820D22">
        <w:rPr>
          <w:rFonts w:hint="cs"/>
          <w:lang w:val="bg-BG"/>
        </w:rPr>
        <w:t>развитие</w:t>
      </w:r>
      <w:r w:rsidRPr="00820D22">
        <w:rPr>
          <w:lang w:val="bg-BG"/>
        </w:rPr>
        <w:t xml:space="preserve"> </w:t>
      </w:r>
      <w:r w:rsidRPr="00820D22">
        <w:rPr>
          <w:rFonts w:hint="cs"/>
          <w:lang w:val="bg-BG"/>
        </w:rPr>
        <w:t>на</w:t>
      </w:r>
      <w:r w:rsidRPr="00820D22">
        <w:rPr>
          <w:lang w:val="bg-BG"/>
        </w:rPr>
        <w:t xml:space="preserve"> </w:t>
      </w:r>
      <w:r w:rsidRPr="00820D22">
        <w:rPr>
          <w:rFonts w:hint="cs"/>
          <w:lang w:val="bg-BG"/>
        </w:rPr>
        <w:t>спортната</w:t>
      </w:r>
      <w:r w:rsidRPr="00820D22">
        <w:rPr>
          <w:lang w:val="bg-BG"/>
        </w:rPr>
        <w:t xml:space="preserve"> </w:t>
      </w:r>
      <w:r w:rsidRPr="00820D22">
        <w:rPr>
          <w:rFonts w:hint="cs"/>
          <w:lang w:val="bg-BG"/>
        </w:rPr>
        <w:t>инфраструктура</w:t>
      </w:r>
      <w:r w:rsidRPr="00820D22">
        <w:rPr>
          <w:lang w:val="bg-BG"/>
        </w:rPr>
        <w:t xml:space="preserve"> </w:t>
      </w:r>
      <w:r w:rsidRPr="00820D22">
        <w:rPr>
          <w:rFonts w:hint="cs"/>
          <w:lang w:val="bg-BG"/>
        </w:rPr>
        <w:t>в</w:t>
      </w:r>
      <w:r w:rsidRPr="00820D22">
        <w:rPr>
          <w:lang w:val="bg-BG"/>
        </w:rPr>
        <w:t xml:space="preserve"> </w:t>
      </w:r>
      <w:r w:rsidRPr="00820D22">
        <w:rPr>
          <w:rFonts w:hint="cs"/>
          <w:lang w:val="bg-BG"/>
        </w:rPr>
        <w:t>Югоизточен</w:t>
      </w:r>
      <w:r w:rsidRPr="00820D22">
        <w:rPr>
          <w:lang w:val="bg-BG"/>
        </w:rPr>
        <w:t xml:space="preserve"> </w:t>
      </w:r>
      <w:r w:rsidRPr="00820D22">
        <w:rPr>
          <w:rFonts w:hint="cs"/>
          <w:lang w:val="bg-BG"/>
        </w:rPr>
        <w:t>район</w:t>
      </w:r>
      <w:r>
        <w:rPr>
          <w:lang w:val="bg-BG"/>
        </w:rPr>
        <w:t>…89</w:t>
      </w:r>
    </w:p>
    <w:p w:rsidR="00820D22" w:rsidRDefault="00820D22" w:rsidP="00820D22">
      <w:pPr>
        <w:pStyle w:val="ListParagraph"/>
        <w:spacing w:line="360" w:lineRule="auto"/>
        <w:textAlignment w:val="center"/>
        <w:rPr>
          <w:b/>
          <w:lang w:val="bg-BG"/>
        </w:rPr>
      </w:pPr>
      <w:r w:rsidRPr="00820D22">
        <w:rPr>
          <w:rFonts w:hint="cs"/>
          <w:b/>
          <w:lang w:val="bg-BG"/>
        </w:rPr>
        <w:t>Приоритет</w:t>
      </w:r>
      <w:r>
        <w:rPr>
          <w:b/>
          <w:lang w:val="bg-BG"/>
        </w:rPr>
        <w:t xml:space="preserve"> </w:t>
      </w:r>
      <w:r w:rsidRPr="00820D22">
        <w:rPr>
          <w:b/>
          <w:lang w:val="bg-BG"/>
        </w:rPr>
        <w:t>2</w:t>
      </w:r>
      <w:r>
        <w:rPr>
          <w:b/>
          <w:lang w:val="bg-BG"/>
        </w:rPr>
        <w:t xml:space="preserve">: </w:t>
      </w:r>
      <w:r w:rsidRPr="00820D22">
        <w:rPr>
          <w:rFonts w:hint="cs"/>
          <w:lang w:val="bg-BG"/>
        </w:rPr>
        <w:t>Подобряване</w:t>
      </w:r>
      <w:r w:rsidRPr="00820D22">
        <w:rPr>
          <w:lang w:val="bg-BG"/>
        </w:rPr>
        <w:t xml:space="preserve"> </w:t>
      </w:r>
      <w:r w:rsidRPr="00820D22">
        <w:rPr>
          <w:rFonts w:hint="cs"/>
          <w:lang w:val="bg-BG"/>
        </w:rPr>
        <w:t>на</w:t>
      </w:r>
      <w:r w:rsidRPr="00820D22">
        <w:rPr>
          <w:lang w:val="bg-BG"/>
        </w:rPr>
        <w:t xml:space="preserve"> </w:t>
      </w:r>
      <w:r w:rsidRPr="00820D22">
        <w:rPr>
          <w:rFonts w:hint="cs"/>
          <w:lang w:val="bg-BG"/>
        </w:rPr>
        <w:t>качествените</w:t>
      </w:r>
      <w:r w:rsidRPr="00820D22">
        <w:rPr>
          <w:lang w:val="bg-BG"/>
        </w:rPr>
        <w:t xml:space="preserve"> </w:t>
      </w:r>
      <w:r w:rsidRPr="00820D22">
        <w:rPr>
          <w:rFonts w:hint="cs"/>
          <w:lang w:val="bg-BG"/>
        </w:rPr>
        <w:t>характеристики</w:t>
      </w:r>
      <w:r w:rsidRPr="00820D22">
        <w:rPr>
          <w:lang w:val="bg-BG"/>
        </w:rPr>
        <w:t xml:space="preserve"> </w:t>
      </w:r>
      <w:r w:rsidRPr="00820D22">
        <w:rPr>
          <w:rFonts w:hint="cs"/>
          <w:lang w:val="bg-BG"/>
        </w:rPr>
        <w:t>и</w:t>
      </w:r>
      <w:r w:rsidRPr="00820D22">
        <w:rPr>
          <w:lang w:val="bg-BG"/>
        </w:rPr>
        <w:t xml:space="preserve"> </w:t>
      </w:r>
      <w:r w:rsidRPr="00820D22">
        <w:rPr>
          <w:rFonts w:hint="cs"/>
          <w:lang w:val="bg-BG"/>
        </w:rPr>
        <w:t>конкурентоспособността на</w:t>
      </w:r>
      <w:r w:rsidRPr="00820D22">
        <w:rPr>
          <w:lang w:val="bg-BG"/>
        </w:rPr>
        <w:t xml:space="preserve"> </w:t>
      </w:r>
      <w:r w:rsidRPr="00820D22">
        <w:rPr>
          <w:rFonts w:hint="cs"/>
          <w:lang w:val="bg-BG"/>
        </w:rPr>
        <w:t>човешките</w:t>
      </w:r>
      <w:r w:rsidRPr="00820D22">
        <w:rPr>
          <w:lang w:val="bg-BG"/>
        </w:rPr>
        <w:t xml:space="preserve"> </w:t>
      </w:r>
      <w:r w:rsidRPr="00820D22">
        <w:rPr>
          <w:rFonts w:hint="cs"/>
          <w:lang w:val="bg-BG"/>
        </w:rPr>
        <w:t>ресурси</w:t>
      </w:r>
      <w:r w:rsidRPr="00820D22">
        <w:rPr>
          <w:lang w:val="bg-BG"/>
        </w:rPr>
        <w:t xml:space="preserve"> </w:t>
      </w:r>
      <w:r w:rsidRPr="00820D22">
        <w:rPr>
          <w:rFonts w:hint="cs"/>
          <w:lang w:val="bg-BG"/>
        </w:rPr>
        <w:t>в</w:t>
      </w:r>
      <w:r w:rsidRPr="00820D22">
        <w:rPr>
          <w:lang w:val="bg-BG"/>
        </w:rPr>
        <w:t xml:space="preserve"> </w:t>
      </w:r>
      <w:r w:rsidRPr="00820D22">
        <w:rPr>
          <w:rFonts w:hint="cs"/>
          <w:lang w:val="bg-BG"/>
        </w:rPr>
        <w:t>Югоизточен</w:t>
      </w:r>
      <w:r w:rsidRPr="00820D22">
        <w:rPr>
          <w:lang w:val="bg-BG"/>
        </w:rPr>
        <w:t xml:space="preserve"> </w:t>
      </w:r>
      <w:r w:rsidRPr="00820D22">
        <w:rPr>
          <w:rFonts w:hint="cs"/>
          <w:lang w:val="bg-BG"/>
        </w:rPr>
        <w:t>район</w:t>
      </w:r>
      <w:r>
        <w:rPr>
          <w:lang w:val="bg-BG"/>
        </w:rPr>
        <w:t>……………</w:t>
      </w:r>
      <w:r w:rsidR="00D06098">
        <w:rPr>
          <w:lang w:val="bg-BG"/>
        </w:rPr>
        <w:t>.</w:t>
      </w:r>
      <w:r>
        <w:rPr>
          <w:lang w:val="bg-BG"/>
        </w:rPr>
        <w:t>.99</w:t>
      </w:r>
    </w:p>
    <w:p w:rsidR="00820D22" w:rsidRDefault="00820D22" w:rsidP="00820D22">
      <w:pPr>
        <w:pStyle w:val="ListParagraph"/>
        <w:tabs>
          <w:tab w:val="left" w:pos="3525"/>
        </w:tabs>
        <w:spacing w:line="360" w:lineRule="auto"/>
        <w:textAlignment w:val="center"/>
        <w:rPr>
          <w:b/>
          <w:lang w:val="bg-BG"/>
        </w:rPr>
      </w:pPr>
      <w:r w:rsidRPr="00820D22">
        <w:rPr>
          <w:rFonts w:hint="cs"/>
          <w:b/>
          <w:lang w:val="bg-BG"/>
        </w:rPr>
        <w:t>Приоритет</w:t>
      </w:r>
      <w:r w:rsidRPr="00820D22">
        <w:rPr>
          <w:b/>
          <w:lang w:val="bg-BG"/>
        </w:rPr>
        <w:t xml:space="preserve"> </w:t>
      </w:r>
      <w:r>
        <w:rPr>
          <w:b/>
          <w:lang w:val="bg-BG"/>
        </w:rPr>
        <w:t>3:</w:t>
      </w:r>
      <w:r w:rsidRPr="00820D22">
        <w:rPr>
          <w:b/>
          <w:lang w:val="bg-BG"/>
        </w:rPr>
        <w:t xml:space="preserve">  </w:t>
      </w:r>
      <w:r w:rsidRPr="00820D22">
        <w:rPr>
          <w:rFonts w:hint="cs"/>
          <w:lang w:val="bg-BG"/>
        </w:rPr>
        <w:t>Укрепване</w:t>
      </w:r>
      <w:r w:rsidRPr="00820D22">
        <w:rPr>
          <w:lang w:val="bg-BG"/>
        </w:rPr>
        <w:t xml:space="preserve"> </w:t>
      </w:r>
      <w:r w:rsidRPr="00820D22">
        <w:rPr>
          <w:rFonts w:hint="cs"/>
          <w:lang w:val="bg-BG"/>
        </w:rPr>
        <w:t>на</w:t>
      </w:r>
      <w:r w:rsidRPr="00820D22">
        <w:rPr>
          <w:lang w:val="bg-BG"/>
        </w:rPr>
        <w:t xml:space="preserve"> </w:t>
      </w:r>
      <w:r w:rsidRPr="00820D22">
        <w:rPr>
          <w:rFonts w:hint="cs"/>
          <w:lang w:val="bg-BG"/>
        </w:rPr>
        <w:t>административния</w:t>
      </w:r>
      <w:r w:rsidRPr="00820D22">
        <w:rPr>
          <w:lang w:val="bg-BG"/>
        </w:rPr>
        <w:t xml:space="preserve"> </w:t>
      </w:r>
      <w:r w:rsidRPr="00820D22">
        <w:rPr>
          <w:rFonts w:hint="cs"/>
          <w:lang w:val="bg-BG"/>
        </w:rPr>
        <w:t>капацитет</w:t>
      </w:r>
      <w:r w:rsidRPr="00820D22">
        <w:rPr>
          <w:lang w:val="bg-BG"/>
        </w:rPr>
        <w:t xml:space="preserve"> </w:t>
      </w:r>
      <w:r w:rsidRPr="00820D22">
        <w:rPr>
          <w:rFonts w:hint="cs"/>
          <w:lang w:val="bg-BG"/>
        </w:rPr>
        <w:t>на</w:t>
      </w:r>
      <w:r w:rsidRPr="00820D22">
        <w:rPr>
          <w:lang w:val="bg-BG"/>
        </w:rPr>
        <w:t xml:space="preserve"> </w:t>
      </w:r>
      <w:r w:rsidRPr="00820D22">
        <w:rPr>
          <w:rFonts w:hint="cs"/>
          <w:lang w:val="bg-BG"/>
        </w:rPr>
        <w:t>местните</w:t>
      </w:r>
      <w:r w:rsidRPr="00820D22">
        <w:rPr>
          <w:lang w:val="bg-BG"/>
        </w:rPr>
        <w:t xml:space="preserve"> </w:t>
      </w:r>
      <w:r w:rsidRPr="00820D22">
        <w:rPr>
          <w:rFonts w:hint="cs"/>
          <w:lang w:val="bg-BG"/>
        </w:rPr>
        <w:t>и</w:t>
      </w:r>
      <w:r w:rsidRPr="00820D22">
        <w:rPr>
          <w:lang w:val="bg-BG"/>
        </w:rPr>
        <w:t xml:space="preserve"> </w:t>
      </w:r>
      <w:r w:rsidRPr="00820D22">
        <w:rPr>
          <w:rFonts w:hint="cs"/>
          <w:lang w:val="bg-BG"/>
        </w:rPr>
        <w:t>регионалните</w:t>
      </w:r>
      <w:r w:rsidRPr="00820D22">
        <w:rPr>
          <w:lang w:val="bg-BG"/>
        </w:rPr>
        <w:t xml:space="preserve"> </w:t>
      </w:r>
      <w:r w:rsidRPr="00820D22">
        <w:rPr>
          <w:rFonts w:hint="cs"/>
          <w:lang w:val="bg-BG"/>
        </w:rPr>
        <w:t>власти</w:t>
      </w:r>
      <w:r w:rsidRPr="00820D22">
        <w:rPr>
          <w:lang w:val="bg-BG"/>
        </w:rPr>
        <w:t xml:space="preserve"> </w:t>
      </w:r>
      <w:r w:rsidRPr="00820D22">
        <w:rPr>
          <w:rFonts w:hint="cs"/>
          <w:lang w:val="bg-BG"/>
        </w:rPr>
        <w:t>в</w:t>
      </w:r>
      <w:r w:rsidRPr="00820D22">
        <w:rPr>
          <w:lang w:val="bg-BG"/>
        </w:rPr>
        <w:t xml:space="preserve"> </w:t>
      </w:r>
      <w:r w:rsidRPr="00820D22">
        <w:rPr>
          <w:rFonts w:hint="cs"/>
          <w:lang w:val="bg-BG"/>
        </w:rPr>
        <w:t>Югоизточен</w:t>
      </w:r>
      <w:r w:rsidRPr="00820D22">
        <w:rPr>
          <w:lang w:val="bg-BG"/>
        </w:rPr>
        <w:t xml:space="preserve"> </w:t>
      </w:r>
      <w:r w:rsidRPr="00820D22">
        <w:rPr>
          <w:rFonts w:hint="cs"/>
          <w:lang w:val="bg-BG"/>
        </w:rPr>
        <w:t>район</w:t>
      </w:r>
      <w:r>
        <w:rPr>
          <w:lang w:val="bg-BG"/>
        </w:rPr>
        <w:t>…………………………………………</w:t>
      </w:r>
      <w:r w:rsidR="00D06098">
        <w:rPr>
          <w:lang w:val="bg-BG"/>
        </w:rPr>
        <w:t>.</w:t>
      </w:r>
      <w:r>
        <w:rPr>
          <w:lang w:val="bg-BG"/>
        </w:rPr>
        <w:t>.105</w:t>
      </w:r>
    </w:p>
    <w:p w:rsidR="00F911B1" w:rsidRPr="0056111E" w:rsidRDefault="00F911B1" w:rsidP="00F911B1">
      <w:pPr>
        <w:pStyle w:val="ListParagraph"/>
        <w:spacing w:line="360" w:lineRule="auto"/>
        <w:textAlignment w:val="center"/>
        <w:rPr>
          <w:lang w:val="bg-BG"/>
        </w:rPr>
      </w:pPr>
      <w:r w:rsidRPr="0056111E">
        <w:rPr>
          <w:b/>
          <w:lang w:val="bg-BG"/>
        </w:rPr>
        <w:t>Стратегическа цел 3</w:t>
      </w:r>
      <w:r w:rsidRPr="0056111E">
        <w:rPr>
          <w:lang w:val="bg-BG"/>
        </w:rPr>
        <w:t>: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r w:rsidR="008D65C9">
        <w:rPr>
          <w:lang w:val="bg-BG"/>
        </w:rPr>
        <w:t>…………………………</w:t>
      </w:r>
      <w:r w:rsidR="00D06098">
        <w:rPr>
          <w:lang w:val="bg-BG"/>
        </w:rPr>
        <w:t>.</w:t>
      </w:r>
      <w:r w:rsidR="008D65C9">
        <w:rPr>
          <w:lang w:val="bg-BG"/>
        </w:rPr>
        <w:t>…</w:t>
      </w:r>
      <w:r w:rsidR="00D06098">
        <w:rPr>
          <w:lang w:val="bg-BG"/>
        </w:rPr>
        <w:t>.</w:t>
      </w:r>
      <w:r w:rsidR="008D65C9">
        <w:rPr>
          <w:lang w:val="bg-BG"/>
        </w:rPr>
        <w:t>107</w:t>
      </w:r>
    </w:p>
    <w:p w:rsidR="008D65C9" w:rsidRDefault="008D65C9" w:rsidP="00F911B1">
      <w:pPr>
        <w:pStyle w:val="ListParagraph"/>
        <w:spacing w:line="360" w:lineRule="auto"/>
        <w:textAlignment w:val="center"/>
        <w:rPr>
          <w:lang w:val="bg-BG"/>
        </w:rPr>
      </w:pPr>
      <w:r w:rsidRPr="00820D22">
        <w:rPr>
          <w:rFonts w:hint="cs"/>
          <w:b/>
          <w:lang w:val="bg-BG"/>
        </w:rPr>
        <w:t>Приоритет</w:t>
      </w:r>
      <w:r w:rsidRPr="00820D22">
        <w:rPr>
          <w:b/>
          <w:lang w:val="bg-BG"/>
        </w:rPr>
        <w:t xml:space="preserve"> 1:</w:t>
      </w:r>
      <w:r w:rsidRPr="008D65C9">
        <w:t xml:space="preserve"> </w:t>
      </w:r>
      <w:r w:rsidRPr="008D65C9">
        <w:rPr>
          <w:rFonts w:hint="cs"/>
          <w:lang w:val="bg-BG"/>
        </w:rPr>
        <w:t>Развитие</w:t>
      </w:r>
      <w:r w:rsidRPr="008D65C9">
        <w:rPr>
          <w:lang w:val="bg-BG"/>
        </w:rPr>
        <w:t xml:space="preserve"> </w:t>
      </w:r>
      <w:r w:rsidRPr="008D65C9">
        <w:rPr>
          <w:rFonts w:hint="cs"/>
          <w:lang w:val="bg-BG"/>
        </w:rPr>
        <w:t>на</w:t>
      </w:r>
      <w:r w:rsidRPr="008D65C9">
        <w:rPr>
          <w:lang w:val="bg-BG"/>
        </w:rPr>
        <w:t xml:space="preserve"> </w:t>
      </w:r>
      <w:r w:rsidRPr="008D65C9">
        <w:rPr>
          <w:rFonts w:hint="cs"/>
          <w:lang w:val="bg-BG"/>
        </w:rPr>
        <w:t>трансграничното</w:t>
      </w:r>
      <w:r w:rsidRPr="008D65C9">
        <w:rPr>
          <w:lang w:val="bg-BG"/>
        </w:rPr>
        <w:t xml:space="preserve"> </w:t>
      </w:r>
      <w:r w:rsidRPr="008D65C9">
        <w:rPr>
          <w:rFonts w:hint="cs"/>
          <w:lang w:val="bg-BG"/>
        </w:rPr>
        <w:t>сътрудничество</w:t>
      </w:r>
      <w:r w:rsidRPr="008D65C9">
        <w:rPr>
          <w:lang w:val="bg-BG"/>
        </w:rPr>
        <w:t xml:space="preserve"> </w:t>
      </w:r>
      <w:r w:rsidRPr="008D65C9">
        <w:rPr>
          <w:rFonts w:hint="cs"/>
          <w:lang w:val="bg-BG"/>
        </w:rPr>
        <w:t>и</w:t>
      </w:r>
      <w:r w:rsidRPr="008D65C9">
        <w:rPr>
          <w:lang w:val="bg-BG"/>
        </w:rPr>
        <w:t xml:space="preserve"> </w:t>
      </w:r>
      <w:r w:rsidRPr="008D65C9">
        <w:rPr>
          <w:rFonts w:hint="cs"/>
          <w:lang w:val="bg-BG"/>
        </w:rPr>
        <w:t>мобилизиране</w:t>
      </w:r>
      <w:r w:rsidRPr="008D65C9">
        <w:rPr>
          <w:lang w:val="bg-BG"/>
        </w:rPr>
        <w:t xml:space="preserve"> </w:t>
      </w:r>
      <w:r w:rsidRPr="008D65C9">
        <w:rPr>
          <w:rFonts w:hint="cs"/>
          <w:lang w:val="bg-BG"/>
        </w:rPr>
        <w:t>потенциала</w:t>
      </w:r>
      <w:r w:rsidRPr="008D65C9">
        <w:rPr>
          <w:lang w:val="bg-BG"/>
        </w:rPr>
        <w:t xml:space="preserve"> </w:t>
      </w:r>
      <w:r w:rsidRPr="008D65C9">
        <w:rPr>
          <w:rFonts w:hint="cs"/>
          <w:lang w:val="bg-BG"/>
        </w:rPr>
        <w:t>на</w:t>
      </w:r>
      <w:r w:rsidRPr="008D65C9">
        <w:rPr>
          <w:lang w:val="bg-BG"/>
        </w:rPr>
        <w:t xml:space="preserve"> </w:t>
      </w:r>
      <w:r w:rsidRPr="008D65C9">
        <w:rPr>
          <w:rFonts w:hint="cs"/>
          <w:lang w:val="bg-BG"/>
        </w:rPr>
        <w:t>периферните</w:t>
      </w:r>
      <w:r w:rsidRPr="008D65C9">
        <w:rPr>
          <w:lang w:val="bg-BG"/>
        </w:rPr>
        <w:t xml:space="preserve"> </w:t>
      </w:r>
      <w:r w:rsidRPr="008D65C9">
        <w:rPr>
          <w:rFonts w:hint="cs"/>
          <w:lang w:val="bg-BG"/>
        </w:rPr>
        <w:t>гранични</w:t>
      </w:r>
      <w:r w:rsidRPr="008D65C9">
        <w:rPr>
          <w:lang w:val="bg-BG"/>
        </w:rPr>
        <w:t xml:space="preserve"> </w:t>
      </w:r>
      <w:r w:rsidRPr="008D65C9">
        <w:rPr>
          <w:rFonts w:hint="cs"/>
          <w:lang w:val="bg-BG"/>
        </w:rPr>
        <w:t>територии</w:t>
      </w:r>
      <w:r w:rsidRPr="008D65C9">
        <w:rPr>
          <w:lang w:val="bg-BG"/>
        </w:rPr>
        <w:t xml:space="preserve"> </w:t>
      </w:r>
      <w:r w:rsidRPr="008D65C9">
        <w:rPr>
          <w:rFonts w:hint="cs"/>
          <w:lang w:val="bg-BG"/>
        </w:rPr>
        <w:t>в</w:t>
      </w:r>
      <w:r w:rsidRPr="008D65C9">
        <w:rPr>
          <w:lang w:val="bg-BG"/>
        </w:rPr>
        <w:t xml:space="preserve"> </w:t>
      </w:r>
      <w:r w:rsidRPr="008D65C9">
        <w:rPr>
          <w:rFonts w:hint="cs"/>
          <w:lang w:val="bg-BG"/>
        </w:rPr>
        <w:t>Югоизточен</w:t>
      </w:r>
      <w:r w:rsidRPr="008D65C9">
        <w:rPr>
          <w:lang w:val="bg-BG"/>
        </w:rPr>
        <w:t xml:space="preserve"> </w:t>
      </w:r>
      <w:r w:rsidRPr="008D65C9">
        <w:rPr>
          <w:rFonts w:hint="cs"/>
          <w:lang w:val="bg-BG"/>
        </w:rPr>
        <w:t>район</w:t>
      </w:r>
      <w:r>
        <w:rPr>
          <w:lang w:val="bg-BG"/>
        </w:rPr>
        <w:t>………….</w:t>
      </w:r>
      <w:r w:rsidR="00D06098">
        <w:rPr>
          <w:lang w:val="bg-BG"/>
        </w:rPr>
        <w:t>.</w:t>
      </w:r>
      <w:r>
        <w:rPr>
          <w:lang w:val="bg-BG"/>
        </w:rPr>
        <w:t>107</w:t>
      </w:r>
    </w:p>
    <w:p w:rsidR="008D65C9" w:rsidRDefault="008D65C9" w:rsidP="00F911B1">
      <w:pPr>
        <w:pStyle w:val="ListParagraph"/>
        <w:spacing w:line="360" w:lineRule="auto"/>
        <w:textAlignment w:val="center"/>
        <w:rPr>
          <w:lang w:val="bg-BG"/>
        </w:rPr>
      </w:pPr>
      <w:r w:rsidRPr="00820D22">
        <w:rPr>
          <w:rFonts w:hint="cs"/>
          <w:b/>
          <w:lang w:val="bg-BG"/>
        </w:rPr>
        <w:t>Приоритет</w:t>
      </w:r>
      <w:r>
        <w:rPr>
          <w:b/>
          <w:lang w:val="bg-BG"/>
        </w:rPr>
        <w:t xml:space="preserve"> </w:t>
      </w:r>
      <w:r w:rsidRPr="00820D22">
        <w:rPr>
          <w:b/>
          <w:lang w:val="bg-BG"/>
        </w:rPr>
        <w:t>2</w:t>
      </w:r>
      <w:r>
        <w:rPr>
          <w:b/>
          <w:lang w:val="bg-BG"/>
        </w:rPr>
        <w:t>:</w:t>
      </w:r>
      <w:r w:rsidRPr="008D65C9">
        <w:t xml:space="preserve"> </w:t>
      </w:r>
      <w:r w:rsidRPr="008D65C9">
        <w:rPr>
          <w:rFonts w:hint="cs"/>
          <w:lang w:val="bg-BG"/>
        </w:rPr>
        <w:t>Развитие</w:t>
      </w:r>
      <w:r w:rsidRPr="008D65C9">
        <w:rPr>
          <w:lang w:val="bg-BG"/>
        </w:rPr>
        <w:t xml:space="preserve"> </w:t>
      </w:r>
      <w:r w:rsidRPr="008D65C9">
        <w:rPr>
          <w:rFonts w:hint="cs"/>
          <w:lang w:val="bg-BG"/>
        </w:rPr>
        <w:t>на</w:t>
      </w:r>
      <w:r w:rsidRPr="008D65C9">
        <w:rPr>
          <w:lang w:val="bg-BG"/>
        </w:rPr>
        <w:t xml:space="preserve"> </w:t>
      </w:r>
      <w:r w:rsidRPr="008D65C9">
        <w:rPr>
          <w:rFonts w:hint="cs"/>
          <w:lang w:val="bg-BG"/>
        </w:rPr>
        <w:t>трансграничното</w:t>
      </w:r>
      <w:r w:rsidRPr="008D65C9">
        <w:rPr>
          <w:lang w:val="bg-BG"/>
        </w:rPr>
        <w:t xml:space="preserve"> </w:t>
      </w:r>
      <w:r w:rsidRPr="008D65C9">
        <w:rPr>
          <w:rFonts w:hint="cs"/>
          <w:lang w:val="bg-BG"/>
        </w:rPr>
        <w:t>сътрудничество</w:t>
      </w:r>
      <w:r w:rsidRPr="008D65C9">
        <w:rPr>
          <w:lang w:val="bg-BG"/>
        </w:rPr>
        <w:t xml:space="preserve"> </w:t>
      </w:r>
      <w:r w:rsidRPr="008D65C9">
        <w:rPr>
          <w:rFonts w:hint="cs"/>
          <w:lang w:val="bg-BG"/>
        </w:rPr>
        <w:t>и</w:t>
      </w:r>
      <w:r w:rsidRPr="008D65C9">
        <w:rPr>
          <w:lang w:val="bg-BG"/>
        </w:rPr>
        <w:t xml:space="preserve"> </w:t>
      </w:r>
      <w:r w:rsidRPr="008D65C9">
        <w:rPr>
          <w:rFonts w:hint="cs"/>
          <w:lang w:val="bg-BG"/>
        </w:rPr>
        <w:t>мобилизиране</w:t>
      </w:r>
      <w:r w:rsidRPr="008D65C9">
        <w:rPr>
          <w:lang w:val="bg-BG"/>
        </w:rPr>
        <w:t xml:space="preserve"> </w:t>
      </w:r>
      <w:r w:rsidRPr="008D65C9">
        <w:rPr>
          <w:rFonts w:hint="cs"/>
          <w:lang w:val="bg-BG"/>
        </w:rPr>
        <w:t>потенциала</w:t>
      </w:r>
      <w:r w:rsidRPr="008D65C9">
        <w:rPr>
          <w:lang w:val="bg-BG"/>
        </w:rPr>
        <w:t xml:space="preserve"> </w:t>
      </w:r>
      <w:r w:rsidRPr="008D65C9">
        <w:rPr>
          <w:rFonts w:hint="cs"/>
          <w:lang w:val="bg-BG"/>
        </w:rPr>
        <w:t>на</w:t>
      </w:r>
      <w:r w:rsidRPr="008D65C9">
        <w:rPr>
          <w:lang w:val="bg-BG"/>
        </w:rPr>
        <w:t xml:space="preserve"> </w:t>
      </w:r>
      <w:r w:rsidRPr="008D65C9">
        <w:rPr>
          <w:rFonts w:hint="cs"/>
          <w:lang w:val="bg-BG"/>
        </w:rPr>
        <w:t>периферните</w:t>
      </w:r>
      <w:r w:rsidRPr="008D65C9">
        <w:rPr>
          <w:lang w:val="bg-BG"/>
        </w:rPr>
        <w:t xml:space="preserve"> </w:t>
      </w:r>
      <w:r w:rsidRPr="008D65C9">
        <w:rPr>
          <w:rFonts w:hint="cs"/>
          <w:lang w:val="bg-BG"/>
        </w:rPr>
        <w:t>гранични</w:t>
      </w:r>
      <w:r w:rsidRPr="008D65C9">
        <w:rPr>
          <w:lang w:val="bg-BG"/>
        </w:rPr>
        <w:t xml:space="preserve"> </w:t>
      </w:r>
      <w:r w:rsidRPr="008D65C9">
        <w:rPr>
          <w:rFonts w:hint="cs"/>
          <w:lang w:val="bg-BG"/>
        </w:rPr>
        <w:t>територии</w:t>
      </w:r>
      <w:r w:rsidRPr="008D65C9">
        <w:rPr>
          <w:lang w:val="bg-BG"/>
        </w:rPr>
        <w:t xml:space="preserve"> </w:t>
      </w:r>
      <w:r w:rsidRPr="008D65C9">
        <w:rPr>
          <w:rFonts w:hint="cs"/>
          <w:lang w:val="bg-BG"/>
        </w:rPr>
        <w:t>в</w:t>
      </w:r>
      <w:r w:rsidRPr="008D65C9">
        <w:rPr>
          <w:lang w:val="bg-BG"/>
        </w:rPr>
        <w:t xml:space="preserve"> </w:t>
      </w:r>
      <w:r w:rsidRPr="008D65C9">
        <w:rPr>
          <w:rFonts w:hint="cs"/>
          <w:lang w:val="bg-BG"/>
        </w:rPr>
        <w:t>Югоизточен</w:t>
      </w:r>
      <w:r w:rsidRPr="008D65C9">
        <w:rPr>
          <w:lang w:val="bg-BG"/>
        </w:rPr>
        <w:t xml:space="preserve"> </w:t>
      </w:r>
      <w:r w:rsidRPr="008D65C9">
        <w:rPr>
          <w:rFonts w:hint="cs"/>
          <w:lang w:val="bg-BG"/>
        </w:rPr>
        <w:t>район</w:t>
      </w:r>
      <w:r>
        <w:rPr>
          <w:lang w:val="bg-BG"/>
        </w:rPr>
        <w:t>…………</w:t>
      </w:r>
      <w:r w:rsidR="00D06098">
        <w:rPr>
          <w:lang w:val="bg-BG"/>
        </w:rPr>
        <w:t>.</w:t>
      </w:r>
      <w:r>
        <w:rPr>
          <w:lang w:val="bg-BG"/>
        </w:rPr>
        <w:t>.111</w:t>
      </w:r>
    </w:p>
    <w:p w:rsidR="008D65C9" w:rsidRPr="008D65C9" w:rsidRDefault="008D65C9" w:rsidP="00F911B1">
      <w:pPr>
        <w:pStyle w:val="ListParagraph"/>
        <w:spacing w:line="360" w:lineRule="auto"/>
        <w:textAlignment w:val="center"/>
        <w:rPr>
          <w:lang w:val="bg-BG"/>
        </w:rPr>
      </w:pPr>
      <w:r w:rsidRPr="00820D22">
        <w:rPr>
          <w:rFonts w:hint="cs"/>
          <w:b/>
          <w:lang w:val="bg-BG"/>
        </w:rPr>
        <w:t>Приоритет</w:t>
      </w:r>
      <w:r w:rsidRPr="00820D22">
        <w:rPr>
          <w:b/>
          <w:lang w:val="bg-BG"/>
        </w:rPr>
        <w:t xml:space="preserve"> </w:t>
      </w:r>
      <w:r>
        <w:rPr>
          <w:b/>
          <w:lang w:val="bg-BG"/>
        </w:rPr>
        <w:t>3:</w:t>
      </w:r>
      <w:r w:rsidRPr="00820D22">
        <w:rPr>
          <w:b/>
          <w:lang w:val="bg-BG"/>
        </w:rPr>
        <w:t xml:space="preserve">  </w:t>
      </w:r>
      <w:r w:rsidRPr="008D65C9">
        <w:rPr>
          <w:rFonts w:hint="cs"/>
          <w:lang w:val="bg-BG"/>
        </w:rPr>
        <w:t>Опазване</w:t>
      </w:r>
      <w:r w:rsidRPr="008D65C9">
        <w:rPr>
          <w:lang w:val="bg-BG"/>
        </w:rPr>
        <w:t xml:space="preserve"> </w:t>
      </w:r>
      <w:r w:rsidRPr="008D65C9">
        <w:rPr>
          <w:rFonts w:hint="cs"/>
          <w:lang w:val="bg-BG"/>
        </w:rPr>
        <w:t>българската</w:t>
      </w:r>
      <w:r w:rsidRPr="008D65C9">
        <w:rPr>
          <w:lang w:val="bg-BG"/>
        </w:rPr>
        <w:t xml:space="preserve"> </w:t>
      </w:r>
      <w:r w:rsidRPr="008D65C9">
        <w:rPr>
          <w:rFonts w:hint="cs"/>
          <w:lang w:val="bg-BG"/>
        </w:rPr>
        <w:t>акватория</w:t>
      </w:r>
      <w:r w:rsidRPr="008D65C9">
        <w:rPr>
          <w:lang w:val="bg-BG"/>
        </w:rPr>
        <w:t xml:space="preserve"> </w:t>
      </w:r>
      <w:r w:rsidRPr="008D65C9">
        <w:rPr>
          <w:rFonts w:hint="cs"/>
          <w:lang w:val="bg-BG"/>
        </w:rPr>
        <w:t>на</w:t>
      </w:r>
      <w:r w:rsidRPr="008D65C9">
        <w:rPr>
          <w:lang w:val="bg-BG"/>
        </w:rPr>
        <w:t xml:space="preserve"> </w:t>
      </w:r>
      <w:r w:rsidRPr="008D65C9">
        <w:rPr>
          <w:rFonts w:hint="cs"/>
          <w:lang w:val="bg-BG"/>
        </w:rPr>
        <w:t>Черно</w:t>
      </w:r>
      <w:r w:rsidRPr="008D65C9">
        <w:rPr>
          <w:lang w:val="bg-BG"/>
        </w:rPr>
        <w:t xml:space="preserve"> </w:t>
      </w:r>
      <w:r w:rsidRPr="008D65C9">
        <w:rPr>
          <w:rFonts w:hint="cs"/>
          <w:lang w:val="bg-BG"/>
        </w:rPr>
        <w:t>море</w:t>
      </w:r>
      <w:r w:rsidRPr="008D65C9">
        <w:rPr>
          <w:lang w:val="bg-BG"/>
        </w:rPr>
        <w:t xml:space="preserve"> </w:t>
      </w:r>
      <w:r w:rsidRPr="008D65C9">
        <w:rPr>
          <w:rFonts w:hint="cs"/>
          <w:lang w:val="bg-BG"/>
        </w:rPr>
        <w:t>и</w:t>
      </w:r>
      <w:r w:rsidRPr="008D65C9">
        <w:rPr>
          <w:lang w:val="bg-BG"/>
        </w:rPr>
        <w:t xml:space="preserve"> </w:t>
      </w:r>
      <w:r w:rsidRPr="008D65C9">
        <w:rPr>
          <w:rFonts w:hint="cs"/>
          <w:lang w:val="bg-BG"/>
        </w:rPr>
        <w:t>развитие</w:t>
      </w:r>
      <w:r w:rsidRPr="008D65C9">
        <w:rPr>
          <w:lang w:val="bg-BG"/>
        </w:rPr>
        <w:t xml:space="preserve"> </w:t>
      </w:r>
      <w:r w:rsidRPr="008D65C9">
        <w:rPr>
          <w:rFonts w:hint="cs"/>
          <w:lang w:val="bg-BG"/>
        </w:rPr>
        <w:t>на</w:t>
      </w:r>
      <w:r w:rsidRPr="008D65C9">
        <w:rPr>
          <w:lang w:val="bg-BG"/>
        </w:rPr>
        <w:t xml:space="preserve"> </w:t>
      </w:r>
      <w:r w:rsidRPr="008D65C9">
        <w:rPr>
          <w:rFonts w:hint="cs"/>
          <w:lang w:val="bg-BG"/>
        </w:rPr>
        <w:t>морското</w:t>
      </w:r>
      <w:r w:rsidRPr="008D65C9">
        <w:rPr>
          <w:lang w:val="bg-BG"/>
        </w:rPr>
        <w:t xml:space="preserve"> </w:t>
      </w:r>
      <w:r w:rsidRPr="008D65C9">
        <w:rPr>
          <w:rFonts w:hint="cs"/>
          <w:lang w:val="bg-BG"/>
        </w:rPr>
        <w:t>дело</w:t>
      </w:r>
      <w:r w:rsidRPr="008D65C9">
        <w:rPr>
          <w:lang w:val="bg-BG"/>
        </w:rPr>
        <w:t xml:space="preserve"> </w:t>
      </w:r>
      <w:r w:rsidRPr="008D65C9">
        <w:rPr>
          <w:rFonts w:hint="cs"/>
          <w:lang w:val="bg-BG"/>
        </w:rPr>
        <w:t>и</w:t>
      </w:r>
      <w:r w:rsidRPr="008D65C9">
        <w:rPr>
          <w:lang w:val="bg-BG"/>
        </w:rPr>
        <w:t xml:space="preserve"> </w:t>
      </w:r>
      <w:r w:rsidRPr="008D65C9">
        <w:rPr>
          <w:rFonts w:hint="cs"/>
          <w:lang w:val="bg-BG"/>
        </w:rPr>
        <w:t>рибарството</w:t>
      </w:r>
      <w:r w:rsidRPr="008D65C9">
        <w:rPr>
          <w:lang w:val="bg-BG"/>
        </w:rPr>
        <w:t xml:space="preserve"> </w:t>
      </w:r>
      <w:r w:rsidRPr="008D65C9">
        <w:rPr>
          <w:rFonts w:hint="cs"/>
          <w:lang w:val="bg-BG"/>
        </w:rPr>
        <w:t>в</w:t>
      </w:r>
      <w:r w:rsidRPr="008D65C9">
        <w:rPr>
          <w:lang w:val="bg-BG"/>
        </w:rPr>
        <w:t xml:space="preserve"> </w:t>
      </w:r>
      <w:r w:rsidRPr="008D65C9">
        <w:rPr>
          <w:rFonts w:hint="cs"/>
          <w:lang w:val="bg-BG"/>
        </w:rPr>
        <w:t>Югоизточен</w:t>
      </w:r>
      <w:r w:rsidRPr="008D65C9">
        <w:rPr>
          <w:lang w:val="bg-BG"/>
        </w:rPr>
        <w:t xml:space="preserve"> </w:t>
      </w:r>
      <w:r w:rsidRPr="008D65C9">
        <w:rPr>
          <w:rFonts w:hint="cs"/>
          <w:lang w:val="bg-BG"/>
        </w:rPr>
        <w:t>район</w:t>
      </w:r>
      <w:r w:rsidRPr="008D65C9">
        <w:rPr>
          <w:lang w:val="bg-BG"/>
        </w:rPr>
        <w:t>………………………………</w:t>
      </w:r>
      <w:r>
        <w:rPr>
          <w:lang w:val="bg-BG"/>
        </w:rPr>
        <w:t xml:space="preserve"> </w:t>
      </w:r>
      <w:r w:rsidR="00FF6F47">
        <w:rPr>
          <w:lang w:val="bg-BG"/>
        </w:rPr>
        <w:t>.</w:t>
      </w:r>
      <w:r>
        <w:rPr>
          <w:lang w:val="bg-BG"/>
        </w:rPr>
        <w:t xml:space="preserve"> 11</w:t>
      </w:r>
      <w:r w:rsidR="00D06098">
        <w:rPr>
          <w:lang w:val="bg-BG"/>
        </w:rPr>
        <w:t>7</w:t>
      </w:r>
    </w:p>
    <w:p w:rsidR="00F911B1" w:rsidRDefault="00F911B1" w:rsidP="00F911B1">
      <w:pPr>
        <w:pStyle w:val="ListParagraph"/>
        <w:spacing w:line="360" w:lineRule="auto"/>
        <w:textAlignment w:val="center"/>
        <w:rPr>
          <w:lang w:val="bg-BG"/>
        </w:rPr>
      </w:pPr>
      <w:r w:rsidRPr="0056111E">
        <w:rPr>
          <w:b/>
          <w:lang w:val="bg-BG"/>
        </w:rPr>
        <w:t>Стратегическа цел 4</w:t>
      </w:r>
      <w:r w:rsidRPr="0056111E">
        <w:rPr>
          <w:lang w:val="bg-BG"/>
        </w:rPr>
        <w:t>: Балансирано териториално развитие на ЮИР чрез укрепване на градовете-центрове, подобряване свързаността в района и качеството на средата в населените места</w:t>
      </w:r>
      <w:r w:rsidR="00D06098">
        <w:rPr>
          <w:lang w:val="bg-BG"/>
        </w:rPr>
        <w:t>……………………………………………………………………</w:t>
      </w:r>
      <w:r w:rsidR="00FF6F47">
        <w:rPr>
          <w:lang w:val="bg-BG"/>
        </w:rPr>
        <w:t>119</w:t>
      </w:r>
    </w:p>
    <w:p w:rsidR="00FF6F47" w:rsidRDefault="00FF6F47" w:rsidP="00F911B1">
      <w:pPr>
        <w:pStyle w:val="ListParagraph"/>
        <w:spacing w:line="360" w:lineRule="auto"/>
        <w:textAlignment w:val="center"/>
        <w:rPr>
          <w:lang w:val="bg-BG"/>
        </w:rPr>
      </w:pPr>
      <w:r w:rsidRPr="00820D22">
        <w:rPr>
          <w:rFonts w:hint="cs"/>
          <w:b/>
          <w:lang w:val="bg-BG"/>
        </w:rPr>
        <w:t>Приоритет</w:t>
      </w:r>
      <w:r w:rsidRPr="00820D22">
        <w:rPr>
          <w:b/>
          <w:lang w:val="bg-BG"/>
        </w:rPr>
        <w:t xml:space="preserve"> 1:</w:t>
      </w:r>
      <w:r w:rsidRPr="00FF6F47">
        <w:t xml:space="preserve"> </w:t>
      </w:r>
      <w:r w:rsidRPr="00FF6F47">
        <w:rPr>
          <w:rFonts w:hint="cs"/>
          <w:lang w:val="bg-BG"/>
        </w:rPr>
        <w:t>Интегрирано</w:t>
      </w:r>
      <w:r w:rsidRPr="00FF6F47">
        <w:rPr>
          <w:lang w:val="bg-BG"/>
        </w:rPr>
        <w:t xml:space="preserve"> </w:t>
      </w:r>
      <w:r w:rsidRPr="00FF6F47">
        <w:rPr>
          <w:rFonts w:hint="cs"/>
          <w:lang w:val="bg-BG"/>
        </w:rPr>
        <w:t>развитие</w:t>
      </w:r>
      <w:r w:rsidRPr="00FF6F47">
        <w:rPr>
          <w:lang w:val="bg-BG"/>
        </w:rPr>
        <w:t xml:space="preserve"> </w:t>
      </w:r>
      <w:r w:rsidRPr="00FF6F47">
        <w:rPr>
          <w:rFonts w:hint="cs"/>
          <w:lang w:val="bg-BG"/>
        </w:rPr>
        <w:t>на</w:t>
      </w:r>
      <w:r w:rsidRPr="00FF6F47">
        <w:rPr>
          <w:lang w:val="bg-BG"/>
        </w:rPr>
        <w:t xml:space="preserve"> </w:t>
      </w:r>
      <w:r w:rsidRPr="00FF6F47">
        <w:rPr>
          <w:rFonts w:hint="cs"/>
          <w:lang w:val="bg-BG"/>
        </w:rPr>
        <w:t>градовете</w:t>
      </w:r>
      <w:r w:rsidRPr="00FF6F47">
        <w:rPr>
          <w:lang w:val="bg-BG"/>
        </w:rPr>
        <w:t xml:space="preserve"> </w:t>
      </w:r>
      <w:r w:rsidRPr="00FF6F47">
        <w:rPr>
          <w:rFonts w:hint="cs"/>
          <w:lang w:val="bg-BG"/>
        </w:rPr>
        <w:t>в</w:t>
      </w:r>
      <w:r w:rsidRPr="00FF6F47">
        <w:rPr>
          <w:lang w:val="bg-BG"/>
        </w:rPr>
        <w:t xml:space="preserve"> </w:t>
      </w:r>
      <w:r w:rsidRPr="00FF6F47">
        <w:rPr>
          <w:rFonts w:hint="cs"/>
          <w:lang w:val="bg-BG"/>
        </w:rPr>
        <w:t>Югоизточен</w:t>
      </w:r>
      <w:r w:rsidRPr="00FF6F47">
        <w:rPr>
          <w:lang w:val="bg-BG"/>
        </w:rPr>
        <w:t xml:space="preserve"> </w:t>
      </w:r>
      <w:r w:rsidRPr="00FF6F47">
        <w:rPr>
          <w:rFonts w:hint="cs"/>
          <w:lang w:val="bg-BG"/>
        </w:rPr>
        <w:t>район</w:t>
      </w:r>
      <w:r w:rsidRPr="00FF6F47">
        <w:rPr>
          <w:lang w:val="bg-BG"/>
        </w:rPr>
        <w:t xml:space="preserve"> </w:t>
      </w:r>
      <w:r w:rsidRPr="00FF6F47">
        <w:rPr>
          <w:rFonts w:hint="cs"/>
          <w:lang w:val="bg-BG"/>
        </w:rPr>
        <w:t>и</w:t>
      </w:r>
      <w:r w:rsidRPr="00FF6F47">
        <w:rPr>
          <w:lang w:val="bg-BG"/>
        </w:rPr>
        <w:t xml:space="preserve"> </w:t>
      </w:r>
      <w:r w:rsidRPr="00FF6F47">
        <w:rPr>
          <w:rFonts w:hint="cs"/>
          <w:lang w:val="bg-BG"/>
        </w:rPr>
        <w:t>подобряване</w:t>
      </w:r>
      <w:r w:rsidRPr="00FF6F47">
        <w:rPr>
          <w:lang w:val="bg-BG"/>
        </w:rPr>
        <w:t xml:space="preserve"> </w:t>
      </w:r>
      <w:r w:rsidRPr="00FF6F47">
        <w:rPr>
          <w:rFonts w:hint="cs"/>
          <w:lang w:val="bg-BG"/>
        </w:rPr>
        <w:t>качеството</w:t>
      </w:r>
      <w:r w:rsidRPr="00FF6F47">
        <w:rPr>
          <w:lang w:val="bg-BG"/>
        </w:rPr>
        <w:t xml:space="preserve"> </w:t>
      </w:r>
      <w:r w:rsidRPr="00FF6F47">
        <w:rPr>
          <w:rFonts w:hint="cs"/>
          <w:lang w:val="bg-BG"/>
        </w:rPr>
        <w:t>на</w:t>
      </w:r>
      <w:r w:rsidRPr="00FF6F47">
        <w:rPr>
          <w:lang w:val="bg-BG"/>
        </w:rPr>
        <w:t xml:space="preserve"> </w:t>
      </w:r>
      <w:r w:rsidRPr="00FF6F47">
        <w:rPr>
          <w:rFonts w:hint="cs"/>
          <w:lang w:val="bg-BG"/>
        </w:rPr>
        <w:t>градската</w:t>
      </w:r>
      <w:r w:rsidRPr="00FF6F47">
        <w:rPr>
          <w:lang w:val="bg-BG"/>
        </w:rPr>
        <w:t xml:space="preserve"> </w:t>
      </w:r>
      <w:r w:rsidRPr="00FF6F47">
        <w:rPr>
          <w:rFonts w:hint="cs"/>
          <w:lang w:val="bg-BG"/>
        </w:rPr>
        <w:t>среда</w:t>
      </w:r>
      <w:r>
        <w:rPr>
          <w:lang w:val="bg-BG"/>
        </w:rPr>
        <w:t>………………………………………...119</w:t>
      </w:r>
    </w:p>
    <w:p w:rsidR="00FF6F47" w:rsidRDefault="00FF6F47" w:rsidP="00F911B1">
      <w:pPr>
        <w:pStyle w:val="ListParagraph"/>
        <w:spacing w:line="360" w:lineRule="auto"/>
        <w:textAlignment w:val="center"/>
        <w:rPr>
          <w:lang w:val="bg-BG"/>
        </w:rPr>
      </w:pPr>
      <w:r w:rsidRPr="00820D22">
        <w:rPr>
          <w:rFonts w:hint="cs"/>
          <w:b/>
          <w:lang w:val="bg-BG"/>
        </w:rPr>
        <w:t>Приоритет</w:t>
      </w:r>
      <w:r>
        <w:rPr>
          <w:b/>
          <w:lang w:val="bg-BG"/>
        </w:rPr>
        <w:t xml:space="preserve"> </w:t>
      </w:r>
      <w:r w:rsidRPr="00820D22">
        <w:rPr>
          <w:b/>
          <w:lang w:val="bg-BG"/>
        </w:rPr>
        <w:t>2</w:t>
      </w:r>
      <w:r>
        <w:rPr>
          <w:b/>
          <w:lang w:val="bg-BG"/>
        </w:rPr>
        <w:t>:</w:t>
      </w:r>
      <w:r w:rsidRPr="00FF6F47">
        <w:t xml:space="preserve"> </w:t>
      </w:r>
      <w:r w:rsidRPr="00FF6F47">
        <w:rPr>
          <w:rFonts w:hint="cs"/>
          <w:lang w:val="bg-BG"/>
        </w:rPr>
        <w:t>Подобряване</w:t>
      </w:r>
      <w:r w:rsidRPr="00FF6F47">
        <w:rPr>
          <w:lang w:val="bg-BG"/>
        </w:rPr>
        <w:t xml:space="preserve"> </w:t>
      </w:r>
      <w:r w:rsidRPr="00FF6F47">
        <w:rPr>
          <w:rFonts w:hint="cs"/>
          <w:lang w:val="bg-BG"/>
        </w:rPr>
        <w:t>свързаността</w:t>
      </w:r>
      <w:r w:rsidRPr="00FF6F47">
        <w:rPr>
          <w:lang w:val="bg-BG"/>
        </w:rPr>
        <w:t xml:space="preserve"> </w:t>
      </w:r>
      <w:r w:rsidRPr="00FF6F47">
        <w:rPr>
          <w:rFonts w:hint="cs"/>
          <w:lang w:val="bg-BG"/>
        </w:rPr>
        <w:t>на</w:t>
      </w:r>
      <w:r w:rsidRPr="00FF6F47">
        <w:rPr>
          <w:lang w:val="bg-BG"/>
        </w:rPr>
        <w:t xml:space="preserve"> </w:t>
      </w:r>
      <w:r w:rsidRPr="00FF6F47">
        <w:rPr>
          <w:rFonts w:hint="cs"/>
          <w:lang w:val="bg-BG"/>
        </w:rPr>
        <w:t>Югоизточен</w:t>
      </w:r>
      <w:r w:rsidRPr="00FF6F47">
        <w:rPr>
          <w:lang w:val="bg-BG"/>
        </w:rPr>
        <w:t xml:space="preserve"> </w:t>
      </w:r>
      <w:r w:rsidRPr="00FF6F47">
        <w:rPr>
          <w:rFonts w:hint="cs"/>
          <w:lang w:val="bg-BG"/>
        </w:rPr>
        <w:t>район</w:t>
      </w:r>
      <w:r w:rsidRPr="00FF6F47">
        <w:rPr>
          <w:lang w:val="bg-BG"/>
        </w:rPr>
        <w:t xml:space="preserve"> </w:t>
      </w:r>
      <w:r w:rsidRPr="00FF6F47">
        <w:rPr>
          <w:rFonts w:hint="cs"/>
          <w:lang w:val="bg-BG"/>
        </w:rPr>
        <w:t>в</w:t>
      </w:r>
      <w:r w:rsidRPr="00FF6F47">
        <w:rPr>
          <w:lang w:val="bg-BG"/>
        </w:rPr>
        <w:t xml:space="preserve"> </w:t>
      </w:r>
      <w:r w:rsidRPr="00FF6F47">
        <w:rPr>
          <w:rFonts w:hint="cs"/>
          <w:lang w:val="bg-BG"/>
        </w:rPr>
        <w:t>национален</w:t>
      </w:r>
      <w:r w:rsidRPr="00FF6F47">
        <w:rPr>
          <w:lang w:val="bg-BG"/>
        </w:rPr>
        <w:t xml:space="preserve"> </w:t>
      </w:r>
      <w:r w:rsidRPr="00FF6F47">
        <w:rPr>
          <w:rFonts w:hint="cs"/>
          <w:lang w:val="bg-BG"/>
        </w:rPr>
        <w:t>и</w:t>
      </w:r>
      <w:r w:rsidRPr="00FF6F47">
        <w:rPr>
          <w:lang w:val="bg-BG"/>
        </w:rPr>
        <w:t xml:space="preserve"> </w:t>
      </w:r>
      <w:r w:rsidRPr="00FF6F47">
        <w:rPr>
          <w:rFonts w:hint="cs"/>
          <w:lang w:val="bg-BG"/>
        </w:rPr>
        <w:t>международен</w:t>
      </w:r>
      <w:r w:rsidRPr="00FF6F47">
        <w:rPr>
          <w:lang w:val="bg-BG"/>
        </w:rPr>
        <w:t xml:space="preserve"> </w:t>
      </w:r>
      <w:r w:rsidRPr="00FF6F47">
        <w:rPr>
          <w:rFonts w:hint="cs"/>
          <w:lang w:val="bg-BG"/>
        </w:rPr>
        <w:t>план</w:t>
      </w:r>
      <w:r>
        <w:rPr>
          <w:lang w:val="bg-BG"/>
        </w:rPr>
        <w:t>…………………………………………………………………..132</w:t>
      </w:r>
    </w:p>
    <w:p w:rsidR="00FF6F47" w:rsidRPr="00FF6F47" w:rsidRDefault="00FF6F47" w:rsidP="00F911B1">
      <w:pPr>
        <w:pStyle w:val="ListParagraph"/>
        <w:spacing w:line="360" w:lineRule="auto"/>
        <w:textAlignment w:val="center"/>
        <w:rPr>
          <w:lang w:val="bg-BG"/>
        </w:rPr>
      </w:pPr>
      <w:r w:rsidRPr="00820D22">
        <w:rPr>
          <w:rFonts w:hint="cs"/>
          <w:b/>
          <w:lang w:val="bg-BG"/>
        </w:rPr>
        <w:t>Приоритет</w:t>
      </w:r>
      <w:r w:rsidRPr="00820D22">
        <w:rPr>
          <w:b/>
          <w:lang w:val="bg-BG"/>
        </w:rPr>
        <w:t xml:space="preserve"> </w:t>
      </w:r>
      <w:r>
        <w:rPr>
          <w:b/>
          <w:lang w:val="bg-BG"/>
        </w:rPr>
        <w:t>3:</w:t>
      </w:r>
      <w:r w:rsidRPr="00820D22">
        <w:rPr>
          <w:b/>
          <w:lang w:val="bg-BG"/>
        </w:rPr>
        <w:t xml:space="preserve">  </w:t>
      </w:r>
      <w:r w:rsidRPr="00FF6F47">
        <w:rPr>
          <w:rFonts w:hint="cs"/>
          <w:lang w:val="bg-BG"/>
        </w:rPr>
        <w:t>Подобряване</w:t>
      </w:r>
      <w:r w:rsidRPr="00FF6F47">
        <w:rPr>
          <w:lang w:val="bg-BG"/>
        </w:rPr>
        <w:t xml:space="preserve"> </w:t>
      </w:r>
      <w:r w:rsidRPr="00FF6F47">
        <w:rPr>
          <w:rFonts w:hint="cs"/>
          <w:lang w:val="bg-BG"/>
        </w:rPr>
        <w:t>качеството</w:t>
      </w:r>
      <w:r w:rsidRPr="00FF6F47">
        <w:rPr>
          <w:lang w:val="bg-BG"/>
        </w:rPr>
        <w:t xml:space="preserve"> </w:t>
      </w:r>
      <w:r w:rsidRPr="00FF6F47">
        <w:rPr>
          <w:rFonts w:hint="cs"/>
          <w:lang w:val="bg-BG"/>
        </w:rPr>
        <w:t>на</w:t>
      </w:r>
      <w:r w:rsidRPr="00FF6F47">
        <w:rPr>
          <w:lang w:val="bg-BG"/>
        </w:rPr>
        <w:t xml:space="preserve"> </w:t>
      </w:r>
      <w:r w:rsidRPr="00FF6F47">
        <w:rPr>
          <w:rFonts w:hint="cs"/>
          <w:lang w:val="bg-BG"/>
        </w:rPr>
        <w:t>живот</w:t>
      </w:r>
      <w:r w:rsidRPr="00FF6F47">
        <w:rPr>
          <w:lang w:val="bg-BG"/>
        </w:rPr>
        <w:t xml:space="preserve"> </w:t>
      </w:r>
      <w:r w:rsidRPr="00FF6F47">
        <w:rPr>
          <w:rFonts w:hint="cs"/>
          <w:lang w:val="bg-BG"/>
        </w:rPr>
        <w:t>в</w:t>
      </w:r>
      <w:r w:rsidRPr="00FF6F47">
        <w:rPr>
          <w:lang w:val="bg-BG"/>
        </w:rPr>
        <w:t xml:space="preserve"> </w:t>
      </w:r>
      <w:r w:rsidRPr="00FF6F47">
        <w:rPr>
          <w:rFonts w:hint="cs"/>
          <w:lang w:val="bg-BG"/>
        </w:rPr>
        <w:t>селските</w:t>
      </w:r>
      <w:r w:rsidRPr="00FF6F47">
        <w:rPr>
          <w:lang w:val="bg-BG"/>
        </w:rPr>
        <w:t xml:space="preserve"> </w:t>
      </w:r>
      <w:r w:rsidRPr="00FF6F47">
        <w:rPr>
          <w:rFonts w:hint="cs"/>
          <w:lang w:val="bg-BG"/>
        </w:rPr>
        <w:t>райони</w:t>
      </w:r>
      <w:r w:rsidR="00D06098">
        <w:rPr>
          <w:lang w:val="bg-BG"/>
        </w:rPr>
        <w:t>……………</w:t>
      </w:r>
      <w:r>
        <w:rPr>
          <w:lang w:val="bg-BG"/>
        </w:rPr>
        <w:t>138</w:t>
      </w:r>
    </w:p>
    <w:p w:rsidR="00F26116" w:rsidRPr="0056111E" w:rsidRDefault="00F26116" w:rsidP="00957FF6">
      <w:pPr>
        <w:pStyle w:val="ListParagraph"/>
        <w:numPr>
          <w:ilvl w:val="0"/>
          <w:numId w:val="6"/>
        </w:numPr>
        <w:spacing w:line="360" w:lineRule="auto"/>
        <w:textAlignment w:val="center"/>
        <w:rPr>
          <w:lang w:val="bg-BG"/>
        </w:rPr>
      </w:pPr>
      <w:r w:rsidRPr="0056111E">
        <w:rPr>
          <w:lang w:val="bg-BG"/>
        </w:rPr>
        <w:lastRenderedPageBreak/>
        <w:t>Действията, предприети от Регионалния съвет за развитие с цел осигуряване на ефективност и ефикасност при изпълнението на Регионалния план за развитие..............................................................................................</w:t>
      </w:r>
      <w:r w:rsidR="00105F56">
        <w:rPr>
          <w:lang w:val="bg-BG"/>
        </w:rPr>
        <w:t>......</w:t>
      </w:r>
      <w:r w:rsidR="00514E27" w:rsidRPr="0056111E">
        <w:rPr>
          <w:lang w:val="bg-BG"/>
        </w:rPr>
        <w:t>......................1</w:t>
      </w:r>
      <w:r w:rsidR="00105F56">
        <w:rPr>
          <w:lang w:val="bg-BG"/>
        </w:rPr>
        <w:t>58</w:t>
      </w:r>
    </w:p>
    <w:p w:rsidR="00F26116" w:rsidRPr="0056111E" w:rsidRDefault="00F26116" w:rsidP="00957FF6">
      <w:pPr>
        <w:pStyle w:val="ListParagraph"/>
        <w:numPr>
          <w:ilvl w:val="0"/>
          <w:numId w:val="6"/>
        </w:numPr>
        <w:spacing w:line="360" w:lineRule="auto"/>
        <w:textAlignment w:val="center"/>
        <w:rPr>
          <w:lang w:val="bg-BG"/>
        </w:rPr>
      </w:pPr>
      <w:r w:rsidRPr="0056111E">
        <w:rPr>
          <w:lang w:val="bg-BG"/>
        </w:rPr>
        <w:t xml:space="preserve">Заключения и предложения за подобряване на резултатите от наблюдението на РПР на </w:t>
      </w:r>
      <w:r w:rsidR="00514E27" w:rsidRPr="0056111E">
        <w:rPr>
          <w:lang w:val="bg-BG"/>
        </w:rPr>
        <w:t>ЮИР………………………………….………….……………</w:t>
      </w:r>
      <w:r w:rsidRPr="0056111E">
        <w:rPr>
          <w:lang w:val="bg-BG"/>
        </w:rPr>
        <w:t>…</w:t>
      </w:r>
      <w:r w:rsidR="00514E27" w:rsidRPr="0056111E">
        <w:rPr>
          <w:lang w:val="bg-BG"/>
        </w:rPr>
        <w:t>……</w:t>
      </w:r>
      <w:r w:rsidRPr="0056111E">
        <w:rPr>
          <w:lang w:val="bg-BG"/>
        </w:rPr>
        <w:t>...........</w:t>
      </w:r>
      <w:r w:rsidR="00105F56">
        <w:rPr>
          <w:lang w:val="bg-BG"/>
        </w:rPr>
        <w:t>.</w:t>
      </w:r>
      <w:r w:rsidRPr="0056111E">
        <w:rPr>
          <w:lang w:val="bg-BG"/>
        </w:rPr>
        <w:t>.1</w:t>
      </w:r>
      <w:r w:rsidR="00105F56">
        <w:rPr>
          <w:lang w:val="bg-BG"/>
        </w:rPr>
        <w:t>67</w:t>
      </w:r>
    </w:p>
    <w:p w:rsidR="00514E27" w:rsidRDefault="009F3479" w:rsidP="009F3479">
      <w:pPr>
        <w:rPr>
          <w:rFonts w:ascii="Cambria" w:hAnsi="Cambria"/>
          <w:b/>
          <w:bCs/>
          <w:caps/>
          <w:lang w:val="bg-BG"/>
        </w:rPr>
      </w:pPr>
      <w:bookmarkStart w:id="0" w:name="_Toc342325767"/>
      <w:r>
        <w:rPr>
          <w:b/>
          <w:bCs/>
          <w:caps/>
          <w:lang w:val="bg-BG"/>
        </w:rPr>
        <w:t xml:space="preserve">   </w:t>
      </w:r>
    </w:p>
    <w:p w:rsidR="00545385" w:rsidRDefault="00545385" w:rsidP="009F3479">
      <w:pPr>
        <w:rPr>
          <w:rFonts w:ascii="Cambria" w:hAnsi="Cambria"/>
          <w:b/>
          <w:bCs/>
          <w:caps/>
          <w:lang w:val="bg-BG"/>
        </w:rPr>
      </w:pPr>
    </w:p>
    <w:p w:rsidR="00545385" w:rsidRDefault="00545385" w:rsidP="009F3479">
      <w:pPr>
        <w:rPr>
          <w:rFonts w:ascii="Cambria" w:hAnsi="Cambria"/>
          <w:b/>
          <w:bCs/>
          <w:caps/>
          <w:lang w:val="bg-BG"/>
        </w:rPr>
      </w:pPr>
    </w:p>
    <w:p w:rsidR="00545385" w:rsidRDefault="00545385" w:rsidP="009F3479">
      <w:pPr>
        <w:rPr>
          <w:rFonts w:ascii="Cambria" w:hAnsi="Cambria"/>
          <w:b/>
          <w:bCs/>
          <w:caps/>
          <w:lang w:val="bg-BG"/>
        </w:rPr>
      </w:pPr>
    </w:p>
    <w:p w:rsidR="00514E27" w:rsidRPr="009F3479" w:rsidRDefault="00514E27" w:rsidP="002E4BAB">
      <w:pPr>
        <w:spacing w:line="240" w:lineRule="auto"/>
        <w:jc w:val="center"/>
        <w:outlineLvl w:val="0"/>
        <w:rPr>
          <w:rFonts w:ascii="Times New Roman" w:hAnsi="Times New Roman"/>
          <w:b/>
          <w:color w:val="9D3511" w:themeColor="accent1" w:themeShade="BF"/>
          <w:lang w:val="bg-BG"/>
        </w:rPr>
      </w:pPr>
      <w:r w:rsidRPr="0056111E">
        <w:rPr>
          <w:rFonts w:ascii="Times New Roman" w:hAnsi="Times New Roman"/>
          <w:b/>
          <w:color w:val="9D3511" w:themeColor="accent1" w:themeShade="BF"/>
          <w:lang w:val="bg-BG"/>
        </w:rPr>
        <w:t>СПИСЪК</w:t>
      </w:r>
      <w:r w:rsidRPr="0056111E">
        <w:rPr>
          <w:b/>
          <w:color w:val="9D3511" w:themeColor="accent1" w:themeShade="BF"/>
          <w:lang w:val="bg-BG"/>
        </w:rPr>
        <w:t xml:space="preserve"> </w:t>
      </w:r>
      <w:r w:rsidRPr="0056111E">
        <w:rPr>
          <w:rFonts w:ascii="Times New Roman" w:hAnsi="Times New Roman"/>
          <w:b/>
          <w:color w:val="9D3511" w:themeColor="accent1" w:themeShade="BF"/>
          <w:lang w:val="bg-BG"/>
        </w:rPr>
        <w:t>НА</w:t>
      </w:r>
      <w:r w:rsidRPr="0056111E">
        <w:rPr>
          <w:b/>
          <w:color w:val="9D3511" w:themeColor="accent1" w:themeShade="BF"/>
          <w:lang w:val="bg-BG"/>
        </w:rPr>
        <w:t xml:space="preserve"> </w:t>
      </w:r>
      <w:r w:rsidRPr="0056111E">
        <w:rPr>
          <w:rFonts w:ascii="Times New Roman" w:hAnsi="Times New Roman"/>
          <w:b/>
          <w:color w:val="9D3511" w:themeColor="accent1" w:themeShade="BF"/>
          <w:lang w:val="bg-BG"/>
        </w:rPr>
        <w:t>ТАБЛИЦИТЕ</w:t>
      </w:r>
      <w:bookmarkEnd w:id="0"/>
      <w:r w:rsidRPr="0056111E">
        <w:rPr>
          <w:rFonts w:ascii="Times New Roman" w:hAnsi="Times New Roman"/>
          <w:b/>
          <w:color w:val="9D3511" w:themeColor="accent1" w:themeShade="BF"/>
          <w:lang w:val="bg-BG"/>
        </w:rPr>
        <w:t>, ФИГУРИТЕ И КАРТИТЕ:</w:t>
      </w:r>
    </w:p>
    <w:tbl>
      <w:tblPr>
        <w:tblStyle w:val="LightShading-Accent1"/>
        <w:tblW w:w="10031" w:type="dxa"/>
        <w:tblLook w:val="04A0" w:firstRow="1" w:lastRow="0" w:firstColumn="1" w:lastColumn="0" w:noHBand="0" w:noVBand="1"/>
      </w:tblPr>
      <w:tblGrid>
        <w:gridCol w:w="1384"/>
        <w:gridCol w:w="142"/>
        <w:gridCol w:w="6739"/>
        <w:gridCol w:w="1766"/>
      </w:tblGrid>
      <w:tr w:rsidR="00FD59D7" w:rsidRPr="00FD59D7" w:rsidTr="00B93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56111E" w:rsidRPr="00FD59D7" w:rsidRDefault="00FD59D7" w:rsidP="009F3479">
            <w:pPr>
              <w:rPr>
                <w:rFonts w:ascii="Times New Roman" w:hAnsi="Times New Roman"/>
                <w:color w:val="9D3511" w:themeColor="accent1" w:themeShade="BF"/>
                <w:lang w:val="bg-BG"/>
              </w:rPr>
            </w:pPr>
            <w:r w:rsidRPr="00FD59D7">
              <w:rPr>
                <w:rFonts w:ascii="Times New Roman" w:hAnsi="Times New Roman" w:hint="cs"/>
                <w:color w:val="9D3511" w:themeColor="accent1" w:themeShade="BF"/>
                <w:lang w:val="bg-BG"/>
              </w:rPr>
              <w:t>№</w:t>
            </w:r>
          </w:p>
        </w:tc>
        <w:tc>
          <w:tcPr>
            <w:tcW w:w="6739" w:type="dxa"/>
          </w:tcPr>
          <w:p w:rsidR="0056111E" w:rsidRPr="00FD59D7" w:rsidRDefault="00FD59D7" w:rsidP="009F3479">
            <w:pPr>
              <w:pStyle w:val="Subtitle"/>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9D3511" w:themeColor="accent1" w:themeShade="BF"/>
                <w:lang w:val="bg-BG"/>
              </w:rPr>
            </w:pPr>
            <w:r w:rsidRPr="00FD59D7">
              <w:rPr>
                <w:rFonts w:ascii="Times New Roman" w:hAnsi="Times New Roman" w:cs="Times New Roman"/>
                <w:color w:val="9D3511" w:themeColor="accent1" w:themeShade="BF"/>
                <w:lang w:val="bg-BG"/>
              </w:rPr>
              <w:t>наименование</w:t>
            </w:r>
          </w:p>
        </w:tc>
        <w:tc>
          <w:tcPr>
            <w:tcW w:w="1766" w:type="dxa"/>
          </w:tcPr>
          <w:p w:rsidR="0056111E" w:rsidRPr="00FD59D7" w:rsidRDefault="00FD59D7" w:rsidP="009F3479">
            <w:pPr>
              <w:pStyle w:val="Subtitle"/>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9D3511" w:themeColor="accent1" w:themeShade="BF"/>
                <w:lang w:val="bg-BG"/>
              </w:rPr>
            </w:pPr>
            <w:r>
              <w:rPr>
                <w:rFonts w:ascii="Times New Roman" w:hAnsi="Times New Roman" w:cs="Times New Roman"/>
                <w:color w:val="9D3511" w:themeColor="accent1" w:themeShade="BF"/>
                <w:lang w:val="bg-BG"/>
              </w:rPr>
              <w:t>стр.</w:t>
            </w:r>
          </w:p>
        </w:tc>
      </w:tr>
      <w:tr w:rsidR="0056111E"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56111E" w:rsidRPr="0056111E" w:rsidRDefault="0056111E"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1</w:t>
            </w:r>
          </w:p>
        </w:tc>
        <w:tc>
          <w:tcPr>
            <w:tcW w:w="6739" w:type="dxa"/>
          </w:tcPr>
          <w:p w:rsidR="009D5CAF" w:rsidRDefault="009D5CAF" w:rsidP="009F3479">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val="bg-BG" w:eastAsia="bg-BG"/>
              </w:rPr>
            </w:pPr>
            <w:r w:rsidRPr="009D5CAF">
              <w:rPr>
                <w:rFonts w:ascii="Times New Roman" w:eastAsia="Times New Roman" w:hAnsi="Times New Roman"/>
                <w:b/>
                <w:color w:val="auto"/>
                <w:sz w:val="24"/>
                <w:szCs w:val="24"/>
                <w:lang w:val="bg-BG" w:eastAsia="bg-BG"/>
              </w:rPr>
              <w:t xml:space="preserve">Брутен вътрешен продукт по текущи цени за периода </w:t>
            </w:r>
          </w:p>
          <w:p w:rsidR="0056111E" w:rsidRPr="00C43A89" w:rsidRDefault="00C43A89" w:rsidP="009F3479">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lang w:val="bg-BG" w:eastAsia="bg-BG"/>
              </w:rPr>
            </w:pPr>
            <w:r>
              <w:rPr>
                <w:rFonts w:ascii="Times New Roman" w:eastAsia="Times New Roman" w:hAnsi="Times New Roman"/>
                <w:b/>
                <w:color w:val="auto"/>
                <w:sz w:val="24"/>
                <w:szCs w:val="24"/>
                <w:lang w:val="bg-BG" w:eastAsia="bg-BG"/>
              </w:rPr>
              <w:t>2007-2012 г.</w:t>
            </w:r>
          </w:p>
        </w:tc>
        <w:tc>
          <w:tcPr>
            <w:tcW w:w="1766" w:type="dxa"/>
          </w:tcPr>
          <w:p w:rsidR="0056111E" w:rsidRPr="00E34A11" w:rsidRDefault="009D5CAF"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lang w:val="bg-BG"/>
              </w:rPr>
              <w:t xml:space="preserve"> </w:t>
            </w:r>
            <w:r w:rsidRPr="00E34A11">
              <w:rPr>
                <w:rFonts w:ascii="Times New Roman" w:hAnsi="Times New Roman" w:cs="Times New Roman"/>
                <w:sz w:val="24"/>
                <w:lang w:val="bg-BG"/>
              </w:rPr>
              <w:t>11</w:t>
            </w:r>
          </w:p>
        </w:tc>
      </w:tr>
      <w:tr w:rsidR="0056111E"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56111E" w:rsidRDefault="0056111E"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2</w:t>
            </w:r>
          </w:p>
        </w:tc>
        <w:tc>
          <w:tcPr>
            <w:tcW w:w="6739" w:type="dxa"/>
          </w:tcPr>
          <w:p w:rsidR="0056111E" w:rsidRPr="00BD1A00" w:rsidRDefault="00BD1A00" w:rsidP="00A70C77">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iCs/>
                <w:sz w:val="24"/>
                <w:lang w:val="bg-BG"/>
              </w:rPr>
            </w:pPr>
            <w:r w:rsidRPr="00BD1A00">
              <w:rPr>
                <w:rFonts w:ascii="Times New Roman" w:hAnsi="Times New Roman"/>
                <w:b/>
                <w:iCs/>
                <w:sz w:val="24"/>
                <w:lang w:val="bg-BG"/>
              </w:rPr>
              <w:t>Регионален БВП</w:t>
            </w:r>
            <w:r w:rsidRPr="00BD1A00">
              <w:rPr>
                <w:rFonts w:ascii="Times New Roman" w:hAnsi="Times New Roman"/>
                <w:b/>
                <w:iCs/>
                <w:sz w:val="24"/>
                <w:lang w:val="ru-RU"/>
              </w:rPr>
              <w:t xml:space="preserve"> </w:t>
            </w:r>
            <w:r w:rsidRPr="00BD1A00">
              <w:rPr>
                <w:rFonts w:ascii="Times New Roman" w:hAnsi="Times New Roman"/>
                <w:b/>
                <w:iCs/>
                <w:sz w:val="24"/>
                <w:lang w:val="bg-BG"/>
              </w:rPr>
              <w:t xml:space="preserve">на </w:t>
            </w:r>
            <w:r w:rsidR="00A70C77">
              <w:rPr>
                <w:rFonts w:ascii="Times New Roman" w:hAnsi="Times New Roman"/>
                <w:b/>
                <w:iCs/>
                <w:sz w:val="24"/>
                <w:lang w:val="bg-BG"/>
              </w:rPr>
              <w:t>човек</w:t>
            </w:r>
            <w:r w:rsidRPr="00BD1A00">
              <w:rPr>
                <w:rFonts w:ascii="Times New Roman" w:hAnsi="Times New Roman"/>
                <w:b/>
                <w:iCs/>
                <w:sz w:val="24"/>
                <w:lang w:val="bg-BG"/>
              </w:rPr>
              <w:t xml:space="preserve"> от населението по покупателна способност спрямо  средното за ЕС-27 за 2007-2012г.(в %)</w:t>
            </w:r>
          </w:p>
        </w:tc>
        <w:tc>
          <w:tcPr>
            <w:tcW w:w="1766" w:type="dxa"/>
          </w:tcPr>
          <w:p w:rsidR="0056111E" w:rsidRPr="00BD1A00" w:rsidRDefault="0021416F"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BD1A00" w:rsidRPr="00BD1A00">
              <w:rPr>
                <w:rFonts w:ascii="Times New Roman" w:hAnsi="Times New Roman" w:cs="Times New Roman"/>
                <w:sz w:val="24"/>
                <w:lang w:val="bg-BG"/>
              </w:rPr>
              <w:t>12</w:t>
            </w:r>
          </w:p>
        </w:tc>
      </w:tr>
      <w:tr w:rsidR="0056111E"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56111E" w:rsidRDefault="0056111E"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3</w:t>
            </w:r>
          </w:p>
        </w:tc>
        <w:tc>
          <w:tcPr>
            <w:tcW w:w="6739" w:type="dxa"/>
          </w:tcPr>
          <w:p w:rsidR="0056111E" w:rsidRPr="00BD1A00" w:rsidRDefault="00BD1A00"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BD1A00">
              <w:rPr>
                <w:rFonts w:ascii="Times New Roman" w:hAnsi="Times New Roman" w:cs="Times New Roman"/>
                <w:b/>
                <w:sz w:val="24"/>
                <w:lang w:val="bg-BG"/>
              </w:rPr>
              <w:t>Брутна добавена стойност 2007 - 2012 г.</w:t>
            </w:r>
          </w:p>
        </w:tc>
        <w:tc>
          <w:tcPr>
            <w:tcW w:w="1766" w:type="dxa"/>
          </w:tcPr>
          <w:p w:rsidR="0056111E" w:rsidRPr="00BD1A00" w:rsidRDefault="0021416F"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BD1A00" w:rsidRPr="00BD1A00">
              <w:rPr>
                <w:rFonts w:ascii="Times New Roman" w:hAnsi="Times New Roman" w:cs="Times New Roman"/>
                <w:sz w:val="24"/>
                <w:lang w:val="bg-BG"/>
              </w:rPr>
              <w:t>1</w:t>
            </w:r>
            <w:r w:rsidR="0025649E">
              <w:rPr>
                <w:rFonts w:ascii="Times New Roman" w:hAnsi="Times New Roman" w:cs="Times New Roman"/>
                <w:sz w:val="24"/>
                <w:lang w:val="bg-BG"/>
              </w:rPr>
              <w:t>3</w:t>
            </w:r>
          </w:p>
        </w:tc>
      </w:tr>
      <w:tr w:rsidR="0056111E"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56111E" w:rsidRDefault="0056111E"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4</w:t>
            </w:r>
          </w:p>
        </w:tc>
        <w:tc>
          <w:tcPr>
            <w:tcW w:w="6739" w:type="dxa"/>
          </w:tcPr>
          <w:p w:rsidR="0056111E" w:rsidRPr="00094346" w:rsidRDefault="00094346" w:rsidP="009F3479">
            <w:pPr>
              <w:widowControl w:val="0"/>
              <w:autoSpaceDE w:val="0"/>
              <w:autoSpaceDN w:val="0"/>
              <w:adjustRightInd w:val="0"/>
              <w:spacing w:after="0"/>
              <w:ind w:right="140"/>
              <w:jc w:val="both"/>
              <w:cnfStyle w:val="000000000000" w:firstRow="0" w:lastRow="0" w:firstColumn="0" w:lastColumn="0" w:oddVBand="0" w:evenVBand="0" w:oddHBand="0" w:evenHBand="0" w:firstRowFirstColumn="0" w:firstRowLastColumn="0" w:lastRowFirstColumn="0" w:lastRowLastColumn="0"/>
              <w:rPr>
                <w:rFonts w:ascii="All Times New Roman" w:eastAsia="Times New Roman" w:hAnsi="All Times New Roman" w:cs="All Times New Roman"/>
                <w:b/>
                <w:color w:val="auto"/>
                <w:sz w:val="24"/>
                <w:szCs w:val="24"/>
                <w:lang w:val="bg-BG" w:eastAsia="bg-BG"/>
              </w:rPr>
            </w:pPr>
            <w:r w:rsidRPr="00094346">
              <w:rPr>
                <w:rFonts w:ascii="Times New Roman" w:eastAsia="Times New Roman" w:hAnsi="Times New Roman"/>
                <w:b/>
                <w:color w:val="auto"/>
                <w:sz w:val="24"/>
                <w:szCs w:val="24"/>
                <w:lang w:val="bg-BG" w:eastAsia="bg-BG"/>
              </w:rPr>
              <w:t>Брутна добавена стойност по икономически сектори за 2011 г. и 2012</w:t>
            </w:r>
            <w:r w:rsidR="006D7043">
              <w:rPr>
                <w:rFonts w:ascii="Times New Roman" w:eastAsia="Times New Roman" w:hAnsi="Times New Roman"/>
                <w:b/>
                <w:color w:val="auto"/>
                <w:sz w:val="24"/>
                <w:szCs w:val="24"/>
                <w:lang w:val="bg-BG" w:eastAsia="bg-BG"/>
              </w:rPr>
              <w:t xml:space="preserve"> </w:t>
            </w:r>
            <w:r w:rsidRPr="00094346">
              <w:rPr>
                <w:rFonts w:ascii="Times New Roman" w:eastAsia="Times New Roman" w:hAnsi="Times New Roman"/>
                <w:b/>
                <w:color w:val="auto"/>
                <w:sz w:val="24"/>
                <w:szCs w:val="24"/>
                <w:lang w:val="bg-BG" w:eastAsia="bg-BG"/>
              </w:rPr>
              <w:t>г.</w:t>
            </w:r>
          </w:p>
        </w:tc>
        <w:tc>
          <w:tcPr>
            <w:tcW w:w="1766" w:type="dxa"/>
          </w:tcPr>
          <w:p w:rsidR="0056111E" w:rsidRPr="00094346" w:rsidRDefault="0021416F"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094346" w:rsidRPr="00094346">
              <w:rPr>
                <w:rFonts w:ascii="Times New Roman" w:hAnsi="Times New Roman" w:cs="Times New Roman"/>
                <w:sz w:val="24"/>
                <w:lang w:val="bg-BG"/>
              </w:rPr>
              <w:t>14</w:t>
            </w:r>
          </w:p>
        </w:tc>
      </w:tr>
      <w:tr w:rsidR="0056111E"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56111E" w:rsidRPr="0056111E" w:rsidRDefault="0056111E"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5</w:t>
            </w:r>
          </w:p>
        </w:tc>
        <w:tc>
          <w:tcPr>
            <w:tcW w:w="6739" w:type="dxa"/>
          </w:tcPr>
          <w:p w:rsidR="0056111E" w:rsidRPr="00C41448" w:rsidRDefault="00C41448" w:rsidP="00DC5D97">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C41448">
              <w:rPr>
                <w:rFonts w:ascii="Times New Roman" w:hAnsi="Times New Roman" w:cs="Times New Roman" w:hint="cs"/>
                <w:b/>
                <w:sz w:val="24"/>
                <w:lang w:val="bg-BG"/>
              </w:rPr>
              <w:t>Преки</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чуждестранни</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инвестиции</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в</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предприятията</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от</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нефинансовия</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сектор</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с</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натрупване</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за</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периода</w:t>
            </w:r>
            <w:r w:rsidRPr="00C41448">
              <w:rPr>
                <w:rFonts w:ascii="Times New Roman" w:hAnsi="Times New Roman" w:cs="Times New Roman"/>
                <w:b/>
                <w:sz w:val="24"/>
                <w:lang w:val="bg-BG"/>
              </w:rPr>
              <w:t xml:space="preserve"> 2007-201</w:t>
            </w:r>
            <w:r w:rsidR="00DC5D97">
              <w:rPr>
                <w:rFonts w:ascii="Times New Roman" w:hAnsi="Times New Roman" w:cs="Times New Roman"/>
                <w:b/>
                <w:sz w:val="24"/>
                <w:lang w:val="bg-BG"/>
              </w:rPr>
              <w:t>3</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г</w:t>
            </w:r>
            <w:r w:rsidRPr="00C41448">
              <w:rPr>
                <w:rFonts w:ascii="Times New Roman" w:hAnsi="Times New Roman" w:cs="Times New Roman"/>
                <w:b/>
                <w:sz w:val="24"/>
                <w:lang w:val="bg-BG"/>
              </w:rPr>
              <w:t>. (</w:t>
            </w:r>
            <w:r w:rsidRPr="00C41448">
              <w:rPr>
                <w:rFonts w:ascii="Times New Roman" w:hAnsi="Times New Roman" w:cs="Times New Roman" w:hint="cs"/>
                <w:b/>
                <w:sz w:val="24"/>
                <w:lang w:val="bg-BG"/>
              </w:rPr>
              <w:t>в</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хил</w:t>
            </w:r>
            <w:r w:rsidRPr="00C41448">
              <w:rPr>
                <w:rFonts w:ascii="Times New Roman" w:hAnsi="Times New Roman" w:cs="Times New Roman"/>
                <w:b/>
                <w:sz w:val="24"/>
                <w:lang w:val="bg-BG"/>
              </w:rPr>
              <w:t xml:space="preserve">. </w:t>
            </w:r>
            <w:r w:rsidRPr="00C41448">
              <w:rPr>
                <w:rFonts w:ascii="Times New Roman" w:hAnsi="Times New Roman" w:cs="Times New Roman" w:hint="cs"/>
                <w:b/>
                <w:sz w:val="24"/>
                <w:lang w:val="bg-BG"/>
              </w:rPr>
              <w:t>евро</w:t>
            </w:r>
            <w:r w:rsidRPr="00C41448">
              <w:rPr>
                <w:rFonts w:ascii="Times New Roman" w:hAnsi="Times New Roman" w:cs="Times New Roman"/>
                <w:b/>
                <w:sz w:val="24"/>
                <w:lang w:val="bg-BG"/>
              </w:rPr>
              <w:t>)</w:t>
            </w:r>
          </w:p>
        </w:tc>
        <w:tc>
          <w:tcPr>
            <w:tcW w:w="1766" w:type="dxa"/>
          </w:tcPr>
          <w:p w:rsidR="0056111E" w:rsidRPr="00C41448" w:rsidRDefault="0021416F"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C41448" w:rsidRPr="00C41448">
              <w:rPr>
                <w:rFonts w:ascii="Times New Roman" w:hAnsi="Times New Roman" w:cs="Times New Roman"/>
                <w:sz w:val="24"/>
                <w:lang w:val="bg-BG"/>
              </w:rPr>
              <w:t>15</w:t>
            </w:r>
          </w:p>
        </w:tc>
      </w:tr>
      <w:tr w:rsidR="0056111E" w:rsidTr="00B93CA7">
        <w:trPr>
          <w:trHeight w:val="1167"/>
        </w:trPr>
        <w:tc>
          <w:tcPr>
            <w:cnfStyle w:val="001000000000" w:firstRow="0" w:lastRow="0" w:firstColumn="1" w:lastColumn="0" w:oddVBand="0" w:evenVBand="0" w:oddHBand="0" w:evenHBand="0" w:firstRowFirstColumn="0" w:firstRowLastColumn="0" w:lastRowFirstColumn="0" w:lastRowLastColumn="0"/>
            <w:tcW w:w="1526" w:type="dxa"/>
            <w:gridSpan w:val="2"/>
          </w:tcPr>
          <w:p w:rsidR="0056111E" w:rsidRPr="0056111E" w:rsidRDefault="0056111E"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6</w:t>
            </w:r>
          </w:p>
        </w:tc>
        <w:tc>
          <w:tcPr>
            <w:tcW w:w="6739" w:type="dxa"/>
          </w:tcPr>
          <w:p w:rsidR="0056111E" w:rsidRPr="006C14E2" w:rsidRDefault="006C14E2"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bg-BG"/>
              </w:rPr>
            </w:pPr>
            <w:r w:rsidRPr="006C14E2">
              <w:rPr>
                <w:rFonts w:ascii="Times New Roman" w:hAnsi="Times New Roman"/>
                <w:b/>
                <w:sz w:val="24"/>
                <w:lang w:val="bg-BG"/>
              </w:rPr>
              <w:t>Разпределение на предприятията от нефинансовия сектор на икономиката през 2013 г. по големина, статистически райони, приходи от продажби и дълготрайни материални активи</w:t>
            </w:r>
          </w:p>
        </w:tc>
        <w:tc>
          <w:tcPr>
            <w:tcW w:w="1766" w:type="dxa"/>
          </w:tcPr>
          <w:p w:rsidR="0056111E" w:rsidRPr="006C14E2" w:rsidRDefault="0021416F"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6C14E2" w:rsidRPr="006C14E2">
              <w:rPr>
                <w:rFonts w:ascii="Times New Roman" w:hAnsi="Times New Roman" w:cs="Times New Roman"/>
                <w:sz w:val="24"/>
                <w:lang w:val="bg-BG"/>
              </w:rPr>
              <w:t>17</w:t>
            </w:r>
          </w:p>
        </w:tc>
      </w:tr>
      <w:tr w:rsidR="0056111E"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56111E" w:rsidRDefault="000C59D4"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7</w:t>
            </w:r>
          </w:p>
          <w:p w:rsidR="000C59D4" w:rsidRPr="000C59D4" w:rsidRDefault="000C59D4" w:rsidP="009F3479">
            <w:pPr>
              <w:rPr>
                <w:rFonts w:ascii="Times New Roman" w:hAnsi="Times New Roman"/>
                <w:color w:val="9D3511" w:themeColor="accent1" w:themeShade="BF"/>
                <w:lang w:val="bg-BG"/>
              </w:rPr>
            </w:pPr>
          </w:p>
        </w:tc>
        <w:tc>
          <w:tcPr>
            <w:tcW w:w="6739" w:type="dxa"/>
          </w:tcPr>
          <w:p w:rsidR="0056111E" w:rsidRPr="00192FAE" w:rsidRDefault="00192FAE"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lang w:val="bg-BG"/>
              </w:rPr>
            </w:pPr>
            <w:r w:rsidRPr="00192FAE">
              <w:rPr>
                <w:rFonts w:ascii="Times New Roman" w:hAnsi="Times New Roman"/>
                <w:b/>
                <w:bCs/>
                <w:sz w:val="24"/>
                <w:lang w:val="bg-BG"/>
              </w:rPr>
              <w:t>Дейност на средствата за подслон и местата за настаняване по статистически зони, статистически р</w:t>
            </w:r>
            <w:r>
              <w:rPr>
                <w:rFonts w:ascii="Times New Roman" w:hAnsi="Times New Roman"/>
                <w:b/>
                <w:bCs/>
                <w:sz w:val="24"/>
                <w:lang w:val="bg-BG"/>
              </w:rPr>
              <w:t>айони и по области през 2014 г.</w:t>
            </w:r>
          </w:p>
        </w:tc>
        <w:tc>
          <w:tcPr>
            <w:tcW w:w="1766" w:type="dxa"/>
          </w:tcPr>
          <w:p w:rsidR="0056111E" w:rsidRPr="00192FAE" w:rsidRDefault="00192FAE"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19</w:t>
            </w:r>
          </w:p>
        </w:tc>
      </w:tr>
      <w:tr w:rsidR="00257D21"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257D21" w:rsidRDefault="00C43A89"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lastRenderedPageBreak/>
              <w:t>Таблица 8</w:t>
            </w:r>
          </w:p>
        </w:tc>
        <w:tc>
          <w:tcPr>
            <w:tcW w:w="6739" w:type="dxa"/>
          </w:tcPr>
          <w:p w:rsidR="00257D21" w:rsidRPr="001765A8" w:rsidRDefault="001765A8"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sz w:val="24"/>
                <w:lang w:val="bg-BG"/>
              </w:rPr>
            </w:pPr>
            <w:r w:rsidRPr="001765A8">
              <w:rPr>
                <w:rFonts w:ascii="Times New Roman" w:hAnsi="Times New Roman"/>
                <w:b/>
                <w:bCs/>
                <w:i/>
                <w:iCs/>
                <w:sz w:val="24"/>
                <w:lang w:val="bg-BG"/>
              </w:rPr>
              <w:t>Разходи за научно-изследователска и развойн</w:t>
            </w:r>
            <w:r>
              <w:rPr>
                <w:rFonts w:ascii="Times New Roman" w:hAnsi="Times New Roman"/>
                <w:b/>
                <w:bCs/>
                <w:i/>
                <w:iCs/>
                <w:sz w:val="24"/>
                <w:lang w:val="bg-BG"/>
              </w:rPr>
              <w:t>а дейност (предварителни данни)</w:t>
            </w:r>
          </w:p>
        </w:tc>
        <w:tc>
          <w:tcPr>
            <w:tcW w:w="1766" w:type="dxa"/>
          </w:tcPr>
          <w:p w:rsidR="00257D21" w:rsidRDefault="001765A8"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21</w:t>
            </w:r>
          </w:p>
        </w:tc>
      </w:tr>
      <w:tr w:rsidR="00BD242F"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BD242F" w:rsidRDefault="00257D21" w:rsidP="009F3479">
            <w:pPr>
              <w:rPr>
                <w:rFonts w:ascii="Times New Roman" w:hAnsi="Times New Roman"/>
                <w:color w:val="9D3511" w:themeColor="accent1" w:themeShade="BF"/>
                <w:lang w:val="bg-BG"/>
              </w:rPr>
            </w:pPr>
            <w:r w:rsidRPr="00257D21">
              <w:rPr>
                <w:rFonts w:ascii="Times New Roman" w:hAnsi="Times New Roman"/>
                <w:color w:val="9D3511" w:themeColor="accent1" w:themeShade="BF"/>
                <w:lang w:val="bg-BG"/>
              </w:rPr>
              <w:t>Таблица</w:t>
            </w:r>
            <w:r>
              <w:rPr>
                <w:rFonts w:ascii="Times New Roman" w:hAnsi="Times New Roman"/>
                <w:color w:val="9D3511" w:themeColor="accent1" w:themeShade="BF"/>
                <w:lang w:val="bg-BG"/>
              </w:rPr>
              <w:t xml:space="preserve"> </w:t>
            </w:r>
            <w:r w:rsidR="00C43A89">
              <w:rPr>
                <w:rFonts w:ascii="Times New Roman" w:hAnsi="Times New Roman"/>
                <w:color w:val="9D3511" w:themeColor="accent1" w:themeShade="BF"/>
                <w:lang w:val="bg-BG"/>
              </w:rPr>
              <w:t>9</w:t>
            </w:r>
          </w:p>
        </w:tc>
        <w:tc>
          <w:tcPr>
            <w:tcW w:w="6739" w:type="dxa"/>
          </w:tcPr>
          <w:p w:rsidR="00BD242F" w:rsidRPr="00257D21" w:rsidRDefault="00C23F00"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257D21">
              <w:rPr>
                <w:rFonts w:ascii="Times New Roman" w:hAnsi="Times New Roman" w:cs="Times New Roman" w:hint="cs"/>
                <w:b/>
                <w:sz w:val="24"/>
                <w:lang w:val="bg-BG"/>
              </w:rPr>
              <w:t>Разходи</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за</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НИРД</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по</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статистически</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райони</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и</w:t>
            </w:r>
            <w:r w:rsidRPr="00257D21">
              <w:rPr>
                <w:rFonts w:ascii="Times New Roman" w:hAnsi="Times New Roman" w:cs="Times New Roman"/>
                <w:b/>
                <w:sz w:val="24"/>
                <w:lang w:val="bg-BG"/>
              </w:rPr>
              <w:t xml:space="preserve"> </w:t>
            </w:r>
            <w:r w:rsidRPr="00257D21">
              <w:rPr>
                <w:rFonts w:ascii="Times New Roman" w:hAnsi="Times New Roman" w:cs="Times New Roman" w:hint="cs"/>
                <w:b/>
                <w:sz w:val="24"/>
                <w:lang w:val="bg-BG"/>
              </w:rPr>
              <w:t>сектори</w:t>
            </w:r>
            <w:r w:rsidRPr="00257D21">
              <w:rPr>
                <w:rFonts w:ascii="Times New Roman" w:hAnsi="Times New Roman" w:cs="Times New Roman"/>
                <w:b/>
                <w:sz w:val="24"/>
                <w:lang w:val="bg-BG"/>
              </w:rPr>
              <w:t xml:space="preserve"> - 2013 </w:t>
            </w:r>
            <w:r w:rsidRPr="00257D21">
              <w:rPr>
                <w:rFonts w:ascii="Times New Roman" w:hAnsi="Times New Roman" w:cs="Times New Roman" w:hint="cs"/>
                <w:b/>
                <w:sz w:val="24"/>
                <w:lang w:val="bg-BG"/>
              </w:rPr>
              <w:t>г</w:t>
            </w:r>
            <w:r w:rsidRPr="00257D21">
              <w:rPr>
                <w:rFonts w:ascii="Times New Roman" w:hAnsi="Times New Roman" w:cs="Times New Roman"/>
                <w:b/>
                <w:sz w:val="24"/>
                <w:lang w:val="bg-BG"/>
              </w:rPr>
              <w:t>.(</w:t>
            </w:r>
            <w:r w:rsidRPr="00257D21">
              <w:rPr>
                <w:rFonts w:ascii="Times New Roman" w:hAnsi="Times New Roman" w:cs="Times New Roman" w:hint="cs"/>
                <w:b/>
                <w:sz w:val="24"/>
                <w:lang w:val="bg-BG"/>
              </w:rPr>
              <w:t>хил</w:t>
            </w:r>
            <w:r w:rsidRPr="00257D21">
              <w:rPr>
                <w:rFonts w:ascii="Times New Roman" w:hAnsi="Times New Roman" w:cs="Times New Roman"/>
                <w:b/>
                <w:sz w:val="24"/>
                <w:lang w:val="bg-BG"/>
              </w:rPr>
              <w:t>.</w:t>
            </w:r>
            <w:r w:rsidRPr="00257D21">
              <w:rPr>
                <w:rFonts w:ascii="Times New Roman" w:hAnsi="Times New Roman" w:cs="Times New Roman" w:hint="cs"/>
                <w:b/>
                <w:sz w:val="24"/>
                <w:lang w:val="bg-BG"/>
              </w:rPr>
              <w:t>лв</w:t>
            </w:r>
            <w:r w:rsidRPr="00257D21">
              <w:rPr>
                <w:rFonts w:ascii="Times New Roman" w:hAnsi="Times New Roman" w:cs="Times New Roman"/>
                <w:b/>
                <w:sz w:val="24"/>
                <w:lang w:val="bg-BG"/>
              </w:rPr>
              <w:t>.)</w:t>
            </w:r>
          </w:p>
        </w:tc>
        <w:tc>
          <w:tcPr>
            <w:tcW w:w="1766" w:type="dxa"/>
          </w:tcPr>
          <w:p w:rsidR="00BD242F" w:rsidRPr="00257D21" w:rsidRDefault="00257D21"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257D21">
              <w:rPr>
                <w:rFonts w:ascii="Times New Roman" w:hAnsi="Times New Roman" w:cs="Times New Roman"/>
                <w:sz w:val="24"/>
                <w:lang w:val="bg-BG"/>
              </w:rPr>
              <w:t>21</w:t>
            </w:r>
          </w:p>
        </w:tc>
      </w:tr>
      <w:tr w:rsidR="00257D21"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257D21" w:rsidRPr="00257D21" w:rsidRDefault="00257D21"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 xml:space="preserve">Таблица </w:t>
            </w:r>
            <w:r w:rsidR="00C43A89">
              <w:rPr>
                <w:rFonts w:ascii="Times New Roman" w:hAnsi="Times New Roman"/>
                <w:color w:val="9D3511" w:themeColor="accent1" w:themeShade="BF"/>
                <w:lang w:val="bg-BG"/>
              </w:rPr>
              <w:t>10</w:t>
            </w:r>
          </w:p>
        </w:tc>
        <w:tc>
          <w:tcPr>
            <w:tcW w:w="6739" w:type="dxa"/>
          </w:tcPr>
          <w:p w:rsidR="00765337" w:rsidRPr="00257D21" w:rsidRDefault="007D1144"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7D1144">
              <w:rPr>
                <w:rFonts w:ascii="Times New Roman" w:hAnsi="Times New Roman" w:cs="Times New Roman" w:hint="cs"/>
                <w:b/>
                <w:sz w:val="24"/>
                <w:lang w:val="bg-BG"/>
              </w:rPr>
              <w:t>Обслуженост</w:t>
            </w:r>
            <w:r w:rsidRPr="007D1144">
              <w:rPr>
                <w:rFonts w:ascii="Times New Roman" w:hAnsi="Times New Roman" w:cs="Times New Roman"/>
                <w:b/>
                <w:sz w:val="24"/>
                <w:lang w:val="bg-BG"/>
              </w:rPr>
              <w:t xml:space="preserve"> </w:t>
            </w:r>
            <w:r w:rsidRPr="007D1144">
              <w:rPr>
                <w:rFonts w:ascii="Times New Roman" w:hAnsi="Times New Roman" w:cs="Times New Roman" w:hint="cs"/>
                <w:b/>
                <w:sz w:val="24"/>
                <w:lang w:val="bg-BG"/>
              </w:rPr>
              <w:t>на</w:t>
            </w:r>
            <w:r w:rsidRPr="007D1144">
              <w:rPr>
                <w:rFonts w:ascii="Times New Roman" w:hAnsi="Times New Roman" w:cs="Times New Roman"/>
                <w:b/>
                <w:sz w:val="24"/>
                <w:lang w:val="bg-BG"/>
              </w:rPr>
              <w:t xml:space="preserve"> </w:t>
            </w:r>
            <w:r w:rsidRPr="007D1144">
              <w:rPr>
                <w:rFonts w:ascii="Times New Roman" w:hAnsi="Times New Roman" w:cs="Times New Roman" w:hint="cs"/>
                <w:b/>
                <w:sz w:val="24"/>
                <w:lang w:val="bg-BG"/>
              </w:rPr>
              <w:t>населението</w:t>
            </w:r>
            <w:r w:rsidRPr="007D1144">
              <w:rPr>
                <w:rFonts w:ascii="Times New Roman" w:hAnsi="Times New Roman" w:cs="Times New Roman"/>
                <w:b/>
                <w:sz w:val="24"/>
                <w:lang w:val="bg-BG"/>
              </w:rPr>
              <w:t xml:space="preserve"> </w:t>
            </w:r>
            <w:r w:rsidRPr="007D1144">
              <w:rPr>
                <w:rFonts w:ascii="Times New Roman" w:hAnsi="Times New Roman" w:cs="Times New Roman" w:hint="cs"/>
                <w:b/>
                <w:sz w:val="24"/>
                <w:lang w:val="bg-BG"/>
              </w:rPr>
              <w:t>от</w:t>
            </w:r>
            <w:r w:rsidRPr="007D1144">
              <w:rPr>
                <w:rFonts w:ascii="Times New Roman" w:hAnsi="Times New Roman" w:cs="Times New Roman"/>
                <w:b/>
                <w:sz w:val="24"/>
                <w:lang w:val="bg-BG"/>
              </w:rPr>
              <w:t xml:space="preserve"> </w:t>
            </w:r>
            <w:r w:rsidRPr="007D1144">
              <w:rPr>
                <w:rFonts w:ascii="Times New Roman" w:hAnsi="Times New Roman" w:cs="Times New Roman" w:hint="cs"/>
                <w:b/>
                <w:sz w:val="24"/>
                <w:lang w:val="bg-BG"/>
              </w:rPr>
              <w:t>екологична</w:t>
            </w:r>
            <w:r w:rsidRPr="007D1144">
              <w:rPr>
                <w:rFonts w:ascii="Times New Roman" w:hAnsi="Times New Roman" w:cs="Times New Roman"/>
                <w:b/>
                <w:sz w:val="24"/>
                <w:lang w:val="bg-BG"/>
              </w:rPr>
              <w:t xml:space="preserve"> </w:t>
            </w:r>
            <w:r w:rsidRPr="007D1144">
              <w:rPr>
                <w:rFonts w:ascii="Times New Roman" w:hAnsi="Times New Roman" w:cs="Times New Roman" w:hint="cs"/>
                <w:b/>
                <w:sz w:val="24"/>
                <w:lang w:val="bg-BG"/>
              </w:rPr>
              <w:t>инфраструктура</w:t>
            </w:r>
            <w:r w:rsidRPr="007D1144">
              <w:rPr>
                <w:rFonts w:ascii="Times New Roman" w:hAnsi="Times New Roman" w:cs="Times New Roman"/>
                <w:b/>
                <w:sz w:val="24"/>
                <w:lang w:val="bg-BG"/>
              </w:rPr>
              <w:t xml:space="preserve"> </w:t>
            </w:r>
            <w:r w:rsidRPr="007D1144">
              <w:rPr>
                <w:rFonts w:ascii="Times New Roman" w:hAnsi="Times New Roman" w:cs="Times New Roman" w:hint="cs"/>
                <w:b/>
                <w:sz w:val="24"/>
                <w:lang w:val="bg-BG"/>
              </w:rPr>
              <w:t>към</w:t>
            </w:r>
            <w:r w:rsidRPr="007D1144">
              <w:rPr>
                <w:rFonts w:ascii="Times New Roman" w:hAnsi="Times New Roman" w:cs="Times New Roman"/>
                <w:b/>
                <w:sz w:val="24"/>
                <w:lang w:val="bg-BG"/>
              </w:rPr>
              <w:t xml:space="preserve"> 31.12.2013</w:t>
            </w:r>
            <w:r w:rsidRPr="007D1144">
              <w:rPr>
                <w:rFonts w:ascii="Times New Roman" w:hAnsi="Times New Roman" w:cs="Times New Roman" w:hint="cs"/>
                <w:b/>
                <w:sz w:val="24"/>
                <w:lang w:val="bg-BG"/>
              </w:rPr>
              <w:t>г</w:t>
            </w:r>
            <w:r w:rsidRPr="007D1144">
              <w:rPr>
                <w:rFonts w:ascii="Times New Roman" w:hAnsi="Times New Roman" w:cs="Times New Roman"/>
                <w:b/>
                <w:sz w:val="24"/>
                <w:lang w:val="bg-BG"/>
              </w:rPr>
              <w:t>.</w:t>
            </w:r>
          </w:p>
        </w:tc>
        <w:tc>
          <w:tcPr>
            <w:tcW w:w="1766" w:type="dxa"/>
          </w:tcPr>
          <w:p w:rsidR="00257D21" w:rsidRPr="00257D21" w:rsidRDefault="007D1144"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53</w:t>
            </w:r>
          </w:p>
        </w:tc>
      </w:tr>
      <w:tr w:rsidR="00765337" w:rsidRPr="00BD1A00"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765337" w:rsidRDefault="00765337"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1</w:t>
            </w:r>
            <w:r w:rsidR="00C43A89">
              <w:rPr>
                <w:rFonts w:ascii="Times New Roman" w:hAnsi="Times New Roman"/>
                <w:color w:val="9D3511" w:themeColor="accent1" w:themeShade="BF"/>
                <w:lang w:val="bg-BG"/>
              </w:rPr>
              <w:t>1</w:t>
            </w:r>
          </w:p>
        </w:tc>
        <w:tc>
          <w:tcPr>
            <w:tcW w:w="6739" w:type="dxa"/>
          </w:tcPr>
          <w:p w:rsidR="00765337" w:rsidRPr="00BD1A00" w:rsidRDefault="00EE6E19"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EE6E19">
              <w:rPr>
                <w:rFonts w:ascii="Times New Roman" w:hAnsi="Times New Roman" w:cs="Times New Roman" w:hint="cs"/>
                <w:b/>
                <w:sz w:val="24"/>
                <w:lang w:val="bg-BG"/>
              </w:rPr>
              <w:t>Разходи</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за</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опазване</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и</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възстановяване</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на</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околната</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среда</w:t>
            </w:r>
            <w:r w:rsidRPr="00EE6E19">
              <w:rPr>
                <w:rFonts w:ascii="Times New Roman" w:hAnsi="Times New Roman" w:cs="Times New Roman"/>
                <w:b/>
                <w:sz w:val="24"/>
                <w:lang w:val="bg-BG"/>
              </w:rPr>
              <w:t xml:space="preserve"> 2007-2013 </w:t>
            </w:r>
            <w:r w:rsidRPr="00EE6E19">
              <w:rPr>
                <w:rFonts w:ascii="Times New Roman" w:hAnsi="Times New Roman" w:cs="Times New Roman" w:hint="cs"/>
                <w:b/>
                <w:sz w:val="24"/>
                <w:lang w:val="bg-BG"/>
              </w:rPr>
              <w:t>г</w:t>
            </w:r>
            <w:r w:rsidRPr="00EE6E19">
              <w:rPr>
                <w:rFonts w:ascii="Times New Roman" w:hAnsi="Times New Roman" w:cs="Times New Roman"/>
                <w:b/>
                <w:sz w:val="24"/>
                <w:lang w:val="bg-BG"/>
              </w:rPr>
              <w:t>.                                                                                                               (</w:t>
            </w:r>
            <w:r w:rsidRPr="00EE6E19">
              <w:rPr>
                <w:rFonts w:ascii="Times New Roman" w:hAnsi="Times New Roman" w:cs="Times New Roman" w:hint="cs"/>
                <w:b/>
                <w:sz w:val="24"/>
                <w:lang w:val="bg-BG"/>
              </w:rPr>
              <w:t>в</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хил</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лв</w:t>
            </w:r>
            <w:r w:rsidRPr="00EE6E19">
              <w:rPr>
                <w:rFonts w:ascii="Times New Roman" w:hAnsi="Times New Roman" w:cs="Times New Roman"/>
                <w:b/>
                <w:sz w:val="24"/>
                <w:lang w:val="bg-BG"/>
              </w:rPr>
              <w:t>)</w:t>
            </w:r>
          </w:p>
        </w:tc>
        <w:tc>
          <w:tcPr>
            <w:tcW w:w="1766" w:type="dxa"/>
          </w:tcPr>
          <w:p w:rsidR="00765337" w:rsidRPr="00BD1A00" w:rsidRDefault="00C23F00"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EE6E19">
              <w:rPr>
                <w:rFonts w:ascii="Times New Roman" w:hAnsi="Times New Roman" w:cs="Times New Roman"/>
                <w:sz w:val="24"/>
                <w:lang w:val="bg-BG"/>
              </w:rPr>
              <w:t>54</w:t>
            </w:r>
          </w:p>
        </w:tc>
      </w:tr>
      <w:tr w:rsidR="00765337" w:rsidRPr="00094346"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765337" w:rsidRDefault="00765337"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1</w:t>
            </w:r>
            <w:r w:rsidR="00C43A89">
              <w:rPr>
                <w:rFonts w:ascii="Times New Roman" w:hAnsi="Times New Roman"/>
                <w:color w:val="9D3511" w:themeColor="accent1" w:themeShade="BF"/>
                <w:lang w:val="bg-BG"/>
              </w:rPr>
              <w:t>2</w:t>
            </w:r>
          </w:p>
        </w:tc>
        <w:tc>
          <w:tcPr>
            <w:tcW w:w="6739" w:type="dxa"/>
          </w:tcPr>
          <w:p w:rsidR="00765337" w:rsidRPr="00EE6E19" w:rsidRDefault="00EE6E19" w:rsidP="009F3479">
            <w:pPr>
              <w:widowControl w:val="0"/>
              <w:autoSpaceDE w:val="0"/>
              <w:autoSpaceDN w:val="0"/>
              <w:adjustRightInd w:val="0"/>
              <w:spacing w:after="0"/>
              <w:ind w:right="140"/>
              <w:jc w:val="both"/>
              <w:cnfStyle w:val="000000000000" w:firstRow="0" w:lastRow="0" w:firstColumn="0" w:lastColumn="0" w:oddVBand="0" w:evenVBand="0" w:oddHBand="0" w:evenHBand="0" w:firstRowFirstColumn="0" w:firstRowLastColumn="0" w:lastRowFirstColumn="0" w:lastRowLastColumn="0"/>
              <w:rPr>
                <w:rFonts w:eastAsia="Times New Roman"/>
                <w:b/>
                <w:color w:val="auto"/>
                <w:sz w:val="24"/>
                <w:szCs w:val="24"/>
                <w:lang w:val="bg-BG" w:eastAsia="bg-BG"/>
              </w:rPr>
            </w:pPr>
            <w:r w:rsidRPr="00EE6E19">
              <w:rPr>
                <w:rFonts w:ascii="Times New Roman" w:eastAsia="Times New Roman" w:hAnsi="Times New Roman"/>
                <w:b/>
                <w:color w:val="auto"/>
                <w:sz w:val="24"/>
                <w:szCs w:val="24"/>
                <w:lang w:val="bg-BG" w:eastAsia="bg-BG"/>
              </w:rPr>
              <w:t>Справка</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за</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проекти</w:t>
            </w:r>
            <w:r>
              <w:rPr>
                <w:rFonts w:eastAsia="Times New Roman"/>
                <w:b/>
                <w:color w:val="auto"/>
                <w:sz w:val="24"/>
                <w:szCs w:val="24"/>
                <w:lang w:val="bg-BG" w:eastAsia="bg-BG"/>
              </w:rPr>
              <w:t>,</w:t>
            </w:r>
            <w:r>
              <w:rPr>
                <w:rFonts w:ascii="Cambria" w:eastAsia="Times New Roman" w:hAnsi="Cambria"/>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на</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територията</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на</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Югоизточен</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район</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към</w:t>
            </w:r>
            <w:r w:rsidRPr="00EE6E19">
              <w:rPr>
                <w:rFonts w:eastAsia="Times New Roman"/>
                <w:b/>
                <w:color w:val="auto"/>
                <w:sz w:val="24"/>
                <w:szCs w:val="24"/>
                <w:lang w:val="bg-BG" w:eastAsia="bg-BG"/>
              </w:rPr>
              <w:t xml:space="preserve"> </w:t>
            </w:r>
            <w:r w:rsidRPr="004C7F30">
              <w:rPr>
                <w:rFonts w:ascii="Times New Roman" w:eastAsia="Times New Roman" w:hAnsi="Times New Roman"/>
                <w:b/>
                <w:color w:val="auto"/>
                <w:sz w:val="24"/>
                <w:szCs w:val="24"/>
                <w:lang w:val="bg-BG" w:eastAsia="bg-BG"/>
              </w:rPr>
              <w:t>31.12.2014 г.,</w:t>
            </w:r>
            <w:r>
              <w:rPr>
                <w:rFonts w:ascii="Cambria" w:eastAsia="Times New Roman" w:hAnsi="Cambria"/>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финансирани</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в</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посока</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Реализирани</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за</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разширяване</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на</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сътрудничеството</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и</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насърчаване</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на</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икономическия</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социалния</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и</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културния</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обмен</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между</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регионите</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на</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България</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и</w:t>
            </w:r>
            <w:r w:rsidRPr="00EE6E19">
              <w:rPr>
                <w:rFonts w:eastAsia="Times New Roman"/>
                <w:b/>
                <w:color w:val="auto"/>
                <w:sz w:val="24"/>
                <w:szCs w:val="24"/>
                <w:lang w:val="bg-BG" w:eastAsia="bg-BG"/>
              </w:rPr>
              <w:t xml:space="preserve"> </w:t>
            </w:r>
            <w:r w:rsidRPr="00EE6E19">
              <w:rPr>
                <w:rFonts w:ascii="Times New Roman" w:eastAsia="Times New Roman" w:hAnsi="Times New Roman"/>
                <w:b/>
                <w:color w:val="auto"/>
                <w:sz w:val="24"/>
                <w:szCs w:val="24"/>
                <w:lang w:val="bg-BG" w:eastAsia="bg-BG"/>
              </w:rPr>
              <w:t>Европа</w:t>
            </w:r>
          </w:p>
        </w:tc>
        <w:tc>
          <w:tcPr>
            <w:tcW w:w="1766" w:type="dxa"/>
          </w:tcPr>
          <w:p w:rsidR="00765337" w:rsidRPr="00094346" w:rsidRDefault="0076533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sidRPr="00094346">
              <w:rPr>
                <w:rFonts w:ascii="Times New Roman" w:hAnsi="Times New Roman" w:cs="Times New Roman"/>
                <w:sz w:val="24"/>
                <w:lang w:val="bg-BG"/>
              </w:rPr>
              <w:t>1</w:t>
            </w:r>
            <w:r w:rsidR="00EE6E19">
              <w:rPr>
                <w:rFonts w:ascii="Times New Roman" w:hAnsi="Times New Roman" w:cs="Times New Roman"/>
                <w:sz w:val="24"/>
                <w:lang w:val="bg-BG"/>
              </w:rPr>
              <w:t>13</w:t>
            </w:r>
          </w:p>
        </w:tc>
      </w:tr>
      <w:tr w:rsidR="00765337" w:rsidRPr="00C41448"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765337" w:rsidRPr="0056111E" w:rsidRDefault="00765337"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1</w:t>
            </w:r>
            <w:r w:rsidR="00C43A89">
              <w:rPr>
                <w:rFonts w:ascii="Times New Roman" w:hAnsi="Times New Roman"/>
                <w:color w:val="9D3511" w:themeColor="accent1" w:themeShade="BF"/>
                <w:lang w:val="bg-BG"/>
              </w:rPr>
              <w:t>3</w:t>
            </w:r>
          </w:p>
        </w:tc>
        <w:tc>
          <w:tcPr>
            <w:tcW w:w="6739" w:type="dxa"/>
          </w:tcPr>
          <w:p w:rsidR="00765337" w:rsidRPr="00C41448" w:rsidRDefault="00A66908"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A66908">
              <w:rPr>
                <w:rFonts w:ascii="Times New Roman" w:hAnsi="Times New Roman" w:cs="Times New Roman"/>
                <w:b/>
                <w:sz w:val="24"/>
                <w:lang w:val="bg-BG"/>
              </w:rPr>
              <w:t xml:space="preserve">Справка за проекти, </w:t>
            </w:r>
            <w:r w:rsidRPr="00A66908">
              <w:rPr>
                <w:rFonts w:ascii="Times New Roman" w:hAnsi="Times New Roman" w:cs="Times New Roman" w:hint="cs"/>
                <w:b/>
                <w:sz w:val="24"/>
                <w:lang w:val="bg-BG"/>
              </w:rPr>
              <w:t>на</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територията</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на</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Югоизточен</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район</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към</w:t>
            </w:r>
            <w:r w:rsidRPr="00A66908">
              <w:rPr>
                <w:rFonts w:ascii="Times New Roman" w:hAnsi="Times New Roman" w:cs="Times New Roman"/>
                <w:b/>
                <w:sz w:val="24"/>
                <w:lang w:val="bg-BG"/>
              </w:rPr>
              <w:t xml:space="preserve"> 31.12.2014 </w:t>
            </w:r>
            <w:r w:rsidRPr="00A66908">
              <w:rPr>
                <w:rFonts w:ascii="Times New Roman" w:hAnsi="Times New Roman" w:cs="Times New Roman" w:hint="cs"/>
                <w:b/>
                <w:sz w:val="24"/>
                <w:lang w:val="bg-BG"/>
              </w:rPr>
              <w:t>г</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финансирани</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от</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различни</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финансови</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източници</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в</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посока</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намаление</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на</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енергийното</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потребление</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в</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обществени</w:t>
            </w:r>
            <w:r w:rsidRPr="00A66908">
              <w:rPr>
                <w:rFonts w:ascii="Times New Roman" w:hAnsi="Times New Roman" w:cs="Times New Roman"/>
                <w:b/>
                <w:sz w:val="24"/>
                <w:lang w:val="bg-BG"/>
              </w:rPr>
              <w:t xml:space="preserve"> </w:t>
            </w:r>
            <w:r w:rsidRPr="00A66908">
              <w:rPr>
                <w:rFonts w:ascii="Times New Roman" w:hAnsi="Times New Roman" w:cs="Times New Roman" w:hint="cs"/>
                <w:b/>
                <w:sz w:val="24"/>
                <w:lang w:val="bg-BG"/>
              </w:rPr>
              <w:t>сгради</w:t>
            </w:r>
          </w:p>
        </w:tc>
        <w:tc>
          <w:tcPr>
            <w:tcW w:w="1766" w:type="dxa"/>
          </w:tcPr>
          <w:p w:rsidR="00765337" w:rsidRPr="00C41448" w:rsidRDefault="00765337"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C41448">
              <w:rPr>
                <w:rFonts w:ascii="Times New Roman" w:hAnsi="Times New Roman" w:cs="Times New Roman"/>
                <w:sz w:val="24"/>
                <w:lang w:val="bg-BG"/>
              </w:rPr>
              <w:t>1</w:t>
            </w:r>
            <w:r w:rsidR="00A66908">
              <w:rPr>
                <w:rFonts w:ascii="Times New Roman" w:hAnsi="Times New Roman" w:cs="Times New Roman"/>
                <w:sz w:val="24"/>
                <w:lang w:val="bg-BG"/>
              </w:rPr>
              <w:t>28</w:t>
            </w:r>
          </w:p>
        </w:tc>
      </w:tr>
      <w:tr w:rsidR="00765337" w:rsidRPr="006C14E2"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765337" w:rsidRPr="0056111E" w:rsidRDefault="00765337"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1</w:t>
            </w:r>
            <w:r w:rsidR="00C43A89">
              <w:rPr>
                <w:rFonts w:ascii="Times New Roman" w:hAnsi="Times New Roman"/>
                <w:color w:val="9D3511" w:themeColor="accent1" w:themeShade="BF"/>
                <w:lang w:val="bg-BG"/>
              </w:rPr>
              <w:t>4</w:t>
            </w:r>
          </w:p>
        </w:tc>
        <w:tc>
          <w:tcPr>
            <w:tcW w:w="6739" w:type="dxa"/>
          </w:tcPr>
          <w:p w:rsidR="00765337" w:rsidRPr="006C14E2" w:rsidRDefault="00F3287C"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bg-BG"/>
              </w:rPr>
            </w:pPr>
            <w:r w:rsidRPr="00F3287C">
              <w:rPr>
                <w:rFonts w:ascii="Times New Roman" w:hAnsi="Times New Roman" w:hint="cs"/>
                <w:b/>
                <w:sz w:val="24"/>
                <w:lang w:val="bg-BG"/>
              </w:rPr>
              <w:t>Ключови</w:t>
            </w:r>
            <w:r w:rsidRPr="00F3287C">
              <w:rPr>
                <w:rFonts w:ascii="Times New Roman" w:hAnsi="Times New Roman"/>
                <w:b/>
                <w:sz w:val="24"/>
                <w:lang w:val="bg-BG"/>
              </w:rPr>
              <w:t xml:space="preserve">  </w:t>
            </w:r>
            <w:r w:rsidRPr="00F3287C">
              <w:rPr>
                <w:rFonts w:ascii="Times New Roman" w:hAnsi="Times New Roman" w:hint="cs"/>
                <w:b/>
                <w:sz w:val="24"/>
                <w:lang w:val="bg-BG"/>
              </w:rPr>
              <w:t>индикатори</w:t>
            </w:r>
            <w:r w:rsidRPr="00F3287C">
              <w:rPr>
                <w:rFonts w:ascii="Times New Roman" w:hAnsi="Times New Roman"/>
                <w:b/>
                <w:sz w:val="24"/>
                <w:lang w:val="bg-BG"/>
              </w:rPr>
              <w:t xml:space="preserve"> </w:t>
            </w:r>
            <w:r w:rsidRPr="00F3287C">
              <w:rPr>
                <w:rFonts w:ascii="Times New Roman" w:hAnsi="Times New Roman" w:hint="cs"/>
                <w:b/>
                <w:sz w:val="24"/>
                <w:lang w:val="bg-BG"/>
              </w:rPr>
              <w:t>за</w:t>
            </w:r>
            <w:r w:rsidRPr="00F3287C">
              <w:rPr>
                <w:rFonts w:ascii="Times New Roman" w:hAnsi="Times New Roman"/>
                <w:b/>
                <w:sz w:val="24"/>
                <w:lang w:val="bg-BG"/>
              </w:rPr>
              <w:t xml:space="preserve"> </w:t>
            </w:r>
            <w:r w:rsidRPr="00F3287C">
              <w:rPr>
                <w:rFonts w:ascii="Times New Roman" w:hAnsi="Times New Roman" w:hint="cs"/>
                <w:b/>
                <w:sz w:val="24"/>
                <w:lang w:val="bg-BG"/>
              </w:rPr>
              <w:t>наблюдение</w:t>
            </w:r>
            <w:r w:rsidRPr="00F3287C">
              <w:rPr>
                <w:rFonts w:ascii="Times New Roman" w:hAnsi="Times New Roman"/>
                <w:b/>
                <w:sz w:val="24"/>
                <w:lang w:val="bg-BG"/>
              </w:rPr>
              <w:t xml:space="preserve"> </w:t>
            </w:r>
            <w:r w:rsidRPr="00F3287C">
              <w:rPr>
                <w:rFonts w:ascii="Times New Roman" w:hAnsi="Times New Roman" w:hint="cs"/>
                <w:b/>
                <w:sz w:val="24"/>
                <w:lang w:val="bg-BG"/>
              </w:rPr>
              <w:t>изпълнението</w:t>
            </w:r>
            <w:r w:rsidRPr="00F3287C">
              <w:rPr>
                <w:rFonts w:ascii="Times New Roman" w:hAnsi="Times New Roman"/>
                <w:b/>
                <w:sz w:val="24"/>
                <w:lang w:val="bg-BG"/>
              </w:rPr>
              <w:t xml:space="preserve"> </w:t>
            </w:r>
            <w:r w:rsidRPr="00F3287C">
              <w:rPr>
                <w:rFonts w:ascii="Times New Roman" w:hAnsi="Times New Roman" w:hint="cs"/>
                <w:b/>
                <w:sz w:val="24"/>
                <w:lang w:val="bg-BG"/>
              </w:rPr>
              <w:t>на</w:t>
            </w:r>
            <w:r w:rsidRPr="00F3287C">
              <w:rPr>
                <w:rFonts w:ascii="Times New Roman" w:hAnsi="Times New Roman"/>
                <w:b/>
                <w:sz w:val="24"/>
                <w:lang w:val="bg-BG"/>
              </w:rPr>
              <w:t xml:space="preserve"> </w:t>
            </w:r>
            <w:r w:rsidRPr="00F3287C">
              <w:rPr>
                <w:rFonts w:ascii="Times New Roman" w:hAnsi="Times New Roman" w:hint="cs"/>
                <w:b/>
                <w:sz w:val="24"/>
                <w:lang w:val="bg-BG"/>
              </w:rPr>
              <w:t>Регионалния</w:t>
            </w:r>
            <w:r w:rsidRPr="00F3287C">
              <w:rPr>
                <w:rFonts w:ascii="Times New Roman" w:hAnsi="Times New Roman"/>
                <w:b/>
                <w:sz w:val="24"/>
                <w:lang w:val="bg-BG"/>
              </w:rPr>
              <w:t xml:space="preserve"> </w:t>
            </w:r>
            <w:r w:rsidRPr="00F3287C">
              <w:rPr>
                <w:rFonts w:ascii="Times New Roman" w:hAnsi="Times New Roman" w:hint="cs"/>
                <w:b/>
                <w:sz w:val="24"/>
                <w:lang w:val="bg-BG"/>
              </w:rPr>
              <w:t>план</w:t>
            </w:r>
            <w:r w:rsidRPr="00F3287C">
              <w:rPr>
                <w:rFonts w:ascii="Times New Roman" w:hAnsi="Times New Roman"/>
                <w:b/>
                <w:sz w:val="24"/>
                <w:lang w:val="bg-BG"/>
              </w:rPr>
              <w:t xml:space="preserve"> </w:t>
            </w:r>
            <w:r w:rsidRPr="00F3287C">
              <w:rPr>
                <w:rFonts w:ascii="Times New Roman" w:hAnsi="Times New Roman" w:hint="cs"/>
                <w:b/>
                <w:sz w:val="24"/>
                <w:lang w:val="bg-BG"/>
              </w:rPr>
              <w:t>за</w:t>
            </w:r>
            <w:r w:rsidRPr="00F3287C">
              <w:rPr>
                <w:rFonts w:ascii="Times New Roman" w:hAnsi="Times New Roman"/>
                <w:b/>
                <w:sz w:val="24"/>
                <w:lang w:val="bg-BG"/>
              </w:rPr>
              <w:t xml:space="preserve"> </w:t>
            </w:r>
            <w:r w:rsidRPr="00F3287C">
              <w:rPr>
                <w:rFonts w:ascii="Times New Roman" w:hAnsi="Times New Roman" w:hint="cs"/>
                <w:b/>
                <w:sz w:val="24"/>
                <w:lang w:val="bg-BG"/>
              </w:rPr>
              <w:t>развитие</w:t>
            </w:r>
            <w:r w:rsidRPr="00F3287C">
              <w:rPr>
                <w:rFonts w:ascii="Times New Roman" w:hAnsi="Times New Roman"/>
                <w:b/>
                <w:sz w:val="24"/>
                <w:lang w:val="bg-BG"/>
              </w:rPr>
              <w:t xml:space="preserve"> </w:t>
            </w:r>
            <w:r w:rsidRPr="00F3287C">
              <w:rPr>
                <w:rFonts w:ascii="Times New Roman" w:hAnsi="Times New Roman" w:hint="cs"/>
                <w:b/>
                <w:sz w:val="24"/>
                <w:lang w:val="bg-BG"/>
              </w:rPr>
              <w:t>на</w:t>
            </w:r>
            <w:r w:rsidRPr="00F3287C">
              <w:rPr>
                <w:rFonts w:ascii="Times New Roman" w:hAnsi="Times New Roman"/>
                <w:b/>
                <w:sz w:val="24"/>
                <w:lang w:val="bg-BG"/>
              </w:rPr>
              <w:t xml:space="preserve"> </w:t>
            </w:r>
            <w:r w:rsidRPr="00F3287C">
              <w:rPr>
                <w:rFonts w:ascii="Times New Roman" w:hAnsi="Times New Roman" w:hint="cs"/>
                <w:b/>
                <w:sz w:val="24"/>
                <w:lang w:val="bg-BG"/>
              </w:rPr>
              <w:t>Югоизточен</w:t>
            </w:r>
            <w:r w:rsidRPr="00F3287C">
              <w:rPr>
                <w:rFonts w:ascii="Times New Roman" w:hAnsi="Times New Roman"/>
                <w:b/>
                <w:sz w:val="24"/>
                <w:lang w:val="bg-BG"/>
              </w:rPr>
              <w:t xml:space="preserve"> </w:t>
            </w:r>
            <w:r w:rsidRPr="00F3287C">
              <w:rPr>
                <w:rFonts w:ascii="Times New Roman" w:hAnsi="Times New Roman" w:hint="cs"/>
                <w:b/>
                <w:sz w:val="24"/>
                <w:lang w:val="bg-BG"/>
              </w:rPr>
              <w:t>район</w:t>
            </w:r>
            <w:r w:rsidRPr="00F3287C">
              <w:rPr>
                <w:rFonts w:ascii="Times New Roman" w:hAnsi="Times New Roman"/>
                <w:b/>
                <w:sz w:val="24"/>
                <w:lang w:val="bg-BG"/>
              </w:rPr>
              <w:t xml:space="preserve"> </w:t>
            </w:r>
            <w:r w:rsidRPr="00F3287C">
              <w:rPr>
                <w:rFonts w:ascii="Times New Roman" w:hAnsi="Times New Roman" w:hint="cs"/>
                <w:b/>
                <w:sz w:val="24"/>
                <w:lang w:val="bg-BG"/>
              </w:rPr>
              <w:t>за</w:t>
            </w:r>
            <w:r w:rsidRPr="00F3287C">
              <w:rPr>
                <w:rFonts w:ascii="Times New Roman" w:hAnsi="Times New Roman"/>
                <w:b/>
                <w:sz w:val="24"/>
                <w:lang w:val="bg-BG"/>
              </w:rPr>
              <w:t xml:space="preserve"> </w:t>
            </w:r>
            <w:r w:rsidRPr="00F3287C">
              <w:rPr>
                <w:rFonts w:ascii="Times New Roman" w:hAnsi="Times New Roman" w:hint="cs"/>
                <w:b/>
                <w:sz w:val="24"/>
                <w:lang w:val="bg-BG"/>
              </w:rPr>
              <w:t>периода</w:t>
            </w:r>
            <w:r w:rsidRPr="00F3287C">
              <w:rPr>
                <w:rFonts w:ascii="Times New Roman" w:hAnsi="Times New Roman"/>
                <w:b/>
                <w:sz w:val="24"/>
                <w:lang w:val="bg-BG"/>
              </w:rPr>
              <w:t xml:space="preserve"> 2014-2020 </w:t>
            </w:r>
            <w:r w:rsidRPr="00F3287C">
              <w:rPr>
                <w:rFonts w:ascii="Times New Roman" w:hAnsi="Times New Roman" w:hint="cs"/>
                <w:b/>
                <w:sz w:val="24"/>
                <w:lang w:val="bg-BG"/>
              </w:rPr>
              <w:t>г</w:t>
            </w:r>
            <w:r w:rsidRPr="00F3287C">
              <w:rPr>
                <w:rFonts w:ascii="Times New Roman" w:hAnsi="Times New Roman"/>
                <w:b/>
                <w:sz w:val="24"/>
                <w:lang w:val="bg-BG"/>
              </w:rPr>
              <w:t>.</w:t>
            </w:r>
          </w:p>
        </w:tc>
        <w:tc>
          <w:tcPr>
            <w:tcW w:w="1766" w:type="dxa"/>
          </w:tcPr>
          <w:p w:rsidR="00765337" w:rsidRPr="006C14E2" w:rsidRDefault="0076533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sidRPr="006C14E2">
              <w:rPr>
                <w:rFonts w:ascii="Times New Roman" w:hAnsi="Times New Roman" w:cs="Times New Roman"/>
                <w:sz w:val="24"/>
                <w:lang w:val="bg-BG"/>
              </w:rPr>
              <w:t>1</w:t>
            </w:r>
            <w:r w:rsidR="00F3287C">
              <w:rPr>
                <w:rFonts w:ascii="Times New Roman" w:hAnsi="Times New Roman" w:cs="Times New Roman"/>
                <w:sz w:val="24"/>
                <w:lang w:val="bg-BG"/>
              </w:rPr>
              <w:t>41</w:t>
            </w:r>
          </w:p>
        </w:tc>
      </w:tr>
      <w:tr w:rsidR="00765337" w:rsidRPr="00192FAE"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765337" w:rsidRDefault="00765337"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1</w:t>
            </w:r>
            <w:r w:rsidR="00C43A89">
              <w:rPr>
                <w:rFonts w:ascii="Times New Roman" w:hAnsi="Times New Roman"/>
                <w:color w:val="9D3511" w:themeColor="accent1" w:themeShade="BF"/>
                <w:lang w:val="bg-BG"/>
              </w:rPr>
              <w:t>5</w:t>
            </w:r>
          </w:p>
          <w:p w:rsidR="00765337" w:rsidRPr="000C59D4" w:rsidRDefault="00765337" w:rsidP="009F3479">
            <w:pPr>
              <w:rPr>
                <w:rFonts w:ascii="Times New Roman" w:hAnsi="Times New Roman"/>
                <w:color w:val="9D3511" w:themeColor="accent1" w:themeShade="BF"/>
                <w:lang w:val="bg-BG"/>
              </w:rPr>
            </w:pPr>
          </w:p>
        </w:tc>
        <w:tc>
          <w:tcPr>
            <w:tcW w:w="6739" w:type="dxa"/>
          </w:tcPr>
          <w:p w:rsidR="00765337" w:rsidRPr="00192FAE" w:rsidRDefault="004B248B"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lang w:val="bg-BG"/>
              </w:rPr>
            </w:pPr>
            <w:r w:rsidRPr="004B248B">
              <w:rPr>
                <w:rFonts w:ascii="Times New Roman" w:hAnsi="Times New Roman" w:hint="cs"/>
                <w:b/>
                <w:bCs/>
                <w:sz w:val="24"/>
                <w:lang w:val="bg-BG"/>
              </w:rPr>
              <w:t>Индикатори</w:t>
            </w:r>
            <w:r w:rsidRPr="004B248B">
              <w:rPr>
                <w:rFonts w:ascii="Times New Roman" w:hAnsi="Times New Roman"/>
                <w:b/>
                <w:bCs/>
                <w:sz w:val="24"/>
                <w:lang w:val="bg-BG"/>
              </w:rPr>
              <w:t xml:space="preserve"> </w:t>
            </w:r>
            <w:r w:rsidRPr="004B248B">
              <w:rPr>
                <w:rFonts w:ascii="Times New Roman" w:hAnsi="Times New Roman" w:hint="cs"/>
                <w:b/>
                <w:bCs/>
                <w:sz w:val="24"/>
                <w:lang w:val="bg-BG"/>
              </w:rPr>
              <w:t>по</w:t>
            </w:r>
            <w:r w:rsidRPr="004B248B">
              <w:rPr>
                <w:rFonts w:ascii="Times New Roman" w:hAnsi="Times New Roman"/>
                <w:b/>
                <w:bCs/>
                <w:sz w:val="24"/>
                <w:lang w:val="bg-BG"/>
              </w:rPr>
              <w:t xml:space="preserve"> </w:t>
            </w:r>
            <w:r w:rsidRPr="004B248B">
              <w:rPr>
                <w:rFonts w:ascii="Times New Roman" w:hAnsi="Times New Roman" w:hint="cs"/>
                <w:b/>
                <w:bCs/>
                <w:sz w:val="24"/>
                <w:lang w:val="bg-BG"/>
              </w:rPr>
              <w:t>целите</w:t>
            </w:r>
            <w:r w:rsidRPr="004B248B">
              <w:rPr>
                <w:rFonts w:ascii="Times New Roman" w:hAnsi="Times New Roman"/>
                <w:b/>
                <w:bCs/>
                <w:sz w:val="24"/>
                <w:lang w:val="bg-BG"/>
              </w:rPr>
              <w:t xml:space="preserve"> </w:t>
            </w:r>
            <w:r w:rsidRPr="004B248B">
              <w:rPr>
                <w:rFonts w:ascii="Times New Roman" w:hAnsi="Times New Roman" w:hint="cs"/>
                <w:b/>
                <w:bCs/>
                <w:sz w:val="24"/>
                <w:lang w:val="bg-BG"/>
              </w:rPr>
              <w:t>на</w:t>
            </w:r>
            <w:r w:rsidRPr="004B248B">
              <w:rPr>
                <w:rFonts w:ascii="Times New Roman" w:hAnsi="Times New Roman"/>
                <w:b/>
                <w:bCs/>
                <w:sz w:val="24"/>
                <w:lang w:val="bg-BG"/>
              </w:rPr>
              <w:t xml:space="preserve"> </w:t>
            </w:r>
            <w:r w:rsidRPr="004B248B">
              <w:rPr>
                <w:rFonts w:ascii="Times New Roman" w:hAnsi="Times New Roman" w:hint="cs"/>
                <w:b/>
                <w:bCs/>
                <w:sz w:val="24"/>
                <w:lang w:val="bg-BG"/>
              </w:rPr>
              <w:t>Стратегия</w:t>
            </w:r>
            <w:r w:rsidRPr="004B248B">
              <w:rPr>
                <w:rFonts w:ascii="Times New Roman" w:hAnsi="Times New Roman"/>
                <w:b/>
                <w:bCs/>
                <w:sz w:val="24"/>
                <w:lang w:val="bg-BG"/>
              </w:rPr>
              <w:t xml:space="preserve"> „</w:t>
            </w:r>
            <w:r w:rsidRPr="004B248B">
              <w:rPr>
                <w:rFonts w:ascii="Times New Roman" w:hAnsi="Times New Roman" w:hint="cs"/>
                <w:b/>
                <w:bCs/>
                <w:sz w:val="24"/>
                <w:lang w:val="bg-BG"/>
              </w:rPr>
              <w:t>Европа</w:t>
            </w:r>
            <w:r w:rsidRPr="004B248B">
              <w:rPr>
                <w:rFonts w:ascii="Times New Roman" w:hAnsi="Times New Roman"/>
                <w:b/>
                <w:bCs/>
                <w:sz w:val="24"/>
                <w:lang w:val="bg-BG"/>
              </w:rPr>
              <w:t xml:space="preserve"> 2020” </w:t>
            </w:r>
            <w:r w:rsidRPr="004B248B">
              <w:rPr>
                <w:rFonts w:ascii="Times New Roman" w:hAnsi="Times New Roman" w:hint="cs"/>
                <w:b/>
                <w:bCs/>
                <w:sz w:val="24"/>
                <w:lang w:val="bg-BG"/>
              </w:rPr>
              <w:t>на</w:t>
            </w:r>
            <w:r w:rsidRPr="004B248B">
              <w:rPr>
                <w:rFonts w:ascii="Times New Roman" w:hAnsi="Times New Roman"/>
                <w:b/>
                <w:bCs/>
                <w:sz w:val="24"/>
                <w:lang w:val="bg-BG"/>
              </w:rPr>
              <w:t xml:space="preserve"> </w:t>
            </w:r>
            <w:r w:rsidRPr="004B248B">
              <w:rPr>
                <w:rFonts w:ascii="Times New Roman" w:hAnsi="Times New Roman" w:hint="cs"/>
                <w:b/>
                <w:bCs/>
                <w:sz w:val="24"/>
                <w:lang w:val="bg-BG"/>
              </w:rPr>
              <w:t>ЕС</w:t>
            </w:r>
          </w:p>
        </w:tc>
        <w:tc>
          <w:tcPr>
            <w:tcW w:w="1766" w:type="dxa"/>
          </w:tcPr>
          <w:p w:rsidR="00765337" w:rsidRPr="00192FAE" w:rsidRDefault="00765337"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1</w:t>
            </w:r>
            <w:r w:rsidR="004B248B">
              <w:rPr>
                <w:rFonts w:ascii="Times New Roman" w:hAnsi="Times New Roman" w:cs="Times New Roman"/>
                <w:sz w:val="24"/>
                <w:lang w:val="bg-BG"/>
              </w:rPr>
              <w:t>42</w:t>
            </w:r>
          </w:p>
        </w:tc>
      </w:tr>
      <w:tr w:rsidR="00765337"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765337" w:rsidRDefault="00765337" w:rsidP="009F3479">
            <w:pPr>
              <w:rPr>
                <w:rFonts w:ascii="Times New Roman" w:hAnsi="Times New Roman"/>
                <w:color w:val="9D3511" w:themeColor="accent1" w:themeShade="BF"/>
                <w:lang w:val="bg-BG"/>
              </w:rPr>
            </w:pPr>
          </w:p>
        </w:tc>
        <w:tc>
          <w:tcPr>
            <w:tcW w:w="6739" w:type="dxa"/>
          </w:tcPr>
          <w:p w:rsidR="00765337" w:rsidRPr="00192FAE" w:rsidRDefault="0076533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lang w:val="bg-BG"/>
              </w:rPr>
            </w:pPr>
          </w:p>
        </w:tc>
        <w:tc>
          <w:tcPr>
            <w:tcW w:w="1766" w:type="dxa"/>
          </w:tcPr>
          <w:p w:rsidR="00765337" w:rsidRDefault="0076533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p>
        </w:tc>
      </w:tr>
      <w:tr w:rsidR="00765337" w:rsidRPr="00257D21"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765337" w:rsidRDefault="00765337" w:rsidP="009F3479">
            <w:pPr>
              <w:rPr>
                <w:rFonts w:ascii="Times New Roman" w:hAnsi="Times New Roman"/>
                <w:color w:val="9D3511" w:themeColor="accent1" w:themeShade="BF"/>
                <w:lang w:val="bg-BG"/>
              </w:rPr>
            </w:pPr>
            <w:r w:rsidRPr="00257D21">
              <w:rPr>
                <w:rFonts w:ascii="Times New Roman" w:hAnsi="Times New Roman"/>
                <w:color w:val="9D3511" w:themeColor="accent1" w:themeShade="BF"/>
                <w:lang w:val="bg-BG"/>
              </w:rPr>
              <w:t>Таблица</w:t>
            </w:r>
            <w:r>
              <w:rPr>
                <w:rFonts w:ascii="Times New Roman" w:hAnsi="Times New Roman"/>
                <w:color w:val="9D3511" w:themeColor="accent1" w:themeShade="BF"/>
                <w:lang w:val="bg-BG"/>
              </w:rPr>
              <w:t xml:space="preserve"> 1</w:t>
            </w:r>
            <w:r w:rsidR="00C43A89">
              <w:rPr>
                <w:rFonts w:ascii="Times New Roman" w:hAnsi="Times New Roman"/>
                <w:color w:val="9D3511" w:themeColor="accent1" w:themeShade="BF"/>
                <w:lang w:val="bg-BG"/>
              </w:rPr>
              <w:t>6</w:t>
            </w:r>
          </w:p>
        </w:tc>
        <w:tc>
          <w:tcPr>
            <w:tcW w:w="6739" w:type="dxa"/>
          </w:tcPr>
          <w:p w:rsidR="00765337" w:rsidRPr="00257D21" w:rsidRDefault="00B078E5"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B078E5">
              <w:rPr>
                <w:rFonts w:ascii="Times New Roman" w:hAnsi="Times New Roman" w:cs="Times New Roman" w:hint="cs"/>
                <w:b/>
                <w:sz w:val="24"/>
                <w:lang w:val="bg-BG"/>
              </w:rPr>
              <w:t>Специфични</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индикатори</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за</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наблюдение</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изпълнението</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на</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Регионалния</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план</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за</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развитие</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на</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Югоизточен</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район</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за</w:t>
            </w:r>
            <w:r w:rsidRPr="00B078E5">
              <w:rPr>
                <w:rFonts w:ascii="Times New Roman" w:hAnsi="Times New Roman" w:cs="Times New Roman"/>
                <w:b/>
                <w:sz w:val="24"/>
                <w:lang w:val="bg-BG"/>
              </w:rPr>
              <w:t xml:space="preserve"> </w:t>
            </w:r>
            <w:r w:rsidRPr="00B078E5">
              <w:rPr>
                <w:rFonts w:ascii="Times New Roman" w:hAnsi="Times New Roman" w:cs="Times New Roman" w:hint="cs"/>
                <w:b/>
                <w:sz w:val="24"/>
                <w:lang w:val="bg-BG"/>
              </w:rPr>
              <w:t>периода</w:t>
            </w:r>
            <w:r w:rsidRPr="00B078E5">
              <w:rPr>
                <w:rFonts w:ascii="Times New Roman" w:hAnsi="Times New Roman" w:cs="Times New Roman"/>
                <w:b/>
                <w:sz w:val="24"/>
                <w:lang w:val="bg-BG"/>
              </w:rPr>
              <w:t xml:space="preserve"> 2014-2020 </w:t>
            </w:r>
            <w:r w:rsidRPr="00B078E5">
              <w:rPr>
                <w:rFonts w:ascii="Times New Roman" w:hAnsi="Times New Roman" w:cs="Times New Roman" w:hint="cs"/>
                <w:b/>
                <w:sz w:val="24"/>
                <w:lang w:val="bg-BG"/>
              </w:rPr>
              <w:t>г</w:t>
            </w:r>
            <w:r w:rsidRPr="00B078E5">
              <w:rPr>
                <w:rFonts w:ascii="Times New Roman" w:hAnsi="Times New Roman" w:cs="Times New Roman"/>
                <w:b/>
                <w:sz w:val="24"/>
                <w:lang w:val="bg-BG"/>
              </w:rPr>
              <w:t>.</w:t>
            </w:r>
          </w:p>
        </w:tc>
        <w:tc>
          <w:tcPr>
            <w:tcW w:w="1766" w:type="dxa"/>
          </w:tcPr>
          <w:p w:rsidR="00765337" w:rsidRPr="00257D21" w:rsidRDefault="00B078E5"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143</w:t>
            </w:r>
          </w:p>
        </w:tc>
      </w:tr>
      <w:tr w:rsidR="00765337" w:rsidRPr="00257D21"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765337" w:rsidRPr="00257D21" w:rsidRDefault="00765337"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Таблица 1</w:t>
            </w:r>
            <w:r w:rsidR="00C43A89">
              <w:rPr>
                <w:rFonts w:ascii="Times New Roman" w:hAnsi="Times New Roman"/>
                <w:color w:val="9D3511" w:themeColor="accent1" w:themeShade="BF"/>
                <w:lang w:val="bg-BG"/>
              </w:rPr>
              <w:t>7</w:t>
            </w:r>
            <w:r>
              <w:rPr>
                <w:rFonts w:ascii="Times New Roman" w:hAnsi="Times New Roman"/>
                <w:color w:val="9D3511" w:themeColor="accent1" w:themeShade="BF"/>
                <w:lang w:val="bg-BG"/>
              </w:rPr>
              <w:t xml:space="preserve">  </w:t>
            </w:r>
          </w:p>
        </w:tc>
        <w:tc>
          <w:tcPr>
            <w:tcW w:w="6739" w:type="dxa"/>
          </w:tcPr>
          <w:p w:rsidR="00765337" w:rsidRPr="00257D21" w:rsidRDefault="00137BF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137BF7">
              <w:rPr>
                <w:rFonts w:ascii="Times New Roman" w:hAnsi="Times New Roman" w:cs="Times New Roman" w:hint="cs"/>
                <w:b/>
                <w:sz w:val="24"/>
                <w:lang w:val="bg-BG"/>
              </w:rPr>
              <w:t>Глобални</w:t>
            </w:r>
            <w:r w:rsidRPr="00137BF7">
              <w:rPr>
                <w:rFonts w:ascii="Times New Roman" w:hAnsi="Times New Roman" w:cs="Times New Roman"/>
                <w:b/>
                <w:sz w:val="24"/>
                <w:lang w:val="bg-BG"/>
              </w:rPr>
              <w:t xml:space="preserve"> </w:t>
            </w:r>
            <w:r w:rsidRPr="00137BF7">
              <w:rPr>
                <w:rFonts w:ascii="Times New Roman" w:hAnsi="Times New Roman" w:cs="Times New Roman" w:hint="cs"/>
                <w:b/>
                <w:sz w:val="24"/>
                <w:lang w:val="bg-BG"/>
              </w:rPr>
              <w:t>екологични</w:t>
            </w:r>
            <w:r w:rsidRPr="00137BF7">
              <w:rPr>
                <w:rFonts w:ascii="Times New Roman" w:hAnsi="Times New Roman" w:cs="Times New Roman"/>
                <w:b/>
                <w:sz w:val="24"/>
                <w:lang w:val="bg-BG"/>
              </w:rPr>
              <w:t xml:space="preserve"> </w:t>
            </w:r>
            <w:r w:rsidRPr="00137BF7">
              <w:rPr>
                <w:rFonts w:ascii="Times New Roman" w:hAnsi="Times New Roman" w:cs="Times New Roman" w:hint="cs"/>
                <w:b/>
                <w:sz w:val="24"/>
                <w:lang w:val="bg-BG"/>
              </w:rPr>
              <w:t>индикатори</w:t>
            </w:r>
          </w:p>
        </w:tc>
        <w:tc>
          <w:tcPr>
            <w:tcW w:w="1766" w:type="dxa"/>
          </w:tcPr>
          <w:p w:rsidR="00765337" w:rsidRPr="00257D21" w:rsidRDefault="00137BF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157</w:t>
            </w:r>
          </w:p>
        </w:tc>
      </w:tr>
      <w:tr w:rsidR="0056111E"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Pr="000C59D4" w:rsidRDefault="00C43A89"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lastRenderedPageBreak/>
              <w:t>Фигура 1</w:t>
            </w:r>
          </w:p>
        </w:tc>
        <w:tc>
          <w:tcPr>
            <w:tcW w:w="6739" w:type="dxa"/>
          </w:tcPr>
          <w:p w:rsidR="00143580" w:rsidRPr="00E34A11" w:rsidRDefault="0021416F"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21416F">
              <w:rPr>
                <w:rFonts w:ascii="Times New Roman" w:hAnsi="Times New Roman" w:cs="Times New Roman" w:hint="cs"/>
                <w:b/>
                <w:sz w:val="24"/>
                <w:lang w:val="bg-BG"/>
              </w:rPr>
              <w:t>Брутен</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вътрешен</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продукт</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на</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човек</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от</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населението</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за</w:t>
            </w:r>
            <w:r w:rsidRPr="0021416F">
              <w:rPr>
                <w:rFonts w:ascii="Times New Roman" w:hAnsi="Times New Roman" w:cs="Times New Roman"/>
                <w:b/>
                <w:sz w:val="24"/>
                <w:lang w:val="bg-BG"/>
              </w:rPr>
              <w:t xml:space="preserve"> </w:t>
            </w:r>
            <w:r w:rsidRPr="0021416F">
              <w:rPr>
                <w:rFonts w:ascii="Times New Roman" w:hAnsi="Times New Roman" w:cs="Times New Roman" w:hint="cs"/>
                <w:b/>
                <w:sz w:val="24"/>
                <w:lang w:val="bg-BG"/>
              </w:rPr>
              <w:t>периода</w:t>
            </w:r>
            <w:r w:rsidRPr="0021416F">
              <w:rPr>
                <w:rFonts w:ascii="Times New Roman" w:hAnsi="Times New Roman" w:cs="Times New Roman"/>
                <w:b/>
                <w:sz w:val="24"/>
                <w:lang w:val="bg-BG"/>
              </w:rPr>
              <w:t xml:space="preserve"> 2007-2012 </w:t>
            </w:r>
            <w:r w:rsidRPr="0021416F">
              <w:rPr>
                <w:rFonts w:ascii="Times New Roman" w:hAnsi="Times New Roman" w:cs="Times New Roman" w:hint="cs"/>
                <w:b/>
                <w:sz w:val="24"/>
                <w:lang w:val="bg-BG"/>
              </w:rPr>
              <w:t>г</w:t>
            </w:r>
            <w:r>
              <w:rPr>
                <w:rFonts w:ascii="Times New Roman" w:hAnsi="Times New Roman" w:cs="Times New Roman"/>
                <w:b/>
                <w:sz w:val="24"/>
                <w:lang w:val="bg-BG"/>
              </w:rPr>
              <w:t>.</w:t>
            </w:r>
          </w:p>
        </w:tc>
        <w:tc>
          <w:tcPr>
            <w:tcW w:w="1766" w:type="dxa"/>
          </w:tcPr>
          <w:p w:rsidR="0056111E" w:rsidRPr="00E34A11" w:rsidRDefault="00E34A11"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E34A11">
              <w:rPr>
                <w:rFonts w:ascii="Times New Roman" w:hAnsi="Times New Roman" w:cs="Times New Roman"/>
                <w:sz w:val="24"/>
                <w:lang w:val="bg-BG"/>
              </w:rPr>
              <w:t xml:space="preserve">  12</w:t>
            </w:r>
          </w:p>
        </w:tc>
      </w:tr>
      <w:tr w:rsidR="0056111E"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56111E" w:rsidRPr="000C59D4" w:rsidRDefault="000C59D4"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2</w:t>
            </w:r>
          </w:p>
        </w:tc>
        <w:tc>
          <w:tcPr>
            <w:tcW w:w="6739" w:type="dxa"/>
          </w:tcPr>
          <w:p w:rsidR="0056111E" w:rsidRPr="00C43A89" w:rsidRDefault="00BD242F"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bg-BG"/>
              </w:rPr>
            </w:pPr>
            <w:r w:rsidRPr="00BD242F">
              <w:rPr>
                <w:rFonts w:ascii="Times New Roman" w:hAnsi="Times New Roman"/>
                <w:b/>
                <w:sz w:val="24"/>
                <w:lang w:val="bg-BG"/>
              </w:rPr>
              <w:t>БДС  на областите в ЮИР за 201</w:t>
            </w:r>
            <w:r w:rsidR="00C43A89">
              <w:rPr>
                <w:rFonts w:ascii="Times New Roman" w:hAnsi="Times New Roman"/>
                <w:b/>
                <w:sz w:val="24"/>
                <w:lang w:val="bg-BG"/>
              </w:rPr>
              <w:t>2 г. по сектори (млн.лв.)</w:t>
            </w:r>
          </w:p>
        </w:tc>
        <w:tc>
          <w:tcPr>
            <w:tcW w:w="1766" w:type="dxa"/>
          </w:tcPr>
          <w:p w:rsidR="0056111E" w:rsidRPr="00BD242F" w:rsidRDefault="00BD242F"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sidRPr="00BD242F">
              <w:rPr>
                <w:rFonts w:ascii="Times New Roman" w:hAnsi="Times New Roman" w:cs="Times New Roman"/>
                <w:sz w:val="24"/>
                <w:lang w:val="bg-BG"/>
              </w:rPr>
              <w:t xml:space="preserve"> </w:t>
            </w:r>
            <w:r>
              <w:rPr>
                <w:rFonts w:ascii="Times New Roman" w:hAnsi="Times New Roman" w:cs="Times New Roman"/>
                <w:sz w:val="24"/>
                <w:lang w:val="bg-BG"/>
              </w:rPr>
              <w:t xml:space="preserve"> </w:t>
            </w:r>
            <w:r w:rsidRPr="00BD242F">
              <w:rPr>
                <w:rFonts w:ascii="Times New Roman" w:hAnsi="Times New Roman" w:cs="Times New Roman"/>
                <w:sz w:val="24"/>
                <w:lang w:val="bg-BG"/>
              </w:rPr>
              <w:t>1</w:t>
            </w:r>
            <w:r>
              <w:rPr>
                <w:rFonts w:ascii="Times New Roman" w:hAnsi="Times New Roman" w:cs="Times New Roman"/>
                <w:sz w:val="24"/>
                <w:lang w:val="bg-BG"/>
              </w:rPr>
              <w:t>4</w:t>
            </w:r>
          </w:p>
        </w:tc>
      </w:tr>
      <w:tr w:rsidR="0056111E"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56111E" w:rsidRPr="000C59D4" w:rsidRDefault="000C59D4"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3</w:t>
            </w:r>
          </w:p>
        </w:tc>
        <w:tc>
          <w:tcPr>
            <w:tcW w:w="6739" w:type="dxa"/>
          </w:tcPr>
          <w:p w:rsidR="0056111E" w:rsidRPr="00080582" w:rsidRDefault="00080582"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080582">
              <w:rPr>
                <w:rFonts w:ascii="Times New Roman" w:hAnsi="Times New Roman" w:cs="Times New Roman"/>
                <w:b/>
                <w:sz w:val="24"/>
                <w:lang w:val="bg-BG"/>
              </w:rPr>
              <w:t>Приходи от нощувки по статистически райони 2010-2014</w:t>
            </w:r>
            <w:r>
              <w:rPr>
                <w:rFonts w:ascii="Times New Roman" w:hAnsi="Times New Roman" w:cs="Times New Roman"/>
                <w:b/>
                <w:sz w:val="24"/>
                <w:lang w:val="bg-BG"/>
              </w:rPr>
              <w:t xml:space="preserve"> </w:t>
            </w:r>
            <w:r w:rsidRPr="00080582">
              <w:rPr>
                <w:rFonts w:ascii="Times New Roman" w:hAnsi="Times New Roman" w:cs="Times New Roman"/>
                <w:b/>
                <w:sz w:val="24"/>
                <w:lang w:val="bg-BG"/>
              </w:rPr>
              <w:t>г.</w:t>
            </w:r>
          </w:p>
        </w:tc>
        <w:tc>
          <w:tcPr>
            <w:tcW w:w="1766" w:type="dxa"/>
          </w:tcPr>
          <w:p w:rsidR="0056111E" w:rsidRPr="00080582" w:rsidRDefault="006D704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080582" w:rsidRPr="00080582">
              <w:rPr>
                <w:rFonts w:ascii="Times New Roman" w:hAnsi="Times New Roman" w:cs="Times New Roman"/>
                <w:sz w:val="24"/>
                <w:lang w:val="bg-BG"/>
              </w:rPr>
              <w:t>20</w:t>
            </w:r>
          </w:p>
        </w:tc>
      </w:tr>
      <w:tr w:rsidR="0056111E"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56111E" w:rsidRPr="000C59D4" w:rsidRDefault="000C59D4"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4</w:t>
            </w:r>
          </w:p>
        </w:tc>
        <w:tc>
          <w:tcPr>
            <w:tcW w:w="6739" w:type="dxa"/>
          </w:tcPr>
          <w:p w:rsidR="0056111E" w:rsidRPr="00C23F00" w:rsidRDefault="00C23F00"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C23F00">
              <w:rPr>
                <w:rFonts w:ascii="Times New Roman" w:hAnsi="Times New Roman" w:cs="Times New Roman" w:hint="cs"/>
                <w:b/>
                <w:sz w:val="24"/>
                <w:lang w:val="bg-BG"/>
              </w:rPr>
              <w:t>Разходи</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за</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НИРД</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по</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админ</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области</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в</w:t>
            </w:r>
            <w:r w:rsidRPr="00C23F00">
              <w:rPr>
                <w:rFonts w:ascii="Times New Roman" w:hAnsi="Times New Roman" w:cs="Times New Roman"/>
                <w:b/>
                <w:sz w:val="24"/>
                <w:lang w:val="bg-BG"/>
              </w:rPr>
              <w:t xml:space="preserve"> </w:t>
            </w:r>
            <w:r w:rsidRPr="00C23F00">
              <w:rPr>
                <w:rFonts w:ascii="Times New Roman" w:hAnsi="Times New Roman" w:cs="Times New Roman" w:hint="cs"/>
                <w:b/>
                <w:sz w:val="24"/>
                <w:lang w:val="bg-BG"/>
              </w:rPr>
              <w:t>ЮИР</w:t>
            </w:r>
            <w:r w:rsidRPr="00C23F00">
              <w:rPr>
                <w:rFonts w:ascii="Times New Roman" w:hAnsi="Times New Roman" w:cs="Times New Roman"/>
                <w:b/>
                <w:sz w:val="24"/>
                <w:lang w:val="bg-BG"/>
              </w:rPr>
              <w:t xml:space="preserve"> 2007-2013 </w:t>
            </w:r>
            <w:r w:rsidRPr="00C23F00">
              <w:rPr>
                <w:rFonts w:ascii="Times New Roman" w:hAnsi="Times New Roman" w:cs="Times New Roman" w:hint="cs"/>
                <w:b/>
                <w:sz w:val="24"/>
                <w:lang w:val="bg-BG"/>
              </w:rPr>
              <w:t>г</w:t>
            </w:r>
            <w:r w:rsidRPr="00C23F00">
              <w:rPr>
                <w:rFonts w:ascii="Times New Roman" w:hAnsi="Times New Roman" w:cs="Times New Roman"/>
                <w:b/>
                <w:sz w:val="24"/>
                <w:lang w:val="bg-BG"/>
              </w:rPr>
              <w:t>.(</w:t>
            </w:r>
            <w:r w:rsidRPr="00C23F00">
              <w:rPr>
                <w:rFonts w:ascii="Times New Roman" w:hAnsi="Times New Roman" w:cs="Times New Roman" w:hint="cs"/>
                <w:b/>
                <w:sz w:val="24"/>
                <w:lang w:val="bg-BG"/>
              </w:rPr>
              <w:t>хил</w:t>
            </w:r>
            <w:r w:rsidRPr="00C23F00">
              <w:rPr>
                <w:rFonts w:ascii="Times New Roman" w:hAnsi="Times New Roman" w:cs="Times New Roman"/>
                <w:b/>
                <w:sz w:val="24"/>
                <w:lang w:val="bg-BG"/>
              </w:rPr>
              <w:t>.</w:t>
            </w:r>
            <w:r w:rsidRPr="00C23F00">
              <w:rPr>
                <w:rFonts w:ascii="Times New Roman" w:hAnsi="Times New Roman" w:cs="Times New Roman" w:hint="cs"/>
                <w:b/>
                <w:sz w:val="24"/>
                <w:lang w:val="bg-BG"/>
              </w:rPr>
              <w:t>лв</w:t>
            </w:r>
            <w:r w:rsidRPr="00C23F00">
              <w:rPr>
                <w:rFonts w:ascii="Times New Roman" w:hAnsi="Times New Roman" w:cs="Times New Roman"/>
                <w:b/>
                <w:sz w:val="24"/>
                <w:lang w:val="bg-BG"/>
              </w:rPr>
              <w:t>.)</w:t>
            </w:r>
          </w:p>
        </w:tc>
        <w:tc>
          <w:tcPr>
            <w:tcW w:w="1766" w:type="dxa"/>
          </w:tcPr>
          <w:p w:rsidR="0056111E" w:rsidRPr="00C23F00" w:rsidRDefault="00C23F00"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lang w:val="bg-BG"/>
              </w:rPr>
              <w:t xml:space="preserve">  </w:t>
            </w:r>
            <w:r w:rsidRPr="00C23F00">
              <w:rPr>
                <w:rFonts w:ascii="Times New Roman" w:hAnsi="Times New Roman" w:cs="Times New Roman"/>
                <w:sz w:val="24"/>
                <w:lang w:val="bg-BG"/>
              </w:rPr>
              <w:t>22</w:t>
            </w:r>
          </w:p>
        </w:tc>
      </w:tr>
      <w:tr w:rsidR="000C59D4"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0C59D4" w:rsidRDefault="000C59D4"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5</w:t>
            </w:r>
          </w:p>
        </w:tc>
        <w:tc>
          <w:tcPr>
            <w:tcW w:w="6739" w:type="dxa"/>
          </w:tcPr>
          <w:p w:rsidR="000C59D4" w:rsidRPr="0081220E" w:rsidRDefault="0081220E"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81220E">
              <w:rPr>
                <w:rFonts w:ascii="Times New Roman" w:hAnsi="Times New Roman" w:cs="Times New Roman" w:hint="cs"/>
                <w:b/>
                <w:sz w:val="24"/>
                <w:lang w:val="bg-BG"/>
              </w:rPr>
              <w:t>Стойност</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на</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сключените</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договори</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по</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оперативните</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програми</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към</w:t>
            </w:r>
            <w:r w:rsidRPr="0081220E">
              <w:rPr>
                <w:rFonts w:ascii="Times New Roman" w:hAnsi="Times New Roman" w:cs="Times New Roman"/>
                <w:b/>
                <w:sz w:val="24"/>
                <w:lang w:val="bg-BG"/>
              </w:rPr>
              <w:t xml:space="preserve"> 04.05.2015</w:t>
            </w:r>
            <w:r w:rsidRPr="0081220E">
              <w:rPr>
                <w:rFonts w:ascii="Times New Roman" w:hAnsi="Times New Roman" w:cs="Times New Roman" w:hint="cs"/>
                <w:b/>
                <w:sz w:val="24"/>
                <w:lang w:val="bg-BG"/>
              </w:rPr>
              <w:t>г</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на</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ниво</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райони</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от</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ниво</w:t>
            </w:r>
            <w:r w:rsidRPr="0081220E">
              <w:rPr>
                <w:rFonts w:ascii="Times New Roman" w:hAnsi="Times New Roman" w:cs="Times New Roman"/>
                <w:b/>
                <w:sz w:val="24"/>
                <w:lang w:val="bg-BG"/>
              </w:rPr>
              <w:t xml:space="preserve"> 2</w:t>
            </w:r>
          </w:p>
        </w:tc>
        <w:tc>
          <w:tcPr>
            <w:tcW w:w="1766" w:type="dxa"/>
          </w:tcPr>
          <w:p w:rsidR="000C59D4" w:rsidRPr="0081220E" w:rsidRDefault="0081220E"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Pr="0081220E">
              <w:rPr>
                <w:rFonts w:ascii="Times New Roman" w:hAnsi="Times New Roman" w:cs="Times New Roman"/>
                <w:sz w:val="24"/>
                <w:lang w:val="bg-BG"/>
              </w:rPr>
              <w:t xml:space="preserve"> 23</w:t>
            </w:r>
          </w:p>
        </w:tc>
      </w:tr>
      <w:tr w:rsidR="000C59D4"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0C59D4" w:rsidRDefault="000C59D4"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6</w:t>
            </w:r>
          </w:p>
        </w:tc>
        <w:tc>
          <w:tcPr>
            <w:tcW w:w="6739" w:type="dxa"/>
          </w:tcPr>
          <w:p w:rsidR="000C59D4" w:rsidRPr="0081220E" w:rsidRDefault="0081220E"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81220E">
              <w:rPr>
                <w:rFonts w:ascii="Times New Roman" w:hAnsi="Times New Roman" w:cs="Times New Roman" w:hint="cs"/>
                <w:b/>
                <w:sz w:val="24"/>
                <w:lang w:val="bg-BG"/>
              </w:rPr>
              <w:t>Разпределение</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на</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сключените</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договори</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по</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оперативните</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програми</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в</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Югоизточен</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район</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към</w:t>
            </w:r>
            <w:r w:rsidRPr="0081220E">
              <w:rPr>
                <w:rFonts w:ascii="Times New Roman" w:hAnsi="Times New Roman" w:cs="Times New Roman"/>
                <w:b/>
                <w:sz w:val="24"/>
                <w:lang w:val="bg-BG"/>
              </w:rPr>
              <w:t xml:space="preserve"> 04.05.2015</w:t>
            </w:r>
            <w:r w:rsidRPr="0081220E">
              <w:rPr>
                <w:rFonts w:ascii="Times New Roman" w:hAnsi="Times New Roman" w:cs="Times New Roman" w:hint="cs"/>
                <w:b/>
                <w:sz w:val="24"/>
                <w:lang w:val="bg-BG"/>
              </w:rPr>
              <w:t>г</w:t>
            </w:r>
            <w:r w:rsidRPr="0081220E">
              <w:rPr>
                <w:rFonts w:ascii="Times New Roman" w:hAnsi="Times New Roman" w:cs="Times New Roman"/>
                <w:b/>
                <w:sz w:val="24"/>
                <w:lang w:val="bg-BG"/>
              </w:rPr>
              <w:t xml:space="preserve"> .</w:t>
            </w:r>
          </w:p>
        </w:tc>
        <w:tc>
          <w:tcPr>
            <w:tcW w:w="1766" w:type="dxa"/>
          </w:tcPr>
          <w:p w:rsidR="000C59D4" w:rsidRPr="0081220E" w:rsidRDefault="0081220E"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lang w:val="bg-BG"/>
              </w:rPr>
              <w:t xml:space="preserve">  </w:t>
            </w:r>
            <w:r w:rsidRPr="0081220E">
              <w:rPr>
                <w:rFonts w:ascii="Times New Roman" w:hAnsi="Times New Roman" w:cs="Times New Roman"/>
                <w:sz w:val="24"/>
                <w:lang w:val="bg-BG"/>
              </w:rPr>
              <w:t>24</w:t>
            </w:r>
          </w:p>
        </w:tc>
      </w:tr>
      <w:tr w:rsidR="000C59D4"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0C59D4" w:rsidRDefault="000C59D4"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7</w:t>
            </w:r>
          </w:p>
        </w:tc>
        <w:tc>
          <w:tcPr>
            <w:tcW w:w="6739" w:type="dxa"/>
          </w:tcPr>
          <w:p w:rsidR="000C59D4" w:rsidRPr="0081220E" w:rsidRDefault="0081220E"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81220E">
              <w:rPr>
                <w:rFonts w:ascii="Times New Roman" w:hAnsi="Times New Roman" w:cs="Times New Roman" w:hint="cs"/>
                <w:b/>
                <w:sz w:val="24"/>
                <w:lang w:val="bg-BG"/>
              </w:rPr>
              <w:t>Брой</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сключени</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договори</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по</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области</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от</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Югоизточен</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район</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със</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средства</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от</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оперативните</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програми</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съфинансирани</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от</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ЕФРР</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ЕСФ</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и</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КФ</w:t>
            </w:r>
            <w:r w:rsidRPr="0081220E">
              <w:rPr>
                <w:rFonts w:ascii="Times New Roman" w:hAnsi="Times New Roman" w:cs="Times New Roman"/>
                <w:b/>
                <w:sz w:val="24"/>
                <w:lang w:val="bg-BG"/>
              </w:rPr>
              <w:t xml:space="preserve"> </w:t>
            </w:r>
            <w:r w:rsidRPr="0081220E">
              <w:rPr>
                <w:rFonts w:ascii="Times New Roman" w:hAnsi="Times New Roman" w:cs="Times New Roman" w:hint="cs"/>
                <w:b/>
                <w:sz w:val="24"/>
                <w:lang w:val="bg-BG"/>
              </w:rPr>
              <w:t>към</w:t>
            </w:r>
            <w:r w:rsidRPr="0081220E">
              <w:rPr>
                <w:rFonts w:ascii="Times New Roman" w:hAnsi="Times New Roman" w:cs="Times New Roman"/>
                <w:b/>
                <w:sz w:val="24"/>
                <w:lang w:val="bg-BG"/>
              </w:rPr>
              <w:t xml:space="preserve"> 04.05.2015 </w:t>
            </w:r>
            <w:r w:rsidRPr="0081220E">
              <w:rPr>
                <w:rFonts w:ascii="Times New Roman" w:hAnsi="Times New Roman" w:cs="Times New Roman" w:hint="cs"/>
                <w:b/>
                <w:sz w:val="24"/>
                <w:lang w:val="bg-BG"/>
              </w:rPr>
              <w:t>г</w:t>
            </w:r>
            <w:r w:rsidRPr="0081220E">
              <w:rPr>
                <w:rFonts w:ascii="Times New Roman" w:hAnsi="Times New Roman" w:cs="Times New Roman"/>
                <w:b/>
                <w:sz w:val="24"/>
                <w:lang w:val="bg-BG"/>
              </w:rPr>
              <w:t>.</w:t>
            </w:r>
          </w:p>
        </w:tc>
        <w:tc>
          <w:tcPr>
            <w:tcW w:w="1766" w:type="dxa"/>
          </w:tcPr>
          <w:p w:rsidR="000C59D4" w:rsidRPr="0081220E" w:rsidRDefault="0081220E"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Pr="0081220E">
              <w:rPr>
                <w:rFonts w:ascii="Times New Roman" w:hAnsi="Times New Roman" w:cs="Times New Roman"/>
                <w:sz w:val="24"/>
                <w:lang w:val="bg-BG"/>
              </w:rPr>
              <w:t>25</w:t>
            </w:r>
          </w:p>
        </w:tc>
      </w:tr>
      <w:tr w:rsidR="00143580"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Pr="000C59D4"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8</w:t>
            </w:r>
          </w:p>
        </w:tc>
        <w:tc>
          <w:tcPr>
            <w:tcW w:w="6739" w:type="dxa"/>
          </w:tcPr>
          <w:p w:rsidR="00143580" w:rsidRPr="0081220E" w:rsidRDefault="0081220E"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4"/>
                <w:lang w:val="bg-BG"/>
              </w:rPr>
            </w:pPr>
            <w:r w:rsidRPr="0081220E">
              <w:rPr>
                <w:rFonts w:ascii="Times New Roman" w:hAnsi="Times New Roman" w:hint="cs"/>
                <w:b/>
                <w:sz w:val="24"/>
                <w:lang w:val="bg-BG"/>
              </w:rPr>
              <w:t>Стойност</w:t>
            </w:r>
            <w:r w:rsidRPr="0081220E">
              <w:rPr>
                <w:rFonts w:ascii="Times New Roman" w:hAnsi="Times New Roman"/>
                <w:b/>
                <w:sz w:val="24"/>
                <w:lang w:val="bg-BG"/>
              </w:rPr>
              <w:t xml:space="preserve"> </w:t>
            </w:r>
            <w:r w:rsidRPr="0081220E">
              <w:rPr>
                <w:rFonts w:ascii="Times New Roman" w:hAnsi="Times New Roman" w:hint="cs"/>
                <w:b/>
                <w:sz w:val="24"/>
                <w:lang w:val="bg-BG"/>
              </w:rPr>
              <w:t>на</w:t>
            </w:r>
            <w:r w:rsidRPr="0081220E">
              <w:rPr>
                <w:rFonts w:ascii="Times New Roman" w:hAnsi="Times New Roman"/>
                <w:b/>
                <w:sz w:val="24"/>
                <w:lang w:val="bg-BG"/>
              </w:rPr>
              <w:t xml:space="preserve"> </w:t>
            </w:r>
            <w:r w:rsidRPr="0081220E">
              <w:rPr>
                <w:rFonts w:ascii="Times New Roman" w:hAnsi="Times New Roman" w:hint="cs"/>
                <w:b/>
                <w:sz w:val="24"/>
                <w:lang w:val="bg-BG"/>
              </w:rPr>
              <w:t>сключените</w:t>
            </w:r>
            <w:r w:rsidRPr="0081220E">
              <w:rPr>
                <w:rFonts w:ascii="Times New Roman" w:hAnsi="Times New Roman"/>
                <w:b/>
                <w:sz w:val="24"/>
                <w:lang w:val="bg-BG"/>
              </w:rPr>
              <w:t xml:space="preserve">  </w:t>
            </w:r>
            <w:r w:rsidRPr="0081220E">
              <w:rPr>
                <w:rFonts w:ascii="Times New Roman" w:hAnsi="Times New Roman" w:hint="cs"/>
                <w:b/>
                <w:sz w:val="24"/>
                <w:lang w:val="bg-BG"/>
              </w:rPr>
              <w:t>договори</w:t>
            </w:r>
            <w:r w:rsidRPr="0081220E">
              <w:rPr>
                <w:rFonts w:ascii="Times New Roman" w:hAnsi="Times New Roman"/>
                <w:b/>
                <w:sz w:val="24"/>
                <w:lang w:val="bg-BG"/>
              </w:rPr>
              <w:t xml:space="preserve"> </w:t>
            </w:r>
            <w:r w:rsidRPr="0081220E">
              <w:rPr>
                <w:rFonts w:ascii="Times New Roman" w:hAnsi="Times New Roman" w:hint="cs"/>
                <w:b/>
                <w:sz w:val="24"/>
                <w:lang w:val="bg-BG"/>
              </w:rPr>
              <w:t>по</w:t>
            </w:r>
            <w:r w:rsidRPr="0081220E">
              <w:rPr>
                <w:rFonts w:ascii="Times New Roman" w:hAnsi="Times New Roman"/>
                <w:b/>
                <w:sz w:val="24"/>
                <w:lang w:val="bg-BG"/>
              </w:rPr>
              <w:t xml:space="preserve"> </w:t>
            </w:r>
            <w:r w:rsidRPr="0081220E">
              <w:rPr>
                <w:rFonts w:ascii="Times New Roman" w:hAnsi="Times New Roman" w:hint="cs"/>
                <w:b/>
                <w:sz w:val="24"/>
                <w:lang w:val="bg-BG"/>
              </w:rPr>
              <w:t>области</w:t>
            </w:r>
            <w:r w:rsidRPr="0081220E">
              <w:rPr>
                <w:rFonts w:ascii="Times New Roman" w:hAnsi="Times New Roman"/>
                <w:b/>
                <w:sz w:val="24"/>
                <w:lang w:val="bg-BG"/>
              </w:rPr>
              <w:t xml:space="preserve"> </w:t>
            </w:r>
            <w:r w:rsidRPr="0081220E">
              <w:rPr>
                <w:rFonts w:ascii="Times New Roman" w:hAnsi="Times New Roman" w:hint="cs"/>
                <w:b/>
                <w:sz w:val="24"/>
                <w:lang w:val="bg-BG"/>
              </w:rPr>
              <w:t>от</w:t>
            </w:r>
            <w:r w:rsidRPr="0081220E">
              <w:rPr>
                <w:rFonts w:ascii="Times New Roman" w:hAnsi="Times New Roman"/>
                <w:b/>
                <w:sz w:val="24"/>
                <w:lang w:val="bg-BG"/>
              </w:rPr>
              <w:t xml:space="preserve"> </w:t>
            </w:r>
            <w:r w:rsidRPr="0081220E">
              <w:rPr>
                <w:rFonts w:ascii="Times New Roman" w:hAnsi="Times New Roman" w:hint="cs"/>
                <w:b/>
                <w:sz w:val="24"/>
                <w:lang w:val="bg-BG"/>
              </w:rPr>
              <w:t>Югоизточен</w:t>
            </w:r>
            <w:r w:rsidRPr="0081220E">
              <w:rPr>
                <w:rFonts w:ascii="Times New Roman" w:hAnsi="Times New Roman"/>
                <w:b/>
                <w:sz w:val="24"/>
                <w:lang w:val="bg-BG"/>
              </w:rPr>
              <w:t xml:space="preserve"> </w:t>
            </w:r>
            <w:r w:rsidRPr="0081220E">
              <w:rPr>
                <w:rFonts w:ascii="Times New Roman" w:hAnsi="Times New Roman" w:hint="cs"/>
                <w:b/>
                <w:sz w:val="24"/>
                <w:lang w:val="bg-BG"/>
              </w:rPr>
              <w:t>район</w:t>
            </w:r>
            <w:r w:rsidRPr="0081220E">
              <w:rPr>
                <w:rFonts w:ascii="Times New Roman" w:hAnsi="Times New Roman"/>
                <w:b/>
                <w:sz w:val="24"/>
                <w:lang w:val="bg-BG"/>
              </w:rPr>
              <w:t xml:space="preserve"> </w:t>
            </w:r>
            <w:r w:rsidRPr="0081220E">
              <w:rPr>
                <w:rFonts w:ascii="Times New Roman" w:hAnsi="Times New Roman" w:hint="cs"/>
                <w:b/>
                <w:sz w:val="24"/>
                <w:lang w:val="bg-BG"/>
              </w:rPr>
              <w:t>със</w:t>
            </w:r>
            <w:r w:rsidRPr="0081220E">
              <w:rPr>
                <w:rFonts w:ascii="Times New Roman" w:hAnsi="Times New Roman"/>
                <w:b/>
                <w:sz w:val="24"/>
                <w:lang w:val="bg-BG"/>
              </w:rPr>
              <w:t xml:space="preserve"> </w:t>
            </w:r>
            <w:r w:rsidRPr="0081220E">
              <w:rPr>
                <w:rFonts w:ascii="Times New Roman" w:hAnsi="Times New Roman" w:hint="cs"/>
                <w:b/>
                <w:sz w:val="24"/>
                <w:lang w:val="bg-BG"/>
              </w:rPr>
              <w:t>средства</w:t>
            </w:r>
            <w:r w:rsidRPr="0081220E">
              <w:rPr>
                <w:rFonts w:ascii="Times New Roman" w:hAnsi="Times New Roman"/>
                <w:b/>
                <w:sz w:val="24"/>
                <w:lang w:val="bg-BG"/>
              </w:rPr>
              <w:t xml:space="preserve"> </w:t>
            </w:r>
            <w:r w:rsidRPr="0081220E">
              <w:rPr>
                <w:rFonts w:ascii="Times New Roman" w:hAnsi="Times New Roman" w:hint="cs"/>
                <w:b/>
                <w:sz w:val="24"/>
                <w:lang w:val="bg-BG"/>
              </w:rPr>
              <w:t>от</w:t>
            </w:r>
            <w:r w:rsidRPr="0081220E">
              <w:rPr>
                <w:rFonts w:ascii="Times New Roman" w:hAnsi="Times New Roman"/>
                <w:b/>
                <w:sz w:val="24"/>
                <w:lang w:val="bg-BG"/>
              </w:rPr>
              <w:t xml:space="preserve"> </w:t>
            </w:r>
            <w:r w:rsidRPr="0081220E">
              <w:rPr>
                <w:rFonts w:ascii="Times New Roman" w:hAnsi="Times New Roman" w:hint="cs"/>
                <w:b/>
                <w:sz w:val="24"/>
                <w:lang w:val="bg-BG"/>
              </w:rPr>
              <w:t>оперативните</w:t>
            </w:r>
            <w:r w:rsidRPr="0081220E">
              <w:rPr>
                <w:rFonts w:ascii="Times New Roman" w:hAnsi="Times New Roman"/>
                <w:b/>
                <w:sz w:val="24"/>
                <w:lang w:val="bg-BG"/>
              </w:rPr>
              <w:t xml:space="preserve"> </w:t>
            </w:r>
            <w:r w:rsidRPr="0081220E">
              <w:rPr>
                <w:rFonts w:ascii="Times New Roman" w:hAnsi="Times New Roman" w:hint="cs"/>
                <w:b/>
                <w:sz w:val="24"/>
                <w:lang w:val="bg-BG"/>
              </w:rPr>
              <w:t>програми</w:t>
            </w:r>
            <w:r w:rsidRPr="0081220E">
              <w:rPr>
                <w:rFonts w:ascii="Times New Roman" w:hAnsi="Times New Roman"/>
                <w:b/>
                <w:sz w:val="24"/>
                <w:lang w:val="bg-BG"/>
              </w:rPr>
              <w:t xml:space="preserve">, </w:t>
            </w:r>
            <w:r w:rsidRPr="0081220E">
              <w:rPr>
                <w:rFonts w:ascii="Times New Roman" w:hAnsi="Times New Roman" w:hint="cs"/>
                <w:b/>
                <w:sz w:val="24"/>
                <w:lang w:val="bg-BG"/>
              </w:rPr>
              <w:t>съфинансирани</w:t>
            </w:r>
            <w:r w:rsidRPr="0081220E">
              <w:rPr>
                <w:rFonts w:ascii="Times New Roman" w:hAnsi="Times New Roman"/>
                <w:b/>
                <w:sz w:val="24"/>
                <w:lang w:val="bg-BG"/>
              </w:rPr>
              <w:t xml:space="preserve"> </w:t>
            </w:r>
            <w:r w:rsidRPr="0081220E">
              <w:rPr>
                <w:rFonts w:ascii="Times New Roman" w:hAnsi="Times New Roman" w:hint="cs"/>
                <w:b/>
                <w:sz w:val="24"/>
                <w:lang w:val="bg-BG"/>
              </w:rPr>
              <w:t>от</w:t>
            </w:r>
            <w:r w:rsidRPr="0081220E">
              <w:rPr>
                <w:rFonts w:ascii="Times New Roman" w:hAnsi="Times New Roman"/>
                <w:b/>
                <w:sz w:val="24"/>
                <w:lang w:val="bg-BG"/>
              </w:rPr>
              <w:t xml:space="preserve"> </w:t>
            </w:r>
            <w:r w:rsidRPr="0081220E">
              <w:rPr>
                <w:rFonts w:ascii="Times New Roman" w:hAnsi="Times New Roman" w:hint="cs"/>
                <w:b/>
                <w:sz w:val="24"/>
                <w:lang w:val="bg-BG"/>
              </w:rPr>
              <w:t>ЕФРР</w:t>
            </w:r>
            <w:r w:rsidRPr="0081220E">
              <w:rPr>
                <w:rFonts w:ascii="Times New Roman" w:hAnsi="Times New Roman"/>
                <w:b/>
                <w:sz w:val="24"/>
                <w:lang w:val="bg-BG"/>
              </w:rPr>
              <w:t xml:space="preserve">, </w:t>
            </w:r>
            <w:r w:rsidRPr="0081220E">
              <w:rPr>
                <w:rFonts w:ascii="Times New Roman" w:hAnsi="Times New Roman" w:hint="cs"/>
                <w:b/>
                <w:sz w:val="24"/>
                <w:lang w:val="bg-BG"/>
              </w:rPr>
              <w:t>ЕСФ</w:t>
            </w:r>
            <w:r w:rsidRPr="0081220E">
              <w:rPr>
                <w:rFonts w:ascii="Times New Roman" w:hAnsi="Times New Roman"/>
                <w:b/>
                <w:sz w:val="24"/>
                <w:lang w:val="bg-BG"/>
              </w:rPr>
              <w:t xml:space="preserve"> </w:t>
            </w:r>
            <w:r w:rsidRPr="0081220E">
              <w:rPr>
                <w:rFonts w:ascii="Times New Roman" w:hAnsi="Times New Roman" w:hint="cs"/>
                <w:b/>
                <w:sz w:val="24"/>
                <w:lang w:val="bg-BG"/>
              </w:rPr>
              <w:t>и</w:t>
            </w:r>
            <w:r w:rsidRPr="0081220E">
              <w:rPr>
                <w:rFonts w:ascii="Times New Roman" w:hAnsi="Times New Roman"/>
                <w:b/>
                <w:sz w:val="24"/>
                <w:lang w:val="bg-BG"/>
              </w:rPr>
              <w:t xml:space="preserve"> </w:t>
            </w:r>
            <w:r w:rsidRPr="0081220E">
              <w:rPr>
                <w:rFonts w:ascii="Times New Roman" w:hAnsi="Times New Roman" w:hint="cs"/>
                <w:b/>
                <w:sz w:val="24"/>
                <w:lang w:val="bg-BG"/>
              </w:rPr>
              <w:t>КФ</w:t>
            </w:r>
            <w:r w:rsidRPr="0081220E">
              <w:rPr>
                <w:rFonts w:ascii="Times New Roman" w:hAnsi="Times New Roman"/>
                <w:b/>
                <w:sz w:val="24"/>
                <w:lang w:val="bg-BG"/>
              </w:rPr>
              <w:t xml:space="preserve"> </w:t>
            </w:r>
            <w:r w:rsidRPr="0081220E">
              <w:rPr>
                <w:rFonts w:ascii="Times New Roman" w:hAnsi="Times New Roman" w:hint="cs"/>
                <w:b/>
                <w:sz w:val="24"/>
                <w:lang w:val="bg-BG"/>
              </w:rPr>
              <w:t>към</w:t>
            </w:r>
            <w:r w:rsidRPr="0081220E">
              <w:rPr>
                <w:rFonts w:ascii="Times New Roman" w:hAnsi="Times New Roman"/>
                <w:b/>
                <w:sz w:val="24"/>
                <w:lang w:val="bg-BG"/>
              </w:rPr>
              <w:t xml:space="preserve"> 04.05.2015 </w:t>
            </w:r>
            <w:r w:rsidRPr="0081220E">
              <w:rPr>
                <w:rFonts w:ascii="Times New Roman" w:hAnsi="Times New Roman" w:hint="cs"/>
                <w:b/>
                <w:sz w:val="24"/>
                <w:lang w:val="bg-BG"/>
              </w:rPr>
              <w:t>г</w:t>
            </w:r>
            <w:r w:rsidRPr="0081220E">
              <w:rPr>
                <w:rFonts w:ascii="Times New Roman" w:hAnsi="Times New Roman"/>
                <w:b/>
                <w:sz w:val="24"/>
                <w:lang w:val="bg-BG"/>
              </w:rPr>
              <w:t>.</w:t>
            </w:r>
          </w:p>
        </w:tc>
        <w:tc>
          <w:tcPr>
            <w:tcW w:w="1766" w:type="dxa"/>
          </w:tcPr>
          <w:p w:rsidR="00143580" w:rsidRPr="00BD242F" w:rsidRDefault="00143580"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sidRPr="00BD242F">
              <w:rPr>
                <w:rFonts w:ascii="Times New Roman" w:hAnsi="Times New Roman" w:cs="Times New Roman"/>
                <w:sz w:val="24"/>
                <w:lang w:val="bg-BG"/>
              </w:rPr>
              <w:t xml:space="preserve"> </w:t>
            </w:r>
            <w:r>
              <w:rPr>
                <w:rFonts w:ascii="Times New Roman" w:hAnsi="Times New Roman" w:cs="Times New Roman"/>
                <w:sz w:val="24"/>
                <w:lang w:val="bg-BG"/>
              </w:rPr>
              <w:t xml:space="preserve"> </w:t>
            </w:r>
            <w:r w:rsidR="0081220E">
              <w:rPr>
                <w:rFonts w:ascii="Times New Roman" w:hAnsi="Times New Roman" w:cs="Times New Roman"/>
                <w:sz w:val="24"/>
                <w:lang w:val="bg-BG"/>
              </w:rPr>
              <w:t xml:space="preserve"> 26</w:t>
            </w:r>
          </w:p>
        </w:tc>
      </w:tr>
      <w:tr w:rsidR="00143580"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Pr="000C59D4"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9</w:t>
            </w:r>
          </w:p>
        </w:tc>
        <w:tc>
          <w:tcPr>
            <w:tcW w:w="6739" w:type="dxa"/>
          </w:tcPr>
          <w:p w:rsidR="00143580" w:rsidRPr="00080582" w:rsidRDefault="00B93CA7"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B93CA7">
              <w:rPr>
                <w:rFonts w:ascii="Times New Roman" w:hAnsi="Times New Roman" w:cs="Times New Roman" w:hint="cs"/>
                <w:b/>
                <w:sz w:val="24"/>
                <w:lang w:val="bg-BG"/>
              </w:rPr>
              <w:t>Население</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в</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страната</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по</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райони</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през</w:t>
            </w:r>
            <w:r w:rsidRPr="00B93CA7">
              <w:rPr>
                <w:rFonts w:ascii="Times New Roman" w:hAnsi="Times New Roman" w:cs="Times New Roman"/>
                <w:b/>
                <w:sz w:val="24"/>
                <w:lang w:val="bg-BG"/>
              </w:rPr>
              <w:t xml:space="preserve"> 2013 </w:t>
            </w:r>
            <w:r w:rsidRPr="00B93CA7">
              <w:rPr>
                <w:rFonts w:ascii="Times New Roman" w:hAnsi="Times New Roman" w:cs="Times New Roman" w:hint="cs"/>
                <w:b/>
                <w:sz w:val="24"/>
                <w:lang w:val="bg-BG"/>
              </w:rPr>
              <w:t>г</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и</w:t>
            </w:r>
            <w:r w:rsidRPr="00B93CA7">
              <w:rPr>
                <w:rFonts w:ascii="Times New Roman" w:hAnsi="Times New Roman" w:cs="Times New Roman"/>
                <w:b/>
                <w:sz w:val="24"/>
                <w:lang w:val="bg-BG"/>
              </w:rPr>
              <w:t xml:space="preserve"> 2014 </w:t>
            </w:r>
            <w:r w:rsidRPr="00B93CA7">
              <w:rPr>
                <w:rFonts w:ascii="Times New Roman" w:hAnsi="Times New Roman" w:cs="Times New Roman" w:hint="cs"/>
                <w:b/>
                <w:sz w:val="24"/>
                <w:lang w:val="bg-BG"/>
              </w:rPr>
              <w:t>г</w:t>
            </w:r>
            <w:r w:rsidRPr="00B93CA7">
              <w:rPr>
                <w:rFonts w:ascii="Times New Roman" w:hAnsi="Times New Roman" w:cs="Times New Roman"/>
                <w:b/>
                <w:sz w:val="24"/>
                <w:lang w:val="bg-BG"/>
              </w:rPr>
              <w:t>.</w:t>
            </w:r>
          </w:p>
        </w:tc>
        <w:tc>
          <w:tcPr>
            <w:tcW w:w="1766" w:type="dxa"/>
          </w:tcPr>
          <w:p w:rsidR="00143580" w:rsidRPr="00080582" w:rsidRDefault="0081220E"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29</w:t>
            </w:r>
          </w:p>
        </w:tc>
      </w:tr>
      <w:tr w:rsidR="00143580"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Pr="000C59D4"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10</w:t>
            </w:r>
          </w:p>
        </w:tc>
        <w:tc>
          <w:tcPr>
            <w:tcW w:w="6739" w:type="dxa"/>
          </w:tcPr>
          <w:p w:rsidR="00143580" w:rsidRPr="00B93CA7" w:rsidRDefault="00B93CA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B93CA7">
              <w:rPr>
                <w:rFonts w:ascii="Times New Roman" w:hAnsi="Times New Roman" w:cs="Times New Roman" w:hint="cs"/>
                <w:b/>
                <w:sz w:val="24"/>
                <w:lang w:val="bg-BG"/>
              </w:rPr>
              <w:t>Брой</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на</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населението</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за</w:t>
            </w:r>
            <w:r w:rsidRPr="00B93CA7">
              <w:rPr>
                <w:rFonts w:ascii="Times New Roman" w:hAnsi="Times New Roman" w:cs="Times New Roman"/>
                <w:b/>
                <w:sz w:val="24"/>
                <w:lang w:val="bg-BG"/>
              </w:rPr>
              <w:t xml:space="preserve"> 2013 </w:t>
            </w:r>
            <w:r w:rsidRPr="00B93CA7">
              <w:rPr>
                <w:rFonts w:ascii="Times New Roman" w:hAnsi="Times New Roman" w:cs="Times New Roman" w:hint="cs"/>
                <w:b/>
                <w:sz w:val="24"/>
                <w:lang w:val="bg-BG"/>
              </w:rPr>
              <w:t>г</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и</w:t>
            </w:r>
            <w:r w:rsidRPr="00B93CA7">
              <w:rPr>
                <w:rFonts w:ascii="Times New Roman" w:hAnsi="Times New Roman" w:cs="Times New Roman"/>
                <w:b/>
                <w:sz w:val="24"/>
                <w:lang w:val="bg-BG"/>
              </w:rPr>
              <w:t xml:space="preserve"> 2014 </w:t>
            </w:r>
            <w:r w:rsidRPr="00B93CA7">
              <w:rPr>
                <w:rFonts w:ascii="Times New Roman" w:hAnsi="Times New Roman" w:cs="Times New Roman" w:hint="cs"/>
                <w:b/>
                <w:sz w:val="24"/>
                <w:lang w:val="bg-BG"/>
              </w:rPr>
              <w:t>г</w:t>
            </w:r>
            <w:r w:rsidRPr="00B93CA7">
              <w:rPr>
                <w:rFonts w:ascii="Times New Roman" w:hAnsi="Times New Roman" w:cs="Times New Roman"/>
                <w:b/>
                <w:sz w:val="24"/>
                <w:lang w:val="bg-BG"/>
              </w:rPr>
              <w:t>.</w:t>
            </w:r>
            <w:r w:rsidRPr="00B93CA7">
              <w:rPr>
                <w:rFonts w:ascii="Times New Roman" w:hAnsi="Times New Roman" w:cs="Times New Roman" w:hint="cs"/>
                <w:b/>
                <w:sz w:val="24"/>
                <w:lang w:val="bg-BG"/>
              </w:rPr>
              <w:t>по</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области</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в</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ЮИР</w:t>
            </w:r>
          </w:p>
        </w:tc>
        <w:tc>
          <w:tcPr>
            <w:tcW w:w="1766" w:type="dxa"/>
          </w:tcPr>
          <w:p w:rsidR="00143580" w:rsidRPr="00B93CA7" w:rsidRDefault="00B93CA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sidRPr="00B93CA7">
              <w:rPr>
                <w:rFonts w:ascii="Times New Roman" w:hAnsi="Times New Roman" w:cs="Times New Roman"/>
                <w:sz w:val="24"/>
                <w:lang w:val="bg-BG"/>
              </w:rPr>
              <w:t xml:space="preserve"> </w:t>
            </w:r>
            <w:r>
              <w:rPr>
                <w:rFonts w:ascii="Times New Roman" w:hAnsi="Times New Roman" w:cs="Times New Roman"/>
                <w:sz w:val="24"/>
                <w:lang w:val="bg-BG"/>
              </w:rPr>
              <w:t xml:space="preserve">  </w:t>
            </w:r>
            <w:r w:rsidRPr="00B93CA7">
              <w:rPr>
                <w:rFonts w:ascii="Times New Roman" w:hAnsi="Times New Roman" w:cs="Times New Roman"/>
                <w:sz w:val="24"/>
                <w:lang w:val="bg-BG"/>
              </w:rPr>
              <w:t>30</w:t>
            </w:r>
          </w:p>
        </w:tc>
      </w:tr>
      <w:tr w:rsidR="00143580"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11</w:t>
            </w:r>
          </w:p>
        </w:tc>
        <w:tc>
          <w:tcPr>
            <w:tcW w:w="6739" w:type="dxa"/>
          </w:tcPr>
          <w:p w:rsidR="00143580" w:rsidRPr="00B93CA7" w:rsidRDefault="00B93CA7"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B93CA7">
              <w:rPr>
                <w:rFonts w:ascii="Times New Roman" w:hAnsi="Times New Roman" w:cs="Times New Roman" w:hint="cs"/>
                <w:b/>
                <w:sz w:val="24"/>
                <w:lang w:val="bg-BG"/>
              </w:rPr>
              <w:t>Коефициент</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на</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раждаемост</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за</w:t>
            </w:r>
            <w:r w:rsidRPr="00B93CA7">
              <w:rPr>
                <w:rFonts w:ascii="Times New Roman" w:hAnsi="Times New Roman" w:cs="Times New Roman"/>
                <w:b/>
                <w:sz w:val="24"/>
                <w:lang w:val="bg-BG"/>
              </w:rPr>
              <w:t xml:space="preserve"> 2013 </w:t>
            </w:r>
            <w:r w:rsidRPr="00B93CA7">
              <w:rPr>
                <w:rFonts w:ascii="Times New Roman" w:hAnsi="Times New Roman" w:cs="Times New Roman" w:hint="cs"/>
                <w:b/>
                <w:sz w:val="24"/>
                <w:lang w:val="bg-BG"/>
              </w:rPr>
              <w:t>г</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и</w:t>
            </w:r>
            <w:r w:rsidRPr="00B93CA7">
              <w:rPr>
                <w:rFonts w:ascii="Times New Roman" w:hAnsi="Times New Roman" w:cs="Times New Roman"/>
                <w:b/>
                <w:sz w:val="24"/>
                <w:lang w:val="bg-BG"/>
              </w:rPr>
              <w:t xml:space="preserve"> 2014 </w:t>
            </w:r>
            <w:r w:rsidRPr="00B93CA7">
              <w:rPr>
                <w:rFonts w:ascii="Times New Roman" w:hAnsi="Times New Roman" w:cs="Times New Roman" w:hint="cs"/>
                <w:b/>
                <w:sz w:val="24"/>
                <w:lang w:val="bg-BG"/>
              </w:rPr>
              <w:t>г</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по</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райони</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и</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области</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в</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ЮИР</w:t>
            </w:r>
          </w:p>
        </w:tc>
        <w:tc>
          <w:tcPr>
            <w:tcW w:w="1766" w:type="dxa"/>
          </w:tcPr>
          <w:p w:rsidR="00143580" w:rsidRPr="00B93CA7" w:rsidRDefault="00B93CA7"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lang w:val="bg-BG"/>
              </w:rPr>
              <w:t xml:space="preserve">   </w:t>
            </w:r>
            <w:r w:rsidRPr="00B93CA7">
              <w:rPr>
                <w:rFonts w:ascii="Times New Roman" w:hAnsi="Times New Roman" w:cs="Times New Roman"/>
                <w:sz w:val="24"/>
                <w:lang w:val="bg-BG"/>
              </w:rPr>
              <w:t>32</w:t>
            </w:r>
          </w:p>
        </w:tc>
      </w:tr>
      <w:tr w:rsidR="00143580"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12</w:t>
            </w:r>
          </w:p>
        </w:tc>
        <w:tc>
          <w:tcPr>
            <w:tcW w:w="6739" w:type="dxa"/>
          </w:tcPr>
          <w:p w:rsidR="00143580" w:rsidRPr="00B93CA7" w:rsidRDefault="00B93CA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B93CA7">
              <w:rPr>
                <w:rFonts w:ascii="Times New Roman" w:hAnsi="Times New Roman" w:cs="Times New Roman" w:hint="cs"/>
                <w:b/>
                <w:sz w:val="24"/>
                <w:lang w:val="bg-BG"/>
              </w:rPr>
              <w:t>Коефициент</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на</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обща</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смъртност</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за</w:t>
            </w:r>
            <w:r w:rsidRPr="00B93CA7">
              <w:rPr>
                <w:rFonts w:ascii="Times New Roman" w:hAnsi="Times New Roman" w:cs="Times New Roman"/>
                <w:b/>
                <w:sz w:val="24"/>
                <w:lang w:val="bg-BG"/>
              </w:rPr>
              <w:t xml:space="preserve"> 2013</w:t>
            </w:r>
            <w:r w:rsidRPr="00B93CA7">
              <w:rPr>
                <w:rFonts w:ascii="Times New Roman" w:hAnsi="Times New Roman" w:cs="Times New Roman" w:hint="cs"/>
                <w:b/>
                <w:sz w:val="24"/>
                <w:lang w:val="bg-BG"/>
              </w:rPr>
              <w:t>г</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и</w:t>
            </w:r>
            <w:r w:rsidRPr="00B93CA7">
              <w:rPr>
                <w:rFonts w:ascii="Times New Roman" w:hAnsi="Times New Roman" w:cs="Times New Roman"/>
                <w:b/>
                <w:sz w:val="24"/>
                <w:lang w:val="bg-BG"/>
              </w:rPr>
              <w:t xml:space="preserve"> 2014 </w:t>
            </w:r>
            <w:r w:rsidRPr="00B93CA7">
              <w:rPr>
                <w:rFonts w:ascii="Times New Roman" w:hAnsi="Times New Roman" w:cs="Times New Roman" w:hint="cs"/>
                <w:b/>
                <w:sz w:val="24"/>
                <w:lang w:val="bg-BG"/>
              </w:rPr>
              <w:t>г</w:t>
            </w:r>
            <w:r w:rsidRPr="00B93CA7">
              <w:rPr>
                <w:rFonts w:ascii="Times New Roman" w:hAnsi="Times New Roman" w:cs="Times New Roman"/>
                <w:b/>
                <w:sz w:val="24"/>
                <w:lang w:val="bg-BG"/>
              </w:rPr>
              <w:t>.</w:t>
            </w:r>
          </w:p>
        </w:tc>
        <w:tc>
          <w:tcPr>
            <w:tcW w:w="1766" w:type="dxa"/>
          </w:tcPr>
          <w:p w:rsidR="00143580" w:rsidRPr="00B93CA7" w:rsidRDefault="00B93CA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sidRPr="00B93CA7">
              <w:rPr>
                <w:rFonts w:ascii="Times New Roman" w:hAnsi="Times New Roman" w:cs="Times New Roman"/>
                <w:sz w:val="24"/>
                <w:lang w:val="bg-BG"/>
              </w:rPr>
              <w:t xml:space="preserve">   33</w:t>
            </w:r>
          </w:p>
        </w:tc>
      </w:tr>
      <w:tr w:rsidR="00143580"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13</w:t>
            </w:r>
          </w:p>
        </w:tc>
        <w:tc>
          <w:tcPr>
            <w:tcW w:w="6739" w:type="dxa"/>
          </w:tcPr>
          <w:p w:rsidR="00143580" w:rsidRPr="00B93CA7" w:rsidRDefault="00B93CA7"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B93CA7">
              <w:rPr>
                <w:rFonts w:ascii="Times New Roman" w:hAnsi="Times New Roman" w:cs="Times New Roman" w:hint="cs"/>
                <w:b/>
                <w:sz w:val="24"/>
                <w:lang w:val="bg-BG"/>
              </w:rPr>
              <w:t>Коефициент</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на</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естествен</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прираст</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на</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населението</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за</w:t>
            </w:r>
            <w:r w:rsidRPr="00B93CA7">
              <w:rPr>
                <w:rFonts w:ascii="Times New Roman" w:hAnsi="Times New Roman" w:cs="Times New Roman"/>
                <w:b/>
                <w:sz w:val="24"/>
                <w:lang w:val="bg-BG"/>
              </w:rPr>
              <w:t xml:space="preserve"> 2013</w:t>
            </w:r>
            <w:r w:rsidRPr="00B93CA7">
              <w:rPr>
                <w:rFonts w:ascii="Times New Roman" w:hAnsi="Times New Roman" w:cs="Times New Roman" w:hint="cs"/>
                <w:b/>
                <w:sz w:val="24"/>
                <w:lang w:val="bg-BG"/>
              </w:rPr>
              <w:t>г</w:t>
            </w:r>
            <w:r w:rsidRPr="00B93CA7">
              <w:rPr>
                <w:rFonts w:ascii="Times New Roman" w:hAnsi="Times New Roman" w:cs="Times New Roman"/>
                <w:b/>
                <w:sz w:val="24"/>
                <w:lang w:val="bg-BG"/>
              </w:rPr>
              <w:t xml:space="preserve">. </w:t>
            </w:r>
            <w:r w:rsidRPr="00B93CA7">
              <w:rPr>
                <w:rFonts w:ascii="Times New Roman" w:hAnsi="Times New Roman" w:cs="Times New Roman" w:hint="cs"/>
                <w:b/>
                <w:sz w:val="24"/>
                <w:lang w:val="bg-BG"/>
              </w:rPr>
              <w:t>и</w:t>
            </w:r>
            <w:r w:rsidRPr="00B93CA7">
              <w:rPr>
                <w:rFonts w:ascii="Times New Roman" w:hAnsi="Times New Roman" w:cs="Times New Roman"/>
                <w:b/>
                <w:sz w:val="24"/>
                <w:lang w:val="bg-BG"/>
              </w:rPr>
              <w:t xml:space="preserve"> 2014 </w:t>
            </w:r>
            <w:r w:rsidRPr="00B93CA7">
              <w:rPr>
                <w:rFonts w:ascii="Times New Roman" w:hAnsi="Times New Roman" w:cs="Times New Roman" w:hint="cs"/>
                <w:b/>
                <w:sz w:val="24"/>
                <w:lang w:val="bg-BG"/>
              </w:rPr>
              <w:t>г</w:t>
            </w:r>
            <w:r w:rsidRPr="00B93CA7">
              <w:rPr>
                <w:rFonts w:ascii="Times New Roman" w:hAnsi="Times New Roman" w:cs="Times New Roman"/>
                <w:b/>
                <w:sz w:val="24"/>
                <w:lang w:val="bg-BG"/>
              </w:rPr>
              <w:t>.</w:t>
            </w:r>
          </w:p>
        </w:tc>
        <w:tc>
          <w:tcPr>
            <w:tcW w:w="1766" w:type="dxa"/>
          </w:tcPr>
          <w:p w:rsidR="00143580" w:rsidRPr="00B93CA7" w:rsidRDefault="00B93CA7"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B93CA7">
              <w:rPr>
                <w:rFonts w:ascii="Times New Roman" w:hAnsi="Times New Roman" w:cs="Times New Roman"/>
                <w:sz w:val="24"/>
                <w:lang w:val="bg-BG"/>
              </w:rPr>
              <w:t xml:space="preserve">  </w:t>
            </w:r>
            <w:r>
              <w:rPr>
                <w:rFonts w:ascii="Times New Roman" w:hAnsi="Times New Roman" w:cs="Times New Roman"/>
                <w:sz w:val="24"/>
                <w:lang w:val="bg-BG"/>
              </w:rPr>
              <w:t xml:space="preserve"> </w:t>
            </w:r>
            <w:r w:rsidRPr="00B93CA7">
              <w:rPr>
                <w:rFonts w:ascii="Times New Roman" w:hAnsi="Times New Roman" w:cs="Times New Roman"/>
                <w:sz w:val="24"/>
                <w:lang w:val="bg-BG"/>
              </w:rPr>
              <w:t>33</w:t>
            </w:r>
          </w:p>
        </w:tc>
      </w:tr>
      <w:tr w:rsidR="00143580"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lastRenderedPageBreak/>
              <w:t>Фигура 14</w:t>
            </w:r>
          </w:p>
        </w:tc>
        <w:tc>
          <w:tcPr>
            <w:tcW w:w="6739" w:type="dxa"/>
          </w:tcPr>
          <w:p w:rsidR="00143580" w:rsidRPr="001A6DE3" w:rsidRDefault="00B93CA7"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1A6DE3">
              <w:rPr>
                <w:rFonts w:ascii="Times New Roman" w:hAnsi="Times New Roman" w:cs="Times New Roman" w:hint="cs"/>
                <w:b/>
                <w:sz w:val="24"/>
                <w:lang w:val="bg-BG"/>
              </w:rPr>
              <w:t>Брой</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безработни</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лица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15-64 </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по</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райони</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страната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за</w:t>
            </w:r>
            <w:r w:rsidRPr="001A6DE3">
              <w:rPr>
                <w:rFonts w:ascii="Times New Roman" w:hAnsi="Times New Roman" w:cs="Times New Roman"/>
                <w:b/>
                <w:sz w:val="24"/>
                <w:lang w:val="bg-BG"/>
              </w:rPr>
              <w:t xml:space="preserve"> 2013</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и</w:t>
            </w:r>
            <w:r w:rsidRPr="001A6DE3">
              <w:rPr>
                <w:rFonts w:ascii="Times New Roman" w:hAnsi="Times New Roman" w:cs="Times New Roman"/>
                <w:b/>
                <w:sz w:val="24"/>
                <w:lang w:val="bg-BG"/>
              </w:rPr>
              <w:t xml:space="preserve"> 2014 </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хил</w:t>
            </w:r>
            <w:r w:rsidRPr="001A6DE3">
              <w:rPr>
                <w:rFonts w:ascii="Times New Roman" w:hAnsi="Times New Roman" w:cs="Times New Roman"/>
                <w:b/>
                <w:sz w:val="24"/>
                <w:lang w:val="bg-BG"/>
              </w:rPr>
              <w:t>.</w:t>
            </w:r>
            <w:r w:rsidRPr="001A6DE3">
              <w:rPr>
                <w:rFonts w:ascii="Times New Roman" w:hAnsi="Times New Roman" w:cs="Times New Roman" w:hint="cs"/>
                <w:b/>
                <w:sz w:val="24"/>
                <w:lang w:val="bg-BG"/>
              </w:rPr>
              <w:t>безработни</w:t>
            </w:r>
          </w:p>
        </w:tc>
        <w:tc>
          <w:tcPr>
            <w:tcW w:w="1766" w:type="dxa"/>
          </w:tcPr>
          <w:p w:rsidR="00143580" w:rsidRPr="001A6DE3" w:rsidRDefault="001A6DE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lang w:val="bg-BG"/>
              </w:rPr>
              <w:t xml:space="preserve">  </w:t>
            </w:r>
            <w:r w:rsidRPr="001A6DE3">
              <w:rPr>
                <w:rFonts w:ascii="Times New Roman" w:hAnsi="Times New Roman" w:cs="Times New Roman"/>
                <w:sz w:val="24"/>
                <w:lang w:val="bg-BG"/>
              </w:rPr>
              <w:t>34</w:t>
            </w:r>
          </w:p>
        </w:tc>
      </w:tr>
      <w:tr w:rsidR="00143580" w:rsidRPr="00BD242F"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Pr="000C59D4"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15</w:t>
            </w:r>
          </w:p>
        </w:tc>
        <w:tc>
          <w:tcPr>
            <w:tcW w:w="6739" w:type="dxa"/>
          </w:tcPr>
          <w:p w:rsidR="00143580" w:rsidRPr="001A6DE3" w:rsidRDefault="001A6DE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1A6DE3">
              <w:rPr>
                <w:rFonts w:ascii="Times New Roman" w:hAnsi="Times New Roman" w:cs="Times New Roman" w:hint="cs"/>
                <w:b/>
                <w:sz w:val="24"/>
                <w:lang w:val="bg-BG"/>
              </w:rPr>
              <w:t>Брой</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безработни</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лица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15-64 </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по</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области</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ЮИР</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за</w:t>
            </w:r>
            <w:r w:rsidRPr="001A6DE3">
              <w:rPr>
                <w:rFonts w:ascii="Times New Roman" w:hAnsi="Times New Roman" w:cs="Times New Roman"/>
                <w:b/>
                <w:sz w:val="24"/>
                <w:lang w:val="bg-BG"/>
              </w:rPr>
              <w:t xml:space="preserve"> 2013</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и</w:t>
            </w:r>
            <w:r w:rsidRPr="001A6DE3">
              <w:rPr>
                <w:rFonts w:ascii="Times New Roman" w:hAnsi="Times New Roman" w:cs="Times New Roman"/>
                <w:b/>
                <w:sz w:val="24"/>
                <w:lang w:val="bg-BG"/>
              </w:rPr>
              <w:t xml:space="preserve"> 2014 </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хил</w:t>
            </w:r>
            <w:r w:rsidRPr="001A6DE3">
              <w:rPr>
                <w:rFonts w:ascii="Times New Roman" w:hAnsi="Times New Roman" w:cs="Times New Roman"/>
                <w:b/>
                <w:sz w:val="24"/>
                <w:lang w:val="bg-BG"/>
              </w:rPr>
              <w:t>.</w:t>
            </w:r>
            <w:r w:rsidRPr="001A6DE3">
              <w:rPr>
                <w:rFonts w:ascii="Times New Roman" w:hAnsi="Times New Roman" w:cs="Times New Roman" w:hint="cs"/>
                <w:b/>
                <w:sz w:val="24"/>
                <w:lang w:val="bg-BG"/>
              </w:rPr>
              <w:t>безработни</w:t>
            </w:r>
          </w:p>
        </w:tc>
        <w:tc>
          <w:tcPr>
            <w:tcW w:w="1766" w:type="dxa"/>
          </w:tcPr>
          <w:p w:rsidR="00143580" w:rsidRPr="00BD242F" w:rsidRDefault="00143580"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BD242F">
              <w:rPr>
                <w:rFonts w:ascii="Times New Roman" w:hAnsi="Times New Roman" w:cs="Times New Roman"/>
                <w:sz w:val="24"/>
                <w:lang w:val="bg-BG"/>
              </w:rPr>
              <w:t xml:space="preserve"> </w:t>
            </w:r>
            <w:r>
              <w:rPr>
                <w:rFonts w:ascii="Times New Roman" w:hAnsi="Times New Roman" w:cs="Times New Roman"/>
                <w:sz w:val="24"/>
                <w:lang w:val="bg-BG"/>
              </w:rPr>
              <w:t xml:space="preserve"> </w:t>
            </w:r>
            <w:r w:rsidR="00696BC4">
              <w:rPr>
                <w:rFonts w:ascii="Times New Roman" w:hAnsi="Times New Roman" w:cs="Times New Roman"/>
                <w:sz w:val="24"/>
                <w:lang w:val="bg-BG"/>
              </w:rPr>
              <w:t xml:space="preserve">          </w:t>
            </w:r>
            <w:r w:rsidR="00B93CA7">
              <w:rPr>
                <w:rFonts w:ascii="Times New Roman" w:hAnsi="Times New Roman" w:cs="Times New Roman"/>
                <w:sz w:val="24"/>
                <w:lang w:val="bg-BG"/>
              </w:rPr>
              <w:t xml:space="preserve"> 3</w:t>
            </w:r>
            <w:r w:rsidR="001A6DE3">
              <w:rPr>
                <w:rFonts w:ascii="Times New Roman" w:hAnsi="Times New Roman" w:cs="Times New Roman"/>
                <w:sz w:val="24"/>
                <w:lang w:val="bg-BG"/>
              </w:rPr>
              <w:t>5</w:t>
            </w:r>
          </w:p>
        </w:tc>
      </w:tr>
      <w:tr w:rsidR="00143580" w:rsidRPr="00080582"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Pr="000C59D4"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16</w:t>
            </w:r>
          </w:p>
        </w:tc>
        <w:tc>
          <w:tcPr>
            <w:tcW w:w="6739" w:type="dxa"/>
          </w:tcPr>
          <w:p w:rsidR="00143580" w:rsidRPr="00080582" w:rsidRDefault="001A6DE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1A6DE3">
              <w:rPr>
                <w:rFonts w:ascii="Times New Roman" w:hAnsi="Times New Roman" w:cs="Times New Roman"/>
                <w:b/>
                <w:sz w:val="24"/>
                <w:lang w:val="bg-BG"/>
              </w:rPr>
              <w:t>Коефициент на безработицата на населението на възраст 15-64 г</w:t>
            </w:r>
            <w:r>
              <w:rPr>
                <w:rFonts w:ascii="Times New Roman" w:hAnsi="Times New Roman" w:cs="Times New Roman"/>
                <w:b/>
                <w:sz w:val="24"/>
                <w:lang w:val="bg-BG"/>
              </w:rPr>
              <w:t xml:space="preserve">. </w:t>
            </w:r>
            <w:r w:rsidRPr="001A6DE3">
              <w:rPr>
                <w:rFonts w:ascii="Times New Roman" w:hAnsi="Times New Roman" w:cs="Times New Roman"/>
                <w:b/>
                <w:sz w:val="24"/>
                <w:lang w:val="bg-BG"/>
              </w:rPr>
              <w:t>за периода 2011-2014 г.в странта, по райони и области в ЮИР, в %.</w:t>
            </w:r>
          </w:p>
        </w:tc>
        <w:tc>
          <w:tcPr>
            <w:tcW w:w="1766" w:type="dxa"/>
          </w:tcPr>
          <w:p w:rsidR="00143580" w:rsidRPr="00080582" w:rsidRDefault="001A6DE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696BC4">
              <w:rPr>
                <w:rFonts w:ascii="Times New Roman" w:hAnsi="Times New Roman" w:cs="Times New Roman"/>
                <w:sz w:val="24"/>
                <w:lang w:val="bg-BG"/>
              </w:rPr>
              <w:t xml:space="preserve">        </w:t>
            </w:r>
            <w:r>
              <w:rPr>
                <w:rFonts w:ascii="Times New Roman" w:hAnsi="Times New Roman" w:cs="Times New Roman"/>
                <w:sz w:val="24"/>
                <w:lang w:val="bg-BG"/>
              </w:rPr>
              <w:t xml:space="preserve"> </w:t>
            </w:r>
            <w:r w:rsidR="00696BC4">
              <w:rPr>
                <w:rFonts w:ascii="Times New Roman" w:hAnsi="Times New Roman" w:cs="Times New Roman"/>
                <w:sz w:val="24"/>
                <w:lang w:val="bg-BG"/>
              </w:rPr>
              <w:t xml:space="preserve"> </w:t>
            </w:r>
            <w:r>
              <w:rPr>
                <w:rFonts w:ascii="Times New Roman" w:hAnsi="Times New Roman" w:cs="Times New Roman"/>
                <w:sz w:val="24"/>
                <w:lang w:val="bg-BG"/>
              </w:rPr>
              <w:t>36</w:t>
            </w:r>
          </w:p>
        </w:tc>
      </w:tr>
      <w:tr w:rsidR="00143580"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Pr="000C59D4"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17</w:t>
            </w:r>
          </w:p>
        </w:tc>
        <w:tc>
          <w:tcPr>
            <w:tcW w:w="6739" w:type="dxa"/>
          </w:tcPr>
          <w:p w:rsidR="00143580" w:rsidRPr="001A6DE3" w:rsidRDefault="001A6DE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1A6DE3">
              <w:rPr>
                <w:rFonts w:ascii="Times New Roman" w:hAnsi="Times New Roman" w:cs="Times New Roman" w:hint="cs"/>
                <w:b/>
                <w:sz w:val="24"/>
                <w:lang w:val="bg-BG"/>
              </w:rPr>
              <w:t>Коефициент</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заетост</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населението</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лицата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възраст</w:t>
            </w:r>
            <w:r w:rsidRPr="001A6DE3">
              <w:rPr>
                <w:rFonts w:ascii="Times New Roman" w:hAnsi="Times New Roman" w:cs="Times New Roman"/>
                <w:b/>
                <w:sz w:val="24"/>
                <w:lang w:val="bg-BG"/>
              </w:rPr>
              <w:t xml:space="preserve"> 15-64 </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страната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по</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райони</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и</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области</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ЮИР</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за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периода</w:t>
            </w:r>
            <w:r w:rsidRPr="001A6DE3">
              <w:rPr>
                <w:rFonts w:ascii="Times New Roman" w:hAnsi="Times New Roman" w:cs="Times New Roman"/>
                <w:b/>
                <w:sz w:val="24"/>
                <w:lang w:val="bg-BG"/>
              </w:rPr>
              <w:t xml:space="preserve"> 2011-2014 </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p>
        </w:tc>
        <w:tc>
          <w:tcPr>
            <w:tcW w:w="1766" w:type="dxa"/>
          </w:tcPr>
          <w:p w:rsidR="00143580" w:rsidRPr="001A6DE3" w:rsidRDefault="001A6DE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sidRPr="001A6DE3">
              <w:rPr>
                <w:rFonts w:ascii="Times New Roman" w:hAnsi="Times New Roman" w:cs="Times New Roman"/>
                <w:sz w:val="24"/>
                <w:lang w:val="bg-BG"/>
              </w:rPr>
              <w:t xml:space="preserve"> </w:t>
            </w:r>
            <w:r w:rsidR="003B4942">
              <w:rPr>
                <w:rFonts w:ascii="Times New Roman" w:hAnsi="Times New Roman" w:cs="Times New Roman"/>
                <w:sz w:val="24"/>
                <w:lang w:val="bg-BG"/>
              </w:rPr>
              <w:t xml:space="preserve">      </w:t>
            </w:r>
            <w:r w:rsidR="00696BC4">
              <w:rPr>
                <w:rFonts w:ascii="Times New Roman" w:hAnsi="Times New Roman" w:cs="Times New Roman"/>
                <w:sz w:val="24"/>
                <w:lang w:val="bg-BG"/>
              </w:rPr>
              <w:t xml:space="preserve">   </w:t>
            </w:r>
            <w:r w:rsidRPr="001A6DE3">
              <w:rPr>
                <w:rFonts w:ascii="Times New Roman" w:hAnsi="Times New Roman" w:cs="Times New Roman"/>
                <w:sz w:val="24"/>
                <w:lang w:val="bg-BG"/>
              </w:rPr>
              <w:t xml:space="preserve"> 37</w:t>
            </w:r>
          </w:p>
        </w:tc>
      </w:tr>
      <w:tr w:rsidR="00143580"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18</w:t>
            </w:r>
          </w:p>
        </w:tc>
        <w:tc>
          <w:tcPr>
            <w:tcW w:w="6739" w:type="dxa"/>
          </w:tcPr>
          <w:p w:rsidR="00143580" w:rsidRPr="001A6DE3" w:rsidRDefault="001A6DE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1A6DE3">
              <w:rPr>
                <w:rFonts w:ascii="Times New Roman" w:hAnsi="Times New Roman" w:cs="Times New Roman" w:hint="cs"/>
                <w:b/>
                <w:sz w:val="24"/>
                <w:lang w:val="bg-BG"/>
              </w:rPr>
              <w:t>Коефициент</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заетост</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населението</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лицата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възраст</w:t>
            </w:r>
            <w:r w:rsidRPr="001A6DE3">
              <w:rPr>
                <w:rFonts w:ascii="Times New Roman" w:hAnsi="Times New Roman" w:cs="Times New Roman"/>
                <w:b/>
                <w:sz w:val="24"/>
                <w:lang w:val="bg-BG"/>
              </w:rPr>
              <w:t xml:space="preserve"> 20-64 </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ЮИР</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и</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страната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за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периода</w:t>
            </w:r>
            <w:r w:rsidRPr="001A6DE3">
              <w:rPr>
                <w:rFonts w:ascii="Times New Roman" w:hAnsi="Times New Roman" w:cs="Times New Roman"/>
                <w:b/>
                <w:sz w:val="24"/>
                <w:lang w:val="bg-BG"/>
              </w:rPr>
              <w:t xml:space="preserve"> 2008-2014 </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w:t>
            </w:r>
          </w:p>
        </w:tc>
        <w:tc>
          <w:tcPr>
            <w:tcW w:w="1766" w:type="dxa"/>
          </w:tcPr>
          <w:p w:rsidR="00143580" w:rsidRPr="001A6DE3" w:rsidRDefault="001A6DE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3B4942">
              <w:rPr>
                <w:rFonts w:ascii="Times New Roman" w:hAnsi="Times New Roman" w:cs="Times New Roman"/>
                <w:sz w:val="24"/>
                <w:lang w:val="bg-BG"/>
              </w:rPr>
              <w:t xml:space="preserve">       </w:t>
            </w:r>
            <w:r w:rsidR="00696BC4">
              <w:rPr>
                <w:rFonts w:ascii="Times New Roman" w:hAnsi="Times New Roman" w:cs="Times New Roman"/>
                <w:sz w:val="24"/>
                <w:lang w:val="bg-BG"/>
              </w:rPr>
              <w:t xml:space="preserve"> </w:t>
            </w:r>
            <w:r>
              <w:rPr>
                <w:rFonts w:ascii="Times New Roman" w:hAnsi="Times New Roman" w:cs="Times New Roman"/>
                <w:sz w:val="24"/>
                <w:lang w:val="bg-BG"/>
              </w:rPr>
              <w:t xml:space="preserve"> </w:t>
            </w:r>
            <w:r w:rsidR="00696BC4">
              <w:rPr>
                <w:rFonts w:ascii="Times New Roman" w:hAnsi="Times New Roman" w:cs="Times New Roman"/>
                <w:sz w:val="24"/>
                <w:lang w:val="bg-BG"/>
              </w:rPr>
              <w:t xml:space="preserve"> </w:t>
            </w:r>
            <w:r w:rsidRPr="001A6DE3">
              <w:rPr>
                <w:rFonts w:ascii="Times New Roman" w:hAnsi="Times New Roman" w:cs="Times New Roman"/>
                <w:sz w:val="24"/>
                <w:lang w:val="bg-BG"/>
              </w:rPr>
              <w:t>37</w:t>
            </w:r>
          </w:p>
        </w:tc>
      </w:tr>
      <w:tr w:rsidR="00143580"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19</w:t>
            </w:r>
          </w:p>
        </w:tc>
        <w:tc>
          <w:tcPr>
            <w:tcW w:w="6739" w:type="dxa"/>
          </w:tcPr>
          <w:p w:rsidR="00143580" w:rsidRPr="001A6DE3" w:rsidRDefault="001A6DE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1A6DE3">
              <w:rPr>
                <w:rFonts w:ascii="Times New Roman" w:hAnsi="Times New Roman" w:cs="Times New Roman" w:hint="cs"/>
                <w:b/>
                <w:sz w:val="24"/>
                <w:lang w:val="bg-BG"/>
              </w:rPr>
              <w:t>Коефициент</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икономическа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активност</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15 – 64 </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страната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по</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райони</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и</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области</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ЮИР</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за</w:t>
            </w:r>
            <w:r w:rsidRPr="001A6DE3">
              <w:rPr>
                <w:rFonts w:ascii="Times New Roman" w:hAnsi="Times New Roman" w:cs="Times New Roman"/>
                <w:b/>
                <w:sz w:val="24"/>
                <w:lang w:val="bg-BG"/>
              </w:rPr>
              <w:t xml:space="preserve"> 2013-2014 </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p>
        </w:tc>
        <w:tc>
          <w:tcPr>
            <w:tcW w:w="1766" w:type="dxa"/>
          </w:tcPr>
          <w:p w:rsidR="00143580" w:rsidRPr="001A6DE3" w:rsidRDefault="001A6DE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lang w:val="bg-BG"/>
              </w:rPr>
              <w:t xml:space="preserve"> </w:t>
            </w:r>
            <w:r w:rsidR="003B4942">
              <w:rPr>
                <w:rFonts w:ascii="Times New Roman" w:hAnsi="Times New Roman" w:cs="Times New Roman"/>
                <w:lang w:val="bg-BG"/>
              </w:rPr>
              <w:t xml:space="preserve">       </w:t>
            </w:r>
            <w:r>
              <w:rPr>
                <w:rFonts w:ascii="Times New Roman" w:hAnsi="Times New Roman" w:cs="Times New Roman"/>
                <w:lang w:val="bg-BG"/>
              </w:rPr>
              <w:t xml:space="preserve"> </w:t>
            </w:r>
            <w:r w:rsidR="00696BC4">
              <w:rPr>
                <w:rFonts w:ascii="Times New Roman" w:hAnsi="Times New Roman" w:cs="Times New Roman"/>
                <w:lang w:val="bg-BG"/>
              </w:rPr>
              <w:t xml:space="preserve"> </w:t>
            </w:r>
            <w:r w:rsidRPr="001A6DE3">
              <w:rPr>
                <w:rFonts w:ascii="Times New Roman" w:hAnsi="Times New Roman" w:cs="Times New Roman"/>
                <w:sz w:val="24"/>
                <w:lang w:val="bg-BG"/>
              </w:rPr>
              <w:t>38</w:t>
            </w:r>
          </w:p>
        </w:tc>
      </w:tr>
      <w:tr w:rsidR="00143580" w:rsidTr="00B93CA7">
        <w:tc>
          <w:tcPr>
            <w:cnfStyle w:val="001000000000" w:firstRow="0" w:lastRow="0" w:firstColumn="1" w:lastColumn="0" w:oddVBand="0" w:evenVBand="0" w:oddHBand="0" w:evenHBand="0" w:firstRowFirstColumn="0" w:firstRowLastColumn="0" w:lastRowFirstColumn="0" w:lastRowLastColumn="0"/>
            <w:tcW w:w="1526" w:type="dxa"/>
            <w:gridSpan w:val="2"/>
          </w:tcPr>
          <w:p w:rsidR="00143580" w:rsidRDefault="00143580"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20</w:t>
            </w:r>
          </w:p>
        </w:tc>
        <w:tc>
          <w:tcPr>
            <w:tcW w:w="6739" w:type="dxa"/>
          </w:tcPr>
          <w:p w:rsidR="00143580" w:rsidRPr="001A6DE3" w:rsidRDefault="001A6DE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r w:rsidRPr="001A6DE3">
              <w:rPr>
                <w:rFonts w:ascii="Times New Roman" w:hAnsi="Times New Roman" w:cs="Times New Roman" w:hint="cs"/>
                <w:b/>
                <w:sz w:val="24"/>
                <w:lang w:val="bg-BG"/>
              </w:rPr>
              <w:t>Общ</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доход</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средно</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на</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домакинство</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през</w:t>
            </w:r>
            <w:r w:rsidRPr="001A6DE3">
              <w:rPr>
                <w:rFonts w:ascii="Times New Roman" w:hAnsi="Times New Roman" w:cs="Times New Roman"/>
                <w:b/>
                <w:sz w:val="24"/>
                <w:lang w:val="bg-BG"/>
              </w:rPr>
              <w:t xml:space="preserve"> 2013</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и</w:t>
            </w:r>
            <w:r w:rsidRPr="001A6DE3">
              <w:rPr>
                <w:rFonts w:ascii="Times New Roman" w:hAnsi="Times New Roman" w:cs="Times New Roman"/>
                <w:b/>
                <w:sz w:val="24"/>
                <w:lang w:val="bg-BG"/>
              </w:rPr>
              <w:t xml:space="preserve"> 2014 </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w:t>
            </w:r>
          </w:p>
        </w:tc>
        <w:tc>
          <w:tcPr>
            <w:tcW w:w="1766" w:type="dxa"/>
          </w:tcPr>
          <w:p w:rsidR="00143580" w:rsidRPr="001A6DE3" w:rsidRDefault="001A6DE3"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sidRPr="001A6DE3">
              <w:rPr>
                <w:rFonts w:ascii="Times New Roman" w:hAnsi="Times New Roman" w:cs="Times New Roman"/>
                <w:sz w:val="24"/>
                <w:lang w:val="bg-BG"/>
              </w:rPr>
              <w:t xml:space="preserve">  </w:t>
            </w:r>
            <w:r w:rsidR="003B4942">
              <w:rPr>
                <w:rFonts w:ascii="Times New Roman" w:hAnsi="Times New Roman" w:cs="Times New Roman"/>
                <w:sz w:val="24"/>
                <w:lang w:val="bg-BG"/>
              </w:rPr>
              <w:t xml:space="preserve">         </w:t>
            </w:r>
            <w:r w:rsidR="00696BC4">
              <w:rPr>
                <w:rFonts w:ascii="Times New Roman" w:hAnsi="Times New Roman" w:cs="Times New Roman"/>
                <w:sz w:val="24"/>
                <w:lang w:val="bg-BG"/>
              </w:rPr>
              <w:t xml:space="preserve"> </w:t>
            </w:r>
            <w:r w:rsidRPr="001A6DE3">
              <w:rPr>
                <w:rFonts w:ascii="Times New Roman" w:hAnsi="Times New Roman" w:cs="Times New Roman"/>
                <w:sz w:val="24"/>
                <w:lang w:val="bg-BG"/>
              </w:rPr>
              <w:t>43</w:t>
            </w:r>
          </w:p>
        </w:tc>
      </w:tr>
      <w:tr w:rsidR="00C43A89"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gridSpan w:val="2"/>
          </w:tcPr>
          <w:p w:rsidR="00C43A89" w:rsidRDefault="00C43A89"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Фигура 21</w:t>
            </w:r>
          </w:p>
        </w:tc>
        <w:tc>
          <w:tcPr>
            <w:tcW w:w="6739" w:type="dxa"/>
          </w:tcPr>
          <w:p w:rsidR="00C43A89" w:rsidRPr="001A6DE3" w:rsidRDefault="001A6DE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1A6DE3">
              <w:rPr>
                <w:rFonts w:ascii="Times New Roman" w:hAnsi="Times New Roman" w:cs="Times New Roman" w:hint="cs"/>
                <w:b/>
                <w:sz w:val="24"/>
                <w:lang w:val="bg-BG"/>
              </w:rPr>
              <w:t>Население</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риск</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от</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бедност</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или</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социално</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изключване</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през</w:t>
            </w:r>
            <w:r w:rsidRPr="001A6DE3">
              <w:rPr>
                <w:rFonts w:ascii="Times New Roman" w:hAnsi="Times New Roman" w:cs="Times New Roman"/>
                <w:b/>
                <w:sz w:val="24"/>
                <w:lang w:val="bg-BG"/>
              </w:rPr>
              <w:t xml:space="preserve"> 2012 </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и</w:t>
            </w:r>
            <w:r w:rsidRPr="001A6DE3">
              <w:rPr>
                <w:rFonts w:ascii="Times New Roman" w:hAnsi="Times New Roman" w:cs="Times New Roman"/>
                <w:b/>
                <w:sz w:val="24"/>
                <w:lang w:val="bg-BG"/>
              </w:rPr>
              <w:t xml:space="preserve"> 2013</w:t>
            </w:r>
            <w:r w:rsidRPr="001A6DE3">
              <w:rPr>
                <w:rFonts w:ascii="Times New Roman" w:hAnsi="Times New Roman" w:cs="Times New Roman" w:hint="cs"/>
                <w:b/>
                <w:sz w:val="24"/>
                <w:lang w:val="bg-BG"/>
              </w:rPr>
              <w:t>г</w:t>
            </w:r>
            <w:r w:rsidRPr="001A6DE3">
              <w:rPr>
                <w:rFonts w:ascii="Times New Roman" w:hAnsi="Times New Roman" w:cs="Times New Roman"/>
                <w:b/>
                <w:sz w:val="24"/>
                <w:lang w:val="bg-BG"/>
              </w:rPr>
              <w:t xml:space="preserve">., </w:t>
            </w:r>
            <w:r w:rsidRPr="001A6DE3">
              <w:rPr>
                <w:rFonts w:ascii="Times New Roman" w:hAnsi="Times New Roman" w:cs="Times New Roman" w:hint="cs"/>
                <w:b/>
                <w:sz w:val="24"/>
                <w:lang w:val="bg-BG"/>
              </w:rPr>
              <w:t>в</w:t>
            </w:r>
            <w:r w:rsidRPr="001A6DE3">
              <w:rPr>
                <w:rFonts w:ascii="Times New Roman" w:hAnsi="Times New Roman" w:cs="Times New Roman"/>
                <w:b/>
                <w:sz w:val="24"/>
                <w:lang w:val="bg-BG"/>
              </w:rPr>
              <w:t xml:space="preserve"> %</w:t>
            </w:r>
          </w:p>
        </w:tc>
        <w:tc>
          <w:tcPr>
            <w:tcW w:w="1766" w:type="dxa"/>
          </w:tcPr>
          <w:p w:rsidR="00C43A89" w:rsidRPr="001A6DE3" w:rsidRDefault="001A6DE3"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bg-BG"/>
              </w:rPr>
            </w:pPr>
            <w:r>
              <w:rPr>
                <w:rFonts w:ascii="Times New Roman" w:hAnsi="Times New Roman" w:cs="Times New Roman"/>
                <w:sz w:val="24"/>
                <w:lang w:val="bg-BG"/>
              </w:rPr>
              <w:t xml:space="preserve"> </w:t>
            </w:r>
            <w:r w:rsidR="003B4942">
              <w:rPr>
                <w:rFonts w:ascii="Times New Roman" w:hAnsi="Times New Roman" w:cs="Times New Roman"/>
                <w:sz w:val="24"/>
                <w:lang w:val="bg-BG"/>
              </w:rPr>
              <w:t xml:space="preserve">          </w:t>
            </w:r>
            <w:r>
              <w:rPr>
                <w:rFonts w:ascii="Times New Roman" w:hAnsi="Times New Roman" w:cs="Times New Roman"/>
                <w:sz w:val="24"/>
                <w:lang w:val="bg-BG"/>
              </w:rPr>
              <w:t xml:space="preserve"> </w:t>
            </w:r>
            <w:r w:rsidRPr="001A6DE3">
              <w:rPr>
                <w:rFonts w:ascii="Times New Roman" w:hAnsi="Times New Roman" w:cs="Times New Roman"/>
                <w:sz w:val="24"/>
                <w:lang w:val="bg-BG"/>
              </w:rPr>
              <w:t>45</w:t>
            </w:r>
          </w:p>
        </w:tc>
      </w:tr>
      <w:tr w:rsidR="00143580" w:rsidRPr="00080582" w:rsidTr="00B93CA7">
        <w:tc>
          <w:tcPr>
            <w:cnfStyle w:val="001000000000" w:firstRow="0" w:lastRow="0" w:firstColumn="1" w:lastColumn="0" w:oddVBand="0" w:evenVBand="0" w:oddHBand="0" w:evenHBand="0" w:firstRowFirstColumn="0" w:firstRowLastColumn="0" w:lastRowFirstColumn="0" w:lastRowLastColumn="0"/>
            <w:tcW w:w="1384" w:type="dxa"/>
          </w:tcPr>
          <w:p w:rsidR="00143580" w:rsidRPr="000C59D4" w:rsidRDefault="00143580" w:rsidP="009F3479">
            <w:pPr>
              <w:rPr>
                <w:rFonts w:ascii="Times New Roman" w:hAnsi="Times New Roman"/>
                <w:color w:val="9D3511" w:themeColor="accent1" w:themeShade="BF"/>
                <w:lang w:val="bg-BG"/>
              </w:rPr>
            </w:pPr>
          </w:p>
        </w:tc>
        <w:tc>
          <w:tcPr>
            <w:tcW w:w="8647" w:type="dxa"/>
            <w:gridSpan w:val="3"/>
          </w:tcPr>
          <w:p w:rsidR="00143580" w:rsidRPr="00080582" w:rsidRDefault="00143580"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lang w:val="bg-BG"/>
              </w:rPr>
            </w:pPr>
          </w:p>
        </w:tc>
      </w:tr>
      <w:tr w:rsidR="003B4942" w:rsidRPr="00080582"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B4942" w:rsidRDefault="003B4942"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Карта 1</w:t>
            </w:r>
          </w:p>
        </w:tc>
        <w:tc>
          <w:tcPr>
            <w:tcW w:w="8647" w:type="dxa"/>
            <w:gridSpan w:val="3"/>
          </w:tcPr>
          <w:p w:rsidR="003B4942" w:rsidRPr="00EE6E19" w:rsidRDefault="003B4942"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3B4942">
              <w:rPr>
                <w:rFonts w:ascii="Times New Roman" w:hAnsi="Times New Roman" w:cs="Times New Roman" w:hint="cs"/>
                <w:b/>
                <w:sz w:val="24"/>
                <w:lang w:val="bg-BG"/>
              </w:rPr>
              <w:t>Относителен</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дял</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на</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населението</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на</w:t>
            </w:r>
            <w:r w:rsidRPr="003B4942">
              <w:rPr>
                <w:rFonts w:ascii="Times New Roman" w:hAnsi="Times New Roman" w:cs="Times New Roman"/>
                <w:b/>
                <w:sz w:val="24"/>
                <w:lang w:val="bg-BG"/>
              </w:rPr>
              <w:t xml:space="preserve"> 65 </w:t>
            </w:r>
            <w:r w:rsidRPr="003B4942">
              <w:rPr>
                <w:rFonts w:ascii="Times New Roman" w:hAnsi="Times New Roman" w:cs="Times New Roman" w:hint="cs"/>
                <w:b/>
                <w:sz w:val="24"/>
                <w:lang w:val="bg-BG"/>
              </w:rPr>
              <w:t>и</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повече</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навършени</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години</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към</w:t>
            </w:r>
            <w:r w:rsidRPr="003B4942">
              <w:rPr>
                <w:rFonts w:ascii="Times New Roman" w:hAnsi="Times New Roman" w:cs="Times New Roman"/>
                <w:b/>
                <w:sz w:val="24"/>
                <w:lang w:val="bg-BG"/>
              </w:rPr>
              <w:t xml:space="preserve"> 31.12.2014 </w:t>
            </w:r>
            <w:r w:rsidRPr="003B4942">
              <w:rPr>
                <w:rFonts w:ascii="Times New Roman" w:hAnsi="Times New Roman" w:cs="Times New Roman" w:hint="cs"/>
                <w:b/>
                <w:sz w:val="24"/>
                <w:lang w:val="bg-BG"/>
              </w:rPr>
              <w:t>г</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по</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области</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в</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страната</w:t>
            </w:r>
            <w:r>
              <w:rPr>
                <w:rFonts w:ascii="Times New Roman" w:hAnsi="Times New Roman" w:cs="Times New Roman"/>
                <w:b/>
                <w:sz w:val="24"/>
                <w:lang w:val="bg-BG"/>
              </w:rPr>
              <w:t xml:space="preserve">                                                                 </w:t>
            </w:r>
            <w:r w:rsidRPr="003B4942">
              <w:rPr>
                <w:rFonts w:ascii="Times New Roman" w:hAnsi="Times New Roman" w:cs="Times New Roman"/>
                <w:sz w:val="24"/>
                <w:lang w:val="bg-BG"/>
              </w:rPr>
              <w:t>31</w:t>
            </w:r>
          </w:p>
        </w:tc>
      </w:tr>
      <w:tr w:rsidR="003B4942" w:rsidTr="00B93CA7">
        <w:tc>
          <w:tcPr>
            <w:cnfStyle w:val="001000000000" w:firstRow="0" w:lastRow="0" w:firstColumn="1" w:lastColumn="0" w:oddVBand="0" w:evenVBand="0" w:oddHBand="0" w:evenHBand="0" w:firstRowFirstColumn="0" w:firstRowLastColumn="0" w:lastRowFirstColumn="0" w:lastRowLastColumn="0"/>
            <w:tcW w:w="1384" w:type="dxa"/>
          </w:tcPr>
          <w:p w:rsidR="003B4942" w:rsidRPr="000C59D4" w:rsidRDefault="003B4942"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Карта 2</w:t>
            </w:r>
          </w:p>
        </w:tc>
        <w:tc>
          <w:tcPr>
            <w:tcW w:w="8647" w:type="dxa"/>
            <w:gridSpan w:val="3"/>
          </w:tcPr>
          <w:p w:rsidR="003B4942" w:rsidRPr="001A6DE3" w:rsidRDefault="003B4942" w:rsidP="009F3479">
            <w:pPr>
              <w:pStyle w:val="Subtitle"/>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bg-BG"/>
              </w:rPr>
            </w:pPr>
            <w:r w:rsidRPr="003B4942">
              <w:rPr>
                <w:rFonts w:ascii="Times New Roman" w:hAnsi="Times New Roman" w:cs="Times New Roman" w:hint="cs"/>
                <w:b/>
                <w:sz w:val="24"/>
                <w:lang w:val="bg-BG"/>
              </w:rPr>
              <w:t>Линия</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на</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бедност</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по</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пол</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в</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страната</w:t>
            </w:r>
            <w:r w:rsidRPr="003B4942">
              <w:rPr>
                <w:rFonts w:ascii="Times New Roman" w:hAnsi="Times New Roman" w:cs="Times New Roman"/>
                <w:b/>
                <w:sz w:val="24"/>
                <w:lang w:val="bg-BG"/>
              </w:rPr>
              <w:t xml:space="preserve"> </w:t>
            </w:r>
            <w:r w:rsidRPr="003B4942">
              <w:rPr>
                <w:rFonts w:ascii="Times New Roman" w:hAnsi="Times New Roman" w:cs="Times New Roman" w:hint="cs"/>
                <w:b/>
                <w:sz w:val="24"/>
                <w:lang w:val="bg-BG"/>
              </w:rPr>
              <w:t>за</w:t>
            </w:r>
            <w:r w:rsidRPr="003B4942">
              <w:rPr>
                <w:rFonts w:ascii="Times New Roman" w:hAnsi="Times New Roman" w:cs="Times New Roman"/>
                <w:b/>
                <w:sz w:val="24"/>
                <w:lang w:val="bg-BG"/>
              </w:rPr>
              <w:t xml:space="preserve"> 2013 </w:t>
            </w:r>
            <w:r w:rsidRPr="003B4942">
              <w:rPr>
                <w:rFonts w:ascii="Times New Roman" w:hAnsi="Times New Roman" w:cs="Times New Roman" w:hint="cs"/>
                <w:b/>
                <w:sz w:val="24"/>
                <w:lang w:val="bg-BG"/>
              </w:rPr>
              <w:t>г</w:t>
            </w:r>
            <w:r w:rsidRPr="003B4942">
              <w:rPr>
                <w:rFonts w:ascii="Times New Roman" w:hAnsi="Times New Roman" w:cs="Times New Roman"/>
                <w:b/>
                <w:sz w:val="24"/>
                <w:lang w:val="bg-BG"/>
              </w:rPr>
              <w:t xml:space="preserve">. , </w:t>
            </w:r>
            <w:r w:rsidRPr="003B4942">
              <w:rPr>
                <w:rFonts w:ascii="Times New Roman" w:hAnsi="Times New Roman" w:cs="Times New Roman" w:hint="cs"/>
                <w:b/>
                <w:sz w:val="24"/>
                <w:lang w:val="bg-BG"/>
              </w:rPr>
              <w:t>в</w:t>
            </w:r>
            <w:r w:rsidRPr="003B4942">
              <w:rPr>
                <w:rFonts w:ascii="Times New Roman" w:hAnsi="Times New Roman" w:cs="Times New Roman"/>
                <w:b/>
                <w:sz w:val="24"/>
                <w:lang w:val="bg-BG"/>
              </w:rPr>
              <w:t xml:space="preserve"> %</w:t>
            </w:r>
            <w:r w:rsidRPr="001A6DE3">
              <w:rPr>
                <w:rFonts w:ascii="Times New Roman" w:hAnsi="Times New Roman" w:cs="Times New Roman"/>
                <w:sz w:val="24"/>
                <w:lang w:val="bg-BG"/>
              </w:rPr>
              <w:t xml:space="preserve">                          </w:t>
            </w:r>
            <w:r>
              <w:rPr>
                <w:rFonts w:ascii="Times New Roman" w:hAnsi="Times New Roman" w:cs="Times New Roman"/>
                <w:sz w:val="24"/>
                <w:lang w:val="bg-BG"/>
              </w:rPr>
              <w:t xml:space="preserve">         </w:t>
            </w:r>
            <w:r w:rsidRPr="001A6DE3">
              <w:rPr>
                <w:rFonts w:ascii="Times New Roman" w:hAnsi="Times New Roman" w:cs="Times New Roman"/>
                <w:sz w:val="24"/>
                <w:lang w:val="bg-BG"/>
              </w:rPr>
              <w:t>44</w:t>
            </w:r>
          </w:p>
        </w:tc>
      </w:tr>
      <w:tr w:rsidR="003B4942" w:rsidTr="00B93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B4942" w:rsidRDefault="003B4942" w:rsidP="009F3479">
            <w:pPr>
              <w:rPr>
                <w:rFonts w:ascii="Times New Roman" w:hAnsi="Times New Roman"/>
                <w:color w:val="9D3511" w:themeColor="accent1" w:themeShade="BF"/>
                <w:lang w:val="bg-BG"/>
              </w:rPr>
            </w:pPr>
            <w:r>
              <w:rPr>
                <w:rFonts w:ascii="Times New Roman" w:hAnsi="Times New Roman"/>
                <w:color w:val="9D3511" w:themeColor="accent1" w:themeShade="BF"/>
                <w:lang w:val="bg-BG"/>
              </w:rPr>
              <w:t>Карта 3</w:t>
            </w:r>
          </w:p>
        </w:tc>
        <w:tc>
          <w:tcPr>
            <w:tcW w:w="8647" w:type="dxa"/>
            <w:gridSpan w:val="3"/>
          </w:tcPr>
          <w:p w:rsidR="003B4942" w:rsidRPr="00EE6E19" w:rsidRDefault="003B4942" w:rsidP="009F3479">
            <w:pPr>
              <w:pStyle w:val="Subtitle"/>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bg-BG"/>
              </w:rPr>
            </w:pPr>
            <w:r w:rsidRPr="00EE6E19">
              <w:rPr>
                <w:rFonts w:ascii="Times New Roman" w:hAnsi="Times New Roman" w:cs="Times New Roman" w:hint="cs"/>
                <w:b/>
                <w:sz w:val="24"/>
                <w:lang w:val="bg-BG"/>
              </w:rPr>
              <w:t>Участващи</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в</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образование</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и</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обучение</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по</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райони</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и</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форми</w:t>
            </w:r>
            <w:r w:rsidRPr="00EE6E19">
              <w:rPr>
                <w:rFonts w:ascii="Times New Roman" w:hAnsi="Times New Roman" w:cs="Times New Roman"/>
                <w:b/>
                <w:sz w:val="24"/>
                <w:lang w:val="bg-BG"/>
              </w:rPr>
              <w:t xml:space="preserve"> </w:t>
            </w:r>
            <w:r w:rsidRPr="00EE6E19">
              <w:rPr>
                <w:rFonts w:ascii="Times New Roman" w:hAnsi="Times New Roman" w:cs="Times New Roman" w:hint="cs"/>
                <w:b/>
                <w:sz w:val="24"/>
                <w:lang w:val="bg-BG"/>
              </w:rPr>
              <w:t>за</w:t>
            </w:r>
            <w:r w:rsidRPr="00EE6E19">
              <w:rPr>
                <w:rFonts w:ascii="Times New Roman" w:hAnsi="Times New Roman" w:cs="Times New Roman"/>
                <w:b/>
                <w:sz w:val="24"/>
                <w:lang w:val="bg-BG"/>
              </w:rPr>
              <w:t xml:space="preserve"> 2011 </w:t>
            </w:r>
            <w:r w:rsidRPr="00EE6E19">
              <w:rPr>
                <w:rFonts w:ascii="Times New Roman" w:hAnsi="Times New Roman" w:cs="Times New Roman" w:hint="cs"/>
                <w:b/>
                <w:sz w:val="24"/>
                <w:lang w:val="bg-BG"/>
              </w:rPr>
              <w:t>г</w:t>
            </w:r>
            <w:r w:rsidRPr="00EE6E19">
              <w:rPr>
                <w:rFonts w:ascii="Times New Roman" w:hAnsi="Times New Roman" w:cs="Times New Roman"/>
                <w:b/>
                <w:sz w:val="24"/>
                <w:lang w:val="bg-BG"/>
              </w:rPr>
              <w:t>.</w:t>
            </w:r>
            <w:r>
              <w:rPr>
                <w:rFonts w:ascii="Times New Roman" w:hAnsi="Times New Roman" w:cs="Times New Roman"/>
                <w:b/>
                <w:sz w:val="24"/>
                <w:lang w:val="bg-BG"/>
              </w:rPr>
              <w:t xml:space="preserve">      </w:t>
            </w:r>
            <w:r w:rsidRPr="00EE6E19">
              <w:rPr>
                <w:rFonts w:ascii="Times New Roman" w:hAnsi="Times New Roman" w:cs="Times New Roman"/>
                <w:sz w:val="24"/>
                <w:lang w:val="bg-BG"/>
              </w:rPr>
              <w:t>100</w:t>
            </w:r>
          </w:p>
        </w:tc>
      </w:tr>
    </w:tbl>
    <w:p w:rsidR="009F3479" w:rsidRDefault="009F3479" w:rsidP="009F3479">
      <w:pPr>
        <w:pStyle w:val="Subtitle"/>
        <w:jc w:val="left"/>
        <w:rPr>
          <w:rFonts w:ascii="Times New Roman" w:hAnsi="Times New Roman" w:cs="Times New Roman"/>
          <w:lang w:val="bg-BG"/>
        </w:rPr>
      </w:pPr>
    </w:p>
    <w:p w:rsidR="00E8474D" w:rsidRPr="0056111E" w:rsidRDefault="00E8474D" w:rsidP="009F3479">
      <w:pPr>
        <w:pStyle w:val="Subtitle"/>
        <w:jc w:val="left"/>
        <w:rPr>
          <w:rFonts w:ascii="Times New Roman" w:hAnsi="Times New Roman" w:cs="Times New Roman"/>
          <w:lang w:val="bg-BG"/>
        </w:rPr>
      </w:pPr>
    </w:p>
    <w:p w:rsidR="00E55CF3" w:rsidRPr="0056111E" w:rsidRDefault="00E55CF3" w:rsidP="0021416F">
      <w:pPr>
        <w:spacing w:line="240" w:lineRule="auto"/>
        <w:jc w:val="center"/>
        <w:rPr>
          <w:b/>
          <w:bCs/>
          <w:caps/>
          <w:color w:val="9D3511" w:themeColor="accent1" w:themeShade="BF"/>
          <w:lang w:val="bg-BG"/>
        </w:rPr>
      </w:pPr>
      <w:r w:rsidRPr="0056111E">
        <w:rPr>
          <w:rFonts w:ascii="Times New Roman" w:hAnsi="Times New Roman"/>
          <w:b/>
          <w:bCs/>
          <w:caps/>
          <w:color w:val="9D3511" w:themeColor="accent1" w:themeShade="BF"/>
          <w:lang w:val="bg-BG"/>
        </w:rPr>
        <w:t>Списък</w:t>
      </w:r>
      <w:r w:rsidRPr="0056111E">
        <w:rPr>
          <w:b/>
          <w:bCs/>
          <w:caps/>
          <w:color w:val="9D3511" w:themeColor="accent1" w:themeShade="BF"/>
          <w:lang w:val="bg-BG"/>
        </w:rPr>
        <w:t xml:space="preserve"> </w:t>
      </w:r>
      <w:r w:rsidRPr="0056111E">
        <w:rPr>
          <w:rFonts w:ascii="Times New Roman" w:hAnsi="Times New Roman"/>
          <w:b/>
          <w:bCs/>
          <w:caps/>
          <w:color w:val="9D3511" w:themeColor="accent1" w:themeShade="BF"/>
          <w:lang w:val="bg-BG"/>
        </w:rPr>
        <w:t>на</w:t>
      </w:r>
      <w:r w:rsidRPr="0056111E">
        <w:rPr>
          <w:b/>
          <w:bCs/>
          <w:caps/>
          <w:color w:val="9D3511" w:themeColor="accent1" w:themeShade="BF"/>
          <w:lang w:val="bg-BG"/>
        </w:rPr>
        <w:t xml:space="preserve"> </w:t>
      </w:r>
      <w:r w:rsidRPr="0056111E">
        <w:rPr>
          <w:rFonts w:ascii="Times New Roman" w:hAnsi="Times New Roman"/>
          <w:b/>
          <w:bCs/>
          <w:caps/>
          <w:color w:val="9D3511" w:themeColor="accent1" w:themeShade="BF"/>
          <w:lang w:val="bg-BG"/>
        </w:rPr>
        <w:t>най</w:t>
      </w:r>
      <w:r w:rsidRPr="0056111E">
        <w:rPr>
          <w:b/>
          <w:bCs/>
          <w:caps/>
          <w:color w:val="9D3511" w:themeColor="accent1" w:themeShade="BF"/>
          <w:lang w:val="bg-BG"/>
        </w:rPr>
        <w:t>-</w:t>
      </w:r>
      <w:r w:rsidRPr="0056111E">
        <w:rPr>
          <w:rFonts w:ascii="Times New Roman" w:hAnsi="Times New Roman"/>
          <w:b/>
          <w:bCs/>
          <w:caps/>
          <w:color w:val="9D3511" w:themeColor="accent1" w:themeShade="BF"/>
          <w:lang w:val="bg-BG"/>
        </w:rPr>
        <w:t>често</w:t>
      </w:r>
      <w:r w:rsidRPr="0056111E">
        <w:rPr>
          <w:b/>
          <w:bCs/>
          <w:caps/>
          <w:color w:val="9D3511" w:themeColor="accent1" w:themeShade="BF"/>
          <w:lang w:val="bg-BG"/>
        </w:rPr>
        <w:t xml:space="preserve"> </w:t>
      </w:r>
      <w:r w:rsidRPr="0056111E">
        <w:rPr>
          <w:rFonts w:ascii="Times New Roman" w:hAnsi="Times New Roman"/>
          <w:b/>
          <w:bCs/>
          <w:caps/>
          <w:color w:val="9D3511" w:themeColor="accent1" w:themeShade="BF"/>
          <w:lang w:val="bg-BG"/>
        </w:rPr>
        <w:t>използваните</w:t>
      </w:r>
      <w:r w:rsidRPr="0056111E">
        <w:rPr>
          <w:b/>
          <w:bCs/>
          <w:caps/>
          <w:color w:val="9D3511" w:themeColor="accent1" w:themeShade="BF"/>
          <w:lang w:val="bg-BG"/>
        </w:rPr>
        <w:t xml:space="preserve"> </w:t>
      </w:r>
      <w:r w:rsidRPr="0056111E">
        <w:rPr>
          <w:rFonts w:ascii="Times New Roman" w:hAnsi="Times New Roman"/>
          <w:b/>
          <w:bCs/>
          <w:caps/>
          <w:color w:val="9D3511" w:themeColor="accent1" w:themeShade="BF"/>
          <w:lang w:val="bg-BG"/>
        </w:rPr>
        <w:t>съкращения:</w:t>
      </w:r>
    </w:p>
    <w:p w:rsidR="00E55CF3" w:rsidRPr="0021416F" w:rsidRDefault="00E55CF3" w:rsidP="0021416F">
      <w:pPr>
        <w:spacing w:line="240" w:lineRule="auto"/>
        <w:rPr>
          <w:rFonts w:ascii="Cambria" w:hAnsi="Cambria"/>
          <w:b/>
          <w:bCs/>
          <w:caps/>
          <w:lang w:val="bg-BG"/>
        </w:rPr>
      </w:pPr>
    </w:p>
    <w:tbl>
      <w:tblPr>
        <w:tblStyle w:val="MediumList1-Accent1"/>
        <w:tblW w:w="0" w:type="auto"/>
        <w:tblLook w:val="04A0" w:firstRow="1" w:lastRow="0" w:firstColumn="1" w:lastColumn="0" w:noHBand="0" w:noVBand="1"/>
      </w:tblPr>
      <w:tblGrid>
        <w:gridCol w:w="1822"/>
        <w:gridCol w:w="7466"/>
      </w:tblGrid>
      <w:tr w:rsidR="00E55CF3" w:rsidRPr="0056111E" w:rsidTr="00E55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E55CF3" w:rsidRPr="0056111E" w:rsidRDefault="00E55CF3" w:rsidP="0021416F">
            <w:pPr>
              <w:spacing w:before="100" w:beforeAutospacing="1" w:after="100" w:afterAutospacing="1"/>
              <w:rPr>
                <w:rFonts w:ascii="Times New Roman" w:eastAsia="Times New Roman" w:hAnsi="Times New Roman"/>
                <w:snapToGrid w:val="0"/>
                <w:color w:val="9D3511" w:themeColor="accent1" w:themeShade="BF"/>
                <w:sz w:val="24"/>
                <w:szCs w:val="24"/>
                <w:lang w:val="bg-BG"/>
              </w:rPr>
            </w:pPr>
          </w:p>
        </w:tc>
        <w:tc>
          <w:tcPr>
            <w:tcW w:w="7466" w:type="dxa"/>
          </w:tcPr>
          <w:p w:rsidR="00E55CF3" w:rsidRPr="0056111E" w:rsidRDefault="00E55CF3" w:rsidP="0021416F">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АЕЕ</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Агенция</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енергийна</w:t>
            </w:r>
            <w:r w:rsidRPr="0056111E">
              <w:rPr>
                <w:snapToGrid w:val="0"/>
                <w:lang w:val="bg-BG"/>
              </w:rPr>
              <w:t xml:space="preserve"> </w:t>
            </w:r>
            <w:r w:rsidRPr="0056111E">
              <w:rPr>
                <w:rFonts w:ascii="Times New Roman" w:hAnsi="Times New Roman"/>
                <w:snapToGrid w:val="0"/>
                <w:lang w:val="bg-BG"/>
              </w:rPr>
              <w:t>ефективност</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БВП</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Брутен</w:t>
            </w:r>
            <w:r w:rsidRPr="0056111E">
              <w:rPr>
                <w:snapToGrid w:val="0"/>
                <w:lang w:val="bg-BG"/>
              </w:rPr>
              <w:t xml:space="preserve"> </w:t>
            </w:r>
            <w:r w:rsidRPr="0056111E">
              <w:rPr>
                <w:rFonts w:ascii="Times New Roman" w:hAnsi="Times New Roman"/>
                <w:snapToGrid w:val="0"/>
                <w:lang w:val="bg-BG"/>
              </w:rPr>
              <w:t>вътрешен</w:t>
            </w:r>
            <w:r w:rsidRPr="0056111E">
              <w:rPr>
                <w:snapToGrid w:val="0"/>
                <w:lang w:val="bg-BG"/>
              </w:rPr>
              <w:t xml:space="preserve"> </w:t>
            </w:r>
            <w:r w:rsidRPr="0056111E">
              <w:rPr>
                <w:rFonts w:ascii="Times New Roman" w:hAnsi="Times New Roman"/>
                <w:snapToGrid w:val="0"/>
                <w:lang w:val="bg-BG"/>
              </w:rPr>
              <w:t>продукт</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БД</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Басейнова</w:t>
            </w:r>
            <w:r w:rsidRPr="0056111E">
              <w:rPr>
                <w:snapToGrid w:val="0"/>
                <w:lang w:val="bg-BG"/>
              </w:rPr>
              <w:t xml:space="preserve"> </w:t>
            </w:r>
            <w:r w:rsidRPr="0056111E">
              <w:rPr>
                <w:rFonts w:ascii="Times New Roman" w:hAnsi="Times New Roman"/>
                <w:snapToGrid w:val="0"/>
                <w:lang w:val="bg-BG"/>
              </w:rPr>
              <w:t>дирекция</w:t>
            </w:r>
            <w:r w:rsidRPr="0056111E">
              <w:rPr>
                <w:snapToGrid w:val="0"/>
                <w:lang w:val="bg-BG"/>
              </w:rPr>
              <w:t xml:space="preserve"> </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ВЕИ</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Възобновяеми</w:t>
            </w:r>
            <w:r w:rsidRPr="0056111E">
              <w:rPr>
                <w:snapToGrid w:val="0"/>
                <w:lang w:val="bg-BG"/>
              </w:rPr>
              <w:t xml:space="preserve"> </w:t>
            </w:r>
            <w:r w:rsidRPr="0056111E">
              <w:rPr>
                <w:rFonts w:ascii="Times New Roman" w:hAnsi="Times New Roman"/>
                <w:snapToGrid w:val="0"/>
                <w:lang w:val="bg-BG"/>
              </w:rPr>
              <w:t>енергийни</w:t>
            </w:r>
            <w:r w:rsidRPr="0056111E">
              <w:rPr>
                <w:snapToGrid w:val="0"/>
                <w:lang w:val="bg-BG"/>
              </w:rPr>
              <w:t xml:space="preserve"> </w:t>
            </w:r>
            <w:r w:rsidRPr="0056111E">
              <w:rPr>
                <w:rFonts w:ascii="Times New Roman" w:hAnsi="Times New Roman"/>
                <w:snapToGrid w:val="0"/>
                <w:lang w:val="bg-BG"/>
              </w:rPr>
              <w:t>източници</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E55CF3" w:rsidRPr="0056111E" w:rsidRDefault="00E55CF3" w:rsidP="00E8474D">
            <w:pPr>
              <w:spacing w:before="100" w:beforeAutospacing="1" w:after="100" w:afterAutospacing="1" w:line="360" w:lineRule="auto"/>
              <w:rPr>
                <w:rFonts w:ascii="Times New Roman" w:hAnsi="Times New Roman"/>
                <w:snapToGrid w:val="0"/>
                <w:color w:val="9D3511" w:themeColor="accent1" w:themeShade="BF"/>
                <w:lang w:val="bg-BG"/>
              </w:rPr>
            </w:pPr>
            <w:r w:rsidRPr="0056111E">
              <w:rPr>
                <w:rFonts w:ascii="Times New Roman" w:hAnsi="Times New Roman"/>
                <w:snapToGrid w:val="0"/>
                <w:color w:val="9D3511" w:themeColor="accent1" w:themeShade="BF"/>
                <w:lang w:val="bg-BG"/>
              </w:rPr>
              <w:t>ВиК</w:t>
            </w:r>
          </w:p>
        </w:tc>
        <w:tc>
          <w:tcPr>
            <w:tcW w:w="7466" w:type="dxa"/>
          </w:tcPr>
          <w:p w:rsidR="00E55CF3" w:rsidRPr="0056111E" w:rsidRDefault="0056111E"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sidRPr="0056111E">
              <w:rPr>
                <w:rFonts w:ascii="Times New Roman" w:hAnsi="Times New Roman"/>
                <w:snapToGrid w:val="0"/>
                <w:lang w:val="bg-BG"/>
              </w:rPr>
              <w:t xml:space="preserve">Водоснабдяване и канализация </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color w:val="9D3511" w:themeColor="accent1" w:themeShade="BF"/>
                <w:lang w:val="bg-BG"/>
              </w:rPr>
              <w:t>ВП</w:t>
            </w:r>
          </w:p>
        </w:tc>
        <w:tc>
          <w:tcPr>
            <w:tcW w:w="7466" w:type="dxa"/>
            <w:hideMark/>
          </w:tcPr>
          <w:p w:rsidR="00E55CF3" w:rsidRPr="0056111E" w:rsidRDefault="00E55CF3" w:rsidP="00E8474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lang w:val="bg-BG"/>
              </w:rPr>
              <w:t>Водещ</w:t>
            </w:r>
            <w:r w:rsidRPr="0056111E">
              <w:rPr>
                <w:lang w:val="bg-BG"/>
              </w:rPr>
              <w:t xml:space="preserve"> </w:t>
            </w:r>
            <w:r w:rsidRPr="0056111E">
              <w:rPr>
                <w:rFonts w:ascii="Times New Roman" w:hAnsi="Times New Roman"/>
                <w:lang w:val="bg-BG"/>
              </w:rPr>
              <w:t>партньор</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after="120" w:line="360" w:lineRule="auto"/>
              <w:jc w:val="both"/>
              <w:rPr>
                <w:rFonts w:ascii="Times New Roman" w:eastAsia="Times New Roman" w:hAnsi="Times New Roman"/>
                <w:color w:val="9D3511" w:themeColor="accent1" w:themeShade="BF"/>
                <w:sz w:val="24"/>
                <w:szCs w:val="24"/>
                <w:lang w:val="bg-BG"/>
              </w:rPr>
            </w:pPr>
            <w:r w:rsidRPr="0056111E">
              <w:rPr>
                <w:rFonts w:ascii="Times New Roman" w:hAnsi="Times New Roman"/>
                <w:color w:val="9D3511" w:themeColor="accent1" w:themeShade="BF"/>
                <w:lang w:val="bg-BG"/>
              </w:rPr>
              <w:t>ГИС</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lang w:val="bg-BG"/>
              </w:rPr>
              <w:t>Географски</w:t>
            </w:r>
            <w:r w:rsidRPr="0056111E">
              <w:rPr>
                <w:lang w:val="bg-BG"/>
              </w:rPr>
              <w:t xml:space="preserve"> </w:t>
            </w:r>
            <w:r w:rsidRPr="0056111E">
              <w:rPr>
                <w:rFonts w:ascii="Times New Roman" w:hAnsi="Times New Roman"/>
                <w:lang w:val="bg-BG"/>
              </w:rPr>
              <w:t>информационни</w:t>
            </w:r>
            <w:r w:rsidRPr="0056111E">
              <w:rPr>
                <w:lang w:val="bg-BG"/>
              </w:rPr>
              <w:t xml:space="preserve"> </w:t>
            </w:r>
            <w:r w:rsidRPr="0056111E">
              <w:rPr>
                <w:rFonts w:ascii="Times New Roman" w:hAnsi="Times New Roman"/>
                <w:lang w:val="bg-BG"/>
              </w:rPr>
              <w:t>системи</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ГПСОВ</w:t>
            </w:r>
            <w:r w:rsidRPr="0056111E">
              <w:rPr>
                <w:snapToGrid w:val="0"/>
                <w:color w:val="9D3511" w:themeColor="accent1" w:themeShade="BF"/>
                <w:lang w:val="bg-BG"/>
              </w:rPr>
              <w:t xml:space="preserve"> </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Градска</w:t>
            </w:r>
            <w:r w:rsidRPr="0056111E">
              <w:rPr>
                <w:snapToGrid w:val="0"/>
                <w:lang w:val="bg-BG"/>
              </w:rPr>
              <w:t xml:space="preserve"> </w:t>
            </w:r>
            <w:r w:rsidRPr="0056111E">
              <w:rPr>
                <w:rFonts w:ascii="Times New Roman" w:hAnsi="Times New Roman"/>
                <w:snapToGrid w:val="0"/>
                <w:lang w:val="bg-BG"/>
              </w:rPr>
              <w:t>пречиствателна</w:t>
            </w:r>
            <w:r w:rsidRPr="0056111E">
              <w:rPr>
                <w:snapToGrid w:val="0"/>
                <w:lang w:val="bg-BG"/>
              </w:rPr>
              <w:t xml:space="preserve"> </w:t>
            </w:r>
            <w:r w:rsidRPr="0056111E">
              <w:rPr>
                <w:rFonts w:ascii="Times New Roman" w:hAnsi="Times New Roman"/>
                <w:snapToGrid w:val="0"/>
                <w:lang w:val="bg-BG"/>
              </w:rPr>
              <w:t>станция</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отпадни</w:t>
            </w:r>
            <w:r w:rsidRPr="0056111E">
              <w:rPr>
                <w:snapToGrid w:val="0"/>
                <w:lang w:val="bg-BG"/>
              </w:rPr>
              <w:t xml:space="preserve"> </w:t>
            </w:r>
            <w:r w:rsidRPr="0056111E">
              <w:rPr>
                <w:rFonts w:ascii="Times New Roman" w:hAnsi="Times New Roman"/>
                <w:snapToGrid w:val="0"/>
                <w:lang w:val="bg-BG"/>
              </w:rPr>
              <w:t>води</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ДАГ</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Държавна</w:t>
            </w:r>
            <w:r w:rsidRPr="0056111E">
              <w:rPr>
                <w:snapToGrid w:val="0"/>
                <w:lang w:val="bg-BG"/>
              </w:rPr>
              <w:t xml:space="preserve"> </w:t>
            </w:r>
            <w:r w:rsidRPr="0056111E">
              <w:rPr>
                <w:rFonts w:ascii="Times New Roman" w:hAnsi="Times New Roman"/>
                <w:snapToGrid w:val="0"/>
                <w:lang w:val="bg-BG"/>
              </w:rPr>
              <w:t>агенция</w:t>
            </w:r>
            <w:r w:rsidRPr="0056111E">
              <w:rPr>
                <w:snapToGrid w:val="0"/>
                <w:lang w:val="bg-BG"/>
              </w:rPr>
              <w:t xml:space="preserve"> </w:t>
            </w:r>
            <w:r w:rsidRPr="0056111E">
              <w:rPr>
                <w:rFonts w:ascii="Times New Roman" w:hAnsi="Times New Roman"/>
                <w:snapToGrid w:val="0"/>
                <w:lang w:val="bg-BG"/>
              </w:rPr>
              <w:t>по</w:t>
            </w:r>
            <w:r w:rsidRPr="0056111E">
              <w:rPr>
                <w:snapToGrid w:val="0"/>
                <w:lang w:val="bg-BG"/>
              </w:rPr>
              <w:t xml:space="preserve"> </w:t>
            </w:r>
            <w:r w:rsidRPr="0056111E">
              <w:rPr>
                <w:rFonts w:ascii="Times New Roman" w:hAnsi="Times New Roman"/>
                <w:snapToGrid w:val="0"/>
                <w:lang w:val="bg-BG"/>
              </w:rPr>
              <w:t>горите</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ДКЕВР</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Държавна</w:t>
            </w:r>
            <w:r w:rsidRPr="0056111E">
              <w:rPr>
                <w:snapToGrid w:val="0"/>
                <w:lang w:val="bg-BG"/>
              </w:rPr>
              <w:t xml:space="preserve"> </w:t>
            </w:r>
            <w:r w:rsidRPr="0056111E">
              <w:rPr>
                <w:rFonts w:ascii="Times New Roman" w:hAnsi="Times New Roman"/>
                <w:snapToGrid w:val="0"/>
                <w:lang w:val="bg-BG"/>
              </w:rPr>
              <w:t>комисия</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енергийно</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водно</w:t>
            </w:r>
            <w:r w:rsidRPr="0056111E">
              <w:rPr>
                <w:snapToGrid w:val="0"/>
                <w:lang w:val="bg-BG"/>
              </w:rPr>
              <w:t xml:space="preserve"> </w:t>
            </w:r>
            <w:r w:rsidRPr="0056111E">
              <w:rPr>
                <w:rFonts w:ascii="Times New Roman" w:hAnsi="Times New Roman"/>
                <w:snapToGrid w:val="0"/>
                <w:lang w:val="bg-BG"/>
              </w:rPr>
              <w:t>регулиране</w:t>
            </w:r>
          </w:p>
        </w:tc>
      </w:tr>
      <w:tr w:rsidR="00B66A81"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B66A81" w:rsidRPr="0056111E" w:rsidRDefault="00B66A81" w:rsidP="00E8474D">
            <w:pPr>
              <w:spacing w:before="100" w:beforeAutospacing="1" w:after="100" w:afterAutospacing="1" w:line="360" w:lineRule="auto"/>
              <w:rPr>
                <w:rFonts w:ascii="Times New Roman" w:hAnsi="Times New Roman"/>
                <w:snapToGrid w:val="0"/>
                <w:color w:val="9D3511" w:themeColor="accent1" w:themeShade="BF"/>
                <w:lang w:val="bg-BG"/>
              </w:rPr>
            </w:pPr>
            <w:r w:rsidRPr="00B66A81">
              <w:rPr>
                <w:rFonts w:ascii="Times New Roman" w:hAnsi="Times New Roman"/>
                <w:snapToGrid w:val="0"/>
                <w:color w:val="9D3511" w:themeColor="accent1" w:themeShade="BF"/>
                <w:lang w:val="bg-BG"/>
              </w:rPr>
              <w:t>ДРСЗ</w:t>
            </w:r>
          </w:p>
        </w:tc>
        <w:tc>
          <w:tcPr>
            <w:tcW w:w="7466" w:type="dxa"/>
          </w:tcPr>
          <w:p w:rsidR="00B66A81" w:rsidRPr="0056111E" w:rsidRDefault="00B66A81"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Дирекция регионална служба по заетостта</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ДМА</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дълготрайни</w:t>
            </w:r>
            <w:r w:rsidRPr="0056111E">
              <w:rPr>
                <w:snapToGrid w:val="0"/>
                <w:lang w:val="bg-BG"/>
              </w:rPr>
              <w:t xml:space="preserve"> </w:t>
            </w:r>
            <w:r w:rsidRPr="0056111E">
              <w:rPr>
                <w:rFonts w:ascii="Times New Roman" w:hAnsi="Times New Roman"/>
                <w:snapToGrid w:val="0"/>
                <w:lang w:val="bg-BG"/>
              </w:rPr>
              <w:t>материални</w:t>
            </w:r>
            <w:r w:rsidRPr="0056111E">
              <w:rPr>
                <w:snapToGrid w:val="0"/>
                <w:lang w:val="bg-BG"/>
              </w:rPr>
              <w:t xml:space="preserve"> </w:t>
            </w:r>
            <w:r w:rsidRPr="0056111E">
              <w:rPr>
                <w:rFonts w:ascii="Times New Roman" w:hAnsi="Times New Roman"/>
                <w:snapToGrid w:val="0"/>
                <w:lang w:val="bg-BG"/>
              </w:rPr>
              <w:t>активи</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color w:val="9D3511" w:themeColor="accent1" w:themeShade="BF"/>
                <w:lang w:val="bg-BG"/>
              </w:rPr>
              <w:t>ЕЕА</w:t>
            </w:r>
          </w:p>
        </w:tc>
        <w:tc>
          <w:tcPr>
            <w:tcW w:w="7466" w:type="dxa"/>
            <w:hideMark/>
          </w:tcPr>
          <w:p w:rsidR="00E55CF3" w:rsidRPr="0056111E" w:rsidRDefault="00E55CF3" w:rsidP="00E8474D">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lang w:val="bg-BG"/>
              </w:rPr>
              <w:t>Европейска</w:t>
            </w:r>
            <w:r w:rsidRPr="0056111E">
              <w:rPr>
                <w:lang w:val="bg-BG"/>
              </w:rPr>
              <w:t xml:space="preserve"> </w:t>
            </w:r>
            <w:r w:rsidRPr="0056111E">
              <w:rPr>
                <w:rFonts w:ascii="Times New Roman" w:hAnsi="Times New Roman"/>
                <w:lang w:val="bg-BG"/>
              </w:rPr>
              <w:t>агенция</w:t>
            </w:r>
            <w:r w:rsidRPr="0056111E">
              <w:rPr>
                <w:lang w:val="bg-BG"/>
              </w:rPr>
              <w:t xml:space="preserve"> </w:t>
            </w:r>
            <w:r w:rsidRPr="0056111E">
              <w:rPr>
                <w:rFonts w:ascii="Times New Roman" w:hAnsi="Times New Roman"/>
                <w:lang w:val="bg-BG"/>
              </w:rPr>
              <w:t>по</w:t>
            </w:r>
            <w:r w:rsidRPr="0056111E">
              <w:rPr>
                <w:lang w:val="bg-BG"/>
              </w:rPr>
              <w:t xml:space="preserve"> </w:t>
            </w:r>
            <w:r w:rsidRPr="0056111E">
              <w:rPr>
                <w:rFonts w:ascii="Times New Roman" w:hAnsi="Times New Roman"/>
                <w:lang w:val="bg-BG"/>
              </w:rPr>
              <w:t>опазване</w:t>
            </w:r>
            <w:r w:rsidRPr="0056111E">
              <w:rPr>
                <w:lang w:val="bg-BG"/>
              </w:rPr>
              <w:t xml:space="preserve"> </w:t>
            </w:r>
            <w:r w:rsidRPr="0056111E">
              <w:rPr>
                <w:rFonts w:ascii="Times New Roman" w:hAnsi="Times New Roman"/>
                <w:lang w:val="bg-BG"/>
              </w:rPr>
              <w:t>на</w:t>
            </w:r>
            <w:r w:rsidRPr="0056111E">
              <w:rPr>
                <w:lang w:val="bg-BG"/>
              </w:rPr>
              <w:t xml:space="preserve"> </w:t>
            </w:r>
            <w:r w:rsidRPr="0056111E">
              <w:rPr>
                <w:rFonts w:ascii="Times New Roman" w:hAnsi="Times New Roman"/>
                <w:lang w:val="bg-BG"/>
              </w:rPr>
              <w:t>околната</w:t>
            </w:r>
            <w:r w:rsidRPr="0056111E">
              <w:rPr>
                <w:lang w:val="bg-BG"/>
              </w:rPr>
              <w:t xml:space="preserve"> </w:t>
            </w:r>
            <w:r w:rsidRPr="0056111E">
              <w:rPr>
                <w:rFonts w:ascii="Times New Roman" w:hAnsi="Times New Roman"/>
                <w:lang w:val="bg-BG"/>
              </w:rPr>
              <w:t>среда</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color w:val="9D3511" w:themeColor="accent1" w:themeShade="BF"/>
                <w:lang w:val="bg-BG"/>
              </w:rPr>
              <w:t>ЕЕ</w:t>
            </w:r>
          </w:p>
        </w:tc>
        <w:tc>
          <w:tcPr>
            <w:tcW w:w="7466" w:type="dxa"/>
            <w:hideMark/>
          </w:tcPr>
          <w:p w:rsidR="00E55CF3" w:rsidRPr="0056111E" w:rsidRDefault="00E55CF3" w:rsidP="00E8474D">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lang w:val="bg-BG"/>
              </w:rPr>
              <w:t>енергийна</w:t>
            </w:r>
            <w:r w:rsidRPr="0056111E">
              <w:rPr>
                <w:lang w:val="bg-BG"/>
              </w:rPr>
              <w:t xml:space="preserve"> </w:t>
            </w:r>
            <w:r w:rsidRPr="0056111E">
              <w:rPr>
                <w:rFonts w:ascii="Times New Roman" w:hAnsi="Times New Roman"/>
                <w:lang w:val="bg-BG"/>
              </w:rPr>
              <w:t>ефективност</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ЕС</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Европейски</w:t>
            </w:r>
            <w:r w:rsidRPr="0056111E">
              <w:rPr>
                <w:snapToGrid w:val="0"/>
                <w:lang w:val="bg-BG"/>
              </w:rPr>
              <w:t xml:space="preserve"> </w:t>
            </w:r>
            <w:r w:rsidRPr="0056111E">
              <w:rPr>
                <w:rFonts w:ascii="Times New Roman" w:hAnsi="Times New Roman"/>
                <w:snapToGrid w:val="0"/>
                <w:lang w:val="bg-BG"/>
              </w:rPr>
              <w:t>съюз</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color w:val="9D3511" w:themeColor="accent1" w:themeShade="BF"/>
                <w:lang w:val="bg-BG"/>
              </w:rPr>
              <w:t>ЕСУТ</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Експертен</w:t>
            </w:r>
            <w:r w:rsidRPr="0056111E">
              <w:rPr>
                <w:snapToGrid w:val="0"/>
                <w:lang w:val="bg-BG"/>
              </w:rPr>
              <w:t xml:space="preserve"> </w:t>
            </w:r>
            <w:r w:rsidRPr="0056111E">
              <w:rPr>
                <w:rFonts w:ascii="Times New Roman" w:hAnsi="Times New Roman"/>
                <w:snapToGrid w:val="0"/>
                <w:lang w:val="bg-BG"/>
              </w:rPr>
              <w:t>съвет</w:t>
            </w:r>
            <w:r w:rsidRPr="0056111E">
              <w:rPr>
                <w:snapToGrid w:val="0"/>
                <w:lang w:val="bg-BG"/>
              </w:rPr>
              <w:t xml:space="preserve"> </w:t>
            </w:r>
            <w:r w:rsidRPr="0056111E">
              <w:rPr>
                <w:rFonts w:ascii="Times New Roman" w:hAnsi="Times New Roman"/>
                <w:snapToGrid w:val="0"/>
                <w:lang w:val="bg-BG"/>
              </w:rPr>
              <w:t>по</w:t>
            </w:r>
            <w:r w:rsidRPr="0056111E">
              <w:rPr>
                <w:snapToGrid w:val="0"/>
                <w:lang w:val="bg-BG"/>
              </w:rPr>
              <w:t xml:space="preserve"> </w:t>
            </w:r>
            <w:r w:rsidRPr="0056111E">
              <w:rPr>
                <w:rFonts w:ascii="Times New Roman" w:hAnsi="Times New Roman"/>
                <w:snapToGrid w:val="0"/>
                <w:lang w:val="bg-BG"/>
              </w:rPr>
              <w:t>устройство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територията</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color w:val="9D3511" w:themeColor="accent1" w:themeShade="BF"/>
                <w:lang w:val="bg-BG"/>
              </w:rPr>
              <w:t>ЕФМДР</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napToGrid w:val="0"/>
                <w:sz w:val="24"/>
                <w:szCs w:val="24"/>
                <w:lang w:val="bg-BG"/>
              </w:rPr>
            </w:pPr>
            <w:r w:rsidRPr="0056111E">
              <w:rPr>
                <w:rStyle w:val="st"/>
                <w:rFonts w:ascii="Times New Roman" w:hAnsi="Times New Roman"/>
                <w:lang w:val="bg-BG"/>
              </w:rPr>
              <w:t>Европейския</w:t>
            </w:r>
            <w:r w:rsidRPr="0056111E">
              <w:rPr>
                <w:rStyle w:val="st"/>
                <w:lang w:val="bg-BG"/>
              </w:rPr>
              <w:t xml:space="preserve"> </w:t>
            </w:r>
            <w:r w:rsidRPr="0056111E">
              <w:rPr>
                <w:rStyle w:val="st"/>
                <w:rFonts w:ascii="Times New Roman" w:hAnsi="Times New Roman"/>
                <w:lang w:val="bg-BG"/>
              </w:rPr>
              <w:t>фонд</w:t>
            </w:r>
            <w:r w:rsidRPr="0056111E">
              <w:rPr>
                <w:rStyle w:val="st"/>
                <w:lang w:val="bg-BG"/>
              </w:rPr>
              <w:t xml:space="preserve"> </w:t>
            </w:r>
            <w:r w:rsidRPr="0056111E">
              <w:rPr>
                <w:rStyle w:val="st"/>
                <w:rFonts w:ascii="Times New Roman" w:hAnsi="Times New Roman"/>
                <w:lang w:val="bg-BG"/>
              </w:rPr>
              <w:t>за</w:t>
            </w:r>
            <w:r w:rsidRPr="0056111E">
              <w:rPr>
                <w:rStyle w:val="st"/>
                <w:lang w:val="bg-BG"/>
              </w:rPr>
              <w:t xml:space="preserve"> </w:t>
            </w:r>
            <w:r w:rsidRPr="0056111E">
              <w:rPr>
                <w:rStyle w:val="st"/>
                <w:rFonts w:ascii="Times New Roman" w:hAnsi="Times New Roman"/>
                <w:lang w:val="bg-BG"/>
              </w:rPr>
              <w:t>морско</w:t>
            </w:r>
            <w:r w:rsidRPr="0056111E">
              <w:rPr>
                <w:rStyle w:val="st"/>
                <w:lang w:val="bg-BG"/>
              </w:rPr>
              <w:t xml:space="preserve"> </w:t>
            </w:r>
            <w:r w:rsidRPr="0056111E">
              <w:rPr>
                <w:rStyle w:val="st"/>
                <w:rFonts w:ascii="Times New Roman" w:hAnsi="Times New Roman"/>
                <w:lang w:val="bg-BG"/>
              </w:rPr>
              <w:t>дело</w:t>
            </w:r>
            <w:r w:rsidRPr="0056111E">
              <w:rPr>
                <w:rStyle w:val="st"/>
                <w:lang w:val="bg-BG"/>
              </w:rPr>
              <w:t xml:space="preserve"> </w:t>
            </w:r>
            <w:r w:rsidRPr="0056111E">
              <w:rPr>
                <w:rStyle w:val="st"/>
                <w:rFonts w:ascii="Times New Roman" w:hAnsi="Times New Roman"/>
                <w:lang w:val="bg-BG"/>
              </w:rPr>
              <w:t>и</w:t>
            </w:r>
            <w:r w:rsidRPr="0056111E">
              <w:rPr>
                <w:rStyle w:val="st"/>
                <w:lang w:val="bg-BG"/>
              </w:rPr>
              <w:t xml:space="preserve"> </w:t>
            </w:r>
            <w:r w:rsidRPr="0056111E">
              <w:rPr>
                <w:rStyle w:val="st"/>
                <w:rFonts w:ascii="Times New Roman" w:hAnsi="Times New Roman"/>
                <w:lang w:val="bg-BG"/>
              </w:rPr>
              <w:t>рибарство</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ЗЕВИ</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Закона</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енергията</w:t>
            </w:r>
            <w:r w:rsidRPr="0056111E">
              <w:rPr>
                <w:snapToGrid w:val="0"/>
                <w:lang w:val="bg-BG"/>
              </w:rPr>
              <w:t xml:space="preserve"> </w:t>
            </w:r>
            <w:r w:rsidRPr="0056111E">
              <w:rPr>
                <w:rFonts w:ascii="Times New Roman" w:hAnsi="Times New Roman"/>
                <w:snapToGrid w:val="0"/>
                <w:lang w:val="bg-BG"/>
              </w:rPr>
              <w:t>от</w:t>
            </w:r>
            <w:r w:rsidRPr="0056111E">
              <w:rPr>
                <w:snapToGrid w:val="0"/>
                <w:lang w:val="bg-BG"/>
              </w:rPr>
              <w:t xml:space="preserve"> </w:t>
            </w:r>
            <w:r w:rsidRPr="0056111E">
              <w:rPr>
                <w:rFonts w:ascii="Times New Roman" w:hAnsi="Times New Roman"/>
                <w:snapToGrid w:val="0"/>
                <w:lang w:val="bg-BG"/>
              </w:rPr>
              <w:t>възобновяеми</w:t>
            </w:r>
            <w:r w:rsidRPr="0056111E">
              <w:rPr>
                <w:snapToGrid w:val="0"/>
                <w:lang w:val="bg-BG"/>
              </w:rPr>
              <w:t xml:space="preserve"> </w:t>
            </w:r>
            <w:r w:rsidRPr="0056111E">
              <w:rPr>
                <w:rFonts w:ascii="Times New Roman" w:hAnsi="Times New Roman"/>
                <w:snapToGrid w:val="0"/>
                <w:lang w:val="bg-BG"/>
              </w:rPr>
              <w:t>източници</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ЗВ</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Закон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водите</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ЗЗТ</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Закон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опазване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околната</w:t>
            </w:r>
            <w:r w:rsidRPr="0056111E">
              <w:rPr>
                <w:snapToGrid w:val="0"/>
                <w:lang w:val="bg-BG"/>
              </w:rPr>
              <w:t xml:space="preserve"> </w:t>
            </w:r>
            <w:r w:rsidRPr="0056111E">
              <w:rPr>
                <w:rFonts w:ascii="Times New Roman" w:hAnsi="Times New Roman"/>
                <w:snapToGrid w:val="0"/>
                <w:lang w:val="bg-BG"/>
              </w:rPr>
              <w:t>среда</w:t>
            </w:r>
            <w:r w:rsidRPr="0056111E">
              <w:rPr>
                <w:snapToGrid w:val="0"/>
                <w:lang w:val="bg-BG"/>
              </w:rPr>
              <w:t xml:space="preserve"> </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ЗЛР</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Закон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лечебните</w:t>
            </w:r>
            <w:r w:rsidRPr="0056111E">
              <w:rPr>
                <w:snapToGrid w:val="0"/>
                <w:lang w:val="bg-BG"/>
              </w:rPr>
              <w:t xml:space="preserve"> </w:t>
            </w:r>
            <w:r w:rsidRPr="0056111E">
              <w:rPr>
                <w:rFonts w:ascii="Times New Roman" w:hAnsi="Times New Roman"/>
                <w:snapToGrid w:val="0"/>
                <w:lang w:val="bg-BG"/>
              </w:rPr>
              <w:t>растения</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ЗМ</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Защитена</w:t>
            </w:r>
            <w:r w:rsidRPr="0056111E">
              <w:rPr>
                <w:snapToGrid w:val="0"/>
                <w:lang w:val="bg-BG"/>
              </w:rPr>
              <w:t xml:space="preserve"> </w:t>
            </w:r>
            <w:r w:rsidRPr="0056111E">
              <w:rPr>
                <w:rFonts w:ascii="Times New Roman" w:hAnsi="Times New Roman"/>
                <w:snapToGrid w:val="0"/>
                <w:lang w:val="bg-BG"/>
              </w:rPr>
              <w:t>местност</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ЗООС</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Закон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опазване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околната</w:t>
            </w:r>
            <w:r w:rsidRPr="0056111E">
              <w:rPr>
                <w:snapToGrid w:val="0"/>
                <w:lang w:val="bg-BG"/>
              </w:rPr>
              <w:t xml:space="preserve"> </w:t>
            </w:r>
            <w:r w:rsidRPr="0056111E">
              <w:rPr>
                <w:rFonts w:ascii="Times New Roman" w:hAnsi="Times New Roman"/>
                <w:snapToGrid w:val="0"/>
                <w:lang w:val="bg-BG"/>
              </w:rPr>
              <w:t>среда</w:t>
            </w:r>
            <w:r w:rsidRPr="0056111E">
              <w:rPr>
                <w:snapToGrid w:val="0"/>
                <w:lang w:val="bg-BG"/>
              </w:rPr>
              <w:t xml:space="preserve"> </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ЗТ</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Защитена</w:t>
            </w:r>
            <w:r w:rsidRPr="0056111E">
              <w:rPr>
                <w:snapToGrid w:val="0"/>
                <w:lang w:val="bg-BG"/>
              </w:rPr>
              <w:t xml:space="preserve"> </w:t>
            </w:r>
            <w:r w:rsidRPr="0056111E">
              <w:rPr>
                <w:rFonts w:ascii="Times New Roman" w:hAnsi="Times New Roman"/>
                <w:snapToGrid w:val="0"/>
                <w:lang w:val="bg-BG"/>
              </w:rPr>
              <w:t>територия</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ЗУО</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Закон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управление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отпадъците</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ЗУТ</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Закон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устройство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територията</w:t>
            </w:r>
            <w:r w:rsidRPr="0056111E">
              <w:rPr>
                <w:snapToGrid w:val="0"/>
                <w:lang w:val="bg-BG"/>
              </w:rPr>
              <w:t xml:space="preserve"> </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ЗЧАВ</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Закон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чистотата</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атмосферния</w:t>
            </w:r>
            <w:r w:rsidRPr="0056111E">
              <w:rPr>
                <w:snapToGrid w:val="0"/>
                <w:lang w:val="bg-BG"/>
              </w:rPr>
              <w:t xml:space="preserve"> </w:t>
            </w:r>
            <w:r w:rsidRPr="0056111E">
              <w:rPr>
                <w:rFonts w:ascii="Times New Roman" w:hAnsi="Times New Roman"/>
                <w:snapToGrid w:val="0"/>
                <w:lang w:val="bg-BG"/>
              </w:rPr>
              <w:t>въздух</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lastRenderedPageBreak/>
              <w:t>ИАОС</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Изпълнителна</w:t>
            </w:r>
            <w:r w:rsidRPr="0056111E">
              <w:rPr>
                <w:snapToGrid w:val="0"/>
                <w:lang w:val="bg-BG"/>
              </w:rPr>
              <w:t xml:space="preserve"> </w:t>
            </w:r>
            <w:r w:rsidRPr="0056111E">
              <w:rPr>
                <w:rFonts w:ascii="Times New Roman" w:hAnsi="Times New Roman"/>
                <w:snapToGrid w:val="0"/>
                <w:lang w:val="bg-BG"/>
              </w:rPr>
              <w:t>агенция</w:t>
            </w:r>
            <w:r w:rsidRPr="0056111E">
              <w:rPr>
                <w:snapToGrid w:val="0"/>
                <w:lang w:val="bg-BG"/>
              </w:rPr>
              <w:t xml:space="preserve"> </w:t>
            </w:r>
            <w:r w:rsidRPr="0056111E">
              <w:rPr>
                <w:rFonts w:ascii="Times New Roman" w:hAnsi="Times New Roman"/>
                <w:snapToGrid w:val="0"/>
                <w:lang w:val="bg-BG"/>
              </w:rPr>
              <w:t>по</w:t>
            </w:r>
            <w:r w:rsidRPr="0056111E">
              <w:rPr>
                <w:snapToGrid w:val="0"/>
                <w:lang w:val="bg-BG"/>
              </w:rPr>
              <w:t xml:space="preserve"> </w:t>
            </w:r>
            <w:r w:rsidRPr="0056111E">
              <w:rPr>
                <w:rFonts w:ascii="Times New Roman" w:hAnsi="Times New Roman"/>
                <w:snapToGrid w:val="0"/>
                <w:lang w:val="bg-BG"/>
              </w:rPr>
              <w:t>околна</w:t>
            </w:r>
            <w:r w:rsidRPr="0056111E">
              <w:rPr>
                <w:snapToGrid w:val="0"/>
                <w:lang w:val="bg-BG"/>
              </w:rPr>
              <w:t xml:space="preserve"> </w:t>
            </w:r>
            <w:r w:rsidRPr="0056111E">
              <w:rPr>
                <w:rFonts w:ascii="Times New Roman" w:hAnsi="Times New Roman"/>
                <w:snapToGrid w:val="0"/>
                <w:lang w:val="bg-BG"/>
              </w:rPr>
              <w:t>среда</w:t>
            </w:r>
            <w:r w:rsidRPr="0056111E">
              <w:rPr>
                <w:snapToGrid w:val="0"/>
                <w:lang w:val="bg-BG"/>
              </w:rPr>
              <w:t xml:space="preserve"> </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ИКТ</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Информационно</w:t>
            </w:r>
            <w:r w:rsidRPr="0056111E">
              <w:rPr>
                <w:snapToGrid w:val="0"/>
                <w:lang w:val="bg-BG"/>
              </w:rPr>
              <w:t xml:space="preserve"> - </w:t>
            </w:r>
            <w:r w:rsidRPr="0056111E">
              <w:rPr>
                <w:rFonts w:ascii="Times New Roman" w:hAnsi="Times New Roman"/>
                <w:snapToGrid w:val="0"/>
                <w:lang w:val="bg-BG"/>
              </w:rPr>
              <w:t>комуникационни</w:t>
            </w:r>
            <w:r w:rsidRPr="0056111E">
              <w:rPr>
                <w:snapToGrid w:val="0"/>
                <w:lang w:val="bg-BG"/>
              </w:rPr>
              <w:t xml:space="preserve"> </w:t>
            </w:r>
            <w:r w:rsidRPr="0056111E">
              <w:rPr>
                <w:rFonts w:ascii="Times New Roman" w:hAnsi="Times New Roman"/>
                <w:snapToGrid w:val="0"/>
                <w:lang w:val="bg-BG"/>
              </w:rPr>
              <w:t>технологии</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ИСПА</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Финансов</w:t>
            </w:r>
            <w:r w:rsidRPr="0056111E">
              <w:rPr>
                <w:snapToGrid w:val="0"/>
                <w:lang w:val="bg-BG"/>
              </w:rPr>
              <w:t xml:space="preserve"> </w:t>
            </w:r>
            <w:r w:rsidRPr="0056111E">
              <w:rPr>
                <w:rFonts w:ascii="Times New Roman" w:hAnsi="Times New Roman"/>
                <w:snapToGrid w:val="0"/>
                <w:lang w:val="bg-BG"/>
              </w:rPr>
              <w:t>инструмент</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структурна</w:t>
            </w:r>
            <w:r w:rsidRPr="0056111E">
              <w:rPr>
                <w:snapToGrid w:val="0"/>
                <w:lang w:val="bg-BG"/>
              </w:rPr>
              <w:t xml:space="preserve"> </w:t>
            </w:r>
            <w:r w:rsidRPr="0056111E">
              <w:rPr>
                <w:rFonts w:ascii="Times New Roman" w:hAnsi="Times New Roman"/>
                <w:snapToGrid w:val="0"/>
                <w:lang w:val="bg-BG"/>
              </w:rPr>
              <w:t>политика</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предприсъединяване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страните</w:t>
            </w:r>
            <w:r w:rsidRPr="0056111E">
              <w:rPr>
                <w:snapToGrid w:val="0"/>
                <w:lang w:val="bg-BG"/>
              </w:rPr>
              <w:t xml:space="preserve"> </w:t>
            </w:r>
            <w:r w:rsidRPr="0056111E">
              <w:rPr>
                <w:rFonts w:ascii="Times New Roman" w:hAnsi="Times New Roman"/>
                <w:snapToGrid w:val="0"/>
                <w:lang w:val="bg-BG"/>
              </w:rPr>
              <w:t>от</w:t>
            </w:r>
            <w:r w:rsidRPr="0056111E">
              <w:rPr>
                <w:snapToGrid w:val="0"/>
                <w:lang w:val="bg-BG"/>
              </w:rPr>
              <w:t xml:space="preserve"> </w:t>
            </w:r>
            <w:r w:rsidRPr="0056111E">
              <w:rPr>
                <w:rFonts w:ascii="Times New Roman" w:hAnsi="Times New Roman"/>
                <w:snapToGrid w:val="0"/>
                <w:lang w:val="bg-BG"/>
              </w:rPr>
              <w:t>Централна</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Източна</w:t>
            </w:r>
            <w:r w:rsidRPr="0056111E">
              <w:rPr>
                <w:snapToGrid w:val="0"/>
                <w:lang w:val="bg-BG"/>
              </w:rPr>
              <w:t xml:space="preserve"> </w:t>
            </w:r>
            <w:r w:rsidRPr="0056111E">
              <w:rPr>
                <w:rFonts w:ascii="Times New Roman" w:hAnsi="Times New Roman"/>
                <w:snapToGrid w:val="0"/>
                <w:lang w:val="bg-BG"/>
              </w:rPr>
              <w:t>Европа</w:t>
            </w:r>
            <w:r w:rsidRPr="0056111E">
              <w:rPr>
                <w:snapToGrid w:val="0"/>
                <w:lang w:val="bg-BG"/>
              </w:rPr>
              <w:t xml:space="preserve">, </w:t>
            </w:r>
            <w:r w:rsidRPr="0056111E">
              <w:rPr>
                <w:rFonts w:ascii="Times New Roman" w:hAnsi="Times New Roman"/>
                <w:snapToGrid w:val="0"/>
                <w:lang w:val="bg-BG"/>
              </w:rPr>
              <w:t>кандидатстващи</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членство</w:t>
            </w:r>
            <w:r w:rsidRPr="0056111E">
              <w:rPr>
                <w:snapToGrid w:val="0"/>
                <w:lang w:val="bg-BG"/>
              </w:rPr>
              <w:t xml:space="preserve"> </w:t>
            </w:r>
            <w:r w:rsidRPr="0056111E">
              <w:rPr>
                <w:rFonts w:ascii="Times New Roman" w:hAnsi="Times New Roman"/>
                <w:snapToGrid w:val="0"/>
                <w:lang w:val="bg-BG"/>
              </w:rPr>
              <w:t>в</w:t>
            </w:r>
            <w:r w:rsidRPr="0056111E">
              <w:rPr>
                <w:snapToGrid w:val="0"/>
                <w:lang w:val="bg-BG"/>
              </w:rPr>
              <w:t xml:space="preserve"> </w:t>
            </w:r>
            <w:r w:rsidRPr="0056111E">
              <w:rPr>
                <w:rFonts w:ascii="Times New Roman" w:hAnsi="Times New Roman"/>
                <w:snapToGrid w:val="0"/>
                <w:lang w:val="bg-BG"/>
              </w:rPr>
              <w:t>ЕС</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ИСУН</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eastAsia="Calibri" w:hAnsi="Times New Roman"/>
                <w:lang w:val="bg-BG"/>
              </w:rPr>
              <w:t>Информационна</w:t>
            </w:r>
            <w:r w:rsidRPr="0056111E">
              <w:rPr>
                <w:rFonts w:eastAsia="Calibri"/>
                <w:lang w:val="bg-BG"/>
              </w:rPr>
              <w:t xml:space="preserve"> </w:t>
            </w:r>
            <w:r w:rsidRPr="0056111E">
              <w:rPr>
                <w:rFonts w:ascii="Times New Roman" w:eastAsia="Calibri" w:hAnsi="Times New Roman"/>
                <w:lang w:val="bg-BG"/>
              </w:rPr>
              <w:t>система</w:t>
            </w:r>
            <w:r w:rsidRPr="0056111E">
              <w:rPr>
                <w:rFonts w:eastAsia="Calibri"/>
                <w:lang w:val="bg-BG"/>
              </w:rPr>
              <w:t xml:space="preserve"> </w:t>
            </w:r>
            <w:r w:rsidRPr="0056111E">
              <w:rPr>
                <w:rFonts w:ascii="Times New Roman" w:eastAsia="Calibri" w:hAnsi="Times New Roman"/>
                <w:lang w:val="bg-BG"/>
              </w:rPr>
              <w:t>за</w:t>
            </w:r>
            <w:r w:rsidRPr="0056111E">
              <w:rPr>
                <w:rFonts w:eastAsia="Calibri"/>
                <w:lang w:val="bg-BG"/>
              </w:rPr>
              <w:t xml:space="preserve"> </w:t>
            </w:r>
            <w:r w:rsidRPr="0056111E">
              <w:rPr>
                <w:rFonts w:ascii="Times New Roman" w:eastAsia="Calibri" w:hAnsi="Times New Roman"/>
                <w:lang w:val="bg-BG"/>
              </w:rPr>
              <w:t>управление</w:t>
            </w:r>
            <w:r w:rsidRPr="0056111E">
              <w:rPr>
                <w:rFonts w:eastAsia="Calibri"/>
                <w:lang w:val="bg-BG"/>
              </w:rPr>
              <w:t xml:space="preserve"> </w:t>
            </w:r>
            <w:r w:rsidRPr="0056111E">
              <w:rPr>
                <w:rFonts w:ascii="Times New Roman" w:eastAsia="Calibri" w:hAnsi="Times New Roman"/>
                <w:lang w:val="bg-BG"/>
              </w:rPr>
              <w:t>и</w:t>
            </w:r>
            <w:r w:rsidRPr="0056111E">
              <w:rPr>
                <w:rFonts w:eastAsia="Calibri"/>
                <w:lang w:val="bg-BG"/>
              </w:rPr>
              <w:t xml:space="preserve"> </w:t>
            </w:r>
            <w:r w:rsidRPr="0056111E">
              <w:rPr>
                <w:rFonts w:ascii="Times New Roman" w:eastAsia="Calibri" w:hAnsi="Times New Roman"/>
                <w:lang w:val="bg-BG"/>
              </w:rPr>
              <w:t>наблюдение</w:t>
            </w:r>
            <w:r w:rsidRPr="0056111E">
              <w:rPr>
                <w:rFonts w:eastAsia="Calibri"/>
                <w:lang w:val="bg-BG"/>
              </w:rPr>
              <w:t xml:space="preserve"> </w:t>
            </w:r>
            <w:r w:rsidRPr="0056111E">
              <w:rPr>
                <w:rFonts w:ascii="Times New Roman" w:eastAsia="Calibri" w:hAnsi="Times New Roman"/>
                <w:lang w:val="bg-BG"/>
              </w:rPr>
              <w:t>на</w:t>
            </w:r>
            <w:r w:rsidRPr="0056111E">
              <w:rPr>
                <w:rFonts w:eastAsia="Calibri"/>
                <w:lang w:val="bg-BG"/>
              </w:rPr>
              <w:t xml:space="preserve"> </w:t>
            </w:r>
            <w:r w:rsidRPr="0056111E">
              <w:rPr>
                <w:rFonts w:ascii="Times New Roman" w:eastAsia="Calibri" w:hAnsi="Times New Roman"/>
                <w:lang w:val="bg-BG"/>
              </w:rPr>
              <w:t>структурните</w:t>
            </w:r>
            <w:r w:rsidRPr="0056111E">
              <w:rPr>
                <w:rFonts w:eastAsia="Calibri"/>
                <w:lang w:val="bg-BG"/>
              </w:rPr>
              <w:t xml:space="preserve"> </w:t>
            </w:r>
            <w:r w:rsidRPr="0056111E">
              <w:rPr>
                <w:rFonts w:ascii="Times New Roman" w:eastAsia="Calibri" w:hAnsi="Times New Roman"/>
                <w:lang w:val="bg-BG"/>
              </w:rPr>
              <w:t>инструменти</w:t>
            </w:r>
            <w:r w:rsidRPr="0056111E">
              <w:rPr>
                <w:rFonts w:eastAsia="Calibri"/>
                <w:lang w:val="bg-BG"/>
              </w:rPr>
              <w:t xml:space="preserve"> </w:t>
            </w:r>
            <w:r w:rsidRPr="0056111E">
              <w:rPr>
                <w:rFonts w:ascii="Times New Roman" w:eastAsia="Calibri" w:hAnsi="Times New Roman"/>
                <w:lang w:val="bg-BG"/>
              </w:rPr>
              <w:t>на</w:t>
            </w:r>
            <w:r w:rsidRPr="0056111E">
              <w:rPr>
                <w:rFonts w:eastAsia="Calibri"/>
                <w:lang w:val="bg-BG"/>
              </w:rPr>
              <w:t xml:space="preserve"> </w:t>
            </w:r>
            <w:r w:rsidRPr="0056111E">
              <w:rPr>
                <w:rFonts w:ascii="Times New Roman" w:eastAsia="Calibri" w:hAnsi="Times New Roman"/>
                <w:lang w:val="bg-BG"/>
              </w:rPr>
              <w:t>ЕС</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КАВ</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Качеството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атмосферния</w:t>
            </w:r>
            <w:r w:rsidRPr="0056111E">
              <w:rPr>
                <w:snapToGrid w:val="0"/>
                <w:lang w:val="bg-BG"/>
              </w:rPr>
              <w:t xml:space="preserve"> </w:t>
            </w:r>
            <w:r w:rsidRPr="0056111E">
              <w:rPr>
                <w:rFonts w:ascii="Times New Roman" w:hAnsi="Times New Roman"/>
                <w:snapToGrid w:val="0"/>
                <w:lang w:val="bg-BG"/>
              </w:rPr>
              <w:t>въздух</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МЗ</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Министерство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здравеопазването</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МИЕТ</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Министерство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икономиката</w:t>
            </w:r>
            <w:r w:rsidRPr="0056111E">
              <w:rPr>
                <w:snapToGrid w:val="0"/>
                <w:lang w:val="bg-BG"/>
              </w:rPr>
              <w:t xml:space="preserve">, </w:t>
            </w:r>
            <w:r w:rsidRPr="0056111E">
              <w:rPr>
                <w:rFonts w:ascii="Times New Roman" w:hAnsi="Times New Roman"/>
                <w:snapToGrid w:val="0"/>
                <w:lang w:val="bg-BG"/>
              </w:rPr>
              <w:t>енергетиката</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туризма</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МЗХ</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Министерство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земеделието</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храните</w:t>
            </w:r>
          </w:p>
        </w:tc>
      </w:tr>
      <w:tr w:rsidR="00FD59D7" w:rsidRPr="0056111E" w:rsidTr="00E55CF3">
        <w:tc>
          <w:tcPr>
            <w:cnfStyle w:val="001000000000" w:firstRow="0" w:lastRow="0" w:firstColumn="1" w:lastColumn="0" w:oddVBand="0" w:evenVBand="0" w:oddHBand="0" w:evenHBand="0" w:firstRowFirstColumn="0" w:firstRowLastColumn="0" w:lastRowFirstColumn="0" w:lastRowLastColumn="0"/>
            <w:tcW w:w="1822" w:type="dxa"/>
          </w:tcPr>
          <w:p w:rsidR="00FD59D7" w:rsidRPr="0056111E" w:rsidRDefault="00FD59D7" w:rsidP="00E8474D">
            <w:pPr>
              <w:spacing w:before="100" w:beforeAutospacing="1" w:after="100" w:afterAutospacing="1" w:line="360" w:lineRule="auto"/>
              <w:rPr>
                <w:rFonts w:ascii="Times New Roman" w:hAnsi="Times New Roman"/>
                <w:snapToGrid w:val="0"/>
                <w:color w:val="9D3511" w:themeColor="accent1" w:themeShade="BF"/>
                <w:lang w:val="bg-BG"/>
              </w:rPr>
            </w:pPr>
            <w:r>
              <w:rPr>
                <w:rFonts w:ascii="Times New Roman" w:hAnsi="Times New Roman"/>
                <w:snapToGrid w:val="0"/>
                <w:color w:val="9D3511" w:themeColor="accent1" w:themeShade="BF"/>
                <w:lang w:val="bg-BG"/>
              </w:rPr>
              <w:t>ММС</w:t>
            </w:r>
          </w:p>
        </w:tc>
        <w:tc>
          <w:tcPr>
            <w:tcW w:w="7466" w:type="dxa"/>
          </w:tcPr>
          <w:p w:rsidR="00FD59D7" w:rsidRPr="0056111E" w:rsidRDefault="00FD59D7"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 xml:space="preserve">Министерство на младежта и спорта </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МОСВ</w:t>
            </w:r>
            <w:r w:rsidRPr="0056111E">
              <w:rPr>
                <w:snapToGrid w:val="0"/>
                <w:color w:val="9D3511" w:themeColor="accent1" w:themeShade="BF"/>
                <w:lang w:val="bg-BG"/>
              </w:rPr>
              <w:t xml:space="preserve"> </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Министерство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околната</w:t>
            </w:r>
            <w:r w:rsidRPr="0056111E">
              <w:rPr>
                <w:snapToGrid w:val="0"/>
                <w:lang w:val="bg-BG"/>
              </w:rPr>
              <w:t xml:space="preserve"> </w:t>
            </w:r>
            <w:r w:rsidRPr="0056111E">
              <w:rPr>
                <w:rFonts w:ascii="Times New Roman" w:hAnsi="Times New Roman"/>
                <w:snapToGrid w:val="0"/>
                <w:lang w:val="bg-BG"/>
              </w:rPr>
              <w:t>среда</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водите</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МРР</w:t>
            </w:r>
            <w:r w:rsidR="006272FB">
              <w:rPr>
                <w:rFonts w:ascii="Times New Roman" w:hAnsi="Times New Roman"/>
                <w:snapToGrid w:val="0"/>
                <w:color w:val="9D3511" w:themeColor="accent1" w:themeShade="BF"/>
                <w:lang w:val="bg-BG"/>
              </w:rPr>
              <w:t>Б</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Министерство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регионалното</w:t>
            </w:r>
            <w:r w:rsidRPr="0056111E">
              <w:rPr>
                <w:snapToGrid w:val="0"/>
                <w:lang w:val="bg-BG"/>
              </w:rPr>
              <w:t xml:space="preserve"> </w:t>
            </w:r>
            <w:r w:rsidRPr="0056111E">
              <w:rPr>
                <w:rFonts w:ascii="Times New Roman" w:hAnsi="Times New Roman"/>
                <w:snapToGrid w:val="0"/>
                <w:lang w:val="bg-BG"/>
              </w:rPr>
              <w:t>развитие</w:t>
            </w:r>
            <w:r w:rsidR="006272FB">
              <w:rPr>
                <w:rFonts w:ascii="Times New Roman" w:hAnsi="Times New Roman"/>
                <w:snapToGrid w:val="0"/>
                <w:lang w:val="bg-BG"/>
              </w:rPr>
              <w:t xml:space="preserve"> и благоустройството</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НСИ</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Национален</w:t>
            </w:r>
            <w:r w:rsidRPr="0056111E">
              <w:rPr>
                <w:snapToGrid w:val="0"/>
                <w:lang w:val="bg-BG"/>
              </w:rPr>
              <w:t xml:space="preserve"> </w:t>
            </w:r>
            <w:r w:rsidRPr="0056111E">
              <w:rPr>
                <w:rFonts w:ascii="Times New Roman" w:hAnsi="Times New Roman"/>
                <w:snapToGrid w:val="0"/>
                <w:lang w:val="bg-BG"/>
              </w:rPr>
              <w:t>статистически</w:t>
            </w:r>
            <w:r w:rsidRPr="0056111E">
              <w:rPr>
                <w:snapToGrid w:val="0"/>
                <w:lang w:val="bg-BG"/>
              </w:rPr>
              <w:t xml:space="preserve"> </w:t>
            </w:r>
            <w:r w:rsidRPr="0056111E">
              <w:rPr>
                <w:rFonts w:ascii="Times New Roman" w:hAnsi="Times New Roman"/>
                <w:snapToGrid w:val="0"/>
                <w:lang w:val="bg-BG"/>
              </w:rPr>
              <w:t>институт</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НСРР</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lang w:val="bg-BG"/>
              </w:rPr>
              <w:t>Национална</w:t>
            </w:r>
            <w:r w:rsidRPr="0056111E">
              <w:rPr>
                <w:lang w:val="bg-BG"/>
              </w:rPr>
              <w:t xml:space="preserve"> </w:t>
            </w:r>
            <w:r w:rsidRPr="0056111E">
              <w:rPr>
                <w:rFonts w:ascii="Times New Roman" w:hAnsi="Times New Roman"/>
                <w:lang w:val="bg-BG"/>
              </w:rPr>
              <w:t>стратегия</w:t>
            </w:r>
            <w:r w:rsidRPr="0056111E">
              <w:rPr>
                <w:lang w:val="bg-BG"/>
              </w:rPr>
              <w:t xml:space="preserve"> </w:t>
            </w:r>
            <w:r w:rsidRPr="0056111E">
              <w:rPr>
                <w:rFonts w:ascii="Times New Roman" w:hAnsi="Times New Roman"/>
                <w:lang w:val="bg-BG"/>
              </w:rPr>
              <w:t>за</w:t>
            </w:r>
            <w:r w:rsidRPr="0056111E">
              <w:rPr>
                <w:lang w:val="bg-BG"/>
              </w:rPr>
              <w:t xml:space="preserve"> </w:t>
            </w:r>
            <w:r w:rsidRPr="0056111E">
              <w:rPr>
                <w:rFonts w:ascii="Times New Roman" w:hAnsi="Times New Roman"/>
                <w:lang w:val="bg-BG"/>
              </w:rPr>
              <w:t>регионално</w:t>
            </w:r>
            <w:r w:rsidRPr="0056111E">
              <w:rPr>
                <w:lang w:val="bg-BG"/>
              </w:rPr>
              <w:t xml:space="preserve"> </w:t>
            </w:r>
            <w:r w:rsidRPr="0056111E">
              <w:rPr>
                <w:rFonts w:ascii="Times New Roman" w:hAnsi="Times New Roman"/>
                <w:lang w:val="bg-BG"/>
              </w:rPr>
              <w:t>развитие</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ОО</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Опасни</w:t>
            </w:r>
            <w:r w:rsidRPr="0056111E">
              <w:rPr>
                <w:snapToGrid w:val="0"/>
                <w:lang w:val="bg-BG"/>
              </w:rPr>
              <w:t xml:space="preserve"> </w:t>
            </w:r>
            <w:r w:rsidRPr="0056111E">
              <w:rPr>
                <w:rFonts w:ascii="Times New Roman" w:hAnsi="Times New Roman"/>
                <w:snapToGrid w:val="0"/>
                <w:lang w:val="bg-BG"/>
              </w:rPr>
              <w:t>отпадъци</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ООС</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Опазване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околната</w:t>
            </w:r>
            <w:r w:rsidRPr="0056111E">
              <w:rPr>
                <w:snapToGrid w:val="0"/>
                <w:lang w:val="bg-BG"/>
              </w:rPr>
              <w:t xml:space="preserve"> </w:t>
            </w:r>
            <w:r w:rsidRPr="0056111E">
              <w:rPr>
                <w:rFonts w:ascii="Times New Roman" w:hAnsi="Times New Roman"/>
                <w:snapToGrid w:val="0"/>
                <w:lang w:val="bg-BG"/>
              </w:rPr>
              <w:t>среда</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E55CF3" w:rsidRPr="0056111E" w:rsidRDefault="00E55CF3" w:rsidP="00E8474D">
            <w:pPr>
              <w:spacing w:before="100" w:beforeAutospacing="1" w:after="100" w:afterAutospacing="1" w:line="360" w:lineRule="auto"/>
              <w:rPr>
                <w:rFonts w:ascii="Times New Roman" w:hAnsi="Times New Roman"/>
                <w:snapToGrid w:val="0"/>
                <w:color w:val="9D3511" w:themeColor="accent1" w:themeShade="BF"/>
                <w:lang w:val="bg-BG"/>
              </w:rPr>
            </w:pPr>
            <w:r w:rsidRPr="0056111E">
              <w:rPr>
                <w:rFonts w:ascii="Times New Roman" w:hAnsi="Times New Roman"/>
                <w:snapToGrid w:val="0"/>
                <w:color w:val="9D3511" w:themeColor="accent1" w:themeShade="BF"/>
                <w:lang w:val="bg-BG"/>
              </w:rPr>
              <w:t>ПНУ</w:t>
            </w:r>
          </w:p>
        </w:tc>
        <w:tc>
          <w:tcPr>
            <w:tcW w:w="7466" w:type="dxa"/>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sidRPr="0056111E">
              <w:rPr>
                <w:rFonts w:ascii="Times New Roman" w:hAnsi="Times New Roman"/>
                <w:snapToGrid w:val="0"/>
                <w:lang w:val="bg-BG"/>
              </w:rPr>
              <w:t xml:space="preserve">Преждевременно напуснали училище </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ПМС</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Постановление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Министерски</w:t>
            </w:r>
            <w:r w:rsidRPr="0056111E">
              <w:rPr>
                <w:snapToGrid w:val="0"/>
                <w:lang w:val="bg-BG"/>
              </w:rPr>
              <w:t xml:space="preserve"> </w:t>
            </w:r>
            <w:r w:rsidRPr="0056111E">
              <w:rPr>
                <w:rFonts w:ascii="Times New Roman" w:hAnsi="Times New Roman"/>
                <w:snapToGrid w:val="0"/>
                <w:lang w:val="bg-BG"/>
              </w:rPr>
              <w:t>съвет</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ПО</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Производствени</w:t>
            </w:r>
            <w:r w:rsidRPr="0056111E">
              <w:rPr>
                <w:snapToGrid w:val="0"/>
                <w:lang w:val="bg-BG"/>
              </w:rPr>
              <w:t xml:space="preserve"> </w:t>
            </w:r>
            <w:r w:rsidRPr="0056111E">
              <w:rPr>
                <w:rFonts w:ascii="Times New Roman" w:hAnsi="Times New Roman"/>
                <w:snapToGrid w:val="0"/>
                <w:lang w:val="bg-BG"/>
              </w:rPr>
              <w:t>отпадъци</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ПСОВ</w:t>
            </w:r>
            <w:r w:rsidRPr="0056111E">
              <w:rPr>
                <w:snapToGrid w:val="0"/>
                <w:color w:val="9D3511" w:themeColor="accent1" w:themeShade="BF"/>
                <w:lang w:val="bg-BG"/>
              </w:rPr>
              <w:t xml:space="preserve"> </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Пречиствателна</w:t>
            </w:r>
            <w:r w:rsidRPr="0056111E">
              <w:rPr>
                <w:snapToGrid w:val="0"/>
                <w:lang w:val="bg-BG"/>
              </w:rPr>
              <w:t xml:space="preserve"> </w:t>
            </w:r>
            <w:r w:rsidRPr="0056111E">
              <w:rPr>
                <w:rFonts w:ascii="Times New Roman" w:hAnsi="Times New Roman"/>
                <w:snapToGrid w:val="0"/>
                <w:lang w:val="bg-BG"/>
              </w:rPr>
              <w:t>станция</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отпадни</w:t>
            </w:r>
            <w:r w:rsidRPr="0056111E">
              <w:rPr>
                <w:snapToGrid w:val="0"/>
                <w:lang w:val="bg-BG"/>
              </w:rPr>
              <w:t xml:space="preserve"> </w:t>
            </w:r>
            <w:r w:rsidRPr="0056111E">
              <w:rPr>
                <w:rFonts w:ascii="Times New Roman" w:hAnsi="Times New Roman"/>
                <w:snapToGrid w:val="0"/>
                <w:lang w:val="bg-BG"/>
              </w:rPr>
              <w:t>води</w:t>
            </w:r>
            <w:r w:rsidRPr="0056111E">
              <w:rPr>
                <w:snapToGrid w:val="0"/>
                <w:lang w:val="bg-BG"/>
              </w:rPr>
              <w:t xml:space="preserve"> </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ПУДООС</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Предприятие</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управление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дейностите</w:t>
            </w:r>
            <w:r w:rsidRPr="0056111E">
              <w:rPr>
                <w:snapToGrid w:val="0"/>
                <w:lang w:val="bg-BG"/>
              </w:rPr>
              <w:t xml:space="preserve"> </w:t>
            </w:r>
            <w:r w:rsidRPr="0056111E">
              <w:rPr>
                <w:rFonts w:ascii="Times New Roman" w:hAnsi="Times New Roman"/>
                <w:snapToGrid w:val="0"/>
                <w:lang w:val="bg-BG"/>
              </w:rPr>
              <w:t>по</w:t>
            </w:r>
            <w:r w:rsidRPr="0056111E">
              <w:rPr>
                <w:snapToGrid w:val="0"/>
                <w:lang w:val="bg-BG"/>
              </w:rPr>
              <w:t xml:space="preserve"> </w:t>
            </w:r>
            <w:r w:rsidRPr="0056111E">
              <w:rPr>
                <w:rFonts w:ascii="Times New Roman" w:hAnsi="Times New Roman"/>
                <w:snapToGrid w:val="0"/>
                <w:lang w:val="bg-BG"/>
              </w:rPr>
              <w:t>опазване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околната</w:t>
            </w:r>
            <w:r w:rsidRPr="0056111E">
              <w:rPr>
                <w:snapToGrid w:val="0"/>
                <w:lang w:val="bg-BG"/>
              </w:rPr>
              <w:t xml:space="preserve"> </w:t>
            </w:r>
            <w:r w:rsidRPr="0056111E">
              <w:rPr>
                <w:rFonts w:ascii="Times New Roman" w:hAnsi="Times New Roman"/>
                <w:snapToGrid w:val="0"/>
                <w:lang w:val="bg-BG"/>
              </w:rPr>
              <w:t>среда</w:t>
            </w:r>
            <w:r w:rsidRPr="0056111E">
              <w:rPr>
                <w:snapToGrid w:val="0"/>
                <w:lang w:val="bg-BG"/>
              </w:rPr>
              <w:t xml:space="preserve"> </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ПУП</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Подробен</w:t>
            </w:r>
            <w:r w:rsidRPr="0056111E">
              <w:rPr>
                <w:snapToGrid w:val="0"/>
                <w:lang w:val="bg-BG"/>
              </w:rPr>
              <w:t xml:space="preserve"> </w:t>
            </w:r>
            <w:r w:rsidRPr="0056111E">
              <w:rPr>
                <w:rFonts w:ascii="Times New Roman" w:hAnsi="Times New Roman"/>
                <w:snapToGrid w:val="0"/>
                <w:lang w:val="bg-BG"/>
              </w:rPr>
              <w:t>устройствен</w:t>
            </w:r>
            <w:r w:rsidRPr="0056111E">
              <w:rPr>
                <w:snapToGrid w:val="0"/>
                <w:lang w:val="bg-BG"/>
              </w:rPr>
              <w:t xml:space="preserve"> </w:t>
            </w:r>
            <w:r w:rsidRPr="0056111E">
              <w:rPr>
                <w:rFonts w:ascii="Times New Roman" w:hAnsi="Times New Roman"/>
                <w:snapToGrid w:val="0"/>
                <w:lang w:val="bg-BG"/>
              </w:rPr>
              <w:t>план</w:t>
            </w:r>
          </w:p>
        </w:tc>
      </w:tr>
      <w:tr w:rsidR="0056111E"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56111E" w:rsidRPr="0056111E" w:rsidRDefault="0056111E" w:rsidP="00E8474D">
            <w:pPr>
              <w:spacing w:before="100" w:beforeAutospacing="1" w:after="100" w:afterAutospacing="1" w:line="360" w:lineRule="auto"/>
              <w:rPr>
                <w:rFonts w:ascii="Times New Roman" w:hAnsi="Times New Roman"/>
                <w:snapToGrid w:val="0"/>
                <w:color w:val="9D3511" w:themeColor="accent1" w:themeShade="BF"/>
                <w:lang w:val="bg-BG"/>
              </w:rPr>
            </w:pPr>
            <w:r>
              <w:rPr>
                <w:rFonts w:ascii="Times New Roman" w:hAnsi="Times New Roman"/>
                <w:snapToGrid w:val="0"/>
                <w:color w:val="9D3511" w:themeColor="accent1" w:themeShade="BF"/>
                <w:lang w:val="bg-BG"/>
              </w:rPr>
              <w:t>РДСП</w:t>
            </w:r>
          </w:p>
        </w:tc>
        <w:tc>
          <w:tcPr>
            <w:tcW w:w="7466" w:type="dxa"/>
          </w:tcPr>
          <w:p w:rsidR="0056111E" w:rsidRPr="0056111E" w:rsidRDefault="0056111E"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napToGrid w:val="0"/>
                <w:lang w:val="bg-BG"/>
              </w:rPr>
            </w:pPr>
            <w:r>
              <w:rPr>
                <w:rFonts w:ascii="Times New Roman" w:hAnsi="Times New Roman"/>
                <w:snapToGrid w:val="0"/>
                <w:lang w:val="bg-BG"/>
              </w:rPr>
              <w:t xml:space="preserve">Регионална дирекция социално подпомагане </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РДТБО</w:t>
            </w:r>
            <w:r w:rsidRPr="0056111E">
              <w:rPr>
                <w:snapToGrid w:val="0"/>
                <w:color w:val="9D3511" w:themeColor="accent1" w:themeShade="BF"/>
                <w:lang w:val="bg-BG"/>
              </w:rPr>
              <w:t xml:space="preserve"> </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Регионално</w:t>
            </w:r>
            <w:r w:rsidRPr="0056111E">
              <w:rPr>
                <w:snapToGrid w:val="0"/>
                <w:lang w:val="bg-BG"/>
              </w:rPr>
              <w:t xml:space="preserve"> </w:t>
            </w:r>
            <w:r w:rsidRPr="0056111E">
              <w:rPr>
                <w:rFonts w:ascii="Times New Roman" w:hAnsi="Times New Roman"/>
                <w:snapToGrid w:val="0"/>
                <w:lang w:val="bg-BG"/>
              </w:rPr>
              <w:t>депо</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твърди</w:t>
            </w:r>
            <w:r w:rsidRPr="0056111E">
              <w:rPr>
                <w:snapToGrid w:val="0"/>
                <w:lang w:val="bg-BG"/>
              </w:rPr>
              <w:t xml:space="preserve"> </w:t>
            </w:r>
            <w:r w:rsidRPr="0056111E">
              <w:rPr>
                <w:rFonts w:ascii="Times New Roman" w:hAnsi="Times New Roman"/>
                <w:snapToGrid w:val="0"/>
                <w:lang w:val="bg-BG"/>
              </w:rPr>
              <w:t>битови</w:t>
            </w:r>
            <w:r w:rsidRPr="0056111E">
              <w:rPr>
                <w:snapToGrid w:val="0"/>
                <w:lang w:val="bg-BG"/>
              </w:rPr>
              <w:t xml:space="preserve"> </w:t>
            </w:r>
            <w:r w:rsidRPr="0056111E">
              <w:rPr>
                <w:rFonts w:ascii="Times New Roman" w:hAnsi="Times New Roman"/>
                <w:snapToGrid w:val="0"/>
                <w:lang w:val="bg-BG"/>
              </w:rPr>
              <w:t>отпадъци</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РИОСВ</w:t>
            </w:r>
            <w:r w:rsidRPr="0056111E">
              <w:rPr>
                <w:snapToGrid w:val="0"/>
                <w:color w:val="9D3511" w:themeColor="accent1" w:themeShade="BF"/>
                <w:lang w:val="bg-BG"/>
              </w:rPr>
              <w:t xml:space="preserve"> </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Регионална</w:t>
            </w:r>
            <w:r w:rsidRPr="0056111E">
              <w:rPr>
                <w:snapToGrid w:val="0"/>
                <w:lang w:val="bg-BG"/>
              </w:rPr>
              <w:t xml:space="preserve"> </w:t>
            </w:r>
            <w:r w:rsidRPr="0056111E">
              <w:rPr>
                <w:rFonts w:ascii="Times New Roman" w:hAnsi="Times New Roman"/>
                <w:snapToGrid w:val="0"/>
                <w:lang w:val="bg-BG"/>
              </w:rPr>
              <w:t>инспекция</w:t>
            </w:r>
            <w:r w:rsidRPr="0056111E">
              <w:rPr>
                <w:snapToGrid w:val="0"/>
                <w:lang w:val="bg-BG"/>
              </w:rPr>
              <w:t xml:space="preserve"> </w:t>
            </w:r>
            <w:r w:rsidRPr="0056111E">
              <w:rPr>
                <w:rFonts w:ascii="Times New Roman" w:hAnsi="Times New Roman"/>
                <w:snapToGrid w:val="0"/>
                <w:lang w:val="bg-BG"/>
              </w:rPr>
              <w:t>по</w:t>
            </w:r>
            <w:r w:rsidRPr="0056111E">
              <w:rPr>
                <w:snapToGrid w:val="0"/>
                <w:lang w:val="bg-BG"/>
              </w:rPr>
              <w:t xml:space="preserve"> </w:t>
            </w:r>
            <w:r w:rsidRPr="0056111E">
              <w:rPr>
                <w:rFonts w:ascii="Times New Roman" w:hAnsi="Times New Roman"/>
                <w:snapToGrid w:val="0"/>
                <w:lang w:val="bg-BG"/>
              </w:rPr>
              <w:t>околната</w:t>
            </w:r>
            <w:r w:rsidRPr="0056111E">
              <w:rPr>
                <w:snapToGrid w:val="0"/>
                <w:lang w:val="bg-BG"/>
              </w:rPr>
              <w:t xml:space="preserve"> </w:t>
            </w:r>
            <w:r w:rsidRPr="0056111E">
              <w:rPr>
                <w:rFonts w:ascii="Times New Roman" w:hAnsi="Times New Roman"/>
                <w:snapToGrid w:val="0"/>
                <w:lang w:val="bg-BG"/>
              </w:rPr>
              <w:t>среда</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водите</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РКООНИК</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Рамкова</w:t>
            </w:r>
            <w:r w:rsidRPr="0056111E">
              <w:rPr>
                <w:snapToGrid w:val="0"/>
                <w:lang w:val="bg-BG"/>
              </w:rPr>
              <w:t xml:space="preserve"> </w:t>
            </w:r>
            <w:r w:rsidRPr="0056111E">
              <w:rPr>
                <w:rFonts w:ascii="Times New Roman" w:hAnsi="Times New Roman"/>
                <w:snapToGrid w:val="0"/>
                <w:lang w:val="bg-BG"/>
              </w:rPr>
              <w:t>конвенция</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ООН</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изменението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климата</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РЛ</w:t>
            </w:r>
            <w:r w:rsidRPr="0056111E">
              <w:rPr>
                <w:snapToGrid w:val="0"/>
                <w:color w:val="9D3511" w:themeColor="accent1" w:themeShade="BF"/>
                <w:lang w:val="bg-BG"/>
              </w:rPr>
              <w:t xml:space="preserve"> </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Регионална</w:t>
            </w:r>
            <w:r w:rsidRPr="0056111E">
              <w:rPr>
                <w:snapToGrid w:val="0"/>
                <w:lang w:val="bg-BG"/>
              </w:rPr>
              <w:t xml:space="preserve">  </w:t>
            </w:r>
            <w:r w:rsidRPr="0056111E">
              <w:rPr>
                <w:rFonts w:ascii="Times New Roman" w:hAnsi="Times New Roman"/>
                <w:snapToGrid w:val="0"/>
                <w:lang w:val="bg-BG"/>
              </w:rPr>
              <w:t>лаборатория</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snapToGrid w:val="0"/>
                <w:color w:val="9D3511" w:themeColor="accent1" w:themeShade="BF"/>
                <w:sz w:val="24"/>
                <w:szCs w:val="24"/>
                <w:lang w:val="bg-BG"/>
              </w:rPr>
            </w:pPr>
            <w:r w:rsidRPr="0056111E">
              <w:rPr>
                <w:rFonts w:ascii="Times New Roman" w:hAnsi="Times New Roman"/>
                <w:snapToGrid w:val="0"/>
                <w:color w:val="9D3511" w:themeColor="accent1" w:themeShade="BF"/>
                <w:lang w:val="bg-BG"/>
              </w:rPr>
              <w:t>РСР</w:t>
            </w:r>
            <w:r w:rsidRPr="0056111E">
              <w:rPr>
                <w:snapToGrid w:val="0"/>
                <w:color w:val="9D3511" w:themeColor="accent1" w:themeShade="BF"/>
                <w:lang w:val="bg-BG"/>
              </w:rPr>
              <w:t xml:space="preserve"> </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napToGrid w:val="0"/>
                <w:sz w:val="24"/>
                <w:szCs w:val="24"/>
                <w:lang w:val="bg-BG"/>
              </w:rPr>
            </w:pPr>
            <w:r w:rsidRPr="0056111E">
              <w:rPr>
                <w:rFonts w:ascii="Times New Roman" w:hAnsi="Times New Roman"/>
                <w:snapToGrid w:val="0"/>
                <w:lang w:val="bg-BG"/>
              </w:rPr>
              <w:t>Регионален</w:t>
            </w:r>
            <w:r w:rsidRPr="0056111E">
              <w:rPr>
                <w:snapToGrid w:val="0"/>
                <w:lang w:val="bg-BG"/>
              </w:rPr>
              <w:t xml:space="preserve"> </w:t>
            </w:r>
            <w:r w:rsidRPr="0056111E">
              <w:rPr>
                <w:rFonts w:ascii="Times New Roman" w:hAnsi="Times New Roman"/>
                <w:snapToGrid w:val="0"/>
                <w:lang w:val="bg-BG"/>
              </w:rPr>
              <w:t>съвет</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развитие</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РОУКАВ</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Райони</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оценка</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управление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качеството</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атмосферния</w:t>
            </w:r>
            <w:r w:rsidRPr="0056111E">
              <w:rPr>
                <w:snapToGrid w:val="0"/>
                <w:lang w:val="bg-BG"/>
              </w:rPr>
              <w:t xml:space="preserve"> </w:t>
            </w:r>
            <w:r w:rsidRPr="0056111E">
              <w:rPr>
                <w:rFonts w:ascii="Times New Roman" w:hAnsi="Times New Roman"/>
                <w:snapToGrid w:val="0"/>
                <w:lang w:val="bg-BG"/>
              </w:rPr>
              <w:t>въздух</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САПАРД</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Специална</w:t>
            </w:r>
            <w:r w:rsidRPr="0056111E">
              <w:rPr>
                <w:snapToGrid w:val="0"/>
                <w:lang w:val="bg-BG"/>
              </w:rPr>
              <w:t xml:space="preserve"> </w:t>
            </w:r>
            <w:r w:rsidRPr="0056111E">
              <w:rPr>
                <w:rFonts w:ascii="Times New Roman" w:hAnsi="Times New Roman"/>
                <w:snapToGrid w:val="0"/>
                <w:lang w:val="bg-BG"/>
              </w:rPr>
              <w:t>програма</w:t>
            </w:r>
            <w:r w:rsidRPr="0056111E">
              <w:rPr>
                <w:snapToGrid w:val="0"/>
                <w:lang w:val="bg-BG"/>
              </w:rPr>
              <w:t xml:space="preserve"> </w:t>
            </w:r>
            <w:r w:rsidRPr="0056111E">
              <w:rPr>
                <w:rFonts w:ascii="Times New Roman" w:hAnsi="Times New Roman"/>
                <w:snapToGrid w:val="0"/>
                <w:lang w:val="bg-BG"/>
              </w:rPr>
              <w:t>за</w:t>
            </w:r>
            <w:r w:rsidRPr="0056111E">
              <w:rPr>
                <w:snapToGrid w:val="0"/>
                <w:lang w:val="bg-BG"/>
              </w:rPr>
              <w:t xml:space="preserve"> </w:t>
            </w:r>
            <w:r w:rsidRPr="0056111E">
              <w:rPr>
                <w:rFonts w:ascii="Times New Roman" w:hAnsi="Times New Roman"/>
                <w:snapToGrid w:val="0"/>
                <w:lang w:val="bg-BG"/>
              </w:rPr>
              <w:t>развитие</w:t>
            </w:r>
            <w:r w:rsidRPr="0056111E">
              <w:rPr>
                <w:snapToGrid w:val="0"/>
                <w:lang w:val="bg-BG"/>
              </w:rPr>
              <w:t xml:space="preserve"> </w:t>
            </w:r>
            <w:r w:rsidRPr="0056111E">
              <w:rPr>
                <w:rFonts w:ascii="Times New Roman" w:hAnsi="Times New Roman"/>
                <w:snapToGrid w:val="0"/>
                <w:lang w:val="bg-BG"/>
              </w:rPr>
              <w:t>на</w:t>
            </w:r>
            <w:r w:rsidRPr="0056111E">
              <w:rPr>
                <w:snapToGrid w:val="0"/>
                <w:lang w:val="bg-BG"/>
              </w:rPr>
              <w:t xml:space="preserve"> </w:t>
            </w:r>
            <w:r w:rsidRPr="0056111E">
              <w:rPr>
                <w:rFonts w:ascii="Times New Roman" w:hAnsi="Times New Roman"/>
                <w:snapToGrid w:val="0"/>
                <w:lang w:val="bg-BG"/>
              </w:rPr>
              <w:t>земеделски</w:t>
            </w:r>
            <w:r w:rsidRPr="0056111E">
              <w:rPr>
                <w:snapToGrid w:val="0"/>
                <w:lang w:val="bg-BG"/>
              </w:rPr>
              <w:t xml:space="preserve"> </w:t>
            </w:r>
            <w:r w:rsidRPr="0056111E">
              <w:rPr>
                <w:rFonts w:ascii="Times New Roman" w:hAnsi="Times New Roman"/>
                <w:snapToGrid w:val="0"/>
                <w:lang w:val="bg-BG"/>
              </w:rPr>
              <w:t>и</w:t>
            </w:r>
            <w:r w:rsidRPr="0056111E">
              <w:rPr>
                <w:snapToGrid w:val="0"/>
                <w:lang w:val="bg-BG"/>
              </w:rPr>
              <w:t xml:space="preserve"> </w:t>
            </w:r>
            <w:r w:rsidRPr="0056111E">
              <w:rPr>
                <w:rFonts w:ascii="Times New Roman" w:hAnsi="Times New Roman"/>
                <w:snapToGrid w:val="0"/>
                <w:lang w:val="bg-BG"/>
              </w:rPr>
              <w:t>селски</w:t>
            </w:r>
            <w:r w:rsidRPr="0056111E">
              <w:rPr>
                <w:snapToGrid w:val="0"/>
                <w:lang w:val="bg-BG"/>
              </w:rPr>
              <w:t xml:space="preserve"> </w:t>
            </w:r>
            <w:r w:rsidRPr="0056111E">
              <w:rPr>
                <w:rFonts w:ascii="Times New Roman" w:hAnsi="Times New Roman"/>
                <w:snapToGrid w:val="0"/>
                <w:lang w:val="bg-BG"/>
              </w:rPr>
              <w:t>земи</w:t>
            </w:r>
            <w:r w:rsidRPr="0056111E">
              <w:rPr>
                <w:snapToGrid w:val="0"/>
                <w:lang w:val="bg-BG"/>
              </w:rPr>
              <w:t xml:space="preserve"> </w:t>
            </w:r>
            <w:r w:rsidRPr="0056111E">
              <w:rPr>
                <w:rFonts w:ascii="Times New Roman" w:hAnsi="Times New Roman"/>
                <w:snapToGrid w:val="0"/>
                <w:lang w:val="bg-BG"/>
              </w:rPr>
              <w:t>райони</w:t>
            </w:r>
            <w:r w:rsidRPr="0056111E">
              <w:rPr>
                <w:snapToGrid w:val="0"/>
                <w:lang w:val="bg-BG"/>
              </w:rPr>
              <w:t xml:space="preserve"> </w:t>
            </w:r>
          </w:p>
        </w:tc>
      </w:tr>
      <w:tr w:rsidR="00E55CF3" w:rsidRPr="0056111E" w:rsidTr="00E55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snapToGrid w:val="0"/>
                <w:color w:val="9D3511" w:themeColor="accent1" w:themeShade="BF"/>
                <w:lang w:val="bg-BG"/>
              </w:rPr>
              <w:t>ТБО</w:t>
            </w:r>
          </w:p>
        </w:tc>
        <w:tc>
          <w:tcPr>
            <w:tcW w:w="7466" w:type="dxa"/>
            <w:hideMark/>
          </w:tcPr>
          <w:p w:rsidR="00E55CF3" w:rsidRPr="0056111E" w:rsidRDefault="00E55CF3" w:rsidP="00E8474D">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snapToGrid w:val="0"/>
                <w:lang w:val="bg-BG"/>
              </w:rPr>
              <w:t>Твърди</w:t>
            </w:r>
            <w:r w:rsidRPr="0056111E">
              <w:rPr>
                <w:snapToGrid w:val="0"/>
                <w:lang w:val="bg-BG"/>
              </w:rPr>
              <w:t xml:space="preserve"> </w:t>
            </w:r>
            <w:r w:rsidRPr="0056111E">
              <w:rPr>
                <w:rFonts w:ascii="Times New Roman" w:hAnsi="Times New Roman"/>
                <w:snapToGrid w:val="0"/>
                <w:lang w:val="bg-BG"/>
              </w:rPr>
              <w:t>битови</w:t>
            </w:r>
            <w:r w:rsidRPr="0056111E">
              <w:rPr>
                <w:snapToGrid w:val="0"/>
                <w:lang w:val="bg-BG"/>
              </w:rPr>
              <w:t xml:space="preserve"> </w:t>
            </w:r>
            <w:r w:rsidRPr="0056111E">
              <w:rPr>
                <w:rFonts w:ascii="Times New Roman" w:hAnsi="Times New Roman"/>
                <w:snapToGrid w:val="0"/>
                <w:lang w:val="bg-BG"/>
              </w:rPr>
              <w:t>отпадъци</w:t>
            </w:r>
          </w:p>
        </w:tc>
      </w:tr>
      <w:tr w:rsidR="00E55CF3" w:rsidRPr="0056111E" w:rsidTr="00E55CF3">
        <w:tc>
          <w:tcPr>
            <w:cnfStyle w:val="001000000000" w:firstRow="0" w:lastRow="0" w:firstColumn="1" w:lastColumn="0" w:oddVBand="0" w:evenVBand="0" w:oddHBand="0" w:evenHBand="0" w:firstRowFirstColumn="0" w:firstRowLastColumn="0" w:lastRowFirstColumn="0" w:lastRowLastColumn="0"/>
            <w:tcW w:w="1822" w:type="dxa"/>
            <w:hideMark/>
          </w:tcPr>
          <w:p w:rsidR="00E55CF3" w:rsidRPr="0056111E" w:rsidRDefault="00E55CF3" w:rsidP="00E8474D">
            <w:pPr>
              <w:spacing w:before="100" w:beforeAutospacing="1" w:after="100" w:afterAutospacing="1" w:line="360" w:lineRule="auto"/>
              <w:rPr>
                <w:rFonts w:ascii="Times New Roman" w:eastAsia="Times New Roman" w:hAnsi="Times New Roman"/>
                <w:color w:val="9D3511" w:themeColor="accent1" w:themeShade="BF"/>
                <w:sz w:val="24"/>
                <w:szCs w:val="24"/>
                <w:lang w:val="bg-BG"/>
              </w:rPr>
            </w:pPr>
            <w:r w:rsidRPr="0056111E">
              <w:rPr>
                <w:rFonts w:ascii="Times New Roman" w:hAnsi="Times New Roman"/>
                <w:color w:val="9D3511" w:themeColor="accent1" w:themeShade="BF"/>
                <w:lang w:val="bg-BG"/>
              </w:rPr>
              <w:t>ЮИЕ</w:t>
            </w:r>
          </w:p>
        </w:tc>
        <w:tc>
          <w:tcPr>
            <w:tcW w:w="7466" w:type="dxa"/>
            <w:hideMark/>
          </w:tcPr>
          <w:p w:rsidR="00E55CF3" w:rsidRPr="0056111E" w:rsidRDefault="00E55CF3" w:rsidP="00E8474D">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val="bg-BG"/>
              </w:rPr>
            </w:pPr>
            <w:r w:rsidRPr="0056111E">
              <w:rPr>
                <w:rFonts w:ascii="Times New Roman" w:hAnsi="Times New Roman"/>
                <w:lang w:val="bg-BG"/>
              </w:rPr>
              <w:t>Югоизточна</w:t>
            </w:r>
            <w:r w:rsidRPr="0056111E">
              <w:rPr>
                <w:lang w:val="bg-BG"/>
              </w:rPr>
              <w:t xml:space="preserve"> </w:t>
            </w:r>
            <w:r w:rsidRPr="0056111E">
              <w:rPr>
                <w:rFonts w:ascii="Times New Roman" w:hAnsi="Times New Roman"/>
                <w:lang w:val="bg-BG"/>
              </w:rPr>
              <w:t>Европа</w:t>
            </w:r>
          </w:p>
        </w:tc>
      </w:tr>
    </w:tbl>
    <w:p w:rsidR="002E4BAB" w:rsidRDefault="002E4BAB" w:rsidP="007548F1">
      <w:pPr>
        <w:spacing w:after="200" w:line="240" w:lineRule="auto"/>
        <w:jc w:val="both"/>
        <w:rPr>
          <w:rFonts w:ascii="Times New Roman" w:eastAsia="Times New Roman" w:hAnsi="Times New Roman"/>
          <w:b/>
          <w:color w:val="9B2D1F" w:themeColor="accent2"/>
          <w:sz w:val="24"/>
          <w:szCs w:val="24"/>
          <w:lang w:val="bg-BG" w:eastAsia="bg-BG"/>
        </w:rPr>
      </w:pPr>
    </w:p>
    <w:p w:rsidR="00F25110" w:rsidRPr="00D05C97" w:rsidRDefault="00466F49" w:rsidP="00466F49">
      <w:pPr>
        <w:spacing w:after="200" w:line="240" w:lineRule="auto"/>
        <w:ind w:left="360"/>
        <w:jc w:val="both"/>
        <w:rPr>
          <w:rFonts w:ascii="Times New Roman" w:eastAsia="Times New Roman" w:hAnsi="Times New Roman"/>
          <w:b/>
          <w:color w:val="9B2D1F" w:themeColor="accent2"/>
          <w:sz w:val="24"/>
          <w:szCs w:val="24"/>
          <w:lang w:val="bg-BG" w:eastAsia="bg-BG"/>
        </w:rPr>
      </w:pPr>
      <w:r>
        <w:rPr>
          <w:rFonts w:ascii="Times New Roman" w:eastAsia="Times New Roman" w:hAnsi="Times New Roman"/>
          <w:b/>
          <w:color w:val="9B2D1F" w:themeColor="accent2"/>
          <w:sz w:val="24"/>
          <w:szCs w:val="24"/>
          <w:lang w:eastAsia="bg-BG"/>
        </w:rPr>
        <w:lastRenderedPageBreak/>
        <w:t xml:space="preserve">I .  </w:t>
      </w:r>
      <w:r w:rsidR="00F25110" w:rsidRPr="00D05C97">
        <w:rPr>
          <w:rFonts w:ascii="Times New Roman" w:eastAsia="Times New Roman" w:hAnsi="Times New Roman"/>
          <w:b/>
          <w:color w:val="9B2D1F" w:themeColor="accent2"/>
          <w:sz w:val="24"/>
          <w:szCs w:val="24"/>
          <w:lang w:val="bg-BG" w:eastAsia="bg-BG"/>
        </w:rPr>
        <w:t>ВЪВЕДЕНИЕ</w:t>
      </w:r>
    </w:p>
    <w:p w:rsidR="00F25110" w:rsidRPr="00F25110" w:rsidRDefault="00F25110" w:rsidP="00F25110">
      <w:pPr>
        <w:widowControl w:val="0"/>
        <w:autoSpaceDE w:val="0"/>
        <w:autoSpaceDN w:val="0"/>
        <w:adjustRightInd w:val="0"/>
        <w:spacing w:after="0" w:line="360" w:lineRule="auto"/>
        <w:ind w:firstLine="384"/>
        <w:jc w:val="both"/>
        <w:rPr>
          <w:rFonts w:ascii="Times New Roman" w:eastAsia="Times New Roman" w:hAnsi="Times New Roman"/>
          <w:color w:val="auto"/>
          <w:sz w:val="24"/>
          <w:szCs w:val="24"/>
          <w:lang w:val="bg-BG" w:eastAsia="bg-BG"/>
        </w:rPr>
      </w:pPr>
      <w:r w:rsidRPr="00F25110">
        <w:rPr>
          <w:rFonts w:ascii="Times New Roman" w:eastAsia="Times New Roman" w:hAnsi="Times New Roman"/>
          <w:color w:val="auto"/>
          <w:sz w:val="24"/>
          <w:szCs w:val="24"/>
          <w:lang w:val="bg-BG" w:eastAsia="bg-BG"/>
        </w:rPr>
        <w:tab/>
      </w:r>
      <w:r w:rsidRPr="00F25110">
        <w:rPr>
          <w:rFonts w:ascii="Times New Roman" w:eastAsia="Times New Roman" w:hAnsi="Times New Roman"/>
          <w:b/>
          <w:color w:val="auto"/>
          <w:sz w:val="24"/>
          <w:szCs w:val="24"/>
          <w:lang w:val="bg-BG" w:eastAsia="bg-BG"/>
        </w:rPr>
        <w:t>Годишният доклад за наблюдение изпълнението на Регионалния план за развитие на Югоизточен район</w:t>
      </w:r>
      <w:r w:rsidRPr="00F25110">
        <w:rPr>
          <w:rFonts w:ascii="Times New Roman" w:eastAsia="Times New Roman" w:hAnsi="Times New Roman"/>
          <w:color w:val="auto"/>
          <w:sz w:val="24"/>
          <w:szCs w:val="24"/>
          <w:lang w:val="bg-BG" w:eastAsia="bg-BG"/>
        </w:rPr>
        <w:t xml:space="preserve"> ( РПР на ЮИР ) за 201</w:t>
      </w:r>
      <w:r w:rsidR="00D05C97">
        <w:rPr>
          <w:rFonts w:ascii="Times New Roman" w:eastAsia="Times New Roman" w:hAnsi="Times New Roman"/>
          <w:color w:val="auto"/>
          <w:sz w:val="24"/>
          <w:szCs w:val="24"/>
          <w:lang w:val="bg-BG" w:eastAsia="bg-BG"/>
        </w:rPr>
        <w:t>4</w:t>
      </w:r>
      <w:r w:rsidRPr="00F25110">
        <w:rPr>
          <w:rFonts w:ascii="Times New Roman" w:eastAsia="Times New Roman" w:hAnsi="Times New Roman"/>
          <w:color w:val="auto"/>
          <w:sz w:val="24"/>
          <w:szCs w:val="24"/>
          <w:lang w:val="bg-BG" w:eastAsia="bg-BG"/>
        </w:rPr>
        <w:t xml:space="preserve"> г. е изготвен на основание чл. 86, ал.1 от Правилника за прилагане на Закона за регионално развитие. С  оглед периодичния обхват на документа, Годишният доклад обхваща </w:t>
      </w:r>
      <w:r w:rsidR="00D05C97">
        <w:rPr>
          <w:rFonts w:ascii="Times New Roman" w:eastAsia="Times New Roman" w:hAnsi="Times New Roman"/>
          <w:color w:val="auto"/>
          <w:sz w:val="24"/>
          <w:szCs w:val="24"/>
          <w:lang w:val="bg-BG" w:eastAsia="bg-BG"/>
        </w:rPr>
        <w:t xml:space="preserve">първата </w:t>
      </w:r>
      <w:r w:rsidRPr="00F25110">
        <w:rPr>
          <w:rFonts w:ascii="Times New Roman" w:eastAsia="Times New Roman" w:hAnsi="Times New Roman"/>
          <w:color w:val="auto"/>
          <w:sz w:val="24"/>
          <w:szCs w:val="24"/>
          <w:lang w:val="bg-BG" w:eastAsia="bg-BG"/>
        </w:rPr>
        <w:t xml:space="preserve"> календарна година от периода на действие на Регионалния план за развитие</w:t>
      </w:r>
      <w:r w:rsidR="00D05C97">
        <w:rPr>
          <w:rFonts w:ascii="Times New Roman" w:eastAsia="Times New Roman" w:hAnsi="Times New Roman"/>
          <w:color w:val="auto"/>
          <w:sz w:val="24"/>
          <w:szCs w:val="24"/>
          <w:lang w:val="bg-BG" w:eastAsia="bg-BG"/>
        </w:rPr>
        <w:t xml:space="preserve"> за 2014-2020 г.</w:t>
      </w:r>
      <w:r w:rsidRPr="00F25110">
        <w:rPr>
          <w:rFonts w:ascii="Times New Roman" w:eastAsia="Times New Roman" w:hAnsi="Times New Roman"/>
          <w:color w:val="auto"/>
          <w:sz w:val="24"/>
          <w:szCs w:val="24"/>
          <w:lang w:val="bg-BG" w:eastAsia="bg-BG"/>
        </w:rPr>
        <w:t xml:space="preserve">  </w:t>
      </w:r>
    </w:p>
    <w:p w:rsidR="00F25110" w:rsidRPr="00F25110" w:rsidRDefault="00F25110" w:rsidP="00F25110">
      <w:pPr>
        <w:widowControl w:val="0"/>
        <w:autoSpaceDE w:val="0"/>
        <w:autoSpaceDN w:val="0"/>
        <w:adjustRightInd w:val="0"/>
        <w:spacing w:after="0" w:line="360" w:lineRule="auto"/>
        <w:ind w:firstLine="384"/>
        <w:jc w:val="both"/>
        <w:rPr>
          <w:rFonts w:ascii="Times New Roman" w:eastAsia="Times New Roman" w:hAnsi="Times New Roman"/>
          <w:color w:val="auto"/>
          <w:sz w:val="24"/>
          <w:szCs w:val="24"/>
          <w:lang w:val="bg-BG" w:eastAsia="bg-BG"/>
        </w:rPr>
      </w:pPr>
      <w:r w:rsidRPr="00F25110">
        <w:rPr>
          <w:rFonts w:ascii="Times New Roman" w:eastAsia="Times New Roman" w:hAnsi="Times New Roman"/>
          <w:b/>
          <w:color w:val="auto"/>
          <w:sz w:val="24"/>
          <w:szCs w:val="24"/>
          <w:lang w:val="bg-BG" w:eastAsia="bg-BG"/>
        </w:rPr>
        <w:tab/>
        <w:t>Структурата на доклада включва:</w:t>
      </w:r>
      <w:r w:rsidRPr="00F25110">
        <w:rPr>
          <w:rFonts w:ascii="Times New Roman" w:eastAsia="Times New Roman" w:hAnsi="Times New Roman"/>
          <w:color w:val="auto"/>
          <w:sz w:val="24"/>
          <w:szCs w:val="24"/>
          <w:lang w:val="bg-BG" w:eastAsia="bg-BG"/>
        </w:rPr>
        <w:t xml:space="preserve"> общите условия за изпълнение на Регионалния план за развитие и в частност промените в социално-икономическите условия и политиките за развитие на национално, регионално и местно ниво;  постигнатия напредък по изпълнението на целите и приоритетите на Регионалния план за развитие въз основа на индикаторите за наблюдение; действията, предприети от Регионалния съвет за развитие на Югоизточен район, с цел осигуряване на ефективност и ефикасност при изпълнението на плана;  заключения  и предложения за подобряване на резултатите от наблюдението.</w:t>
      </w:r>
    </w:p>
    <w:p w:rsidR="00F25110" w:rsidRPr="00F25110"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F25110">
        <w:rPr>
          <w:rFonts w:ascii="Times New Roman" w:eastAsia="Times New Roman" w:hAnsi="Times New Roman"/>
          <w:b/>
          <w:color w:val="auto"/>
          <w:sz w:val="24"/>
          <w:szCs w:val="24"/>
          <w:lang w:val="bg-BG" w:eastAsia="bg-BG"/>
        </w:rPr>
        <w:t>Годишният доклад</w:t>
      </w:r>
      <w:r w:rsidRPr="00F25110">
        <w:rPr>
          <w:rFonts w:ascii="Times New Roman" w:eastAsia="Times New Roman" w:hAnsi="Times New Roman"/>
          <w:color w:val="auto"/>
          <w:sz w:val="24"/>
          <w:szCs w:val="24"/>
          <w:lang w:val="bg-BG" w:eastAsia="bg-BG"/>
        </w:rPr>
        <w:t xml:space="preserve">  </w:t>
      </w:r>
      <w:r w:rsidRPr="00F25110">
        <w:rPr>
          <w:rFonts w:ascii="Times New Roman" w:eastAsia="Times New Roman" w:hAnsi="Times New Roman"/>
          <w:b/>
          <w:color w:val="auto"/>
          <w:sz w:val="24"/>
          <w:szCs w:val="24"/>
          <w:lang w:val="bg-BG" w:eastAsia="bg-BG"/>
        </w:rPr>
        <w:t xml:space="preserve">се основава на </w:t>
      </w:r>
      <w:r w:rsidRPr="00F25110">
        <w:rPr>
          <w:rFonts w:ascii="Times New Roman" w:eastAsia="Times New Roman" w:hAnsi="Times New Roman"/>
          <w:color w:val="auto"/>
          <w:sz w:val="24"/>
          <w:szCs w:val="24"/>
          <w:lang w:val="bg-BG" w:eastAsia="bg-BG"/>
        </w:rPr>
        <w:t>последните официални данни на Националния статистически институт (НСИ), сравнителни данни на Евростат за регионите в ЕС и данни на административната статистика на</w:t>
      </w:r>
      <w:r w:rsidR="006614F6">
        <w:rPr>
          <w:rFonts w:ascii="Times New Roman" w:eastAsia="Times New Roman" w:hAnsi="Times New Roman"/>
          <w:color w:val="auto"/>
          <w:sz w:val="24"/>
          <w:szCs w:val="24"/>
          <w:lang w:val="bg-BG" w:eastAsia="bg-BG"/>
        </w:rPr>
        <w:t xml:space="preserve"> </w:t>
      </w:r>
      <w:r w:rsidRPr="00F25110">
        <w:rPr>
          <w:rFonts w:ascii="Times New Roman" w:eastAsia="Times New Roman" w:hAnsi="Times New Roman"/>
          <w:color w:val="auto"/>
          <w:sz w:val="24"/>
          <w:szCs w:val="24"/>
          <w:lang w:val="bg-BG" w:eastAsia="bg-BG"/>
        </w:rPr>
        <w:t xml:space="preserve"> </w:t>
      </w:r>
      <w:r w:rsidR="00D05C97">
        <w:rPr>
          <w:rFonts w:ascii="Times New Roman" w:eastAsia="Times New Roman" w:hAnsi="Times New Roman"/>
          <w:color w:val="auto"/>
          <w:sz w:val="24"/>
          <w:szCs w:val="24"/>
          <w:lang w:val="bg-BG" w:eastAsia="bg-BG"/>
        </w:rPr>
        <w:t xml:space="preserve">РДСП, ДРСЗ, </w:t>
      </w:r>
      <w:r w:rsidRPr="00F25110">
        <w:rPr>
          <w:rFonts w:ascii="Times New Roman" w:eastAsia="Times New Roman" w:hAnsi="Times New Roman"/>
          <w:color w:val="auto"/>
          <w:sz w:val="24"/>
          <w:szCs w:val="24"/>
          <w:lang w:val="bg-BG" w:eastAsia="bg-BG"/>
        </w:rPr>
        <w:t xml:space="preserve">Годишните доклади на </w:t>
      </w:r>
      <w:r w:rsidR="00D05C97">
        <w:rPr>
          <w:rFonts w:ascii="Times New Roman" w:eastAsia="Times New Roman" w:hAnsi="Times New Roman"/>
          <w:color w:val="auto"/>
          <w:sz w:val="24"/>
          <w:szCs w:val="24"/>
          <w:lang w:val="bg-BG" w:eastAsia="bg-BG"/>
        </w:rPr>
        <w:t>ОПУ – Бургас,</w:t>
      </w:r>
      <w:r w:rsidRPr="00F25110">
        <w:rPr>
          <w:rFonts w:ascii="Times New Roman" w:eastAsia="Times New Roman" w:hAnsi="Times New Roman"/>
          <w:color w:val="auto"/>
          <w:sz w:val="24"/>
          <w:szCs w:val="24"/>
          <w:lang w:val="bg-BG" w:eastAsia="bg-BG"/>
        </w:rPr>
        <w:t xml:space="preserve"> Стара Загора</w:t>
      </w:r>
      <w:r w:rsidR="00D05C97">
        <w:rPr>
          <w:rFonts w:ascii="Times New Roman" w:eastAsia="Times New Roman" w:hAnsi="Times New Roman"/>
          <w:color w:val="auto"/>
          <w:sz w:val="24"/>
          <w:szCs w:val="24"/>
          <w:lang w:val="bg-BG" w:eastAsia="bg-BG"/>
        </w:rPr>
        <w:t>,Сливен и Ямбол,</w:t>
      </w:r>
      <w:r w:rsidRPr="00F25110">
        <w:rPr>
          <w:rFonts w:ascii="Times New Roman" w:eastAsia="Times New Roman" w:hAnsi="Times New Roman"/>
          <w:color w:val="auto"/>
          <w:sz w:val="24"/>
          <w:szCs w:val="24"/>
          <w:lang w:val="bg-BG" w:eastAsia="bg-BG"/>
        </w:rPr>
        <w:t xml:space="preserve"> </w:t>
      </w:r>
      <w:r w:rsidR="006E7BA1">
        <w:rPr>
          <w:rFonts w:ascii="Times New Roman" w:eastAsia="Times New Roman" w:hAnsi="Times New Roman"/>
          <w:color w:val="auto"/>
          <w:sz w:val="24"/>
          <w:szCs w:val="24"/>
          <w:lang w:val="bg-BG" w:eastAsia="bg-BG"/>
        </w:rPr>
        <w:t>ИАОС, Ви</w:t>
      </w:r>
      <w:r w:rsidR="00D05C97">
        <w:rPr>
          <w:rFonts w:ascii="Times New Roman" w:eastAsia="Times New Roman" w:hAnsi="Times New Roman"/>
          <w:color w:val="auto"/>
          <w:sz w:val="24"/>
          <w:szCs w:val="24"/>
          <w:lang w:val="bg-BG" w:eastAsia="bg-BG"/>
        </w:rPr>
        <w:t>К дружествата в района, ИАРА, ДП „НКЖИ“, МК, МТ, Министерство на младежта и спорта,</w:t>
      </w:r>
      <w:r w:rsidR="006614F6">
        <w:rPr>
          <w:rFonts w:ascii="Times New Roman" w:eastAsia="Times New Roman" w:hAnsi="Times New Roman"/>
          <w:color w:val="auto"/>
          <w:sz w:val="24"/>
          <w:szCs w:val="24"/>
          <w:lang w:val="bg-BG" w:eastAsia="bg-BG"/>
        </w:rPr>
        <w:t xml:space="preserve"> </w:t>
      </w:r>
      <w:r w:rsidR="00D05C97">
        <w:rPr>
          <w:rFonts w:ascii="Times New Roman" w:eastAsia="Times New Roman" w:hAnsi="Times New Roman"/>
          <w:color w:val="auto"/>
          <w:sz w:val="24"/>
          <w:szCs w:val="24"/>
          <w:lang w:val="bg-BG" w:eastAsia="bg-BG"/>
        </w:rPr>
        <w:t>Институт по океанология</w:t>
      </w:r>
      <w:r w:rsidR="00582B6D">
        <w:rPr>
          <w:rFonts w:ascii="Times New Roman" w:eastAsia="Times New Roman" w:hAnsi="Times New Roman"/>
          <w:color w:val="auto"/>
          <w:sz w:val="24"/>
          <w:szCs w:val="24"/>
          <w:lang w:eastAsia="bg-BG"/>
        </w:rPr>
        <w:t xml:space="preserve"> </w:t>
      </w:r>
      <w:r w:rsidR="00D05C97">
        <w:rPr>
          <w:rFonts w:ascii="Times New Roman" w:eastAsia="Times New Roman" w:hAnsi="Times New Roman"/>
          <w:color w:val="auto"/>
          <w:sz w:val="24"/>
          <w:szCs w:val="24"/>
          <w:lang w:val="bg-BG" w:eastAsia="bg-BG"/>
        </w:rPr>
        <w:t>-</w:t>
      </w:r>
      <w:r w:rsidR="00582B6D">
        <w:rPr>
          <w:rFonts w:ascii="Times New Roman" w:eastAsia="Times New Roman" w:hAnsi="Times New Roman"/>
          <w:color w:val="auto"/>
          <w:sz w:val="24"/>
          <w:szCs w:val="24"/>
          <w:lang w:eastAsia="bg-BG"/>
        </w:rPr>
        <w:t xml:space="preserve"> </w:t>
      </w:r>
      <w:r w:rsidR="00D05C97">
        <w:rPr>
          <w:rFonts w:ascii="Times New Roman" w:eastAsia="Times New Roman" w:hAnsi="Times New Roman"/>
          <w:color w:val="auto"/>
          <w:sz w:val="24"/>
          <w:szCs w:val="24"/>
          <w:lang w:val="bg-BG" w:eastAsia="bg-BG"/>
        </w:rPr>
        <w:t>БАН,</w:t>
      </w:r>
      <w:r w:rsidR="00582B6D">
        <w:rPr>
          <w:rFonts w:ascii="Times New Roman" w:eastAsia="Times New Roman" w:hAnsi="Times New Roman"/>
          <w:color w:val="auto"/>
          <w:sz w:val="24"/>
          <w:szCs w:val="24"/>
          <w:lang w:eastAsia="bg-BG"/>
        </w:rPr>
        <w:t xml:space="preserve"> </w:t>
      </w:r>
      <w:r w:rsidR="00D05C97">
        <w:rPr>
          <w:rFonts w:ascii="Times New Roman" w:eastAsia="Times New Roman" w:hAnsi="Times New Roman"/>
          <w:color w:val="auto"/>
          <w:sz w:val="24"/>
          <w:szCs w:val="24"/>
          <w:lang w:val="bg-BG" w:eastAsia="bg-BG"/>
        </w:rPr>
        <w:t>Общини,</w:t>
      </w:r>
      <w:r w:rsidR="00582B6D">
        <w:rPr>
          <w:rFonts w:ascii="Times New Roman" w:eastAsia="Times New Roman" w:hAnsi="Times New Roman"/>
          <w:color w:val="auto"/>
          <w:sz w:val="24"/>
          <w:szCs w:val="24"/>
          <w:lang w:eastAsia="bg-BG"/>
        </w:rPr>
        <w:t xml:space="preserve"> </w:t>
      </w:r>
      <w:r w:rsidR="00D05C97">
        <w:rPr>
          <w:rFonts w:ascii="Times New Roman" w:eastAsia="Times New Roman" w:hAnsi="Times New Roman"/>
          <w:color w:val="auto"/>
          <w:sz w:val="24"/>
          <w:szCs w:val="24"/>
          <w:lang w:val="bg-BG" w:eastAsia="bg-BG"/>
        </w:rPr>
        <w:t>Области, РИО.</w:t>
      </w:r>
      <w:r w:rsidRPr="00F25110">
        <w:rPr>
          <w:rFonts w:ascii="Times New Roman" w:eastAsia="Times New Roman" w:hAnsi="Times New Roman"/>
          <w:color w:val="auto"/>
          <w:sz w:val="24"/>
          <w:szCs w:val="24"/>
          <w:lang w:val="bg-BG" w:eastAsia="bg-BG"/>
        </w:rPr>
        <w:t xml:space="preserve"> Използвана е информация от справките, предоставена от представителите на Управляващите органи на оперативните програми в Регионалния координационен комитет към Регионалния съвет за развитие на Югоизточен  район, информация от Годишните доклади за изпълнение на общинските планове за развитие за 201</w:t>
      </w:r>
      <w:r w:rsidR="006614F6">
        <w:rPr>
          <w:rFonts w:ascii="Times New Roman" w:eastAsia="Times New Roman" w:hAnsi="Times New Roman"/>
          <w:color w:val="auto"/>
          <w:sz w:val="24"/>
          <w:szCs w:val="24"/>
          <w:lang w:val="bg-BG" w:eastAsia="bg-BG"/>
        </w:rPr>
        <w:t>4</w:t>
      </w:r>
      <w:r w:rsidRPr="00F25110">
        <w:rPr>
          <w:rFonts w:ascii="Times New Roman" w:eastAsia="Times New Roman" w:hAnsi="Times New Roman"/>
          <w:color w:val="auto"/>
          <w:sz w:val="24"/>
          <w:szCs w:val="24"/>
          <w:lang w:val="bg-BG" w:eastAsia="bg-BG"/>
        </w:rPr>
        <w:t xml:space="preserve"> г., както и данни от Информационната система за управление и наблюдение на структурните инструменти на Европейския съюз (ИСУН).</w:t>
      </w:r>
    </w:p>
    <w:p w:rsidR="00F25110" w:rsidRPr="00F25110" w:rsidRDefault="00F25110" w:rsidP="00061F4D">
      <w:pPr>
        <w:spacing w:after="0" w:line="360" w:lineRule="auto"/>
        <w:ind w:firstLine="708"/>
        <w:jc w:val="both"/>
        <w:rPr>
          <w:rFonts w:ascii="Times New Roman" w:eastAsia="Times New Roman" w:hAnsi="Times New Roman"/>
          <w:color w:val="auto"/>
          <w:sz w:val="24"/>
          <w:szCs w:val="24"/>
          <w:lang w:val="bg-BG" w:eastAsia="bg-BG"/>
        </w:rPr>
      </w:pPr>
      <w:r w:rsidRPr="00F25110">
        <w:rPr>
          <w:rFonts w:ascii="Times New Roman" w:eastAsia="Times New Roman" w:hAnsi="Times New Roman"/>
          <w:b/>
          <w:color w:val="auto"/>
          <w:sz w:val="24"/>
          <w:szCs w:val="24"/>
          <w:lang w:val="bg-BG" w:eastAsia="bg-BG"/>
        </w:rPr>
        <w:t>Годишният доклад</w:t>
      </w:r>
      <w:r w:rsidRPr="00F25110">
        <w:rPr>
          <w:rFonts w:ascii="Times New Roman" w:eastAsia="Times New Roman" w:hAnsi="Times New Roman"/>
          <w:color w:val="auto"/>
          <w:sz w:val="24"/>
          <w:szCs w:val="24"/>
          <w:lang w:val="bg-BG" w:eastAsia="bg-BG"/>
        </w:rPr>
        <w:t xml:space="preserve"> </w:t>
      </w:r>
      <w:r w:rsidRPr="00F25110">
        <w:rPr>
          <w:rFonts w:ascii="Times New Roman" w:eastAsia="Times New Roman" w:hAnsi="Times New Roman"/>
          <w:b/>
          <w:color w:val="auto"/>
          <w:sz w:val="24"/>
          <w:szCs w:val="24"/>
          <w:lang w:val="bg-BG" w:eastAsia="bg-BG"/>
        </w:rPr>
        <w:t>е разработен от</w:t>
      </w:r>
      <w:r w:rsidRPr="00F25110">
        <w:rPr>
          <w:rFonts w:ascii="Times New Roman" w:eastAsia="Times New Roman" w:hAnsi="Times New Roman"/>
          <w:color w:val="auto"/>
          <w:sz w:val="24"/>
          <w:szCs w:val="24"/>
          <w:lang w:val="bg-BG" w:eastAsia="bg-BG"/>
        </w:rPr>
        <w:t xml:space="preserve"> отдел „Стратегическо планиране и координация на регионалното развитие в Югоизточен район - Бургас “, Г</w:t>
      </w:r>
      <w:r w:rsidR="00061F4D">
        <w:rPr>
          <w:rFonts w:ascii="Times New Roman" w:eastAsia="Times New Roman" w:hAnsi="Times New Roman"/>
          <w:color w:val="auto"/>
          <w:sz w:val="24"/>
          <w:szCs w:val="24"/>
          <w:lang w:val="bg-BG" w:eastAsia="bg-BG"/>
        </w:rPr>
        <w:t xml:space="preserve">Д </w:t>
      </w:r>
      <w:r w:rsidRPr="00F25110">
        <w:rPr>
          <w:rFonts w:ascii="Times New Roman" w:eastAsia="Times New Roman" w:hAnsi="Times New Roman"/>
          <w:color w:val="auto"/>
          <w:sz w:val="24"/>
          <w:szCs w:val="24"/>
          <w:lang w:val="bg-BG" w:eastAsia="bg-BG"/>
        </w:rPr>
        <w:t>„Стратегическо планиране на регионалното развитие и административно-териториално устройство“,</w:t>
      </w:r>
      <w:r w:rsidR="00061F4D">
        <w:rPr>
          <w:rFonts w:ascii="Times New Roman" w:eastAsia="Times New Roman" w:hAnsi="Times New Roman"/>
          <w:color w:val="auto"/>
          <w:sz w:val="24"/>
          <w:szCs w:val="24"/>
          <w:lang w:val="bg-BG" w:eastAsia="bg-BG"/>
        </w:rPr>
        <w:t xml:space="preserve"> МРРБ. </w:t>
      </w:r>
      <w:r w:rsidRPr="00F25110">
        <w:rPr>
          <w:rFonts w:ascii="Times New Roman" w:eastAsia="Times New Roman" w:hAnsi="Times New Roman"/>
          <w:color w:val="auto"/>
          <w:sz w:val="24"/>
          <w:szCs w:val="24"/>
          <w:lang w:val="bg-BG" w:eastAsia="bg-BG"/>
        </w:rPr>
        <w:t xml:space="preserve">Орган за наблюдение изпълнението на РПР на ЮИР е Регионалният съвет за развитие на Югоизточен район. </w:t>
      </w:r>
      <w:r w:rsidRPr="00F25110">
        <w:rPr>
          <w:rFonts w:ascii="Times New Roman" w:eastAsia="Times New Roman" w:hAnsi="Times New Roman"/>
          <w:b/>
          <w:color w:val="auto"/>
          <w:sz w:val="24"/>
          <w:szCs w:val="24"/>
          <w:lang w:val="bg-BG" w:eastAsia="bg-BG"/>
        </w:rPr>
        <w:t>Срокът за разработване и внасяне</w:t>
      </w:r>
      <w:r w:rsidRPr="00F25110">
        <w:rPr>
          <w:rFonts w:ascii="Times New Roman" w:eastAsia="Times New Roman" w:hAnsi="Times New Roman"/>
          <w:color w:val="auto"/>
          <w:sz w:val="24"/>
          <w:szCs w:val="24"/>
          <w:lang w:val="bg-BG" w:eastAsia="bg-BG"/>
        </w:rPr>
        <w:t xml:space="preserve"> на Годишния доклад за обсъждане и одобряване е 30 юни 201</w:t>
      </w:r>
      <w:r w:rsidR="006614F6">
        <w:rPr>
          <w:rFonts w:ascii="Times New Roman" w:eastAsia="Times New Roman" w:hAnsi="Times New Roman"/>
          <w:color w:val="auto"/>
          <w:sz w:val="24"/>
          <w:szCs w:val="24"/>
          <w:lang w:val="bg-BG" w:eastAsia="bg-BG"/>
        </w:rPr>
        <w:t>5</w:t>
      </w:r>
      <w:r w:rsidRPr="00F25110">
        <w:rPr>
          <w:rFonts w:ascii="Times New Roman" w:eastAsia="Times New Roman" w:hAnsi="Times New Roman"/>
          <w:color w:val="auto"/>
          <w:sz w:val="24"/>
          <w:szCs w:val="24"/>
          <w:lang w:val="bg-BG" w:eastAsia="bg-BG"/>
        </w:rPr>
        <w:t xml:space="preserve">  година. </w:t>
      </w:r>
    </w:p>
    <w:p w:rsidR="00F25110" w:rsidRPr="00D05C97" w:rsidRDefault="00F25110" w:rsidP="00F25110">
      <w:pPr>
        <w:spacing w:after="0" w:line="360" w:lineRule="auto"/>
        <w:ind w:left="-142"/>
        <w:jc w:val="both"/>
        <w:rPr>
          <w:rFonts w:ascii="Times New Roman" w:eastAsia="Times New Roman" w:hAnsi="Times New Roman"/>
          <w:b/>
          <w:caps/>
          <w:color w:val="9B2D1F" w:themeColor="accent2"/>
          <w:sz w:val="24"/>
          <w:szCs w:val="24"/>
          <w:lang w:val="ru-RU" w:eastAsia="bg-BG"/>
        </w:rPr>
      </w:pPr>
      <w:r w:rsidRPr="00D05C97">
        <w:rPr>
          <w:rFonts w:ascii="Times New Roman" w:eastAsia="Times New Roman" w:hAnsi="Times New Roman"/>
          <w:b/>
          <w:color w:val="9B2D1F" w:themeColor="accent2"/>
          <w:sz w:val="24"/>
          <w:szCs w:val="24"/>
          <w:lang w:eastAsia="bg-BG"/>
        </w:rPr>
        <w:lastRenderedPageBreak/>
        <w:t>II</w:t>
      </w:r>
      <w:r w:rsidRPr="00D05C97">
        <w:rPr>
          <w:rFonts w:ascii="Times New Roman" w:eastAsia="Times New Roman" w:hAnsi="Times New Roman"/>
          <w:b/>
          <w:color w:val="9B2D1F" w:themeColor="accent2"/>
          <w:sz w:val="24"/>
          <w:szCs w:val="24"/>
          <w:lang w:val="bg-BG" w:eastAsia="bg-BG"/>
        </w:rPr>
        <w:t>.</w:t>
      </w:r>
      <w:r w:rsidRPr="00D05C97">
        <w:rPr>
          <w:rFonts w:ascii="Times New Roman" w:eastAsia="Times New Roman" w:hAnsi="Times New Roman"/>
          <w:b/>
          <w:caps/>
          <w:color w:val="9B2D1F" w:themeColor="accent2"/>
          <w:sz w:val="24"/>
          <w:szCs w:val="24"/>
          <w:lang w:val="bg-BG" w:eastAsia="bg-BG"/>
        </w:rPr>
        <w:t xml:space="preserve"> Общи условия за изпълнение на РЕГИОНАЛНИЯ  план за развитие</w:t>
      </w:r>
      <w:r w:rsidRPr="00D05C97">
        <w:rPr>
          <w:rFonts w:ascii="Times New Roman" w:eastAsia="Times New Roman" w:hAnsi="Times New Roman"/>
          <w:b/>
          <w:caps/>
          <w:color w:val="9B2D1F" w:themeColor="accent2"/>
          <w:sz w:val="24"/>
          <w:szCs w:val="24"/>
          <w:lang w:val="ru-RU" w:eastAsia="bg-BG"/>
        </w:rPr>
        <w:t xml:space="preserve"> НА ЮГОизточНИЯ РАЙОН</w:t>
      </w:r>
      <w:r w:rsidRPr="00D05C97">
        <w:rPr>
          <w:rFonts w:ascii="Times New Roman" w:eastAsia="Times New Roman" w:hAnsi="Times New Roman"/>
          <w:b/>
          <w:caps/>
          <w:color w:val="9B2D1F" w:themeColor="accent2"/>
          <w:sz w:val="24"/>
          <w:szCs w:val="24"/>
          <w:lang w:val="bg-BG" w:eastAsia="bg-BG"/>
        </w:rPr>
        <w:t xml:space="preserve"> и промени в социално-икономическите условия</w:t>
      </w:r>
      <w:r w:rsidRPr="00D05C97">
        <w:rPr>
          <w:rFonts w:ascii="Times New Roman" w:eastAsia="Times New Roman" w:hAnsi="Times New Roman"/>
          <w:b/>
          <w:caps/>
          <w:color w:val="9B2D1F" w:themeColor="accent2"/>
          <w:sz w:val="24"/>
          <w:szCs w:val="24"/>
          <w:lang w:val="ru-RU" w:eastAsia="bg-BG"/>
        </w:rPr>
        <w:t xml:space="preserve"> и политики за развитие на национално, регионално и местно ниво.</w:t>
      </w:r>
    </w:p>
    <w:p w:rsidR="00F25110" w:rsidRPr="00F25110" w:rsidRDefault="00F25110" w:rsidP="00F25110">
      <w:pPr>
        <w:spacing w:after="0" w:line="240" w:lineRule="auto"/>
        <w:rPr>
          <w:rFonts w:ascii="Times New Roman" w:eastAsia="Times New Roman" w:hAnsi="Times New Roman"/>
          <w:b/>
          <w:color w:val="FF0000"/>
          <w:sz w:val="24"/>
          <w:szCs w:val="24"/>
          <w:lang w:val="bg-BG" w:eastAsia="bg-BG"/>
        </w:rPr>
      </w:pPr>
    </w:p>
    <w:p w:rsidR="00F25110" w:rsidRPr="00D05C97" w:rsidRDefault="00F25110" w:rsidP="00FD1237">
      <w:pPr>
        <w:shd w:val="clear" w:color="auto" w:fill="F4B29B" w:themeFill="accent1" w:themeFillTint="66"/>
        <w:spacing w:after="0"/>
        <w:ind w:firstLine="708"/>
        <w:contextualSpacing/>
        <w:jc w:val="center"/>
        <w:outlineLvl w:val="1"/>
        <w:rPr>
          <w:rFonts w:ascii="Times New Roman" w:eastAsia="Times New Roman" w:hAnsi="Times New Roman"/>
          <w:b/>
          <w:color w:val="9B2D1F" w:themeColor="accent2"/>
          <w:sz w:val="24"/>
          <w:szCs w:val="24"/>
          <w:lang w:val="bg-BG" w:eastAsia="bg-BG"/>
        </w:rPr>
      </w:pPr>
      <w:bookmarkStart w:id="1" w:name="_Toc342325772"/>
      <w:r w:rsidRPr="00D05C97">
        <w:rPr>
          <w:rFonts w:ascii="Times New Roman" w:eastAsia="Times New Roman" w:hAnsi="Times New Roman"/>
          <w:b/>
          <w:color w:val="9B2D1F" w:themeColor="accent2"/>
          <w:sz w:val="24"/>
          <w:szCs w:val="24"/>
          <w:lang w:val="bg-BG" w:eastAsia="bg-BG"/>
        </w:rPr>
        <w:t>Кратка характеристика на Югоизточен район.</w:t>
      </w:r>
      <w:bookmarkEnd w:id="1"/>
    </w:p>
    <w:p w:rsidR="00F25110" w:rsidRPr="00F25110" w:rsidRDefault="00F25110" w:rsidP="00FD1237">
      <w:pPr>
        <w:shd w:val="clear" w:color="auto" w:fill="F4B29B" w:themeFill="accent1" w:themeFillTint="66"/>
        <w:spacing w:after="0"/>
        <w:ind w:firstLine="708"/>
        <w:contextualSpacing/>
        <w:jc w:val="both"/>
        <w:outlineLvl w:val="1"/>
        <w:rPr>
          <w:rFonts w:ascii="Times New Roman" w:eastAsia="Times New Roman" w:hAnsi="Times New Roman"/>
          <w:b/>
          <w:color w:val="FF0000"/>
          <w:sz w:val="24"/>
          <w:szCs w:val="24"/>
          <w:lang w:val="bg-BG" w:eastAsia="bg-BG"/>
        </w:rPr>
      </w:pPr>
    </w:p>
    <w:p w:rsidR="00F25110" w:rsidRPr="009D5CAF" w:rsidRDefault="00F25110" w:rsidP="00FD1237">
      <w:pPr>
        <w:shd w:val="clear" w:color="auto" w:fill="F4B29B" w:themeFill="accent1" w:themeFillTint="66"/>
        <w:spacing w:after="0" w:line="360" w:lineRule="auto"/>
        <w:ind w:firstLine="708"/>
        <w:contextualSpacing/>
        <w:jc w:val="both"/>
        <w:outlineLvl w:val="1"/>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 w:val="24"/>
          <w:szCs w:val="24"/>
          <w:lang w:val="bg-BG" w:eastAsia="bg-BG"/>
        </w:rPr>
        <w:t>Югоизточният район е част от ниво 1 ( NUTS1) „Северна и Югоизточна България”, който включва Северозападния, Северния централен и Североизточния район. В териториалния обхват на Югоизточен район (ниво NUTS 2) са включени областите: Бургас, Сливен, Стара Загора и Ямбол (ниво NUTS 3) с общо 33 общини. Площта на района е 19 799 км² и съставлява 17,8 % от територията на страната.  Териториалната структура е следната: земеделските територии са 41,87 %, горските 52,07 %, урбанизираните 4,89 %.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p w:rsidR="00760EA7" w:rsidRDefault="00760EA7" w:rsidP="00F25110">
      <w:pPr>
        <w:spacing w:after="0" w:line="360" w:lineRule="auto"/>
        <w:ind w:firstLine="360"/>
        <w:jc w:val="both"/>
        <w:rPr>
          <w:rFonts w:ascii="Times New Roman" w:eastAsia="Times New Roman" w:hAnsi="Times New Roman"/>
          <w:b/>
          <w:color w:val="9B2D1F" w:themeColor="accent2"/>
          <w:sz w:val="24"/>
          <w:szCs w:val="24"/>
          <w:lang w:val="bg-BG" w:eastAsia="bg-BG"/>
        </w:rPr>
      </w:pPr>
      <w:r>
        <w:rPr>
          <w:rFonts w:ascii="Times New Roman" w:eastAsia="Times New Roman" w:hAnsi="Times New Roman"/>
          <w:b/>
          <w:color w:val="9B2D1F" w:themeColor="accent2"/>
          <w:sz w:val="24"/>
          <w:szCs w:val="24"/>
          <w:lang w:val="bg-BG" w:eastAsia="bg-BG"/>
        </w:rPr>
        <w:t xml:space="preserve">  1.</w:t>
      </w:r>
      <w:r w:rsidRPr="00760EA7">
        <w:rPr>
          <w:lang w:val="bg-BG"/>
        </w:rPr>
        <w:t xml:space="preserve"> </w:t>
      </w:r>
      <w:r w:rsidRPr="00760EA7">
        <w:rPr>
          <w:rFonts w:ascii="Times New Roman" w:eastAsia="Times New Roman" w:hAnsi="Times New Roman"/>
          <w:b/>
          <w:color w:val="9B2D1F" w:themeColor="accent2"/>
          <w:sz w:val="24"/>
          <w:szCs w:val="24"/>
          <w:lang w:val="bg-BG" w:eastAsia="bg-BG"/>
        </w:rPr>
        <w:t>Обща условия за изпълнение на Регионалния  план за развитие на Югоизточния район и промени в социално - икономическите условия</w:t>
      </w:r>
      <w:r>
        <w:rPr>
          <w:rFonts w:ascii="Times New Roman" w:eastAsia="Times New Roman" w:hAnsi="Times New Roman"/>
          <w:b/>
          <w:color w:val="9B2D1F" w:themeColor="accent2"/>
          <w:sz w:val="24"/>
          <w:szCs w:val="24"/>
          <w:lang w:val="bg-BG" w:eastAsia="bg-BG"/>
        </w:rPr>
        <w:t>.</w:t>
      </w:r>
    </w:p>
    <w:p w:rsidR="00F25110" w:rsidRPr="00F25110" w:rsidRDefault="00F25110" w:rsidP="00F25110">
      <w:pPr>
        <w:spacing w:after="0" w:line="360" w:lineRule="auto"/>
        <w:ind w:firstLine="360"/>
        <w:jc w:val="both"/>
        <w:rPr>
          <w:rFonts w:ascii="Times New Roman" w:eastAsia="Times New Roman" w:hAnsi="Times New Roman"/>
          <w:color w:val="FF0000"/>
          <w:sz w:val="24"/>
          <w:szCs w:val="24"/>
          <w:lang w:val="bg-BG" w:eastAsia="bg-BG"/>
        </w:rPr>
      </w:pPr>
      <w:r w:rsidRPr="009D5CAF">
        <w:rPr>
          <w:rFonts w:ascii="Times New Roman" w:eastAsia="Times New Roman" w:hAnsi="Times New Roman"/>
          <w:b/>
          <w:color w:val="9B2D1F" w:themeColor="accent2"/>
          <w:sz w:val="24"/>
          <w:szCs w:val="24"/>
          <w:lang w:val="bg-BG" w:eastAsia="bg-BG"/>
        </w:rPr>
        <w:t xml:space="preserve">  </w:t>
      </w:r>
      <w:r w:rsidR="006B4D4E">
        <w:rPr>
          <w:rFonts w:ascii="Times New Roman" w:eastAsia="Times New Roman" w:hAnsi="Times New Roman"/>
          <w:b/>
          <w:color w:val="9B2D1F" w:themeColor="accent2"/>
          <w:sz w:val="24"/>
          <w:szCs w:val="24"/>
          <w:lang w:val="bg-BG" w:eastAsia="bg-BG"/>
        </w:rPr>
        <w:t>1.</w:t>
      </w:r>
      <w:r w:rsidR="00760EA7">
        <w:rPr>
          <w:rFonts w:ascii="Times New Roman" w:eastAsia="Times New Roman" w:hAnsi="Times New Roman"/>
          <w:b/>
          <w:color w:val="9B2D1F" w:themeColor="accent2"/>
          <w:sz w:val="24"/>
          <w:szCs w:val="24"/>
          <w:lang w:val="bg-BG" w:eastAsia="bg-BG"/>
        </w:rPr>
        <w:t>1</w:t>
      </w:r>
      <w:r w:rsidRPr="009D5CAF">
        <w:rPr>
          <w:rFonts w:ascii="Times New Roman" w:eastAsia="Times New Roman" w:hAnsi="Times New Roman"/>
          <w:b/>
          <w:color w:val="9B2D1F" w:themeColor="accent2"/>
          <w:sz w:val="24"/>
          <w:szCs w:val="24"/>
          <w:lang w:val="bg-BG" w:eastAsia="bg-BG"/>
        </w:rPr>
        <w:t>. Анализ и тенденции в изменението на основните икономически показатели.</w:t>
      </w:r>
    </w:p>
    <w:p w:rsidR="00F25110" w:rsidRPr="009D5CAF"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 w:val="24"/>
          <w:szCs w:val="24"/>
          <w:lang w:val="bg-BG" w:eastAsia="bg-BG"/>
        </w:rPr>
        <w:t xml:space="preserve">Стойността на произведения </w:t>
      </w:r>
      <w:r w:rsidRPr="009D5CAF">
        <w:rPr>
          <w:rFonts w:ascii="Times New Roman" w:eastAsia="Times New Roman" w:hAnsi="Times New Roman"/>
          <w:b/>
          <w:i/>
          <w:color w:val="auto"/>
          <w:sz w:val="24"/>
          <w:szCs w:val="24"/>
          <w:lang w:val="bg-BG" w:eastAsia="bg-BG"/>
        </w:rPr>
        <w:t>брутен вътрешен продукт</w:t>
      </w:r>
      <w:r w:rsidRPr="009D5CAF">
        <w:rPr>
          <w:rFonts w:ascii="Times New Roman" w:eastAsia="Times New Roman" w:hAnsi="Times New Roman"/>
          <w:color w:val="auto"/>
          <w:sz w:val="24"/>
          <w:szCs w:val="24"/>
          <w:lang w:val="bg-BG" w:eastAsia="bg-BG"/>
        </w:rPr>
        <w:t xml:space="preserve"> (</w:t>
      </w:r>
      <w:r w:rsidRPr="009D5CAF">
        <w:rPr>
          <w:rFonts w:ascii="Times New Roman" w:eastAsia="Times New Roman" w:hAnsi="Times New Roman"/>
          <w:bCs/>
          <w:color w:val="auto"/>
          <w:sz w:val="24"/>
          <w:szCs w:val="24"/>
          <w:lang w:val="bg-BG" w:eastAsia="bg-BG"/>
        </w:rPr>
        <w:t>БВП) по текущи цени</w:t>
      </w:r>
      <w:r w:rsidRPr="009D5CAF">
        <w:rPr>
          <w:rFonts w:ascii="Times New Roman" w:eastAsia="Times New Roman" w:hAnsi="Times New Roman"/>
          <w:color w:val="auto"/>
          <w:sz w:val="24"/>
          <w:szCs w:val="24"/>
          <w:lang w:val="bg-BG" w:eastAsia="bg-BG"/>
        </w:rPr>
        <w:t xml:space="preserve"> в Югоизточен район през 2012 г. възлиза на 9 784 млн. лв., което представлява нарастване със 31 % спрямо 2007 г. (7 466 млн. лв.) След регистрирания спад от 0,3% за 2009 г. спрямо 2008 г., през 2012 г. спрямо предходната е постигнат растеж от 6%. Приносът на района в икономическото развитие на страната е на сравнително високо ниво.</w:t>
      </w:r>
      <w:r w:rsidR="000C1801">
        <w:rPr>
          <w:rFonts w:ascii="Times New Roman" w:eastAsia="Times New Roman" w:hAnsi="Times New Roman"/>
          <w:color w:val="auto"/>
          <w:sz w:val="24"/>
          <w:szCs w:val="24"/>
          <w:lang w:eastAsia="bg-BG"/>
        </w:rPr>
        <w:t xml:space="preserve"> </w:t>
      </w:r>
      <w:r w:rsidRPr="009D5CAF">
        <w:rPr>
          <w:rFonts w:ascii="Times New Roman" w:eastAsia="Times New Roman" w:hAnsi="Times New Roman"/>
          <w:color w:val="auto"/>
          <w:sz w:val="24"/>
          <w:szCs w:val="24"/>
          <w:lang w:val="bg-BG" w:eastAsia="bg-BG"/>
        </w:rPr>
        <w:t>Стойността на произведения национален БВП за 2012 г. възлиза на 80 044 млн.лв. Относителният дял на ЮИР в общата стойност на БВП на страната в годините след 2007 г. се характеризира с устойчивост от около 12%. Тази тенденция се запазва и през 2012 г., през която ЮИР формира 12,2 % от БВП на страната. Районът запазва третото си място след Югозападен (47,6%) и Южен централен район (14,2%), характерно за последните години след 2007 г.</w:t>
      </w:r>
    </w:p>
    <w:p w:rsidR="00F25110" w:rsidRPr="009D5CAF"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 w:val="24"/>
          <w:szCs w:val="24"/>
          <w:lang w:val="bg-BG" w:eastAsia="bg-BG"/>
        </w:rPr>
        <w:t xml:space="preserve">На ниво области за 2012г. по данни на НСИ най-голям дял в БВП на района имат областите Бургас - 39,7% ( 3 883 млн.лв.) и Стара Загора - 39,5% (3 866 млн.лв.) Област Сливен формира 11,6% от произведения БВП в района ( 1 137 млн.лв), а област Ямбол – </w:t>
      </w:r>
      <w:r w:rsidRPr="009D5CAF">
        <w:rPr>
          <w:rFonts w:ascii="Times New Roman" w:eastAsia="Times New Roman" w:hAnsi="Times New Roman"/>
          <w:color w:val="auto"/>
          <w:sz w:val="24"/>
          <w:szCs w:val="24"/>
          <w:lang w:val="bg-BG" w:eastAsia="bg-BG"/>
        </w:rPr>
        <w:lastRenderedPageBreak/>
        <w:t>9,2% (897 млн.лв.) По отношение на формирания национален БВП област Бургас и област Стара Загора дават съответно 4,9% и 4,8%. Делът на областите  Ямбол  и Сливен  се движи в порядъка на 1,1-1,4% от БВП на страната.</w:t>
      </w:r>
    </w:p>
    <w:p w:rsidR="009D5CAF" w:rsidRDefault="009D5CAF" w:rsidP="00F25110">
      <w:pPr>
        <w:spacing w:after="0" w:line="360" w:lineRule="auto"/>
        <w:jc w:val="both"/>
        <w:rPr>
          <w:rFonts w:ascii="Times New Roman" w:eastAsia="Times New Roman" w:hAnsi="Times New Roman"/>
          <w:b/>
          <w:i/>
          <w:color w:val="auto"/>
          <w:sz w:val="24"/>
          <w:szCs w:val="24"/>
          <w:lang w:val="bg-BG" w:eastAsia="bg-BG"/>
        </w:rPr>
      </w:pPr>
    </w:p>
    <w:p w:rsidR="00F25110" w:rsidRPr="00E34A11" w:rsidRDefault="00F25110" w:rsidP="00F25110">
      <w:pPr>
        <w:spacing w:after="0" w:line="360" w:lineRule="auto"/>
        <w:jc w:val="both"/>
        <w:rPr>
          <w:rFonts w:ascii="Times New Roman" w:eastAsia="Times New Roman" w:hAnsi="Times New Roman"/>
          <w:b/>
          <w:i/>
          <w:color w:val="9B2D1F" w:themeColor="accent2"/>
          <w:sz w:val="24"/>
          <w:szCs w:val="24"/>
          <w:lang w:val="bg-BG" w:eastAsia="bg-BG"/>
        </w:rPr>
      </w:pPr>
      <w:r w:rsidRPr="00E34A11">
        <w:rPr>
          <w:rFonts w:ascii="Times New Roman" w:eastAsia="Times New Roman" w:hAnsi="Times New Roman"/>
          <w:b/>
          <w:i/>
          <w:color w:val="9B2D1F" w:themeColor="accent2"/>
          <w:sz w:val="24"/>
          <w:szCs w:val="24"/>
          <w:lang w:val="bg-BG" w:eastAsia="bg-BG"/>
        </w:rPr>
        <w:t>Таблица 1. Брутен вътрешен продукт по текущи цени за периода 2007-2012 г.</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417"/>
        <w:gridCol w:w="1134"/>
        <w:gridCol w:w="1276"/>
        <w:gridCol w:w="1276"/>
        <w:gridCol w:w="1276"/>
        <w:gridCol w:w="1134"/>
      </w:tblGrid>
      <w:tr w:rsidR="00F25110" w:rsidRPr="009D5CAF" w:rsidTr="006614F6">
        <w:trPr>
          <w:trHeight w:val="307"/>
        </w:trPr>
        <w:tc>
          <w:tcPr>
            <w:tcW w:w="1985" w:type="dxa"/>
            <w:vMerge w:val="restart"/>
            <w:tcBorders>
              <w:top w:val="thinThickThinSmallGap" w:sz="24" w:space="0" w:color="auto"/>
              <w:left w:val="thinThickThinSmallGap" w:sz="24" w:space="0" w:color="auto"/>
            </w:tcBorders>
            <w:shd w:val="clear" w:color="auto" w:fill="auto"/>
          </w:tcPr>
          <w:p w:rsidR="00F25110" w:rsidRPr="009D5CAF" w:rsidRDefault="00F25110" w:rsidP="00F25110">
            <w:pPr>
              <w:spacing w:after="0"/>
              <w:contextualSpacing/>
              <w:jc w:val="center"/>
              <w:rPr>
                <w:rFonts w:ascii="Times New Roman" w:eastAsia="Times New Roman" w:hAnsi="Times New Roman"/>
                <w:b/>
                <w:bCs/>
                <w:i/>
                <w:color w:val="auto"/>
                <w:sz w:val="24"/>
                <w:szCs w:val="24"/>
                <w:lang w:val="bg-BG" w:eastAsia="bg-BG"/>
              </w:rPr>
            </w:pPr>
            <w:r w:rsidRPr="009D5CAF">
              <w:rPr>
                <w:rFonts w:ascii="Times New Roman" w:eastAsia="Times New Roman" w:hAnsi="Times New Roman"/>
                <w:b/>
                <w:bCs/>
                <w:i/>
                <w:color w:val="auto"/>
                <w:szCs w:val="22"/>
                <w:lang w:val="bg-BG" w:eastAsia="bg-BG"/>
              </w:rPr>
              <w:t>Район, област</w:t>
            </w:r>
          </w:p>
        </w:tc>
        <w:tc>
          <w:tcPr>
            <w:tcW w:w="7513" w:type="dxa"/>
            <w:gridSpan w:val="6"/>
            <w:tcBorders>
              <w:top w:val="thinThickThinSmallGap" w:sz="24" w:space="0" w:color="auto"/>
              <w:right w:val="thinThickThinSmallGap" w:sz="24" w:space="0" w:color="auto"/>
            </w:tcBorders>
            <w:shd w:val="clear" w:color="auto" w:fill="auto"/>
          </w:tcPr>
          <w:p w:rsidR="00F25110" w:rsidRPr="009D5CAF" w:rsidRDefault="00F25110" w:rsidP="00F25110">
            <w:pPr>
              <w:spacing w:after="0"/>
              <w:contextualSpacing/>
              <w:rPr>
                <w:rFonts w:ascii="Times New Roman" w:eastAsia="Times New Roman" w:hAnsi="Times New Roman"/>
                <w:b/>
                <w:bCs/>
                <w:i/>
                <w:color w:val="auto"/>
                <w:sz w:val="24"/>
                <w:szCs w:val="24"/>
                <w:lang w:val="bg-BG" w:eastAsia="bg-BG"/>
              </w:rPr>
            </w:pPr>
            <w:r w:rsidRPr="009D5CAF">
              <w:rPr>
                <w:rFonts w:ascii="Times New Roman" w:eastAsia="Times New Roman" w:hAnsi="Times New Roman"/>
                <w:b/>
                <w:bCs/>
                <w:i/>
                <w:color w:val="auto"/>
                <w:szCs w:val="22"/>
                <w:lang w:val="bg-BG" w:eastAsia="bg-BG"/>
              </w:rPr>
              <w:t xml:space="preserve">                                       БВП по текущи цени (млн. лв.)</w:t>
            </w:r>
          </w:p>
        </w:tc>
      </w:tr>
      <w:tr w:rsidR="00F25110" w:rsidRPr="009D5CAF" w:rsidTr="006614F6">
        <w:trPr>
          <w:trHeight w:val="34"/>
        </w:trPr>
        <w:tc>
          <w:tcPr>
            <w:tcW w:w="1985" w:type="dxa"/>
            <w:vMerge/>
            <w:tcBorders>
              <w:left w:val="thinThickThinSmallGap" w:sz="24" w:space="0" w:color="auto"/>
            </w:tcBorders>
            <w:shd w:val="clear" w:color="auto" w:fill="auto"/>
          </w:tcPr>
          <w:p w:rsidR="00F25110" w:rsidRPr="009D5CAF" w:rsidRDefault="00F25110" w:rsidP="00F25110">
            <w:pPr>
              <w:spacing w:after="0"/>
              <w:contextualSpacing/>
              <w:rPr>
                <w:rFonts w:ascii="Times New Roman" w:eastAsia="Times New Roman" w:hAnsi="Times New Roman"/>
                <w:b/>
                <w:bCs/>
                <w:i/>
                <w:color w:val="auto"/>
                <w:sz w:val="24"/>
                <w:szCs w:val="24"/>
                <w:lang w:val="bg-BG" w:eastAsia="bg-BG"/>
              </w:rPr>
            </w:pPr>
          </w:p>
        </w:tc>
        <w:tc>
          <w:tcPr>
            <w:tcW w:w="1417" w:type="dxa"/>
            <w:shd w:val="clear" w:color="auto" w:fill="auto"/>
            <w:vAlign w:val="center"/>
          </w:tcPr>
          <w:p w:rsidR="00F25110" w:rsidRPr="009D5CAF" w:rsidRDefault="00F25110" w:rsidP="00F25110">
            <w:pPr>
              <w:spacing w:after="0"/>
              <w:contextualSpacing/>
              <w:jc w:val="center"/>
              <w:rPr>
                <w:rFonts w:ascii="Times New Roman" w:eastAsia="Times New Roman" w:hAnsi="Times New Roman"/>
                <w:b/>
                <w:bCs/>
                <w:i/>
                <w:color w:val="auto"/>
                <w:sz w:val="24"/>
                <w:szCs w:val="24"/>
                <w:lang w:val="bg-BG" w:eastAsia="bg-BG"/>
              </w:rPr>
            </w:pPr>
            <w:r w:rsidRPr="009D5CAF">
              <w:rPr>
                <w:rFonts w:ascii="Times New Roman" w:eastAsia="Times New Roman" w:hAnsi="Times New Roman"/>
                <w:b/>
                <w:bCs/>
                <w:i/>
                <w:color w:val="auto"/>
                <w:szCs w:val="22"/>
                <w:lang w:val="bg-BG" w:eastAsia="bg-BG"/>
              </w:rPr>
              <w:t>2007 г.</w:t>
            </w:r>
          </w:p>
        </w:tc>
        <w:tc>
          <w:tcPr>
            <w:tcW w:w="1134" w:type="dxa"/>
            <w:shd w:val="clear" w:color="auto" w:fill="auto"/>
            <w:vAlign w:val="center"/>
          </w:tcPr>
          <w:p w:rsidR="00F25110" w:rsidRPr="009D5CAF" w:rsidRDefault="00F25110" w:rsidP="00F25110">
            <w:pPr>
              <w:spacing w:after="0"/>
              <w:contextualSpacing/>
              <w:jc w:val="center"/>
              <w:rPr>
                <w:rFonts w:ascii="Times New Roman" w:eastAsia="Times New Roman" w:hAnsi="Times New Roman"/>
                <w:b/>
                <w:bCs/>
                <w:i/>
                <w:color w:val="auto"/>
                <w:sz w:val="24"/>
                <w:szCs w:val="24"/>
                <w:lang w:val="bg-BG" w:eastAsia="bg-BG"/>
              </w:rPr>
            </w:pPr>
            <w:r w:rsidRPr="009D5CAF">
              <w:rPr>
                <w:rFonts w:ascii="Times New Roman" w:eastAsia="Times New Roman" w:hAnsi="Times New Roman"/>
                <w:b/>
                <w:bCs/>
                <w:i/>
                <w:color w:val="auto"/>
                <w:szCs w:val="22"/>
                <w:lang w:val="bg-BG" w:eastAsia="bg-BG"/>
              </w:rPr>
              <w:t>2008 г.</w:t>
            </w:r>
          </w:p>
        </w:tc>
        <w:tc>
          <w:tcPr>
            <w:tcW w:w="1276" w:type="dxa"/>
            <w:shd w:val="clear" w:color="auto" w:fill="auto"/>
            <w:vAlign w:val="center"/>
          </w:tcPr>
          <w:p w:rsidR="00F25110" w:rsidRPr="009D5CAF" w:rsidRDefault="00F25110" w:rsidP="00F25110">
            <w:pPr>
              <w:spacing w:after="0"/>
              <w:contextualSpacing/>
              <w:jc w:val="center"/>
              <w:rPr>
                <w:rFonts w:ascii="Times New Roman" w:eastAsia="Times New Roman" w:hAnsi="Times New Roman"/>
                <w:b/>
                <w:bCs/>
                <w:i/>
                <w:color w:val="auto"/>
                <w:sz w:val="24"/>
                <w:szCs w:val="24"/>
                <w:lang w:val="bg-BG" w:eastAsia="bg-BG"/>
              </w:rPr>
            </w:pPr>
            <w:r w:rsidRPr="009D5CAF">
              <w:rPr>
                <w:rFonts w:ascii="Times New Roman" w:eastAsia="Times New Roman" w:hAnsi="Times New Roman"/>
                <w:b/>
                <w:bCs/>
                <w:i/>
                <w:color w:val="auto"/>
                <w:szCs w:val="22"/>
                <w:lang w:val="bg-BG" w:eastAsia="bg-BG"/>
              </w:rPr>
              <w:t>2009 г.</w:t>
            </w:r>
          </w:p>
        </w:tc>
        <w:tc>
          <w:tcPr>
            <w:tcW w:w="1276" w:type="dxa"/>
            <w:shd w:val="clear" w:color="auto" w:fill="auto"/>
            <w:vAlign w:val="center"/>
          </w:tcPr>
          <w:p w:rsidR="00F25110" w:rsidRPr="009D5CAF" w:rsidRDefault="00F25110" w:rsidP="00F25110">
            <w:pPr>
              <w:spacing w:after="0"/>
              <w:contextualSpacing/>
              <w:jc w:val="center"/>
              <w:rPr>
                <w:rFonts w:ascii="Times New Roman" w:eastAsia="Times New Roman" w:hAnsi="Times New Roman"/>
                <w:b/>
                <w:bCs/>
                <w:i/>
                <w:color w:val="auto"/>
                <w:sz w:val="24"/>
                <w:szCs w:val="24"/>
                <w:lang w:val="bg-BG" w:eastAsia="bg-BG"/>
              </w:rPr>
            </w:pPr>
            <w:r w:rsidRPr="009D5CAF">
              <w:rPr>
                <w:rFonts w:ascii="Times New Roman" w:eastAsia="Times New Roman" w:hAnsi="Times New Roman"/>
                <w:b/>
                <w:bCs/>
                <w:i/>
                <w:color w:val="auto"/>
                <w:szCs w:val="22"/>
                <w:lang w:val="bg-BG" w:eastAsia="bg-BG"/>
              </w:rPr>
              <w:t>2010 г.</w:t>
            </w:r>
          </w:p>
        </w:tc>
        <w:tc>
          <w:tcPr>
            <w:tcW w:w="1276" w:type="dxa"/>
            <w:vAlign w:val="center"/>
          </w:tcPr>
          <w:p w:rsidR="00F25110" w:rsidRPr="009D5CAF" w:rsidRDefault="00F25110" w:rsidP="00F25110">
            <w:pPr>
              <w:spacing w:after="0"/>
              <w:contextualSpacing/>
              <w:jc w:val="center"/>
              <w:rPr>
                <w:rFonts w:ascii="Times New Roman" w:eastAsia="Times New Roman" w:hAnsi="Times New Roman"/>
                <w:b/>
                <w:bCs/>
                <w:i/>
                <w:color w:val="auto"/>
                <w:sz w:val="24"/>
                <w:szCs w:val="24"/>
                <w:lang w:val="bg-BG" w:eastAsia="bg-BG"/>
              </w:rPr>
            </w:pPr>
            <w:r w:rsidRPr="009D5CAF">
              <w:rPr>
                <w:rFonts w:ascii="Times New Roman" w:eastAsia="Times New Roman" w:hAnsi="Times New Roman"/>
                <w:b/>
                <w:bCs/>
                <w:i/>
                <w:color w:val="auto"/>
                <w:szCs w:val="22"/>
                <w:lang w:val="bg-BG" w:eastAsia="bg-BG"/>
              </w:rPr>
              <w:t>2011г.</w:t>
            </w:r>
          </w:p>
        </w:tc>
        <w:tc>
          <w:tcPr>
            <w:tcW w:w="1134" w:type="dxa"/>
            <w:tcBorders>
              <w:right w:val="thinThickThinSmallGap" w:sz="24" w:space="0" w:color="auto"/>
            </w:tcBorders>
            <w:shd w:val="clear" w:color="auto" w:fill="auto"/>
            <w:vAlign w:val="center"/>
          </w:tcPr>
          <w:p w:rsidR="00F25110" w:rsidRPr="009D5CAF" w:rsidRDefault="00F25110" w:rsidP="00F25110">
            <w:pPr>
              <w:spacing w:after="0"/>
              <w:contextualSpacing/>
              <w:jc w:val="center"/>
              <w:rPr>
                <w:rFonts w:ascii="Times New Roman" w:eastAsia="Times New Roman" w:hAnsi="Times New Roman"/>
                <w:b/>
                <w:bCs/>
                <w:i/>
                <w:color w:val="auto"/>
                <w:sz w:val="24"/>
                <w:szCs w:val="24"/>
                <w:lang w:val="bg-BG" w:eastAsia="bg-BG"/>
              </w:rPr>
            </w:pPr>
            <w:r w:rsidRPr="009D5CAF">
              <w:rPr>
                <w:rFonts w:ascii="Times New Roman" w:eastAsia="Times New Roman" w:hAnsi="Times New Roman"/>
                <w:b/>
                <w:bCs/>
                <w:i/>
                <w:color w:val="auto"/>
                <w:szCs w:val="22"/>
                <w:lang w:eastAsia="bg-BG"/>
              </w:rPr>
              <w:t>2012</w:t>
            </w:r>
            <w:r w:rsidRPr="009D5CAF">
              <w:rPr>
                <w:rFonts w:ascii="Times New Roman" w:eastAsia="Times New Roman" w:hAnsi="Times New Roman"/>
                <w:b/>
                <w:bCs/>
                <w:i/>
                <w:color w:val="auto"/>
                <w:szCs w:val="22"/>
                <w:lang w:val="bg-BG" w:eastAsia="bg-BG"/>
              </w:rPr>
              <w:t>г.</w:t>
            </w:r>
          </w:p>
        </w:tc>
      </w:tr>
      <w:tr w:rsidR="00E34A11" w:rsidRPr="009D5CAF" w:rsidTr="00E34A11">
        <w:trPr>
          <w:trHeight w:val="307"/>
        </w:trPr>
        <w:tc>
          <w:tcPr>
            <w:tcW w:w="1985" w:type="dxa"/>
            <w:tcBorders>
              <w:left w:val="thinThickThinSmallGap" w:sz="24" w:space="0" w:color="auto"/>
            </w:tcBorders>
            <w:shd w:val="clear" w:color="auto" w:fill="F4B29B" w:themeFill="accent1" w:themeFillTint="66"/>
          </w:tcPr>
          <w:p w:rsidR="00F25110" w:rsidRPr="0040738C" w:rsidRDefault="00F25110" w:rsidP="00F25110">
            <w:pPr>
              <w:spacing w:after="0"/>
              <w:contextualSpacing/>
              <w:rPr>
                <w:rFonts w:ascii="Times New Roman" w:eastAsia="Times New Roman" w:hAnsi="Times New Roman"/>
                <w:b/>
                <w:bCs/>
                <w:i/>
                <w:color w:val="9B2D1F" w:themeColor="accent2"/>
                <w:sz w:val="24"/>
                <w:szCs w:val="24"/>
                <w:lang w:val="bg-BG" w:eastAsia="bg-BG"/>
              </w:rPr>
            </w:pPr>
            <w:r w:rsidRPr="0040738C">
              <w:rPr>
                <w:rFonts w:ascii="Times New Roman" w:eastAsia="Times New Roman" w:hAnsi="Times New Roman"/>
                <w:b/>
                <w:bCs/>
                <w:i/>
                <w:color w:val="9B2D1F" w:themeColor="accent2"/>
                <w:szCs w:val="22"/>
                <w:lang w:val="bg-BG" w:eastAsia="bg-BG"/>
              </w:rPr>
              <w:t>БЪЛГАРИЯ</w:t>
            </w:r>
          </w:p>
        </w:tc>
        <w:tc>
          <w:tcPr>
            <w:tcW w:w="1417" w:type="dxa"/>
            <w:shd w:val="clear" w:color="auto" w:fill="F4B29B" w:themeFill="accent1" w:themeFillTint="66"/>
            <w:noWrap/>
            <w:vAlign w:val="center"/>
          </w:tcPr>
          <w:p w:rsidR="00F25110" w:rsidRPr="0040738C"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40738C">
              <w:rPr>
                <w:rFonts w:ascii="Times New Roman" w:eastAsia="Times New Roman" w:hAnsi="Times New Roman"/>
                <w:b/>
                <w:color w:val="9B2D1F" w:themeColor="accent2"/>
                <w:szCs w:val="22"/>
                <w:lang w:val="bg-BG" w:eastAsia="bg-BG"/>
              </w:rPr>
              <w:t>62 358</w:t>
            </w:r>
          </w:p>
        </w:tc>
        <w:tc>
          <w:tcPr>
            <w:tcW w:w="1134" w:type="dxa"/>
            <w:shd w:val="clear" w:color="auto" w:fill="F4B29B" w:themeFill="accent1" w:themeFillTint="66"/>
            <w:vAlign w:val="center"/>
          </w:tcPr>
          <w:p w:rsidR="00F25110" w:rsidRPr="0040738C"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40738C">
              <w:rPr>
                <w:rFonts w:ascii="Times New Roman" w:eastAsia="Times New Roman" w:hAnsi="Times New Roman"/>
                <w:b/>
                <w:color w:val="9B2D1F" w:themeColor="accent2"/>
                <w:szCs w:val="22"/>
                <w:lang w:val="bg-BG" w:eastAsia="bg-BG"/>
              </w:rPr>
              <w:t>71 289</w:t>
            </w:r>
          </w:p>
        </w:tc>
        <w:tc>
          <w:tcPr>
            <w:tcW w:w="1276" w:type="dxa"/>
            <w:shd w:val="clear" w:color="auto" w:fill="F4B29B" w:themeFill="accent1" w:themeFillTint="66"/>
            <w:vAlign w:val="center"/>
          </w:tcPr>
          <w:p w:rsidR="00F25110" w:rsidRPr="0040738C"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40738C">
              <w:rPr>
                <w:rFonts w:ascii="Times New Roman" w:eastAsia="Times New Roman" w:hAnsi="Times New Roman"/>
                <w:b/>
                <w:color w:val="9B2D1F" w:themeColor="accent2"/>
                <w:szCs w:val="22"/>
                <w:lang w:val="bg-BG" w:eastAsia="bg-BG"/>
              </w:rPr>
              <w:t>70 562</w:t>
            </w:r>
          </w:p>
        </w:tc>
        <w:tc>
          <w:tcPr>
            <w:tcW w:w="1276" w:type="dxa"/>
            <w:shd w:val="clear" w:color="auto" w:fill="F4B29B" w:themeFill="accent1" w:themeFillTint="66"/>
            <w:noWrap/>
            <w:vAlign w:val="center"/>
          </w:tcPr>
          <w:p w:rsidR="00F25110" w:rsidRPr="0040738C"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40738C">
              <w:rPr>
                <w:rFonts w:ascii="Times New Roman" w:eastAsia="Times New Roman" w:hAnsi="Times New Roman"/>
                <w:b/>
                <w:color w:val="9B2D1F" w:themeColor="accent2"/>
                <w:szCs w:val="22"/>
                <w:lang w:val="bg-BG" w:eastAsia="bg-BG"/>
              </w:rPr>
              <w:t>71 904</w:t>
            </w:r>
          </w:p>
        </w:tc>
        <w:tc>
          <w:tcPr>
            <w:tcW w:w="1276" w:type="dxa"/>
            <w:shd w:val="clear" w:color="auto" w:fill="F4B29B" w:themeFill="accent1" w:themeFillTint="66"/>
            <w:vAlign w:val="center"/>
          </w:tcPr>
          <w:p w:rsidR="00F25110" w:rsidRPr="0040738C"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40738C">
              <w:rPr>
                <w:rFonts w:ascii="Times New Roman" w:eastAsia="Times New Roman" w:hAnsi="Times New Roman"/>
                <w:b/>
                <w:color w:val="9B2D1F" w:themeColor="accent2"/>
                <w:szCs w:val="22"/>
                <w:lang w:val="bg-BG" w:eastAsia="bg-BG"/>
              </w:rPr>
              <w:t>78 434</w:t>
            </w:r>
          </w:p>
        </w:tc>
        <w:tc>
          <w:tcPr>
            <w:tcW w:w="1134" w:type="dxa"/>
            <w:tcBorders>
              <w:right w:val="thinThickThinSmallGap" w:sz="24" w:space="0" w:color="auto"/>
            </w:tcBorders>
            <w:shd w:val="clear" w:color="auto" w:fill="F4B29B" w:themeFill="accent1" w:themeFillTint="66"/>
            <w:noWrap/>
            <w:vAlign w:val="center"/>
          </w:tcPr>
          <w:p w:rsidR="00F25110" w:rsidRPr="0040738C" w:rsidRDefault="00F25110" w:rsidP="00F25110">
            <w:pPr>
              <w:spacing w:after="0"/>
              <w:contextualSpacing/>
              <w:jc w:val="center"/>
              <w:rPr>
                <w:rFonts w:ascii="Times New Roman" w:eastAsia="Times New Roman" w:hAnsi="Times New Roman"/>
                <w:b/>
                <w:bCs/>
                <w:color w:val="9B2D1F" w:themeColor="accent2"/>
                <w:sz w:val="24"/>
                <w:szCs w:val="24"/>
                <w:lang w:val="bg-BG" w:eastAsia="bg-BG"/>
              </w:rPr>
            </w:pPr>
            <w:r w:rsidRPr="0040738C">
              <w:rPr>
                <w:rFonts w:ascii="Times New Roman" w:eastAsia="Times New Roman" w:hAnsi="Times New Roman"/>
                <w:b/>
                <w:bCs/>
                <w:color w:val="9B2D1F" w:themeColor="accent2"/>
                <w:szCs w:val="22"/>
                <w:lang w:val="bg-BG" w:eastAsia="bg-BG"/>
              </w:rPr>
              <w:t>80 044</w:t>
            </w:r>
          </w:p>
        </w:tc>
      </w:tr>
      <w:tr w:rsidR="00F25110" w:rsidRPr="009D5CAF" w:rsidTr="006614F6">
        <w:trPr>
          <w:trHeight w:val="322"/>
        </w:trPr>
        <w:tc>
          <w:tcPr>
            <w:tcW w:w="1985" w:type="dxa"/>
            <w:tcBorders>
              <w:left w:val="thinThickThinSmallGap" w:sz="24" w:space="0" w:color="auto"/>
            </w:tcBorders>
            <w:shd w:val="clear" w:color="auto" w:fill="auto"/>
          </w:tcPr>
          <w:p w:rsidR="00F25110" w:rsidRPr="009D5CAF" w:rsidRDefault="00F25110" w:rsidP="00F25110">
            <w:pPr>
              <w:spacing w:after="0"/>
              <w:contextualSpacing/>
              <w:rPr>
                <w:rFonts w:ascii="Times New Roman" w:eastAsia="Times New Roman" w:hAnsi="Times New Roman"/>
                <w:b/>
                <w:bCs/>
                <w:i/>
                <w:iCs/>
                <w:color w:val="auto"/>
                <w:sz w:val="24"/>
                <w:szCs w:val="24"/>
                <w:lang w:val="bg-BG" w:eastAsia="bg-BG"/>
              </w:rPr>
            </w:pPr>
            <w:r w:rsidRPr="009D5CAF">
              <w:rPr>
                <w:rFonts w:ascii="Times New Roman" w:eastAsia="Times New Roman" w:hAnsi="Times New Roman"/>
                <w:b/>
                <w:bCs/>
                <w:i/>
                <w:iCs/>
                <w:color w:val="auto"/>
                <w:szCs w:val="22"/>
                <w:lang w:val="bg-BG" w:eastAsia="bg-BG"/>
              </w:rPr>
              <w:t>Северозападен район</w:t>
            </w:r>
          </w:p>
        </w:tc>
        <w:tc>
          <w:tcPr>
            <w:tcW w:w="1417" w:type="dxa"/>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5 107</w:t>
            </w:r>
          </w:p>
        </w:tc>
        <w:tc>
          <w:tcPr>
            <w:tcW w:w="1134" w:type="dxa"/>
            <w:shd w:val="clear" w:color="auto" w:fill="auto"/>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5 614</w:t>
            </w:r>
          </w:p>
        </w:tc>
        <w:tc>
          <w:tcPr>
            <w:tcW w:w="1276" w:type="dxa"/>
            <w:shd w:val="clear" w:color="auto" w:fill="auto"/>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5 322</w:t>
            </w:r>
          </w:p>
        </w:tc>
        <w:tc>
          <w:tcPr>
            <w:tcW w:w="1276" w:type="dxa"/>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5 205</w:t>
            </w:r>
          </w:p>
        </w:tc>
        <w:tc>
          <w:tcPr>
            <w:tcW w:w="1276" w:type="dxa"/>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5 656</w:t>
            </w:r>
          </w:p>
        </w:tc>
        <w:tc>
          <w:tcPr>
            <w:tcW w:w="1134" w:type="dxa"/>
            <w:tcBorders>
              <w:right w:val="thinThickThinSmallGap" w:sz="24" w:space="0" w:color="auto"/>
            </w:tcBorders>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5 658</w:t>
            </w:r>
          </w:p>
        </w:tc>
      </w:tr>
      <w:tr w:rsidR="00F25110" w:rsidRPr="009D5CAF" w:rsidTr="006614F6">
        <w:trPr>
          <w:trHeight w:val="600"/>
        </w:trPr>
        <w:tc>
          <w:tcPr>
            <w:tcW w:w="1985" w:type="dxa"/>
            <w:tcBorders>
              <w:left w:val="thinThickThinSmallGap" w:sz="24" w:space="0" w:color="auto"/>
            </w:tcBorders>
            <w:shd w:val="clear" w:color="auto" w:fill="auto"/>
          </w:tcPr>
          <w:p w:rsidR="00F25110" w:rsidRPr="009D5CAF" w:rsidRDefault="00F25110" w:rsidP="00F25110">
            <w:pPr>
              <w:spacing w:after="0"/>
              <w:contextualSpacing/>
              <w:rPr>
                <w:rFonts w:ascii="Times New Roman" w:eastAsia="Times New Roman" w:hAnsi="Times New Roman"/>
                <w:b/>
                <w:bCs/>
                <w:i/>
                <w:iCs/>
                <w:color w:val="auto"/>
                <w:sz w:val="24"/>
                <w:szCs w:val="24"/>
                <w:lang w:val="bg-BG" w:eastAsia="bg-BG"/>
              </w:rPr>
            </w:pPr>
            <w:r w:rsidRPr="009D5CAF">
              <w:rPr>
                <w:rFonts w:ascii="Times New Roman" w:eastAsia="Times New Roman" w:hAnsi="Times New Roman"/>
                <w:b/>
                <w:bCs/>
                <w:i/>
                <w:iCs/>
                <w:color w:val="auto"/>
                <w:szCs w:val="22"/>
                <w:lang w:val="bg-BG" w:eastAsia="bg-BG"/>
              </w:rPr>
              <w:t>Северен централен район</w:t>
            </w:r>
          </w:p>
        </w:tc>
        <w:tc>
          <w:tcPr>
            <w:tcW w:w="1417" w:type="dxa"/>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5 385</w:t>
            </w:r>
          </w:p>
        </w:tc>
        <w:tc>
          <w:tcPr>
            <w:tcW w:w="1134" w:type="dxa"/>
            <w:shd w:val="clear" w:color="auto" w:fill="auto"/>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5 978</w:t>
            </w:r>
          </w:p>
        </w:tc>
        <w:tc>
          <w:tcPr>
            <w:tcW w:w="1276" w:type="dxa"/>
            <w:shd w:val="clear" w:color="auto" w:fill="auto"/>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5 779</w:t>
            </w:r>
          </w:p>
        </w:tc>
        <w:tc>
          <w:tcPr>
            <w:tcW w:w="1276" w:type="dxa"/>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5 637</w:t>
            </w:r>
          </w:p>
        </w:tc>
        <w:tc>
          <w:tcPr>
            <w:tcW w:w="1276" w:type="dxa"/>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6 192</w:t>
            </w:r>
          </w:p>
        </w:tc>
        <w:tc>
          <w:tcPr>
            <w:tcW w:w="1134" w:type="dxa"/>
            <w:tcBorders>
              <w:right w:val="thinThickThinSmallGap" w:sz="24" w:space="0" w:color="auto"/>
            </w:tcBorders>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6 408</w:t>
            </w:r>
          </w:p>
        </w:tc>
      </w:tr>
      <w:tr w:rsidR="00F25110" w:rsidRPr="009D5CAF" w:rsidTr="006614F6">
        <w:trPr>
          <w:trHeight w:val="307"/>
        </w:trPr>
        <w:tc>
          <w:tcPr>
            <w:tcW w:w="1985" w:type="dxa"/>
            <w:tcBorders>
              <w:left w:val="thinThickThinSmallGap" w:sz="24" w:space="0" w:color="auto"/>
            </w:tcBorders>
            <w:shd w:val="clear" w:color="auto" w:fill="auto"/>
          </w:tcPr>
          <w:p w:rsidR="00F25110" w:rsidRPr="009D5CAF" w:rsidRDefault="00F25110" w:rsidP="00F25110">
            <w:pPr>
              <w:spacing w:after="0"/>
              <w:contextualSpacing/>
              <w:rPr>
                <w:rFonts w:ascii="Times New Roman" w:eastAsia="Times New Roman" w:hAnsi="Times New Roman"/>
                <w:b/>
                <w:bCs/>
                <w:i/>
                <w:iCs/>
                <w:color w:val="auto"/>
                <w:sz w:val="24"/>
                <w:szCs w:val="24"/>
                <w:lang w:val="bg-BG" w:eastAsia="bg-BG"/>
              </w:rPr>
            </w:pPr>
            <w:r w:rsidRPr="009D5CAF">
              <w:rPr>
                <w:rFonts w:ascii="Times New Roman" w:eastAsia="Times New Roman" w:hAnsi="Times New Roman"/>
                <w:b/>
                <w:bCs/>
                <w:i/>
                <w:iCs/>
                <w:color w:val="auto"/>
                <w:szCs w:val="22"/>
                <w:lang w:val="bg-BG" w:eastAsia="bg-BG"/>
              </w:rPr>
              <w:t>Североизточен район</w:t>
            </w:r>
          </w:p>
        </w:tc>
        <w:tc>
          <w:tcPr>
            <w:tcW w:w="1417" w:type="dxa"/>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6 927</w:t>
            </w:r>
          </w:p>
        </w:tc>
        <w:tc>
          <w:tcPr>
            <w:tcW w:w="1134" w:type="dxa"/>
            <w:shd w:val="clear" w:color="auto" w:fill="auto"/>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8 018</w:t>
            </w:r>
          </w:p>
        </w:tc>
        <w:tc>
          <w:tcPr>
            <w:tcW w:w="1276" w:type="dxa"/>
            <w:shd w:val="clear" w:color="auto" w:fill="auto"/>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7 559</w:t>
            </w:r>
          </w:p>
        </w:tc>
        <w:tc>
          <w:tcPr>
            <w:tcW w:w="1276" w:type="dxa"/>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7 625</w:t>
            </w:r>
          </w:p>
        </w:tc>
        <w:tc>
          <w:tcPr>
            <w:tcW w:w="1276" w:type="dxa"/>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8 350</w:t>
            </w:r>
          </w:p>
        </w:tc>
        <w:tc>
          <w:tcPr>
            <w:tcW w:w="1134" w:type="dxa"/>
            <w:tcBorders>
              <w:right w:val="thinThickThinSmallGap" w:sz="24" w:space="0" w:color="auto"/>
            </w:tcBorders>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8 711</w:t>
            </w:r>
          </w:p>
        </w:tc>
      </w:tr>
      <w:tr w:rsidR="00F25110" w:rsidRPr="009D5CAF" w:rsidTr="006614F6">
        <w:trPr>
          <w:trHeight w:val="538"/>
        </w:trPr>
        <w:tc>
          <w:tcPr>
            <w:tcW w:w="1985" w:type="dxa"/>
            <w:tcBorders>
              <w:left w:val="thinThickThinSmallGap" w:sz="24" w:space="0" w:color="auto"/>
            </w:tcBorders>
            <w:shd w:val="clear" w:color="auto" w:fill="auto"/>
          </w:tcPr>
          <w:p w:rsidR="00F25110" w:rsidRPr="009D5CAF" w:rsidRDefault="00F25110" w:rsidP="00F25110">
            <w:pPr>
              <w:spacing w:after="0"/>
              <w:contextualSpacing/>
              <w:rPr>
                <w:rFonts w:ascii="Times New Roman" w:eastAsia="Times New Roman" w:hAnsi="Times New Roman"/>
                <w:b/>
                <w:bCs/>
                <w:i/>
                <w:iCs/>
                <w:color w:val="auto"/>
                <w:sz w:val="24"/>
                <w:szCs w:val="24"/>
                <w:lang w:val="bg-BG" w:eastAsia="bg-BG"/>
              </w:rPr>
            </w:pPr>
            <w:r w:rsidRPr="009D5CAF">
              <w:rPr>
                <w:rFonts w:ascii="Times New Roman" w:eastAsia="Times New Roman" w:hAnsi="Times New Roman"/>
                <w:b/>
                <w:bCs/>
                <w:i/>
                <w:iCs/>
                <w:color w:val="auto"/>
                <w:szCs w:val="22"/>
                <w:lang w:val="bg-BG" w:eastAsia="bg-BG"/>
              </w:rPr>
              <w:t>Югозападен район</w:t>
            </w:r>
          </w:p>
        </w:tc>
        <w:tc>
          <w:tcPr>
            <w:tcW w:w="1417" w:type="dxa"/>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28 417</w:t>
            </w:r>
          </w:p>
        </w:tc>
        <w:tc>
          <w:tcPr>
            <w:tcW w:w="1134" w:type="dxa"/>
            <w:shd w:val="clear" w:color="auto" w:fill="auto"/>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32 972</w:t>
            </w:r>
          </w:p>
        </w:tc>
        <w:tc>
          <w:tcPr>
            <w:tcW w:w="1276" w:type="dxa"/>
            <w:shd w:val="clear" w:color="auto" w:fill="auto"/>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33 281</w:t>
            </w:r>
          </w:p>
        </w:tc>
        <w:tc>
          <w:tcPr>
            <w:tcW w:w="1276" w:type="dxa"/>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34 539</w:t>
            </w:r>
          </w:p>
        </w:tc>
        <w:tc>
          <w:tcPr>
            <w:tcW w:w="1276" w:type="dxa"/>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37 973</w:t>
            </w:r>
          </w:p>
        </w:tc>
        <w:tc>
          <w:tcPr>
            <w:tcW w:w="1134" w:type="dxa"/>
            <w:tcBorders>
              <w:right w:val="thinThickThinSmallGap" w:sz="24" w:space="0" w:color="auto"/>
            </w:tcBorders>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38 100</w:t>
            </w:r>
          </w:p>
        </w:tc>
      </w:tr>
      <w:tr w:rsidR="00F25110" w:rsidRPr="009D5CAF" w:rsidTr="006614F6">
        <w:trPr>
          <w:trHeight w:val="600"/>
        </w:trPr>
        <w:tc>
          <w:tcPr>
            <w:tcW w:w="1985" w:type="dxa"/>
            <w:tcBorders>
              <w:left w:val="thinThickThinSmallGap" w:sz="24" w:space="0" w:color="auto"/>
            </w:tcBorders>
            <w:shd w:val="clear" w:color="auto" w:fill="auto"/>
          </w:tcPr>
          <w:p w:rsidR="00F25110" w:rsidRPr="009D5CAF" w:rsidRDefault="00F25110" w:rsidP="00F25110">
            <w:pPr>
              <w:spacing w:after="0"/>
              <w:contextualSpacing/>
              <w:rPr>
                <w:rFonts w:ascii="Times New Roman" w:eastAsia="Times New Roman" w:hAnsi="Times New Roman"/>
                <w:b/>
                <w:bCs/>
                <w:i/>
                <w:iCs/>
                <w:color w:val="auto"/>
                <w:sz w:val="24"/>
                <w:szCs w:val="24"/>
                <w:lang w:val="bg-BG" w:eastAsia="bg-BG"/>
              </w:rPr>
            </w:pPr>
            <w:r w:rsidRPr="009D5CAF">
              <w:rPr>
                <w:rFonts w:ascii="Times New Roman" w:eastAsia="Times New Roman" w:hAnsi="Times New Roman"/>
                <w:b/>
                <w:bCs/>
                <w:i/>
                <w:iCs/>
                <w:color w:val="auto"/>
                <w:szCs w:val="22"/>
                <w:lang w:val="bg-BG" w:eastAsia="bg-BG"/>
              </w:rPr>
              <w:t>Южен централен район</w:t>
            </w:r>
          </w:p>
        </w:tc>
        <w:tc>
          <w:tcPr>
            <w:tcW w:w="1417" w:type="dxa"/>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9 057</w:t>
            </w:r>
          </w:p>
        </w:tc>
        <w:tc>
          <w:tcPr>
            <w:tcW w:w="1134" w:type="dxa"/>
            <w:shd w:val="clear" w:color="auto" w:fill="auto"/>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10 042</w:t>
            </w:r>
          </w:p>
        </w:tc>
        <w:tc>
          <w:tcPr>
            <w:tcW w:w="1276" w:type="dxa"/>
            <w:shd w:val="clear" w:color="auto" w:fill="auto"/>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9 982</w:t>
            </w:r>
          </w:p>
        </w:tc>
        <w:tc>
          <w:tcPr>
            <w:tcW w:w="1276" w:type="dxa"/>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10 151</w:t>
            </w:r>
          </w:p>
        </w:tc>
        <w:tc>
          <w:tcPr>
            <w:tcW w:w="1276" w:type="dxa"/>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11 029</w:t>
            </w:r>
          </w:p>
        </w:tc>
        <w:tc>
          <w:tcPr>
            <w:tcW w:w="1134" w:type="dxa"/>
            <w:tcBorders>
              <w:right w:val="thinThickThinSmallGap" w:sz="24" w:space="0" w:color="auto"/>
            </w:tcBorders>
            <w:shd w:val="clear" w:color="auto" w:fill="auto"/>
            <w:noWrap/>
            <w:vAlign w:val="center"/>
          </w:tcPr>
          <w:p w:rsidR="00F25110" w:rsidRPr="009D5CAF" w:rsidRDefault="00F25110" w:rsidP="00F25110">
            <w:pPr>
              <w:spacing w:after="0" w:line="240" w:lineRule="auto"/>
              <w:jc w:val="center"/>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Cs w:val="22"/>
                <w:lang w:val="bg-BG" w:eastAsia="bg-BG"/>
              </w:rPr>
              <w:t>11 384</w:t>
            </w:r>
          </w:p>
        </w:tc>
      </w:tr>
      <w:tr w:rsidR="00E34A11" w:rsidRPr="009D5CAF" w:rsidTr="00E34A11">
        <w:trPr>
          <w:trHeight w:val="322"/>
        </w:trPr>
        <w:tc>
          <w:tcPr>
            <w:tcW w:w="1985" w:type="dxa"/>
            <w:tcBorders>
              <w:left w:val="thinThickThinSmallGap" w:sz="24" w:space="0" w:color="auto"/>
              <w:bottom w:val="thinThickThinSmallGap" w:sz="24" w:space="0" w:color="auto"/>
            </w:tcBorders>
            <w:shd w:val="clear" w:color="auto" w:fill="F4B29B" w:themeFill="accent1" w:themeFillTint="66"/>
          </w:tcPr>
          <w:p w:rsidR="00F25110" w:rsidRPr="0040738C" w:rsidRDefault="00F25110" w:rsidP="00F25110">
            <w:pPr>
              <w:spacing w:after="0"/>
              <w:contextualSpacing/>
              <w:rPr>
                <w:rFonts w:ascii="Times New Roman" w:eastAsia="Times New Roman" w:hAnsi="Times New Roman"/>
                <w:b/>
                <w:bCs/>
                <w:i/>
                <w:iCs/>
                <w:color w:val="9B2D1F" w:themeColor="accent2"/>
                <w:sz w:val="24"/>
                <w:szCs w:val="24"/>
                <w:lang w:val="bg-BG" w:eastAsia="bg-BG"/>
              </w:rPr>
            </w:pPr>
            <w:r w:rsidRPr="0040738C">
              <w:rPr>
                <w:rFonts w:ascii="Times New Roman" w:eastAsia="Times New Roman" w:hAnsi="Times New Roman"/>
                <w:b/>
                <w:bCs/>
                <w:i/>
                <w:iCs/>
                <w:color w:val="9B2D1F" w:themeColor="accent2"/>
                <w:szCs w:val="22"/>
                <w:lang w:val="bg-BG" w:eastAsia="bg-BG"/>
              </w:rPr>
              <w:t>Югоизточен район</w:t>
            </w:r>
          </w:p>
        </w:tc>
        <w:tc>
          <w:tcPr>
            <w:tcW w:w="1417" w:type="dxa"/>
            <w:tcBorders>
              <w:bottom w:val="thinThickThinSmallGap" w:sz="24" w:space="0" w:color="auto"/>
            </w:tcBorders>
            <w:shd w:val="clear" w:color="auto" w:fill="F4B29B" w:themeFill="accent1" w:themeFillTint="66"/>
            <w:noWrap/>
            <w:vAlign w:val="center"/>
          </w:tcPr>
          <w:p w:rsidR="00F25110" w:rsidRPr="0040738C"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40738C">
              <w:rPr>
                <w:rFonts w:ascii="Times New Roman" w:eastAsia="Times New Roman" w:hAnsi="Times New Roman"/>
                <w:b/>
                <w:color w:val="9B2D1F" w:themeColor="accent2"/>
                <w:szCs w:val="22"/>
                <w:lang w:val="bg-BG" w:eastAsia="bg-BG"/>
              </w:rPr>
              <w:t>7 466</w:t>
            </w:r>
          </w:p>
        </w:tc>
        <w:tc>
          <w:tcPr>
            <w:tcW w:w="1134" w:type="dxa"/>
            <w:tcBorders>
              <w:bottom w:val="thinThickThinSmallGap" w:sz="24" w:space="0" w:color="auto"/>
            </w:tcBorders>
            <w:shd w:val="clear" w:color="auto" w:fill="F4B29B" w:themeFill="accent1" w:themeFillTint="66"/>
            <w:vAlign w:val="center"/>
          </w:tcPr>
          <w:p w:rsidR="00F25110" w:rsidRPr="0040738C"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40738C">
              <w:rPr>
                <w:rFonts w:ascii="Times New Roman" w:eastAsia="Times New Roman" w:hAnsi="Times New Roman"/>
                <w:b/>
                <w:color w:val="9B2D1F" w:themeColor="accent2"/>
                <w:szCs w:val="22"/>
                <w:lang w:val="bg-BG" w:eastAsia="bg-BG"/>
              </w:rPr>
              <w:t>8 666</w:t>
            </w:r>
          </w:p>
        </w:tc>
        <w:tc>
          <w:tcPr>
            <w:tcW w:w="1276" w:type="dxa"/>
            <w:tcBorders>
              <w:bottom w:val="thinThickThinSmallGap" w:sz="24" w:space="0" w:color="auto"/>
            </w:tcBorders>
            <w:shd w:val="clear" w:color="auto" w:fill="F4B29B" w:themeFill="accent1" w:themeFillTint="66"/>
            <w:vAlign w:val="center"/>
          </w:tcPr>
          <w:p w:rsidR="00F25110" w:rsidRPr="0040738C"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40738C">
              <w:rPr>
                <w:rFonts w:ascii="Times New Roman" w:eastAsia="Times New Roman" w:hAnsi="Times New Roman"/>
                <w:b/>
                <w:color w:val="9B2D1F" w:themeColor="accent2"/>
                <w:szCs w:val="22"/>
                <w:lang w:val="bg-BG" w:eastAsia="bg-BG"/>
              </w:rPr>
              <w:t>8 638</w:t>
            </w:r>
          </w:p>
        </w:tc>
        <w:tc>
          <w:tcPr>
            <w:tcW w:w="1276" w:type="dxa"/>
            <w:tcBorders>
              <w:bottom w:val="thinThickThinSmallGap" w:sz="24" w:space="0" w:color="auto"/>
            </w:tcBorders>
            <w:shd w:val="clear" w:color="auto" w:fill="F4B29B" w:themeFill="accent1" w:themeFillTint="66"/>
            <w:noWrap/>
            <w:vAlign w:val="center"/>
          </w:tcPr>
          <w:p w:rsidR="00F25110" w:rsidRPr="0040738C"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40738C">
              <w:rPr>
                <w:rFonts w:ascii="Times New Roman" w:eastAsia="Times New Roman" w:hAnsi="Times New Roman"/>
                <w:b/>
                <w:color w:val="9B2D1F" w:themeColor="accent2"/>
                <w:szCs w:val="22"/>
                <w:lang w:val="bg-BG" w:eastAsia="bg-BG"/>
              </w:rPr>
              <w:t>8 746</w:t>
            </w:r>
          </w:p>
        </w:tc>
        <w:tc>
          <w:tcPr>
            <w:tcW w:w="1276" w:type="dxa"/>
            <w:tcBorders>
              <w:bottom w:val="thinThickThinSmallGap" w:sz="24" w:space="0" w:color="auto"/>
            </w:tcBorders>
            <w:shd w:val="clear" w:color="auto" w:fill="F4B29B" w:themeFill="accent1" w:themeFillTint="66"/>
            <w:vAlign w:val="center"/>
          </w:tcPr>
          <w:p w:rsidR="00F25110" w:rsidRPr="0040738C"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40738C">
              <w:rPr>
                <w:rFonts w:ascii="Times New Roman" w:eastAsia="Times New Roman" w:hAnsi="Times New Roman"/>
                <w:b/>
                <w:color w:val="9B2D1F" w:themeColor="accent2"/>
                <w:szCs w:val="22"/>
                <w:lang w:val="bg-BG" w:eastAsia="bg-BG"/>
              </w:rPr>
              <w:t>9 233</w:t>
            </w:r>
          </w:p>
        </w:tc>
        <w:tc>
          <w:tcPr>
            <w:tcW w:w="1134" w:type="dxa"/>
            <w:tcBorders>
              <w:bottom w:val="thinThickThinSmallGap" w:sz="24" w:space="0" w:color="auto"/>
              <w:right w:val="thinThickThinSmallGap" w:sz="24" w:space="0" w:color="auto"/>
            </w:tcBorders>
            <w:shd w:val="clear" w:color="auto" w:fill="F4B29B" w:themeFill="accent1" w:themeFillTint="66"/>
            <w:vAlign w:val="center"/>
          </w:tcPr>
          <w:p w:rsidR="00F25110" w:rsidRPr="0040738C"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40738C">
              <w:rPr>
                <w:rFonts w:ascii="Times New Roman" w:eastAsia="Times New Roman" w:hAnsi="Times New Roman"/>
                <w:b/>
                <w:color w:val="9B2D1F" w:themeColor="accent2"/>
                <w:szCs w:val="22"/>
                <w:lang w:val="bg-BG" w:eastAsia="bg-BG"/>
              </w:rPr>
              <w:t>9 784</w:t>
            </w:r>
          </w:p>
        </w:tc>
      </w:tr>
    </w:tbl>
    <w:p w:rsidR="00F25110" w:rsidRPr="00E34A11" w:rsidRDefault="00F25110" w:rsidP="00F25110">
      <w:pPr>
        <w:spacing w:after="0" w:line="240" w:lineRule="auto"/>
        <w:rPr>
          <w:rFonts w:ascii="Times New Roman" w:eastAsia="Times New Roman" w:hAnsi="Times New Roman"/>
          <w:b/>
          <w:i/>
          <w:color w:val="9B2D1F" w:themeColor="accent2"/>
          <w:sz w:val="24"/>
          <w:szCs w:val="24"/>
          <w:lang w:val="bg-BG" w:eastAsia="bg-BG"/>
        </w:rPr>
      </w:pPr>
      <w:r w:rsidRPr="00E34A11">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Pr="00E34A11" w:rsidRDefault="00F25110" w:rsidP="00F25110">
      <w:pPr>
        <w:spacing w:after="0" w:line="240" w:lineRule="auto"/>
        <w:rPr>
          <w:rFonts w:ascii="Times New Roman" w:eastAsia="Times New Roman" w:hAnsi="Times New Roman"/>
          <w:i/>
          <w:color w:val="9B2D1F" w:themeColor="accent2"/>
          <w:sz w:val="24"/>
          <w:szCs w:val="24"/>
          <w:lang w:val="bg-BG" w:eastAsia="bg-BG"/>
        </w:rPr>
      </w:pPr>
    </w:p>
    <w:p w:rsidR="00E34A11" w:rsidRPr="00B1024A" w:rsidRDefault="00F25110" w:rsidP="00634ED1">
      <w:pPr>
        <w:spacing w:after="0" w:line="360" w:lineRule="auto"/>
        <w:ind w:firstLine="720"/>
        <w:jc w:val="both"/>
        <w:rPr>
          <w:rFonts w:ascii="Times New Roman" w:eastAsia="Times New Roman" w:hAnsi="Times New Roman"/>
          <w:color w:val="auto"/>
          <w:sz w:val="24"/>
          <w:szCs w:val="24"/>
          <w:lang w:val="bg-BG" w:eastAsia="bg-BG"/>
        </w:rPr>
      </w:pPr>
      <w:r w:rsidRPr="009D5CAF">
        <w:rPr>
          <w:rFonts w:ascii="Times New Roman" w:eastAsia="Times New Roman" w:hAnsi="Times New Roman"/>
          <w:color w:val="auto"/>
          <w:sz w:val="24"/>
          <w:szCs w:val="24"/>
          <w:lang w:val="bg-BG" w:eastAsia="bg-BG"/>
        </w:rPr>
        <w:t xml:space="preserve">Стойността  на  </w:t>
      </w:r>
      <w:r w:rsidRPr="009D5CAF">
        <w:rPr>
          <w:rFonts w:ascii="Times New Roman" w:eastAsia="Times New Roman" w:hAnsi="Times New Roman"/>
          <w:b/>
          <w:i/>
          <w:color w:val="auto"/>
          <w:sz w:val="24"/>
          <w:szCs w:val="24"/>
          <w:lang w:val="bg-BG" w:eastAsia="bg-BG"/>
        </w:rPr>
        <w:t xml:space="preserve">БВП  на  човек от населението </w:t>
      </w:r>
      <w:r w:rsidRPr="009D5CAF">
        <w:rPr>
          <w:rFonts w:ascii="Times New Roman" w:eastAsia="Times New Roman" w:hAnsi="Times New Roman"/>
          <w:color w:val="auto"/>
          <w:sz w:val="24"/>
          <w:szCs w:val="24"/>
          <w:lang w:val="bg-BG" w:eastAsia="bg-BG"/>
        </w:rPr>
        <w:t xml:space="preserve"> в  Югоизточен район  за 2012г.  е 9 140 лв. при среден показател за страната - 10 956 лв., с което районът се нарежда на второ място сред районите в страната, изпреварван единствено от Югозападен район (17 887 лв.)</w:t>
      </w:r>
      <w:r w:rsidR="006B06EA">
        <w:rPr>
          <w:rFonts w:ascii="Times New Roman" w:eastAsia="Times New Roman" w:hAnsi="Times New Roman"/>
          <w:color w:val="auto"/>
          <w:sz w:val="24"/>
          <w:szCs w:val="24"/>
          <w:lang w:val="bg-BG" w:eastAsia="bg-BG"/>
        </w:rPr>
        <w:t>.</w:t>
      </w:r>
      <w:r w:rsidRPr="009D5CAF">
        <w:rPr>
          <w:rFonts w:ascii="Times New Roman" w:eastAsia="Times New Roman" w:hAnsi="Times New Roman"/>
          <w:color w:val="auto"/>
          <w:sz w:val="24"/>
          <w:szCs w:val="24"/>
          <w:lang w:val="bg-BG" w:eastAsia="bg-BG"/>
        </w:rPr>
        <w:t xml:space="preserve"> </w:t>
      </w:r>
      <w:r w:rsidRPr="009D5CAF">
        <w:rPr>
          <w:rFonts w:ascii="Times New Roman" w:eastAsia="Calibri" w:hAnsi="Times New Roman"/>
          <w:color w:val="auto"/>
          <w:sz w:val="24"/>
          <w:szCs w:val="24"/>
          <w:lang w:val="bg-BG"/>
        </w:rPr>
        <w:t xml:space="preserve">За периода 2007-2012 г. най-чувствително, с около 38,1% е нараснал БВП на човек от населението за ЮИР. За сравнение нарастването на показателя за ЮЗР  е 33,1 %,  ЮЦР- 32,8%, а за СИР - 30,1. На областно ниво в ЮИР, по последни налични данни за 2012 г., най-висока е стойността на БВП на човек от населението в област Стара Загора - 11 700 лв., следвана от област Бургас - 9 367 лв. Прави впечатление, че стойността на показателя за областите Бургас и Стара Загора е почти два пъти по-голяма от тази за областите Ямбол и Сливен, съответно за област </w:t>
      </w:r>
      <w:r w:rsidRPr="009D5CAF">
        <w:rPr>
          <w:rFonts w:ascii="Times New Roman" w:eastAsia="Times New Roman" w:hAnsi="Times New Roman"/>
          <w:color w:val="auto"/>
          <w:sz w:val="24"/>
          <w:szCs w:val="24"/>
          <w:lang w:val="bg-BG" w:eastAsia="bg-BG"/>
        </w:rPr>
        <w:t xml:space="preserve">Ямбол -  </w:t>
      </w:r>
      <w:r w:rsidR="00634ED1">
        <w:rPr>
          <w:rFonts w:ascii="Times New Roman" w:eastAsia="Times New Roman" w:hAnsi="Times New Roman"/>
          <w:color w:val="auto"/>
          <w:sz w:val="24"/>
          <w:szCs w:val="24"/>
          <w:lang w:val="bg-BG" w:eastAsia="bg-BG"/>
        </w:rPr>
        <w:t>6 935 лв. и Сливен  - 5 801 лв</w:t>
      </w:r>
      <w:r w:rsidR="00B1024A">
        <w:rPr>
          <w:rFonts w:ascii="Times New Roman" w:eastAsia="Times New Roman" w:hAnsi="Times New Roman"/>
          <w:color w:val="auto"/>
          <w:sz w:val="24"/>
          <w:szCs w:val="24"/>
          <w:lang w:val="bg-BG" w:eastAsia="bg-BG"/>
        </w:rPr>
        <w:t>.</w:t>
      </w:r>
    </w:p>
    <w:p w:rsidR="00B7511A" w:rsidRDefault="00B7511A" w:rsidP="00B7511A">
      <w:pPr>
        <w:spacing w:after="0"/>
        <w:ind w:left="-284"/>
        <w:contextualSpacing/>
        <w:rPr>
          <w:rFonts w:ascii="Times New Roman" w:eastAsia="Times New Roman" w:hAnsi="Times New Roman"/>
          <w:b/>
          <w:i/>
          <w:color w:val="9B2D1F" w:themeColor="accent2"/>
          <w:sz w:val="24"/>
          <w:szCs w:val="24"/>
          <w:lang w:val="bg-BG" w:eastAsia="bg-BG"/>
        </w:rPr>
      </w:pPr>
    </w:p>
    <w:p w:rsidR="00E97562" w:rsidRDefault="00E97562" w:rsidP="00B7511A">
      <w:pPr>
        <w:spacing w:after="0"/>
        <w:ind w:left="-284"/>
        <w:contextualSpacing/>
        <w:rPr>
          <w:rFonts w:ascii="Times New Roman" w:eastAsia="Times New Roman" w:hAnsi="Times New Roman"/>
          <w:b/>
          <w:i/>
          <w:color w:val="9B2D1F" w:themeColor="accent2"/>
          <w:sz w:val="24"/>
          <w:szCs w:val="24"/>
          <w:lang w:val="bg-BG" w:eastAsia="bg-BG"/>
        </w:rPr>
      </w:pPr>
    </w:p>
    <w:p w:rsidR="00E97562" w:rsidRDefault="00E97562" w:rsidP="00B7511A">
      <w:pPr>
        <w:spacing w:after="0"/>
        <w:ind w:left="-284"/>
        <w:contextualSpacing/>
        <w:rPr>
          <w:rFonts w:ascii="Times New Roman" w:eastAsia="Times New Roman" w:hAnsi="Times New Roman"/>
          <w:b/>
          <w:i/>
          <w:color w:val="9B2D1F" w:themeColor="accent2"/>
          <w:sz w:val="24"/>
          <w:szCs w:val="24"/>
          <w:lang w:val="bg-BG" w:eastAsia="bg-BG"/>
        </w:rPr>
      </w:pPr>
    </w:p>
    <w:p w:rsidR="00E97562" w:rsidRDefault="00E97562" w:rsidP="00B7511A">
      <w:pPr>
        <w:spacing w:after="0"/>
        <w:ind w:left="-284"/>
        <w:contextualSpacing/>
        <w:rPr>
          <w:rFonts w:ascii="Times New Roman" w:eastAsia="Times New Roman" w:hAnsi="Times New Roman"/>
          <w:b/>
          <w:i/>
          <w:color w:val="9B2D1F" w:themeColor="accent2"/>
          <w:sz w:val="24"/>
          <w:szCs w:val="24"/>
          <w:lang w:val="bg-BG" w:eastAsia="bg-BG"/>
        </w:rPr>
      </w:pPr>
    </w:p>
    <w:p w:rsidR="00E97562" w:rsidRDefault="00E97562" w:rsidP="00B7511A">
      <w:pPr>
        <w:spacing w:after="0"/>
        <w:ind w:left="-284"/>
        <w:contextualSpacing/>
        <w:rPr>
          <w:rFonts w:ascii="Times New Roman" w:eastAsia="Times New Roman" w:hAnsi="Times New Roman"/>
          <w:b/>
          <w:i/>
          <w:color w:val="9B2D1F" w:themeColor="accent2"/>
          <w:sz w:val="24"/>
          <w:szCs w:val="24"/>
          <w:lang w:val="bg-BG" w:eastAsia="bg-BG"/>
        </w:rPr>
      </w:pPr>
    </w:p>
    <w:p w:rsidR="00F25110" w:rsidRPr="00B7511A" w:rsidRDefault="00F25110" w:rsidP="00B7511A">
      <w:pPr>
        <w:spacing w:after="0"/>
        <w:ind w:left="-284"/>
        <w:contextualSpacing/>
        <w:rPr>
          <w:rFonts w:ascii="Times New Roman" w:eastAsia="Times New Roman" w:hAnsi="Times New Roman"/>
          <w:b/>
          <w:i/>
          <w:color w:val="9B2D1F" w:themeColor="accent2"/>
          <w:sz w:val="24"/>
          <w:szCs w:val="24"/>
          <w:lang w:val="bg-BG" w:eastAsia="bg-BG"/>
        </w:rPr>
      </w:pPr>
      <w:r w:rsidRPr="00E34A11">
        <w:rPr>
          <w:rFonts w:ascii="Times New Roman" w:eastAsia="Times New Roman" w:hAnsi="Times New Roman"/>
          <w:b/>
          <w:i/>
          <w:color w:val="9B2D1F" w:themeColor="accent2"/>
          <w:sz w:val="24"/>
          <w:szCs w:val="24"/>
          <w:lang w:val="bg-BG" w:eastAsia="bg-BG"/>
        </w:rPr>
        <w:t>Фигура 1</w:t>
      </w:r>
      <w:r w:rsidRPr="00E34A11">
        <w:rPr>
          <w:rFonts w:ascii="Times New Roman" w:eastAsia="Times New Roman" w:hAnsi="Times New Roman"/>
          <w:i/>
          <w:color w:val="9B2D1F" w:themeColor="accent2"/>
          <w:sz w:val="24"/>
          <w:szCs w:val="24"/>
          <w:lang w:val="bg-BG" w:eastAsia="bg-BG"/>
        </w:rPr>
        <w:t xml:space="preserve">. </w:t>
      </w:r>
      <w:r w:rsidRPr="00E34A11">
        <w:rPr>
          <w:rFonts w:ascii="Times New Roman" w:eastAsia="Times New Roman" w:hAnsi="Times New Roman"/>
          <w:b/>
          <w:i/>
          <w:color w:val="9B2D1F" w:themeColor="accent2"/>
          <w:sz w:val="24"/>
          <w:szCs w:val="24"/>
          <w:lang w:val="bg-BG" w:eastAsia="bg-BG"/>
        </w:rPr>
        <w:t>Брутен вътрешен продукт на човек от населението за периода 2007-2012 г.</w:t>
      </w:r>
    </w:p>
    <w:p w:rsidR="00F25110" w:rsidRPr="00B7511A" w:rsidRDefault="00F25110" w:rsidP="00B7511A">
      <w:pPr>
        <w:spacing w:after="0"/>
        <w:ind w:left="-142"/>
        <w:contextualSpacing/>
        <w:jc w:val="both"/>
        <w:rPr>
          <w:rFonts w:ascii="Times New Roman" w:eastAsia="Times New Roman" w:hAnsi="Times New Roman"/>
          <w:i/>
          <w:color w:val="FF0000"/>
          <w:sz w:val="24"/>
          <w:szCs w:val="24"/>
          <w:lang w:val="bg-BG" w:eastAsia="bg-BG"/>
        </w:rPr>
      </w:pPr>
      <w:r>
        <w:rPr>
          <w:rFonts w:ascii="Times New Roman" w:eastAsia="Times New Roman" w:hAnsi="Times New Roman"/>
          <w:noProof/>
          <w:color w:val="FF0000"/>
          <w:sz w:val="24"/>
          <w:szCs w:val="24"/>
          <w:lang w:val="bg-BG" w:eastAsia="bg-BG"/>
        </w:rPr>
        <w:drawing>
          <wp:inline distT="0" distB="0" distL="0" distR="0" wp14:anchorId="3ED6A2BB" wp14:editId="4B2DB8CC">
            <wp:extent cx="5864860" cy="3200400"/>
            <wp:effectExtent l="0" t="0" r="0" b="0"/>
            <wp:docPr id="112" name="Chart 1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25110" w:rsidRPr="009D016A" w:rsidRDefault="00F25110" w:rsidP="00B7511A">
      <w:pPr>
        <w:spacing w:after="0" w:line="360" w:lineRule="auto"/>
        <w:ind w:firstLine="720"/>
        <w:jc w:val="both"/>
        <w:rPr>
          <w:rFonts w:ascii="Times New Roman" w:eastAsia="Times New Roman" w:hAnsi="Times New Roman"/>
          <w:color w:val="auto"/>
          <w:sz w:val="24"/>
          <w:szCs w:val="24"/>
          <w:lang w:val="bg-BG" w:eastAsia="bg-BG"/>
        </w:rPr>
      </w:pPr>
      <w:r w:rsidRPr="009D016A">
        <w:rPr>
          <w:rFonts w:ascii="Times New Roman" w:eastAsia="Times New Roman" w:hAnsi="Times New Roman"/>
          <w:color w:val="auto"/>
          <w:sz w:val="24"/>
          <w:szCs w:val="24"/>
          <w:lang w:val="bg-BG" w:eastAsia="bg-BG"/>
        </w:rPr>
        <w:t xml:space="preserve">По равнище на БВП на </w:t>
      </w:r>
      <w:r w:rsidR="0012746D">
        <w:rPr>
          <w:rFonts w:ascii="Times New Roman" w:eastAsia="Times New Roman" w:hAnsi="Times New Roman"/>
          <w:color w:val="auto"/>
          <w:sz w:val="24"/>
          <w:szCs w:val="24"/>
          <w:lang w:val="bg-BG" w:eastAsia="bg-BG"/>
        </w:rPr>
        <w:t>човек</w:t>
      </w:r>
      <w:r w:rsidRPr="009D016A">
        <w:rPr>
          <w:rFonts w:ascii="Times New Roman" w:eastAsia="Times New Roman" w:hAnsi="Times New Roman"/>
          <w:color w:val="auto"/>
          <w:sz w:val="24"/>
          <w:szCs w:val="24"/>
          <w:lang w:val="bg-BG" w:eastAsia="bg-BG"/>
        </w:rPr>
        <w:t xml:space="preserve"> от населението по покупателна способност ЮИР и останалите райони на страната значително изостават от средното равнище в ЕС, както и от водещите райони по този показател. Половината български райони – СЗР, СЦР и ЮЦР в периода 2008 - 2010г. са на равнище от около 30%, (при средно за страната 44% ) от средното ниво на ЕС,  с изключение на  ЮЗР със стойност на БВП -75% . Тенденцията, която се забелязва във всички български райони е  постепенно намаляване на голямата дистанция със с</w:t>
      </w:r>
      <w:r w:rsidR="00B7511A" w:rsidRPr="009D016A">
        <w:rPr>
          <w:rFonts w:ascii="Times New Roman" w:eastAsia="Times New Roman" w:hAnsi="Times New Roman"/>
          <w:color w:val="auto"/>
          <w:sz w:val="24"/>
          <w:szCs w:val="24"/>
          <w:lang w:val="bg-BG" w:eastAsia="bg-BG"/>
        </w:rPr>
        <w:t>редното равнище на ЕС.</w:t>
      </w:r>
    </w:p>
    <w:p w:rsidR="00F25110" w:rsidRPr="009D016A" w:rsidRDefault="00F25110" w:rsidP="00B7511A">
      <w:pPr>
        <w:spacing w:after="0"/>
        <w:jc w:val="both"/>
        <w:rPr>
          <w:rFonts w:ascii="Times New Roman" w:eastAsia="Times New Roman" w:hAnsi="Times New Roman"/>
          <w:b/>
          <w:i/>
          <w:iCs/>
          <w:color w:val="9B2D1F" w:themeColor="accent2"/>
          <w:sz w:val="24"/>
          <w:szCs w:val="24"/>
          <w:lang w:val="bg-BG" w:eastAsia="bg-BG"/>
        </w:rPr>
      </w:pPr>
      <w:r w:rsidRPr="009D016A">
        <w:rPr>
          <w:rFonts w:ascii="Times New Roman" w:eastAsia="Times New Roman" w:hAnsi="Times New Roman"/>
          <w:b/>
          <w:i/>
          <w:iCs/>
          <w:color w:val="9B2D1F" w:themeColor="accent2"/>
          <w:sz w:val="24"/>
          <w:szCs w:val="24"/>
          <w:lang w:val="bg-BG" w:eastAsia="bg-BG"/>
        </w:rPr>
        <w:t>Таблица 2. Регионален БВП</w:t>
      </w:r>
      <w:r w:rsidRPr="009D016A">
        <w:rPr>
          <w:rFonts w:ascii="Times New Roman" w:eastAsia="Times New Roman" w:hAnsi="Times New Roman"/>
          <w:b/>
          <w:i/>
          <w:iCs/>
          <w:color w:val="9B2D1F" w:themeColor="accent2"/>
          <w:sz w:val="24"/>
          <w:szCs w:val="24"/>
          <w:lang w:val="ru-RU" w:eastAsia="bg-BG"/>
        </w:rPr>
        <w:t xml:space="preserve"> </w:t>
      </w:r>
      <w:r w:rsidRPr="009D016A">
        <w:rPr>
          <w:rFonts w:ascii="Times New Roman" w:eastAsia="Times New Roman" w:hAnsi="Times New Roman"/>
          <w:b/>
          <w:i/>
          <w:iCs/>
          <w:color w:val="9B2D1F" w:themeColor="accent2"/>
          <w:sz w:val="24"/>
          <w:szCs w:val="24"/>
          <w:lang w:val="bg-BG" w:eastAsia="bg-BG"/>
        </w:rPr>
        <w:t xml:space="preserve">на </w:t>
      </w:r>
      <w:r w:rsidR="00406B87">
        <w:rPr>
          <w:rFonts w:ascii="Times New Roman" w:eastAsia="Times New Roman" w:hAnsi="Times New Roman"/>
          <w:b/>
          <w:i/>
          <w:iCs/>
          <w:color w:val="9B2D1F" w:themeColor="accent2"/>
          <w:sz w:val="24"/>
          <w:szCs w:val="24"/>
          <w:lang w:val="bg-BG" w:eastAsia="bg-BG"/>
        </w:rPr>
        <w:t>човек</w:t>
      </w:r>
      <w:r w:rsidRPr="009D016A">
        <w:rPr>
          <w:rFonts w:ascii="Times New Roman" w:eastAsia="Times New Roman" w:hAnsi="Times New Roman"/>
          <w:b/>
          <w:i/>
          <w:iCs/>
          <w:color w:val="9B2D1F" w:themeColor="accent2"/>
          <w:sz w:val="24"/>
          <w:szCs w:val="24"/>
          <w:lang w:val="bg-BG" w:eastAsia="bg-BG"/>
        </w:rPr>
        <w:t xml:space="preserve"> от населението по покупателна способност спрямо  средното за ЕС-27 за 2007-2012г.(в %)</w:t>
      </w:r>
    </w:p>
    <w:tbl>
      <w:tblPr>
        <w:tblW w:w="9546" w:type="dxa"/>
        <w:tblCellMar>
          <w:left w:w="70" w:type="dxa"/>
          <w:right w:w="70" w:type="dxa"/>
        </w:tblCellMar>
        <w:tblLook w:val="0000" w:firstRow="0" w:lastRow="0" w:firstColumn="0" w:lastColumn="0" w:noHBand="0" w:noVBand="0"/>
      </w:tblPr>
      <w:tblGrid>
        <w:gridCol w:w="2396"/>
        <w:gridCol w:w="1291"/>
        <w:gridCol w:w="1239"/>
        <w:gridCol w:w="1239"/>
        <w:gridCol w:w="1071"/>
        <w:gridCol w:w="1071"/>
        <w:gridCol w:w="1239"/>
      </w:tblGrid>
      <w:tr w:rsidR="00F25110" w:rsidRPr="00F25110" w:rsidTr="006614F6">
        <w:trPr>
          <w:trHeight w:val="281"/>
        </w:trPr>
        <w:tc>
          <w:tcPr>
            <w:tcW w:w="2396" w:type="dxa"/>
            <w:tcBorders>
              <w:top w:val="thinThickThinSmallGap" w:sz="24" w:space="0" w:color="auto"/>
              <w:left w:val="thinThickThinSmallGap" w:sz="24" w:space="0" w:color="auto"/>
              <w:bottom w:val="single" w:sz="12" w:space="0" w:color="auto"/>
              <w:right w:val="single" w:sz="12" w:space="0" w:color="auto"/>
            </w:tcBorders>
            <w:shd w:val="clear" w:color="auto" w:fill="auto"/>
            <w:vAlign w:val="center"/>
          </w:tcPr>
          <w:p w:rsidR="00F25110" w:rsidRPr="009D016A" w:rsidRDefault="00F25110" w:rsidP="00F25110">
            <w:pPr>
              <w:spacing w:after="0" w:line="240" w:lineRule="auto"/>
              <w:ind w:firstLineChars="200" w:firstLine="442"/>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 </w:t>
            </w:r>
          </w:p>
        </w:tc>
        <w:tc>
          <w:tcPr>
            <w:tcW w:w="1291" w:type="dxa"/>
            <w:tcBorders>
              <w:top w:val="thinThickThinSmallGap" w:sz="24" w:space="0" w:color="auto"/>
              <w:left w:val="single" w:sz="12" w:space="0" w:color="auto"/>
              <w:bottom w:val="single" w:sz="12"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2007</w:t>
            </w:r>
          </w:p>
        </w:tc>
        <w:tc>
          <w:tcPr>
            <w:tcW w:w="1239" w:type="dxa"/>
            <w:tcBorders>
              <w:top w:val="thinThickThinSmallGap" w:sz="24" w:space="0" w:color="auto"/>
              <w:left w:val="single" w:sz="12" w:space="0" w:color="auto"/>
              <w:bottom w:val="single" w:sz="12" w:space="0" w:color="auto"/>
              <w:right w:val="single" w:sz="12" w:space="0" w:color="auto"/>
            </w:tcBorders>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2008</w:t>
            </w:r>
          </w:p>
        </w:tc>
        <w:tc>
          <w:tcPr>
            <w:tcW w:w="1239" w:type="dxa"/>
            <w:tcBorders>
              <w:top w:val="thinThickThinSmallGap" w:sz="24" w:space="0" w:color="auto"/>
              <w:left w:val="single" w:sz="12" w:space="0" w:color="auto"/>
              <w:bottom w:val="single" w:sz="12" w:space="0" w:color="auto"/>
              <w:right w:val="single" w:sz="12" w:space="0" w:color="auto"/>
            </w:tcBorders>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2009</w:t>
            </w:r>
          </w:p>
        </w:tc>
        <w:tc>
          <w:tcPr>
            <w:tcW w:w="1071" w:type="dxa"/>
            <w:tcBorders>
              <w:top w:val="thinThickThinSmallGap" w:sz="24" w:space="0" w:color="auto"/>
              <w:left w:val="single" w:sz="12" w:space="0" w:color="auto"/>
              <w:bottom w:val="single" w:sz="12" w:space="0" w:color="auto"/>
              <w:right w:val="single" w:sz="12" w:space="0" w:color="auto"/>
            </w:tcBorders>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2010</w:t>
            </w:r>
          </w:p>
        </w:tc>
        <w:tc>
          <w:tcPr>
            <w:tcW w:w="1071" w:type="dxa"/>
            <w:tcBorders>
              <w:top w:val="thinThickThinSmallGap" w:sz="24" w:space="0" w:color="auto"/>
              <w:left w:val="single" w:sz="12" w:space="0" w:color="auto"/>
              <w:bottom w:val="single" w:sz="12" w:space="0" w:color="auto"/>
              <w:right w:val="single" w:sz="12" w:space="0" w:color="auto"/>
            </w:tcBorders>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2011</w:t>
            </w:r>
          </w:p>
        </w:tc>
        <w:tc>
          <w:tcPr>
            <w:tcW w:w="1239" w:type="dxa"/>
            <w:tcBorders>
              <w:top w:val="thinThickThinSmallGap" w:sz="24" w:space="0" w:color="auto"/>
              <w:left w:val="single" w:sz="12" w:space="0" w:color="auto"/>
              <w:bottom w:val="single" w:sz="12" w:space="0" w:color="auto"/>
              <w:right w:val="thinThickThinSmallGap" w:sz="24" w:space="0" w:color="auto"/>
            </w:tcBorders>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2012</w:t>
            </w:r>
          </w:p>
        </w:tc>
      </w:tr>
      <w:tr w:rsidR="00F25110" w:rsidRPr="00F25110" w:rsidTr="006614F6">
        <w:trPr>
          <w:trHeight w:val="295"/>
        </w:trPr>
        <w:tc>
          <w:tcPr>
            <w:tcW w:w="2396" w:type="dxa"/>
            <w:tcBorders>
              <w:top w:val="single" w:sz="12" w:space="0" w:color="auto"/>
              <w:left w:val="thinThickThinSmallGap" w:sz="24" w:space="0" w:color="auto"/>
              <w:bottom w:val="single" w:sz="12" w:space="0" w:color="auto"/>
              <w:right w:val="single" w:sz="12" w:space="0" w:color="auto"/>
            </w:tcBorders>
            <w:shd w:val="clear" w:color="auto" w:fill="auto"/>
          </w:tcPr>
          <w:p w:rsidR="00F25110" w:rsidRPr="009D016A" w:rsidRDefault="00F25110" w:rsidP="00F25110">
            <w:pPr>
              <w:spacing w:after="0" w:line="240" w:lineRule="auto"/>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 xml:space="preserve">Европейски Съюз (27) </w:t>
            </w:r>
          </w:p>
        </w:tc>
        <w:tc>
          <w:tcPr>
            <w:tcW w:w="1291" w:type="dxa"/>
            <w:tcBorders>
              <w:top w:val="single" w:sz="12" w:space="0" w:color="auto"/>
              <w:left w:val="single" w:sz="12" w:space="0" w:color="auto"/>
              <w:bottom w:val="single" w:sz="12"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100.0</w:t>
            </w:r>
          </w:p>
        </w:tc>
        <w:tc>
          <w:tcPr>
            <w:tcW w:w="1239" w:type="dxa"/>
            <w:tcBorders>
              <w:top w:val="single" w:sz="12" w:space="0" w:color="auto"/>
              <w:left w:val="single" w:sz="12" w:space="0" w:color="auto"/>
              <w:bottom w:val="single" w:sz="12"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100.0</w:t>
            </w:r>
          </w:p>
        </w:tc>
        <w:tc>
          <w:tcPr>
            <w:tcW w:w="1239" w:type="dxa"/>
            <w:tcBorders>
              <w:top w:val="single" w:sz="12" w:space="0" w:color="auto"/>
              <w:left w:val="single" w:sz="12" w:space="0" w:color="auto"/>
              <w:bottom w:val="single" w:sz="12"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100,0</w:t>
            </w:r>
          </w:p>
        </w:tc>
        <w:tc>
          <w:tcPr>
            <w:tcW w:w="1071" w:type="dxa"/>
            <w:tcBorders>
              <w:top w:val="single" w:sz="12" w:space="0" w:color="auto"/>
              <w:left w:val="single" w:sz="12" w:space="0" w:color="auto"/>
              <w:bottom w:val="single" w:sz="12"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100,0</w:t>
            </w:r>
          </w:p>
        </w:tc>
        <w:tc>
          <w:tcPr>
            <w:tcW w:w="1071" w:type="dxa"/>
            <w:tcBorders>
              <w:top w:val="single" w:sz="12" w:space="0" w:color="auto"/>
              <w:left w:val="single" w:sz="12" w:space="0" w:color="auto"/>
              <w:bottom w:val="single" w:sz="12" w:space="0" w:color="auto"/>
              <w:right w:val="single" w:sz="12" w:space="0" w:color="auto"/>
            </w:tcBorders>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100,0</w:t>
            </w:r>
          </w:p>
        </w:tc>
        <w:tc>
          <w:tcPr>
            <w:tcW w:w="1239" w:type="dxa"/>
            <w:tcBorders>
              <w:top w:val="single" w:sz="12" w:space="0" w:color="auto"/>
              <w:left w:val="single" w:sz="12" w:space="0" w:color="auto"/>
              <w:bottom w:val="single" w:sz="12" w:space="0" w:color="auto"/>
              <w:right w:val="thinThickThinSmallGap" w:sz="24" w:space="0" w:color="auto"/>
            </w:tcBorders>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100,0</w:t>
            </w:r>
          </w:p>
        </w:tc>
      </w:tr>
      <w:tr w:rsidR="00F25110" w:rsidRPr="00F25110" w:rsidTr="009D016A">
        <w:trPr>
          <w:trHeight w:val="295"/>
        </w:trPr>
        <w:tc>
          <w:tcPr>
            <w:tcW w:w="2396" w:type="dxa"/>
            <w:tcBorders>
              <w:top w:val="single" w:sz="12" w:space="0" w:color="auto"/>
              <w:left w:val="thinThickThinSmallGap" w:sz="24" w:space="0" w:color="auto"/>
              <w:bottom w:val="single" w:sz="12" w:space="0" w:color="auto"/>
              <w:right w:val="single" w:sz="12" w:space="0" w:color="auto"/>
            </w:tcBorders>
            <w:shd w:val="clear" w:color="auto" w:fill="F4B29B" w:themeFill="accent1" w:themeFillTint="66"/>
          </w:tcPr>
          <w:p w:rsidR="00F25110" w:rsidRPr="009D016A" w:rsidRDefault="00F25110" w:rsidP="00F25110">
            <w:pPr>
              <w:spacing w:after="0" w:line="240" w:lineRule="auto"/>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България</w:t>
            </w:r>
          </w:p>
        </w:tc>
        <w:tc>
          <w:tcPr>
            <w:tcW w:w="1291" w:type="dxa"/>
            <w:tcBorders>
              <w:top w:val="single" w:sz="12" w:space="0" w:color="auto"/>
              <w:left w:val="single" w:sz="12" w:space="0" w:color="auto"/>
              <w:bottom w:val="single" w:sz="12" w:space="0" w:color="auto"/>
              <w:right w:val="single" w:sz="12" w:space="0" w:color="auto"/>
            </w:tcBorders>
            <w:shd w:val="clear" w:color="auto" w:fill="F4B29B" w:themeFill="accent1" w:themeFillTint="66"/>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eastAsia="bg-BG"/>
              </w:rPr>
            </w:pPr>
            <w:r w:rsidRPr="009D016A">
              <w:rPr>
                <w:rFonts w:ascii="Times New Roman" w:eastAsia="Times New Roman" w:hAnsi="Times New Roman"/>
                <w:b/>
                <w:bCs/>
                <w:color w:val="auto"/>
                <w:szCs w:val="22"/>
                <w:lang w:eastAsia="bg-BG"/>
              </w:rPr>
              <w:t>40</w:t>
            </w:r>
          </w:p>
        </w:tc>
        <w:tc>
          <w:tcPr>
            <w:tcW w:w="1239" w:type="dxa"/>
            <w:tcBorders>
              <w:top w:val="single" w:sz="12" w:space="0" w:color="auto"/>
              <w:left w:val="single" w:sz="12" w:space="0" w:color="auto"/>
              <w:bottom w:val="single" w:sz="12" w:space="0" w:color="auto"/>
              <w:right w:val="single" w:sz="12" w:space="0" w:color="auto"/>
            </w:tcBorders>
            <w:shd w:val="clear" w:color="auto" w:fill="F4B29B" w:themeFill="accent1" w:themeFillTint="66"/>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eastAsia="bg-BG"/>
              </w:rPr>
            </w:pPr>
            <w:r w:rsidRPr="009D016A">
              <w:rPr>
                <w:rFonts w:ascii="Times New Roman" w:eastAsia="Times New Roman" w:hAnsi="Times New Roman"/>
                <w:b/>
                <w:bCs/>
                <w:color w:val="auto"/>
                <w:szCs w:val="22"/>
                <w:lang w:eastAsia="bg-BG"/>
              </w:rPr>
              <w:t>44</w:t>
            </w:r>
          </w:p>
        </w:tc>
        <w:tc>
          <w:tcPr>
            <w:tcW w:w="1239" w:type="dxa"/>
            <w:tcBorders>
              <w:top w:val="single" w:sz="12" w:space="0" w:color="auto"/>
              <w:left w:val="single" w:sz="12" w:space="0" w:color="auto"/>
              <w:bottom w:val="single" w:sz="12" w:space="0" w:color="auto"/>
              <w:right w:val="single" w:sz="12" w:space="0" w:color="auto"/>
            </w:tcBorders>
            <w:shd w:val="clear" w:color="auto" w:fill="F4B29B" w:themeFill="accent1" w:themeFillTint="66"/>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44</w:t>
            </w:r>
          </w:p>
        </w:tc>
        <w:tc>
          <w:tcPr>
            <w:tcW w:w="1071" w:type="dxa"/>
            <w:tcBorders>
              <w:top w:val="single" w:sz="12" w:space="0" w:color="auto"/>
              <w:left w:val="single" w:sz="12" w:space="0" w:color="auto"/>
              <w:bottom w:val="single" w:sz="12" w:space="0" w:color="auto"/>
              <w:right w:val="single" w:sz="12" w:space="0" w:color="auto"/>
            </w:tcBorders>
            <w:shd w:val="clear" w:color="auto" w:fill="F4B29B" w:themeFill="accent1" w:themeFillTint="66"/>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44</w:t>
            </w:r>
          </w:p>
        </w:tc>
        <w:tc>
          <w:tcPr>
            <w:tcW w:w="1071" w:type="dxa"/>
            <w:tcBorders>
              <w:top w:val="single" w:sz="12" w:space="0" w:color="auto"/>
              <w:left w:val="single" w:sz="12" w:space="0" w:color="auto"/>
              <w:bottom w:val="single" w:sz="12" w:space="0" w:color="auto"/>
              <w:right w:val="single" w:sz="12" w:space="0" w:color="auto"/>
            </w:tcBorders>
            <w:shd w:val="clear" w:color="auto" w:fill="F4B29B" w:themeFill="accent1" w:themeFillTint="66"/>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47</w:t>
            </w:r>
          </w:p>
        </w:tc>
        <w:tc>
          <w:tcPr>
            <w:tcW w:w="1239" w:type="dxa"/>
            <w:tcBorders>
              <w:top w:val="single" w:sz="12" w:space="0" w:color="auto"/>
              <w:left w:val="single" w:sz="12" w:space="0" w:color="auto"/>
              <w:bottom w:val="single" w:sz="12" w:space="0" w:color="auto"/>
              <w:right w:val="thinThickThinSmallGap" w:sz="24" w:space="0" w:color="auto"/>
            </w:tcBorders>
            <w:shd w:val="clear" w:color="auto" w:fill="F4B29B" w:themeFill="accent1" w:themeFillTint="66"/>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47</w:t>
            </w:r>
          </w:p>
        </w:tc>
      </w:tr>
      <w:tr w:rsidR="00F25110" w:rsidRPr="00F25110" w:rsidTr="006614F6">
        <w:trPr>
          <w:trHeight w:val="180"/>
        </w:trPr>
        <w:tc>
          <w:tcPr>
            <w:tcW w:w="2396" w:type="dxa"/>
            <w:tcBorders>
              <w:top w:val="single" w:sz="12" w:space="0" w:color="auto"/>
              <w:left w:val="thinThickThinSmallGap" w:sz="24" w:space="0" w:color="auto"/>
              <w:bottom w:val="single" w:sz="4" w:space="0" w:color="auto"/>
              <w:right w:val="single" w:sz="12" w:space="0" w:color="auto"/>
            </w:tcBorders>
            <w:shd w:val="clear" w:color="auto" w:fill="auto"/>
            <w:vAlign w:val="bottom"/>
          </w:tcPr>
          <w:p w:rsidR="00F25110" w:rsidRPr="009D016A" w:rsidRDefault="00F25110" w:rsidP="00F25110">
            <w:pPr>
              <w:spacing w:after="0" w:line="240" w:lineRule="auto"/>
              <w:rPr>
                <w:rFonts w:ascii="Times New Roman" w:eastAsia="Times New Roman" w:hAnsi="Times New Roman"/>
                <w:i/>
                <w:iCs/>
                <w:color w:val="auto"/>
                <w:sz w:val="24"/>
                <w:szCs w:val="24"/>
                <w:lang w:val="bg-BG" w:eastAsia="bg-BG"/>
              </w:rPr>
            </w:pPr>
            <w:r w:rsidRPr="009D016A">
              <w:rPr>
                <w:rFonts w:ascii="Times New Roman" w:eastAsia="Times New Roman" w:hAnsi="Times New Roman"/>
                <w:i/>
                <w:iCs/>
                <w:color w:val="auto"/>
                <w:szCs w:val="22"/>
                <w:lang w:val="bg-BG" w:eastAsia="bg-BG"/>
              </w:rPr>
              <w:t>Северозападен район</w:t>
            </w:r>
          </w:p>
        </w:tc>
        <w:tc>
          <w:tcPr>
            <w:tcW w:w="1291" w:type="dxa"/>
            <w:tcBorders>
              <w:top w:val="single" w:sz="12" w:space="0" w:color="auto"/>
              <w:left w:val="single" w:sz="12" w:space="0" w:color="auto"/>
              <w:bottom w:val="single" w:sz="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27</w:t>
            </w:r>
          </w:p>
        </w:tc>
        <w:tc>
          <w:tcPr>
            <w:tcW w:w="1239" w:type="dxa"/>
            <w:tcBorders>
              <w:top w:val="single" w:sz="12" w:space="0" w:color="auto"/>
              <w:left w:val="single" w:sz="12" w:space="0" w:color="auto"/>
              <w:bottom w:val="single" w:sz="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28</w:t>
            </w:r>
          </w:p>
        </w:tc>
        <w:tc>
          <w:tcPr>
            <w:tcW w:w="1239" w:type="dxa"/>
            <w:tcBorders>
              <w:top w:val="single" w:sz="12" w:space="0" w:color="auto"/>
              <w:left w:val="single" w:sz="12" w:space="0" w:color="auto"/>
              <w:bottom w:val="single" w:sz="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27</w:t>
            </w:r>
          </w:p>
        </w:tc>
        <w:tc>
          <w:tcPr>
            <w:tcW w:w="1071" w:type="dxa"/>
            <w:tcBorders>
              <w:top w:val="single" w:sz="12" w:space="0" w:color="auto"/>
              <w:left w:val="single" w:sz="12" w:space="0" w:color="auto"/>
              <w:bottom w:val="single" w:sz="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eastAsia="bg-BG"/>
              </w:rPr>
            </w:pPr>
            <w:r w:rsidRPr="009D016A">
              <w:rPr>
                <w:rFonts w:ascii="Times New Roman" w:eastAsia="Times New Roman" w:hAnsi="Times New Roman"/>
                <w:bCs/>
                <w:color w:val="auto"/>
                <w:szCs w:val="22"/>
                <w:lang w:val="bg-BG" w:eastAsia="bg-BG"/>
              </w:rPr>
              <w:t>2</w:t>
            </w:r>
            <w:r w:rsidRPr="009D016A">
              <w:rPr>
                <w:rFonts w:ascii="Times New Roman" w:eastAsia="Times New Roman" w:hAnsi="Times New Roman"/>
                <w:bCs/>
                <w:color w:val="auto"/>
                <w:szCs w:val="22"/>
                <w:lang w:eastAsia="bg-BG"/>
              </w:rPr>
              <w:t>7</w:t>
            </w:r>
          </w:p>
        </w:tc>
        <w:tc>
          <w:tcPr>
            <w:tcW w:w="1071" w:type="dxa"/>
            <w:tcBorders>
              <w:top w:val="single" w:sz="12" w:space="0" w:color="auto"/>
              <w:left w:val="single" w:sz="12" w:space="0" w:color="auto"/>
              <w:bottom w:val="single" w:sz="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eastAsia="bg-BG"/>
              </w:rPr>
            </w:pPr>
            <w:r w:rsidRPr="009D016A">
              <w:rPr>
                <w:rFonts w:ascii="Times New Roman" w:eastAsia="Times New Roman" w:hAnsi="Times New Roman"/>
                <w:bCs/>
                <w:color w:val="auto"/>
                <w:szCs w:val="22"/>
                <w:lang w:eastAsia="bg-BG"/>
              </w:rPr>
              <w:t>29</w:t>
            </w:r>
          </w:p>
        </w:tc>
        <w:tc>
          <w:tcPr>
            <w:tcW w:w="1239" w:type="dxa"/>
            <w:tcBorders>
              <w:top w:val="single" w:sz="12" w:space="0" w:color="auto"/>
              <w:left w:val="single" w:sz="12" w:space="0" w:color="auto"/>
              <w:bottom w:val="single" w:sz="4" w:space="0" w:color="auto"/>
              <w:right w:val="thinThickThinSmallGap" w:sz="24"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w:t>
            </w:r>
          </w:p>
        </w:tc>
      </w:tr>
      <w:tr w:rsidR="00F25110" w:rsidRPr="00F25110" w:rsidTr="006614F6">
        <w:trPr>
          <w:trHeight w:val="281"/>
        </w:trPr>
        <w:tc>
          <w:tcPr>
            <w:tcW w:w="2396" w:type="dxa"/>
            <w:tcBorders>
              <w:top w:val="nil"/>
              <w:left w:val="thinThickThinSmallGap" w:sz="24" w:space="0" w:color="auto"/>
              <w:bottom w:val="single" w:sz="4" w:space="0" w:color="auto"/>
              <w:right w:val="single" w:sz="12" w:space="0" w:color="auto"/>
            </w:tcBorders>
            <w:shd w:val="clear" w:color="auto" w:fill="auto"/>
            <w:vAlign w:val="bottom"/>
          </w:tcPr>
          <w:p w:rsidR="00F25110" w:rsidRPr="009D016A" w:rsidRDefault="00F25110" w:rsidP="00F25110">
            <w:pPr>
              <w:spacing w:after="0" w:line="240" w:lineRule="auto"/>
              <w:rPr>
                <w:rFonts w:ascii="Times New Roman" w:eastAsia="Times New Roman" w:hAnsi="Times New Roman"/>
                <w:i/>
                <w:iCs/>
                <w:color w:val="auto"/>
                <w:sz w:val="24"/>
                <w:szCs w:val="24"/>
                <w:lang w:val="bg-BG" w:eastAsia="bg-BG"/>
              </w:rPr>
            </w:pPr>
            <w:r w:rsidRPr="009D016A">
              <w:rPr>
                <w:rFonts w:ascii="Times New Roman" w:eastAsia="Times New Roman" w:hAnsi="Times New Roman"/>
                <w:i/>
                <w:iCs/>
                <w:color w:val="auto"/>
                <w:szCs w:val="22"/>
                <w:lang w:val="bg-BG" w:eastAsia="bg-BG"/>
              </w:rPr>
              <w:t>Северен централен район</w:t>
            </w:r>
          </w:p>
        </w:tc>
        <w:tc>
          <w:tcPr>
            <w:tcW w:w="1291" w:type="dxa"/>
            <w:tcBorders>
              <w:top w:val="nil"/>
              <w:left w:val="single" w:sz="12" w:space="0" w:color="auto"/>
              <w:bottom w:val="single" w:sz="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28</w:t>
            </w:r>
          </w:p>
        </w:tc>
        <w:tc>
          <w:tcPr>
            <w:tcW w:w="1239" w:type="dxa"/>
            <w:tcBorders>
              <w:top w:val="nil"/>
              <w:left w:val="single" w:sz="12" w:space="0" w:color="auto"/>
              <w:bottom w:val="single" w:sz="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30</w:t>
            </w:r>
          </w:p>
        </w:tc>
        <w:tc>
          <w:tcPr>
            <w:tcW w:w="1239" w:type="dxa"/>
            <w:tcBorders>
              <w:top w:val="nil"/>
              <w:left w:val="single" w:sz="12" w:space="0" w:color="auto"/>
              <w:bottom w:val="single" w:sz="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29</w:t>
            </w:r>
          </w:p>
        </w:tc>
        <w:tc>
          <w:tcPr>
            <w:tcW w:w="1071" w:type="dxa"/>
            <w:tcBorders>
              <w:top w:val="nil"/>
              <w:left w:val="single" w:sz="12" w:space="0" w:color="auto"/>
              <w:bottom w:val="single" w:sz="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29</w:t>
            </w:r>
          </w:p>
        </w:tc>
        <w:tc>
          <w:tcPr>
            <w:tcW w:w="1071" w:type="dxa"/>
            <w:tcBorders>
              <w:top w:val="nil"/>
              <w:left w:val="single" w:sz="12" w:space="0" w:color="auto"/>
              <w:bottom w:val="single" w:sz="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eastAsia="bg-BG"/>
              </w:rPr>
            </w:pPr>
            <w:r w:rsidRPr="009D016A">
              <w:rPr>
                <w:rFonts w:ascii="Times New Roman" w:eastAsia="Times New Roman" w:hAnsi="Times New Roman"/>
                <w:bCs/>
                <w:color w:val="auto"/>
                <w:szCs w:val="22"/>
                <w:lang w:eastAsia="bg-BG"/>
              </w:rPr>
              <w:t>31</w:t>
            </w:r>
          </w:p>
        </w:tc>
        <w:tc>
          <w:tcPr>
            <w:tcW w:w="1239" w:type="dxa"/>
            <w:tcBorders>
              <w:top w:val="nil"/>
              <w:left w:val="single" w:sz="12" w:space="0" w:color="auto"/>
              <w:bottom w:val="single" w:sz="4" w:space="0" w:color="auto"/>
              <w:right w:val="thinThickThinSmallGap" w:sz="24"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w:t>
            </w:r>
          </w:p>
        </w:tc>
      </w:tr>
      <w:tr w:rsidR="00F25110" w:rsidRPr="00F25110" w:rsidTr="006614F6">
        <w:trPr>
          <w:trHeight w:val="281"/>
        </w:trPr>
        <w:tc>
          <w:tcPr>
            <w:tcW w:w="2396" w:type="dxa"/>
            <w:tcBorders>
              <w:top w:val="single" w:sz="4" w:space="0" w:color="auto"/>
              <w:left w:val="thinThickThinSmallGap" w:sz="24" w:space="0" w:color="auto"/>
              <w:bottom w:val="single" w:sz="8" w:space="0" w:color="auto"/>
              <w:right w:val="single" w:sz="12" w:space="0" w:color="auto"/>
            </w:tcBorders>
            <w:shd w:val="clear" w:color="auto" w:fill="auto"/>
            <w:vAlign w:val="bottom"/>
          </w:tcPr>
          <w:p w:rsidR="00F25110" w:rsidRPr="009D016A" w:rsidRDefault="00F25110" w:rsidP="00F25110">
            <w:pPr>
              <w:spacing w:after="0" w:line="240" w:lineRule="auto"/>
              <w:rPr>
                <w:rFonts w:ascii="Times New Roman" w:eastAsia="Times New Roman" w:hAnsi="Times New Roman"/>
                <w:i/>
                <w:iCs/>
                <w:color w:val="auto"/>
                <w:sz w:val="24"/>
                <w:szCs w:val="24"/>
                <w:lang w:val="bg-BG" w:eastAsia="bg-BG"/>
              </w:rPr>
            </w:pPr>
            <w:r w:rsidRPr="009D016A">
              <w:rPr>
                <w:rFonts w:ascii="Times New Roman" w:eastAsia="Times New Roman" w:hAnsi="Times New Roman"/>
                <w:i/>
                <w:iCs/>
                <w:color w:val="auto"/>
                <w:szCs w:val="22"/>
                <w:lang w:val="bg-BG" w:eastAsia="bg-BG"/>
              </w:rPr>
              <w:t>Североизточен район</w:t>
            </w:r>
          </w:p>
        </w:tc>
        <w:tc>
          <w:tcPr>
            <w:tcW w:w="1291" w:type="dxa"/>
            <w:tcBorders>
              <w:top w:val="single" w:sz="4" w:space="0" w:color="auto"/>
              <w:left w:val="single" w:sz="12" w:space="0" w:color="auto"/>
              <w:bottom w:val="single" w:sz="8"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34</w:t>
            </w:r>
          </w:p>
        </w:tc>
        <w:tc>
          <w:tcPr>
            <w:tcW w:w="1239" w:type="dxa"/>
            <w:tcBorders>
              <w:top w:val="single" w:sz="4" w:space="0" w:color="auto"/>
              <w:left w:val="single" w:sz="12" w:space="0" w:color="auto"/>
              <w:bottom w:val="single" w:sz="8"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eastAsia="bg-BG"/>
              </w:rPr>
            </w:pPr>
            <w:r w:rsidRPr="009D016A">
              <w:rPr>
                <w:rFonts w:ascii="Times New Roman" w:eastAsia="Times New Roman" w:hAnsi="Times New Roman"/>
                <w:bCs/>
                <w:color w:val="auto"/>
                <w:szCs w:val="22"/>
                <w:lang w:val="bg-BG" w:eastAsia="bg-BG"/>
              </w:rPr>
              <w:t>3</w:t>
            </w:r>
            <w:r w:rsidRPr="009D016A">
              <w:rPr>
                <w:rFonts w:ascii="Times New Roman" w:eastAsia="Times New Roman" w:hAnsi="Times New Roman"/>
                <w:bCs/>
                <w:color w:val="auto"/>
                <w:szCs w:val="22"/>
                <w:lang w:eastAsia="bg-BG"/>
              </w:rPr>
              <w:t>8</w:t>
            </w:r>
          </w:p>
        </w:tc>
        <w:tc>
          <w:tcPr>
            <w:tcW w:w="1239" w:type="dxa"/>
            <w:tcBorders>
              <w:top w:val="single" w:sz="4" w:space="0" w:color="auto"/>
              <w:left w:val="single" w:sz="12" w:space="0" w:color="auto"/>
              <w:bottom w:val="single" w:sz="8"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36</w:t>
            </w:r>
          </w:p>
        </w:tc>
        <w:tc>
          <w:tcPr>
            <w:tcW w:w="1071" w:type="dxa"/>
            <w:tcBorders>
              <w:top w:val="single" w:sz="4" w:space="0" w:color="auto"/>
              <w:left w:val="single" w:sz="12" w:space="0" w:color="auto"/>
              <w:bottom w:val="single" w:sz="8"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36</w:t>
            </w:r>
          </w:p>
        </w:tc>
        <w:tc>
          <w:tcPr>
            <w:tcW w:w="1071" w:type="dxa"/>
            <w:tcBorders>
              <w:top w:val="single" w:sz="4" w:space="0" w:color="auto"/>
              <w:left w:val="single" w:sz="12" w:space="0" w:color="auto"/>
              <w:bottom w:val="single" w:sz="8"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eastAsia="bg-BG"/>
              </w:rPr>
            </w:pPr>
            <w:r w:rsidRPr="009D016A">
              <w:rPr>
                <w:rFonts w:ascii="Times New Roman" w:eastAsia="Times New Roman" w:hAnsi="Times New Roman"/>
                <w:bCs/>
                <w:color w:val="auto"/>
                <w:szCs w:val="22"/>
                <w:lang w:eastAsia="bg-BG"/>
              </w:rPr>
              <w:t>38</w:t>
            </w:r>
          </w:p>
        </w:tc>
        <w:tc>
          <w:tcPr>
            <w:tcW w:w="1239" w:type="dxa"/>
            <w:tcBorders>
              <w:top w:val="single" w:sz="4" w:space="0" w:color="auto"/>
              <w:left w:val="single" w:sz="12" w:space="0" w:color="auto"/>
              <w:bottom w:val="single" w:sz="8" w:space="0" w:color="auto"/>
              <w:right w:val="thinThickThinSmallGap" w:sz="24"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w:t>
            </w:r>
          </w:p>
        </w:tc>
      </w:tr>
      <w:tr w:rsidR="00F25110" w:rsidRPr="00F25110" w:rsidTr="009D016A">
        <w:trPr>
          <w:trHeight w:val="281"/>
        </w:trPr>
        <w:tc>
          <w:tcPr>
            <w:tcW w:w="2396" w:type="dxa"/>
            <w:tcBorders>
              <w:top w:val="single" w:sz="8" w:space="0" w:color="auto"/>
              <w:left w:val="thinThickThinSmallGap" w:sz="24" w:space="0" w:color="auto"/>
              <w:bottom w:val="single" w:sz="4" w:space="0" w:color="auto"/>
              <w:right w:val="single" w:sz="12" w:space="0" w:color="auto"/>
            </w:tcBorders>
            <w:shd w:val="clear" w:color="auto" w:fill="F4B29B" w:themeFill="accent1" w:themeFillTint="66"/>
            <w:vAlign w:val="bottom"/>
          </w:tcPr>
          <w:p w:rsidR="00F25110" w:rsidRPr="009D016A" w:rsidRDefault="00F25110" w:rsidP="00F25110">
            <w:pPr>
              <w:spacing w:after="0" w:line="240" w:lineRule="auto"/>
              <w:rPr>
                <w:rFonts w:ascii="Times New Roman" w:eastAsia="Times New Roman" w:hAnsi="Times New Roman"/>
                <w:b/>
                <w:i/>
                <w:iCs/>
                <w:color w:val="auto"/>
                <w:sz w:val="24"/>
                <w:szCs w:val="24"/>
                <w:lang w:val="bg-BG" w:eastAsia="bg-BG"/>
              </w:rPr>
            </w:pPr>
            <w:r w:rsidRPr="009D016A">
              <w:rPr>
                <w:rFonts w:ascii="Times New Roman" w:eastAsia="Times New Roman" w:hAnsi="Times New Roman"/>
                <w:b/>
                <w:i/>
                <w:iCs/>
                <w:color w:val="auto"/>
                <w:szCs w:val="22"/>
                <w:lang w:val="bg-BG" w:eastAsia="bg-BG"/>
              </w:rPr>
              <w:t>Югоизточен район</w:t>
            </w:r>
          </w:p>
        </w:tc>
        <w:tc>
          <w:tcPr>
            <w:tcW w:w="1291" w:type="dxa"/>
            <w:tcBorders>
              <w:top w:val="single" w:sz="8" w:space="0" w:color="auto"/>
              <w:left w:val="single" w:sz="12" w:space="0" w:color="auto"/>
              <w:bottom w:val="single" w:sz="4" w:space="0" w:color="auto"/>
              <w:right w:val="single" w:sz="12" w:space="0" w:color="auto"/>
            </w:tcBorders>
            <w:shd w:val="clear" w:color="auto" w:fill="F4B29B" w:themeFill="accent1" w:themeFillTint="66"/>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33</w:t>
            </w:r>
          </w:p>
        </w:tc>
        <w:tc>
          <w:tcPr>
            <w:tcW w:w="1239" w:type="dxa"/>
            <w:tcBorders>
              <w:top w:val="single" w:sz="8" w:space="0" w:color="auto"/>
              <w:left w:val="single" w:sz="12" w:space="0" w:color="auto"/>
              <w:bottom w:val="single" w:sz="4" w:space="0" w:color="auto"/>
              <w:right w:val="single" w:sz="12" w:space="0" w:color="auto"/>
            </w:tcBorders>
            <w:shd w:val="clear" w:color="auto" w:fill="F4B29B" w:themeFill="accent1" w:themeFillTint="66"/>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36</w:t>
            </w:r>
          </w:p>
        </w:tc>
        <w:tc>
          <w:tcPr>
            <w:tcW w:w="1239" w:type="dxa"/>
            <w:tcBorders>
              <w:top w:val="single" w:sz="8" w:space="0" w:color="auto"/>
              <w:left w:val="single" w:sz="12" w:space="0" w:color="auto"/>
              <w:bottom w:val="single" w:sz="4" w:space="0" w:color="auto"/>
              <w:right w:val="single" w:sz="12" w:space="0" w:color="auto"/>
            </w:tcBorders>
            <w:shd w:val="clear" w:color="auto" w:fill="F4B29B" w:themeFill="accent1" w:themeFillTint="66"/>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36</w:t>
            </w:r>
          </w:p>
        </w:tc>
        <w:tc>
          <w:tcPr>
            <w:tcW w:w="1071" w:type="dxa"/>
            <w:tcBorders>
              <w:top w:val="single" w:sz="8" w:space="0" w:color="auto"/>
              <w:left w:val="single" w:sz="12" w:space="0" w:color="auto"/>
              <w:bottom w:val="single" w:sz="4" w:space="0" w:color="auto"/>
              <w:right w:val="single" w:sz="12" w:space="0" w:color="auto"/>
            </w:tcBorders>
            <w:shd w:val="clear" w:color="auto" w:fill="F4B29B" w:themeFill="accent1" w:themeFillTint="66"/>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36</w:t>
            </w:r>
          </w:p>
        </w:tc>
        <w:tc>
          <w:tcPr>
            <w:tcW w:w="1071" w:type="dxa"/>
            <w:tcBorders>
              <w:top w:val="single" w:sz="8" w:space="0" w:color="auto"/>
              <w:left w:val="single" w:sz="12" w:space="0" w:color="auto"/>
              <w:bottom w:val="single" w:sz="4" w:space="0" w:color="auto"/>
              <w:right w:val="single" w:sz="12" w:space="0" w:color="auto"/>
            </w:tcBorders>
            <w:shd w:val="clear" w:color="auto" w:fill="F4B29B" w:themeFill="accent1" w:themeFillTint="66"/>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eastAsia="bg-BG"/>
              </w:rPr>
            </w:pPr>
            <w:r w:rsidRPr="009D016A">
              <w:rPr>
                <w:rFonts w:ascii="Times New Roman" w:eastAsia="Times New Roman" w:hAnsi="Times New Roman"/>
                <w:b/>
                <w:bCs/>
                <w:color w:val="auto"/>
                <w:szCs w:val="22"/>
                <w:lang w:eastAsia="bg-BG"/>
              </w:rPr>
              <w:t>38</w:t>
            </w:r>
          </w:p>
        </w:tc>
        <w:tc>
          <w:tcPr>
            <w:tcW w:w="1239" w:type="dxa"/>
            <w:tcBorders>
              <w:top w:val="single" w:sz="8" w:space="0" w:color="auto"/>
              <w:left w:val="single" w:sz="12" w:space="0" w:color="auto"/>
              <w:bottom w:val="single" w:sz="4" w:space="0" w:color="auto"/>
              <w:right w:val="thinThickThinSmallGap" w:sz="24" w:space="0" w:color="auto"/>
            </w:tcBorders>
            <w:shd w:val="clear" w:color="auto" w:fill="F4B29B" w:themeFill="accent1" w:themeFillTint="66"/>
            <w:vAlign w:val="center"/>
          </w:tcPr>
          <w:p w:rsidR="00F25110" w:rsidRPr="009D016A" w:rsidRDefault="00F25110" w:rsidP="00F25110">
            <w:pPr>
              <w:spacing w:after="0" w:line="240" w:lineRule="auto"/>
              <w:jc w:val="center"/>
              <w:rPr>
                <w:rFonts w:ascii="Times New Roman" w:eastAsia="Times New Roman" w:hAnsi="Times New Roman"/>
                <w:b/>
                <w:bCs/>
                <w:color w:val="auto"/>
                <w:sz w:val="24"/>
                <w:szCs w:val="24"/>
                <w:lang w:val="bg-BG" w:eastAsia="bg-BG"/>
              </w:rPr>
            </w:pPr>
            <w:r w:rsidRPr="009D016A">
              <w:rPr>
                <w:rFonts w:ascii="Times New Roman" w:eastAsia="Times New Roman" w:hAnsi="Times New Roman"/>
                <w:b/>
                <w:bCs/>
                <w:color w:val="auto"/>
                <w:szCs w:val="22"/>
                <w:lang w:val="bg-BG" w:eastAsia="bg-BG"/>
              </w:rPr>
              <w:t>-</w:t>
            </w:r>
          </w:p>
        </w:tc>
      </w:tr>
      <w:tr w:rsidR="00F25110" w:rsidRPr="00F25110" w:rsidTr="006614F6">
        <w:trPr>
          <w:trHeight w:val="281"/>
        </w:trPr>
        <w:tc>
          <w:tcPr>
            <w:tcW w:w="2396" w:type="dxa"/>
            <w:tcBorders>
              <w:top w:val="single" w:sz="4" w:space="0" w:color="auto"/>
              <w:left w:val="thinThickThinSmallGap" w:sz="24" w:space="0" w:color="auto"/>
              <w:bottom w:val="single" w:sz="12" w:space="0" w:color="auto"/>
              <w:right w:val="single" w:sz="12" w:space="0" w:color="auto"/>
            </w:tcBorders>
            <w:shd w:val="clear" w:color="auto" w:fill="auto"/>
            <w:vAlign w:val="bottom"/>
          </w:tcPr>
          <w:p w:rsidR="00F25110" w:rsidRPr="009D016A" w:rsidRDefault="00F25110" w:rsidP="00F25110">
            <w:pPr>
              <w:spacing w:after="0" w:line="240" w:lineRule="auto"/>
              <w:rPr>
                <w:rFonts w:ascii="Times New Roman" w:eastAsia="Times New Roman" w:hAnsi="Times New Roman"/>
                <w:i/>
                <w:iCs/>
                <w:color w:val="auto"/>
                <w:sz w:val="24"/>
                <w:szCs w:val="24"/>
                <w:lang w:val="bg-BG" w:eastAsia="bg-BG"/>
              </w:rPr>
            </w:pPr>
            <w:r w:rsidRPr="009D016A">
              <w:rPr>
                <w:rFonts w:ascii="Times New Roman" w:eastAsia="Times New Roman" w:hAnsi="Times New Roman"/>
                <w:i/>
                <w:iCs/>
                <w:color w:val="auto"/>
                <w:szCs w:val="22"/>
                <w:lang w:val="bg-BG" w:eastAsia="bg-BG"/>
              </w:rPr>
              <w:t>Южен централен район</w:t>
            </w:r>
          </w:p>
        </w:tc>
        <w:tc>
          <w:tcPr>
            <w:tcW w:w="1291" w:type="dxa"/>
            <w:tcBorders>
              <w:top w:val="single" w:sz="4" w:space="0" w:color="auto"/>
              <w:left w:val="single" w:sz="12" w:space="0" w:color="auto"/>
              <w:bottom w:val="single" w:sz="12"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29</w:t>
            </w:r>
          </w:p>
        </w:tc>
        <w:tc>
          <w:tcPr>
            <w:tcW w:w="1239" w:type="dxa"/>
            <w:tcBorders>
              <w:top w:val="single" w:sz="4" w:space="0" w:color="auto"/>
              <w:left w:val="single" w:sz="12" w:space="0" w:color="auto"/>
              <w:bottom w:val="single" w:sz="12"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eastAsia="bg-BG"/>
              </w:rPr>
            </w:pPr>
            <w:r w:rsidRPr="009D016A">
              <w:rPr>
                <w:rFonts w:ascii="Times New Roman" w:eastAsia="Times New Roman" w:hAnsi="Times New Roman"/>
                <w:bCs/>
                <w:color w:val="auto"/>
                <w:szCs w:val="22"/>
                <w:lang w:val="bg-BG" w:eastAsia="bg-BG"/>
              </w:rPr>
              <w:t>30</w:t>
            </w:r>
          </w:p>
        </w:tc>
        <w:tc>
          <w:tcPr>
            <w:tcW w:w="1239" w:type="dxa"/>
            <w:tcBorders>
              <w:top w:val="single" w:sz="4" w:space="0" w:color="auto"/>
              <w:left w:val="single" w:sz="12" w:space="0" w:color="auto"/>
              <w:bottom w:val="single" w:sz="12"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31</w:t>
            </w:r>
          </w:p>
        </w:tc>
        <w:tc>
          <w:tcPr>
            <w:tcW w:w="1071" w:type="dxa"/>
            <w:tcBorders>
              <w:top w:val="single" w:sz="4" w:space="0" w:color="auto"/>
              <w:left w:val="single" w:sz="12" w:space="0" w:color="auto"/>
              <w:bottom w:val="single" w:sz="12"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eastAsia="bg-BG"/>
              </w:rPr>
            </w:pPr>
            <w:r w:rsidRPr="009D016A">
              <w:rPr>
                <w:rFonts w:ascii="Times New Roman" w:eastAsia="Times New Roman" w:hAnsi="Times New Roman"/>
                <w:bCs/>
                <w:color w:val="auto"/>
                <w:szCs w:val="22"/>
                <w:lang w:val="bg-BG" w:eastAsia="bg-BG"/>
              </w:rPr>
              <w:t>3</w:t>
            </w:r>
            <w:r w:rsidRPr="009D016A">
              <w:rPr>
                <w:rFonts w:ascii="Times New Roman" w:eastAsia="Times New Roman" w:hAnsi="Times New Roman"/>
                <w:bCs/>
                <w:color w:val="auto"/>
                <w:szCs w:val="22"/>
                <w:lang w:eastAsia="bg-BG"/>
              </w:rPr>
              <w:t>1</w:t>
            </w:r>
          </w:p>
        </w:tc>
        <w:tc>
          <w:tcPr>
            <w:tcW w:w="1071" w:type="dxa"/>
            <w:tcBorders>
              <w:top w:val="single" w:sz="4" w:space="0" w:color="auto"/>
              <w:left w:val="single" w:sz="12" w:space="0" w:color="auto"/>
              <w:bottom w:val="single" w:sz="12"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eastAsia="bg-BG"/>
              </w:rPr>
            </w:pPr>
            <w:r w:rsidRPr="009D016A">
              <w:rPr>
                <w:rFonts w:ascii="Times New Roman" w:eastAsia="Times New Roman" w:hAnsi="Times New Roman"/>
                <w:bCs/>
                <w:color w:val="auto"/>
                <w:szCs w:val="22"/>
                <w:lang w:eastAsia="bg-BG"/>
              </w:rPr>
              <w:t>32</w:t>
            </w:r>
          </w:p>
        </w:tc>
        <w:tc>
          <w:tcPr>
            <w:tcW w:w="1239" w:type="dxa"/>
            <w:tcBorders>
              <w:top w:val="single" w:sz="4" w:space="0" w:color="auto"/>
              <w:left w:val="single" w:sz="12" w:space="0" w:color="auto"/>
              <w:bottom w:val="single" w:sz="12" w:space="0" w:color="auto"/>
              <w:right w:val="thinThickThinSmallGap" w:sz="24"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w:t>
            </w:r>
          </w:p>
        </w:tc>
      </w:tr>
      <w:tr w:rsidR="00F25110" w:rsidRPr="00F25110" w:rsidTr="006614F6">
        <w:trPr>
          <w:trHeight w:val="281"/>
        </w:trPr>
        <w:tc>
          <w:tcPr>
            <w:tcW w:w="2396" w:type="dxa"/>
            <w:tcBorders>
              <w:top w:val="single" w:sz="12" w:space="0" w:color="auto"/>
              <w:left w:val="thinThickThinSmallGap" w:sz="24" w:space="0" w:color="auto"/>
              <w:bottom w:val="thinThickThinSmallGap" w:sz="24" w:space="0" w:color="auto"/>
              <w:right w:val="single" w:sz="12" w:space="0" w:color="auto"/>
            </w:tcBorders>
            <w:shd w:val="clear" w:color="auto" w:fill="auto"/>
            <w:vAlign w:val="bottom"/>
          </w:tcPr>
          <w:p w:rsidR="00F25110" w:rsidRPr="009D016A" w:rsidRDefault="00F25110" w:rsidP="00F25110">
            <w:pPr>
              <w:spacing w:after="0" w:line="240" w:lineRule="auto"/>
              <w:rPr>
                <w:rFonts w:ascii="Times New Roman" w:eastAsia="Times New Roman" w:hAnsi="Times New Roman"/>
                <w:i/>
                <w:iCs/>
                <w:color w:val="auto"/>
                <w:sz w:val="24"/>
                <w:szCs w:val="24"/>
                <w:lang w:val="bg-BG" w:eastAsia="bg-BG"/>
              </w:rPr>
            </w:pPr>
            <w:r w:rsidRPr="009D016A">
              <w:rPr>
                <w:rFonts w:ascii="Times New Roman" w:eastAsia="Times New Roman" w:hAnsi="Times New Roman"/>
                <w:i/>
                <w:iCs/>
                <w:color w:val="auto"/>
                <w:szCs w:val="22"/>
                <w:lang w:val="bg-BG" w:eastAsia="bg-BG"/>
              </w:rPr>
              <w:t>Югозападен район</w:t>
            </w:r>
          </w:p>
        </w:tc>
        <w:tc>
          <w:tcPr>
            <w:tcW w:w="1291" w:type="dxa"/>
            <w:tcBorders>
              <w:top w:val="single" w:sz="12" w:space="0" w:color="auto"/>
              <w:left w:val="single" w:sz="12" w:space="0" w:color="auto"/>
              <w:bottom w:val="thinThickThinSmallGap" w:sz="2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eastAsia="bg-BG"/>
              </w:rPr>
            </w:pPr>
            <w:r w:rsidRPr="009D016A">
              <w:rPr>
                <w:rFonts w:ascii="Times New Roman" w:eastAsia="Times New Roman" w:hAnsi="Times New Roman"/>
                <w:bCs/>
                <w:color w:val="auto"/>
                <w:szCs w:val="22"/>
                <w:lang w:val="bg-BG" w:eastAsia="bg-BG"/>
              </w:rPr>
              <w:t>6</w:t>
            </w:r>
            <w:r w:rsidRPr="009D016A">
              <w:rPr>
                <w:rFonts w:ascii="Times New Roman" w:eastAsia="Times New Roman" w:hAnsi="Times New Roman"/>
                <w:bCs/>
                <w:color w:val="auto"/>
                <w:szCs w:val="22"/>
                <w:lang w:eastAsia="bg-BG"/>
              </w:rPr>
              <w:t>6</w:t>
            </w:r>
          </w:p>
        </w:tc>
        <w:tc>
          <w:tcPr>
            <w:tcW w:w="1239" w:type="dxa"/>
            <w:tcBorders>
              <w:top w:val="single" w:sz="12" w:space="0" w:color="auto"/>
              <w:left w:val="single" w:sz="12" w:space="0" w:color="auto"/>
              <w:bottom w:val="thinThickThinSmallGap" w:sz="2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eastAsia="bg-BG"/>
              </w:rPr>
            </w:pPr>
            <w:r w:rsidRPr="009D016A">
              <w:rPr>
                <w:rFonts w:ascii="Times New Roman" w:eastAsia="Times New Roman" w:hAnsi="Times New Roman"/>
                <w:bCs/>
                <w:color w:val="auto"/>
                <w:szCs w:val="22"/>
                <w:lang w:eastAsia="bg-BG"/>
              </w:rPr>
              <w:t>73</w:t>
            </w:r>
          </w:p>
        </w:tc>
        <w:tc>
          <w:tcPr>
            <w:tcW w:w="1239" w:type="dxa"/>
            <w:tcBorders>
              <w:top w:val="single" w:sz="12" w:space="0" w:color="auto"/>
              <w:left w:val="single" w:sz="12" w:space="0" w:color="auto"/>
              <w:bottom w:val="thinThickThinSmallGap" w:sz="24" w:space="0" w:color="auto"/>
              <w:right w:val="single" w:sz="12"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75</w:t>
            </w:r>
          </w:p>
        </w:tc>
        <w:tc>
          <w:tcPr>
            <w:tcW w:w="1071" w:type="dxa"/>
            <w:tcBorders>
              <w:top w:val="single" w:sz="12" w:space="0" w:color="auto"/>
              <w:left w:val="single" w:sz="12" w:space="0" w:color="auto"/>
              <w:bottom w:val="thinThickThinSmallGap" w:sz="24" w:space="0" w:color="auto"/>
              <w:right w:val="single" w:sz="12" w:space="0" w:color="auto"/>
            </w:tcBorders>
          </w:tcPr>
          <w:p w:rsidR="00F25110" w:rsidRPr="009D016A" w:rsidRDefault="00F25110" w:rsidP="00F25110">
            <w:pPr>
              <w:spacing w:after="0" w:line="240" w:lineRule="auto"/>
              <w:jc w:val="center"/>
              <w:rPr>
                <w:rFonts w:ascii="Times New Roman" w:eastAsia="Times New Roman" w:hAnsi="Times New Roman"/>
                <w:bCs/>
                <w:color w:val="auto"/>
                <w:sz w:val="24"/>
                <w:szCs w:val="24"/>
                <w:lang w:eastAsia="bg-BG"/>
              </w:rPr>
            </w:pPr>
            <w:r w:rsidRPr="009D016A">
              <w:rPr>
                <w:rFonts w:ascii="Times New Roman" w:eastAsia="Times New Roman" w:hAnsi="Times New Roman"/>
                <w:bCs/>
                <w:color w:val="auto"/>
                <w:szCs w:val="22"/>
                <w:lang w:val="bg-BG" w:eastAsia="bg-BG"/>
              </w:rPr>
              <w:t>7</w:t>
            </w:r>
            <w:r w:rsidRPr="009D016A">
              <w:rPr>
                <w:rFonts w:ascii="Times New Roman" w:eastAsia="Times New Roman" w:hAnsi="Times New Roman"/>
                <w:bCs/>
                <w:color w:val="auto"/>
                <w:szCs w:val="22"/>
                <w:lang w:eastAsia="bg-BG"/>
              </w:rPr>
              <w:t>6</w:t>
            </w:r>
          </w:p>
        </w:tc>
        <w:tc>
          <w:tcPr>
            <w:tcW w:w="1071" w:type="dxa"/>
            <w:tcBorders>
              <w:top w:val="single" w:sz="12" w:space="0" w:color="auto"/>
              <w:left w:val="single" w:sz="12" w:space="0" w:color="auto"/>
              <w:bottom w:val="thinThickThinSmallGap" w:sz="24" w:space="0" w:color="auto"/>
              <w:right w:val="single" w:sz="12" w:space="0" w:color="auto"/>
            </w:tcBorders>
          </w:tcPr>
          <w:p w:rsidR="00F25110" w:rsidRPr="009D016A" w:rsidRDefault="00F25110" w:rsidP="00F25110">
            <w:pPr>
              <w:spacing w:after="0" w:line="240" w:lineRule="auto"/>
              <w:jc w:val="center"/>
              <w:rPr>
                <w:rFonts w:ascii="Times New Roman" w:eastAsia="Times New Roman" w:hAnsi="Times New Roman"/>
                <w:bCs/>
                <w:color w:val="auto"/>
                <w:sz w:val="24"/>
                <w:szCs w:val="24"/>
                <w:lang w:eastAsia="bg-BG"/>
              </w:rPr>
            </w:pPr>
            <w:r w:rsidRPr="009D016A">
              <w:rPr>
                <w:rFonts w:ascii="Times New Roman" w:eastAsia="Times New Roman" w:hAnsi="Times New Roman"/>
                <w:bCs/>
                <w:color w:val="auto"/>
                <w:szCs w:val="22"/>
                <w:lang w:eastAsia="bg-BG"/>
              </w:rPr>
              <w:t>78</w:t>
            </w:r>
          </w:p>
        </w:tc>
        <w:tc>
          <w:tcPr>
            <w:tcW w:w="1239" w:type="dxa"/>
            <w:tcBorders>
              <w:top w:val="single" w:sz="12" w:space="0" w:color="auto"/>
              <w:left w:val="single" w:sz="12" w:space="0" w:color="auto"/>
              <w:bottom w:val="thinThickThinSmallGap" w:sz="24" w:space="0" w:color="auto"/>
              <w:right w:val="thinThickThinSmallGap" w:sz="24" w:space="0" w:color="auto"/>
            </w:tcBorders>
            <w:vAlign w:val="center"/>
          </w:tcPr>
          <w:p w:rsidR="00F25110" w:rsidRPr="009D016A" w:rsidRDefault="00F25110" w:rsidP="00F25110">
            <w:pPr>
              <w:spacing w:after="0" w:line="240" w:lineRule="auto"/>
              <w:jc w:val="center"/>
              <w:rPr>
                <w:rFonts w:ascii="Times New Roman" w:eastAsia="Times New Roman" w:hAnsi="Times New Roman"/>
                <w:bCs/>
                <w:color w:val="auto"/>
                <w:sz w:val="24"/>
                <w:szCs w:val="24"/>
                <w:lang w:val="bg-BG" w:eastAsia="bg-BG"/>
              </w:rPr>
            </w:pPr>
            <w:r w:rsidRPr="009D016A">
              <w:rPr>
                <w:rFonts w:ascii="Times New Roman" w:eastAsia="Times New Roman" w:hAnsi="Times New Roman"/>
                <w:bCs/>
                <w:color w:val="auto"/>
                <w:szCs w:val="22"/>
                <w:lang w:val="bg-BG" w:eastAsia="bg-BG"/>
              </w:rPr>
              <w:t>-</w:t>
            </w:r>
          </w:p>
        </w:tc>
      </w:tr>
    </w:tbl>
    <w:p w:rsidR="00F25110" w:rsidRPr="009D016A" w:rsidRDefault="00F25110" w:rsidP="00F25110">
      <w:pPr>
        <w:spacing w:after="0" w:line="360" w:lineRule="auto"/>
        <w:jc w:val="both"/>
        <w:rPr>
          <w:rFonts w:ascii="Times New Roman" w:eastAsia="Times New Roman" w:hAnsi="Times New Roman"/>
          <w:b/>
          <w:i/>
          <w:color w:val="9B2D1F" w:themeColor="accent2"/>
          <w:szCs w:val="22"/>
          <w:lang w:val="bg-BG" w:eastAsia="bg-BG"/>
        </w:rPr>
      </w:pPr>
      <w:r w:rsidRPr="009D016A">
        <w:rPr>
          <w:rFonts w:ascii="Times New Roman" w:eastAsia="Times New Roman" w:hAnsi="Times New Roman"/>
          <w:b/>
          <w:i/>
          <w:color w:val="9B2D1F" w:themeColor="accent2"/>
          <w:szCs w:val="22"/>
          <w:lang w:val="ru-RU" w:eastAsia="bg-BG"/>
        </w:rPr>
        <w:t xml:space="preserve">Източник: </w:t>
      </w:r>
      <w:r w:rsidRPr="009D016A">
        <w:rPr>
          <w:rFonts w:ascii="Times New Roman" w:eastAsia="Times New Roman" w:hAnsi="Times New Roman"/>
          <w:b/>
          <w:i/>
          <w:color w:val="9B2D1F" w:themeColor="accent2"/>
          <w:szCs w:val="22"/>
          <w:lang w:val="bg-BG" w:eastAsia="bg-BG"/>
        </w:rPr>
        <w:t>Евростат</w:t>
      </w:r>
    </w:p>
    <w:p w:rsidR="00F25110" w:rsidRPr="00BD7BB1" w:rsidRDefault="00F25110" w:rsidP="00F25110">
      <w:pPr>
        <w:autoSpaceDE w:val="0"/>
        <w:autoSpaceDN w:val="0"/>
        <w:adjustRightInd w:val="0"/>
        <w:spacing w:after="0" w:line="360" w:lineRule="auto"/>
        <w:ind w:right="-92" w:firstLine="708"/>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i/>
          <w:color w:val="auto"/>
          <w:sz w:val="24"/>
          <w:szCs w:val="24"/>
          <w:lang w:val="bg-BG" w:eastAsia="bg-BG"/>
        </w:rPr>
        <w:lastRenderedPageBreak/>
        <w:t>Брутната добавена стойност</w:t>
      </w:r>
      <w:r w:rsidRPr="00BD7BB1">
        <w:rPr>
          <w:rFonts w:ascii="Times New Roman" w:eastAsia="Times New Roman" w:hAnsi="Times New Roman"/>
          <w:color w:val="auto"/>
          <w:sz w:val="24"/>
          <w:szCs w:val="24"/>
          <w:lang w:val="bg-BG" w:eastAsia="bg-BG"/>
        </w:rPr>
        <w:t xml:space="preserve"> за 2012 г. в ЮИР е 8 419  млн.лв., с което районът се нарежда на трето място сред районите в страната след ЮЗР - 32 784 млн.лв.  и ЮЦР - 9 795 млн.лв.</w:t>
      </w:r>
      <w:r w:rsidR="008B7EA8">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Относителният дял на Югоизточен район в</w:t>
      </w:r>
      <w:r w:rsidRPr="00BD7BB1">
        <w:rPr>
          <w:rFonts w:ascii="Times New Roman" w:eastAsia="Times New Roman" w:hAnsi="Times New Roman"/>
          <w:b/>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БДС</w:t>
      </w:r>
      <w:r w:rsidRPr="00BD7BB1">
        <w:rPr>
          <w:rFonts w:ascii="Times New Roman" w:eastAsia="Times New Roman" w:hAnsi="Times New Roman"/>
          <w:b/>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на страната през годините в периода 2007-2012 г. не се променя съществено и се запазва на ниво около 12%. В абсолютна стойност през 2012 г. се наблюдава нарастване на БДС на ЮИР с 33,3% спрямо 2007 г. Нарастването на показателя  за 2012 г. спрямо 2007 г. на национално ниво възлиза на 30,6%. </w:t>
      </w:r>
    </w:p>
    <w:p w:rsidR="00F25110" w:rsidRPr="00F25110" w:rsidRDefault="00F25110" w:rsidP="00F25110">
      <w:pPr>
        <w:tabs>
          <w:tab w:val="left" w:pos="7770"/>
        </w:tabs>
        <w:spacing w:after="0"/>
        <w:contextualSpacing/>
        <w:jc w:val="both"/>
        <w:rPr>
          <w:rFonts w:ascii="Times New Roman" w:eastAsia="Times New Roman" w:hAnsi="Times New Roman"/>
          <w:b/>
          <w:i/>
          <w:color w:val="FF0000"/>
          <w:sz w:val="24"/>
          <w:szCs w:val="24"/>
          <w:lang w:val="bg-BG" w:eastAsia="bg-BG"/>
        </w:rPr>
      </w:pPr>
      <w:r w:rsidRPr="00BD7BB1">
        <w:rPr>
          <w:rFonts w:ascii="Times New Roman" w:eastAsia="Times New Roman" w:hAnsi="Times New Roman"/>
          <w:b/>
          <w:i/>
          <w:iCs/>
          <w:color w:val="9B2D1F" w:themeColor="accent2"/>
          <w:sz w:val="24"/>
          <w:szCs w:val="24"/>
          <w:lang w:val="bg-BG" w:eastAsia="bg-BG"/>
        </w:rPr>
        <w:t>Таблица 3.</w:t>
      </w:r>
      <w:r w:rsidRPr="00BD7BB1">
        <w:rPr>
          <w:rFonts w:ascii="Times New Roman" w:eastAsia="Times New Roman" w:hAnsi="Times New Roman"/>
          <w:b/>
          <w:i/>
          <w:color w:val="9B2D1F" w:themeColor="accent2"/>
          <w:sz w:val="24"/>
          <w:szCs w:val="24"/>
          <w:lang w:val="bg-BG" w:eastAsia="bg-BG"/>
        </w:rPr>
        <w:t>Брутна добавена стойност 2007 - 2012 г.</w:t>
      </w:r>
      <w:r w:rsidRPr="00F25110">
        <w:rPr>
          <w:rFonts w:ascii="Times New Roman" w:eastAsia="Times New Roman" w:hAnsi="Times New Roman"/>
          <w:b/>
          <w:i/>
          <w:color w:val="FF0000"/>
          <w:sz w:val="24"/>
          <w:szCs w:val="24"/>
          <w:lang w:val="bg-BG" w:eastAsia="bg-BG"/>
        </w:rPr>
        <w:tab/>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418"/>
        <w:gridCol w:w="1275"/>
        <w:gridCol w:w="1276"/>
        <w:gridCol w:w="1276"/>
        <w:gridCol w:w="1276"/>
        <w:gridCol w:w="1275"/>
      </w:tblGrid>
      <w:tr w:rsidR="00F25110" w:rsidRPr="00F25110" w:rsidTr="006614F6">
        <w:trPr>
          <w:trHeight w:val="697"/>
        </w:trPr>
        <w:tc>
          <w:tcPr>
            <w:tcW w:w="1951" w:type="dxa"/>
            <w:tcBorders>
              <w:top w:val="thinThickThinSmallGap" w:sz="24" w:space="0" w:color="auto"/>
              <w:left w:val="thinThickThinSmallGap" w:sz="24" w:space="0" w:color="auto"/>
            </w:tcBorders>
            <w:shd w:val="clear" w:color="auto" w:fill="auto"/>
          </w:tcPr>
          <w:p w:rsidR="00F25110" w:rsidRPr="00BD7BB1" w:rsidRDefault="00F25110" w:rsidP="00F25110">
            <w:pPr>
              <w:spacing w:after="0"/>
              <w:ind w:left="360" w:hanging="196"/>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Район, област</w:t>
            </w:r>
          </w:p>
        </w:tc>
        <w:tc>
          <w:tcPr>
            <w:tcW w:w="1418" w:type="dxa"/>
            <w:tcBorders>
              <w:top w:val="thinThickThinSmallGap" w:sz="24" w:space="0" w:color="auto"/>
            </w:tcBorders>
            <w:shd w:val="clear" w:color="auto" w:fill="auto"/>
          </w:tcPr>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БДС</w:t>
            </w:r>
          </w:p>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 xml:space="preserve"> (млн.лв.)</w:t>
            </w:r>
          </w:p>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2007 г.</w:t>
            </w:r>
          </w:p>
        </w:tc>
        <w:tc>
          <w:tcPr>
            <w:tcW w:w="1275" w:type="dxa"/>
            <w:tcBorders>
              <w:top w:val="thinThickThinSmallGap" w:sz="24" w:space="0" w:color="auto"/>
            </w:tcBorders>
            <w:shd w:val="clear" w:color="auto" w:fill="auto"/>
          </w:tcPr>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БДС (млн.лв.)</w:t>
            </w:r>
          </w:p>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2008 г.</w:t>
            </w:r>
          </w:p>
        </w:tc>
        <w:tc>
          <w:tcPr>
            <w:tcW w:w="1276" w:type="dxa"/>
            <w:tcBorders>
              <w:top w:val="thinThickThinSmallGap" w:sz="24" w:space="0" w:color="auto"/>
            </w:tcBorders>
            <w:shd w:val="clear" w:color="auto" w:fill="auto"/>
          </w:tcPr>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 xml:space="preserve">БДС </w:t>
            </w:r>
          </w:p>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(млн.лв.)</w:t>
            </w:r>
          </w:p>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2009 г.</w:t>
            </w:r>
          </w:p>
        </w:tc>
        <w:tc>
          <w:tcPr>
            <w:tcW w:w="1276" w:type="dxa"/>
            <w:tcBorders>
              <w:top w:val="thinThickThinSmallGap" w:sz="24" w:space="0" w:color="auto"/>
            </w:tcBorders>
          </w:tcPr>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 xml:space="preserve">БДС </w:t>
            </w:r>
          </w:p>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(млн.лв.)</w:t>
            </w:r>
          </w:p>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2010 г.</w:t>
            </w:r>
          </w:p>
        </w:tc>
        <w:tc>
          <w:tcPr>
            <w:tcW w:w="1276" w:type="dxa"/>
            <w:tcBorders>
              <w:top w:val="thinThickThinSmallGap" w:sz="24" w:space="0" w:color="auto"/>
            </w:tcBorders>
          </w:tcPr>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 xml:space="preserve">БДС </w:t>
            </w:r>
          </w:p>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(млн.лв.)</w:t>
            </w:r>
          </w:p>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2011 г.</w:t>
            </w:r>
          </w:p>
        </w:tc>
        <w:tc>
          <w:tcPr>
            <w:tcW w:w="1275" w:type="dxa"/>
            <w:tcBorders>
              <w:top w:val="thinThickThinSmallGap" w:sz="24" w:space="0" w:color="auto"/>
              <w:right w:val="thinThickThinSmallGap" w:sz="24" w:space="0" w:color="auto"/>
            </w:tcBorders>
            <w:shd w:val="clear" w:color="auto" w:fill="auto"/>
          </w:tcPr>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 xml:space="preserve">БДС </w:t>
            </w:r>
          </w:p>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(млн.лв.)</w:t>
            </w:r>
          </w:p>
          <w:p w:rsidR="00F25110" w:rsidRPr="00BD7BB1" w:rsidRDefault="00F25110" w:rsidP="00F25110">
            <w:pPr>
              <w:spacing w:after="0"/>
              <w:contextualSpacing/>
              <w:jc w:val="center"/>
              <w:rPr>
                <w:rFonts w:ascii="Times New Roman" w:eastAsia="Times New Roman" w:hAnsi="Times New Roman"/>
                <w:b/>
                <w:bCs/>
                <w:i/>
                <w:color w:val="auto"/>
                <w:sz w:val="24"/>
                <w:szCs w:val="24"/>
                <w:lang w:val="bg-BG" w:eastAsia="bg-BG"/>
              </w:rPr>
            </w:pPr>
            <w:r w:rsidRPr="00BD7BB1">
              <w:rPr>
                <w:rFonts w:ascii="Times New Roman" w:eastAsia="Times New Roman" w:hAnsi="Times New Roman"/>
                <w:b/>
                <w:bCs/>
                <w:i/>
                <w:color w:val="auto"/>
                <w:szCs w:val="22"/>
                <w:lang w:val="bg-BG" w:eastAsia="bg-BG"/>
              </w:rPr>
              <w:t>2012 г.</w:t>
            </w:r>
          </w:p>
        </w:tc>
      </w:tr>
      <w:tr w:rsidR="00F25110" w:rsidRPr="00F25110" w:rsidTr="00BD7BB1">
        <w:tc>
          <w:tcPr>
            <w:tcW w:w="1951" w:type="dxa"/>
            <w:tcBorders>
              <w:left w:val="thinThickThinSmallGap" w:sz="24" w:space="0" w:color="auto"/>
            </w:tcBorders>
            <w:shd w:val="clear" w:color="auto" w:fill="F4B29B" w:themeFill="accent1" w:themeFillTint="66"/>
          </w:tcPr>
          <w:p w:rsidR="00F25110" w:rsidRPr="00BD7BB1" w:rsidRDefault="00F25110" w:rsidP="00F25110">
            <w:pPr>
              <w:spacing w:after="0"/>
              <w:contextualSpacing/>
              <w:rPr>
                <w:rFonts w:ascii="Times New Roman" w:eastAsia="Times New Roman" w:hAnsi="Times New Roman"/>
                <w:b/>
                <w:bCs/>
                <w:i/>
                <w:color w:val="9B2D1F" w:themeColor="accent2"/>
                <w:sz w:val="24"/>
                <w:szCs w:val="24"/>
                <w:lang w:val="bg-BG" w:eastAsia="bg-BG"/>
              </w:rPr>
            </w:pPr>
            <w:r w:rsidRPr="00BD7BB1">
              <w:rPr>
                <w:rFonts w:ascii="Times New Roman" w:eastAsia="Times New Roman" w:hAnsi="Times New Roman"/>
                <w:b/>
                <w:bCs/>
                <w:i/>
                <w:color w:val="9B2D1F" w:themeColor="accent2"/>
                <w:szCs w:val="22"/>
                <w:lang w:val="bg-BG" w:eastAsia="bg-BG"/>
              </w:rPr>
              <w:t>БЪЛГАРИЯ</w:t>
            </w:r>
          </w:p>
        </w:tc>
        <w:tc>
          <w:tcPr>
            <w:tcW w:w="1418" w:type="dxa"/>
            <w:shd w:val="clear" w:color="auto" w:fill="F4B29B" w:themeFill="accent1" w:themeFillTint="66"/>
            <w:vAlign w:val="center"/>
          </w:tcPr>
          <w:p w:rsidR="00F25110" w:rsidRPr="00BD7BB1"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BD7BB1">
              <w:rPr>
                <w:rFonts w:ascii="Times New Roman" w:eastAsia="Times New Roman" w:hAnsi="Times New Roman"/>
                <w:b/>
                <w:color w:val="9B2D1F" w:themeColor="accent2"/>
                <w:szCs w:val="22"/>
                <w:lang w:val="bg-BG" w:eastAsia="bg-BG"/>
              </w:rPr>
              <w:t>52 748</w:t>
            </w:r>
          </w:p>
        </w:tc>
        <w:tc>
          <w:tcPr>
            <w:tcW w:w="1275" w:type="dxa"/>
            <w:shd w:val="clear" w:color="auto" w:fill="F4B29B" w:themeFill="accent1" w:themeFillTint="66"/>
            <w:vAlign w:val="center"/>
          </w:tcPr>
          <w:p w:rsidR="00F25110" w:rsidRPr="00BD7BB1"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BD7BB1">
              <w:rPr>
                <w:rFonts w:ascii="Times New Roman" w:eastAsia="Times New Roman" w:hAnsi="Times New Roman"/>
                <w:b/>
                <w:color w:val="9B2D1F" w:themeColor="accent2"/>
                <w:szCs w:val="22"/>
                <w:lang w:val="bg-BG" w:eastAsia="bg-BG"/>
              </w:rPr>
              <w:t>59 727</w:t>
            </w:r>
          </w:p>
        </w:tc>
        <w:tc>
          <w:tcPr>
            <w:tcW w:w="1276" w:type="dxa"/>
            <w:shd w:val="clear" w:color="auto" w:fill="F4B29B" w:themeFill="accent1" w:themeFillTint="66"/>
            <w:vAlign w:val="center"/>
          </w:tcPr>
          <w:p w:rsidR="00F25110" w:rsidRPr="00BD7BB1"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BD7BB1">
              <w:rPr>
                <w:rFonts w:ascii="Times New Roman" w:eastAsia="Times New Roman" w:hAnsi="Times New Roman"/>
                <w:b/>
                <w:color w:val="9B2D1F" w:themeColor="accent2"/>
                <w:szCs w:val="22"/>
                <w:lang w:val="bg-BG" w:eastAsia="bg-BG"/>
              </w:rPr>
              <w:t>60 936</w:t>
            </w:r>
          </w:p>
        </w:tc>
        <w:tc>
          <w:tcPr>
            <w:tcW w:w="1276" w:type="dxa"/>
            <w:shd w:val="clear" w:color="auto" w:fill="F4B29B" w:themeFill="accent1" w:themeFillTint="66"/>
            <w:vAlign w:val="center"/>
          </w:tcPr>
          <w:p w:rsidR="00F25110" w:rsidRPr="00BD7BB1"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BD7BB1">
              <w:rPr>
                <w:rFonts w:ascii="Times New Roman" w:eastAsia="Times New Roman" w:hAnsi="Times New Roman"/>
                <w:b/>
                <w:color w:val="9B2D1F" w:themeColor="accent2"/>
                <w:szCs w:val="22"/>
                <w:lang w:val="bg-BG" w:eastAsia="bg-BG"/>
              </w:rPr>
              <w:t>62 109</w:t>
            </w:r>
          </w:p>
        </w:tc>
        <w:tc>
          <w:tcPr>
            <w:tcW w:w="1276" w:type="dxa"/>
            <w:shd w:val="clear" w:color="auto" w:fill="F4B29B" w:themeFill="accent1" w:themeFillTint="66"/>
            <w:vAlign w:val="center"/>
          </w:tcPr>
          <w:p w:rsidR="00F25110" w:rsidRPr="00BD7BB1"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BD7BB1">
              <w:rPr>
                <w:rFonts w:ascii="Times New Roman" w:eastAsia="Times New Roman" w:hAnsi="Times New Roman"/>
                <w:b/>
                <w:color w:val="9B2D1F" w:themeColor="accent2"/>
                <w:szCs w:val="22"/>
                <w:lang w:val="bg-BG" w:eastAsia="bg-BG"/>
              </w:rPr>
              <w:t>68 299</w:t>
            </w:r>
          </w:p>
        </w:tc>
        <w:tc>
          <w:tcPr>
            <w:tcW w:w="1275" w:type="dxa"/>
            <w:tcBorders>
              <w:right w:val="thinThickThinSmallGap" w:sz="24" w:space="0" w:color="auto"/>
            </w:tcBorders>
            <w:shd w:val="clear" w:color="auto" w:fill="F4B29B" w:themeFill="accent1" w:themeFillTint="66"/>
            <w:vAlign w:val="center"/>
          </w:tcPr>
          <w:p w:rsidR="00F25110" w:rsidRPr="00BD7BB1"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BD7BB1">
              <w:rPr>
                <w:rFonts w:ascii="Times New Roman" w:eastAsia="Times New Roman" w:hAnsi="Times New Roman"/>
                <w:b/>
                <w:color w:val="9B2D1F" w:themeColor="accent2"/>
                <w:szCs w:val="22"/>
                <w:lang w:val="bg-BG" w:eastAsia="bg-BG"/>
              </w:rPr>
              <w:t>68 876</w:t>
            </w:r>
          </w:p>
        </w:tc>
      </w:tr>
      <w:tr w:rsidR="00F25110" w:rsidRPr="00F25110" w:rsidTr="006614F6">
        <w:tc>
          <w:tcPr>
            <w:tcW w:w="1951" w:type="dxa"/>
            <w:tcBorders>
              <w:left w:val="thinThickThinSmallGap" w:sz="24" w:space="0" w:color="auto"/>
            </w:tcBorders>
            <w:shd w:val="clear" w:color="auto" w:fill="auto"/>
          </w:tcPr>
          <w:p w:rsidR="00F25110" w:rsidRPr="00BD1A00" w:rsidRDefault="00F25110" w:rsidP="00F25110">
            <w:pPr>
              <w:spacing w:after="0"/>
              <w:contextualSpacing/>
              <w:rPr>
                <w:rFonts w:ascii="Times New Roman" w:eastAsia="Times New Roman" w:hAnsi="Times New Roman"/>
                <w:bCs/>
                <w:i/>
                <w:color w:val="auto"/>
                <w:sz w:val="24"/>
                <w:szCs w:val="24"/>
                <w:lang w:val="bg-BG" w:eastAsia="bg-BG"/>
              </w:rPr>
            </w:pPr>
            <w:r w:rsidRPr="00BD1A00">
              <w:rPr>
                <w:rFonts w:ascii="Times New Roman" w:eastAsia="Times New Roman" w:hAnsi="Times New Roman"/>
                <w:bCs/>
                <w:i/>
                <w:color w:val="auto"/>
                <w:szCs w:val="22"/>
                <w:lang w:val="bg-BG" w:eastAsia="bg-BG"/>
              </w:rPr>
              <w:t>Северозападен район</w:t>
            </w:r>
          </w:p>
        </w:tc>
        <w:tc>
          <w:tcPr>
            <w:tcW w:w="1418"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4 320</w:t>
            </w:r>
          </w:p>
        </w:tc>
        <w:tc>
          <w:tcPr>
            <w:tcW w:w="1275"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4 703</w:t>
            </w:r>
          </w:p>
        </w:tc>
        <w:tc>
          <w:tcPr>
            <w:tcW w:w="1276"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4 596</w:t>
            </w:r>
          </w:p>
        </w:tc>
        <w:tc>
          <w:tcPr>
            <w:tcW w:w="1276" w:type="dxa"/>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4 496</w:t>
            </w:r>
          </w:p>
        </w:tc>
        <w:tc>
          <w:tcPr>
            <w:tcW w:w="1276" w:type="dxa"/>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4 925</w:t>
            </w:r>
          </w:p>
        </w:tc>
        <w:tc>
          <w:tcPr>
            <w:tcW w:w="1275" w:type="dxa"/>
            <w:tcBorders>
              <w:right w:val="thinThickThinSmallGap" w:sz="24" w:space="0" w:color="auto"/>
            </w:tcBorders>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4 868</w:t>
            </w:r>
          </w:p>
        </w:tc>
      </w:tr>
      <w:tr w:rsidR="00F25110" w:rsidRPr="00F25110" w:rsidTr="006614F6">
        <w:trPr>
          <w:trHeight w:val="332"/>
        </w:trPr>
        <w:tc>
          <w:tcPr>
            <w:tcW w:w="1951" w:type="dxa"/>
            <w:tcBorders>
              <w:left w:val="thinThickThinSmallGap" w:sz="24" w:space="0" w:color="auto"/>
            </w:tcBorders>
            <w:shd w:val="clear" w:color="auto" w:fill="auto"/>
          </w:tcPr>
          <w:p w:rsidR="00F25110" w:rsidRPr="00BD1A00" w:rsidRDefault="00F25110" w:rsidP="00F25110">
            <w:pPr>
              <w:spacing w:after="0"/>
              <w:contextualSpacing/>
              <w:rPr>
                <w:rFonts w:ascii="Times New Roman" w:eastAsia="Times New Roman" w:hAnsi="Times New Roman"/>
                <w:bCs/>
                <w:i/>
                <w:color w:val="auto"/>
                <w:sz w:val="24"/>
                <w:szCs w:val="24"/>
                <w:lang w:val="bg-BG" w:eastAsia="bg-BG"/>
              </w:rPr>
            </w:pPr>
            <w:r w:rsidRPr="00BD1A00">
              <w:rPr>
                <w:rFonts w:ascii="Times New Roman" w:eastAsia="Times New Roman" w:hAnsi="Times New Roman"/>
                <w:bCs/>
                <w:i/>
                <w:color w:val="auto"/>
                <w:szCs w:val="22"/>
                <w:lang w:val="bg-BG" w:eastAsia="bg-BG"/>
              </w:rPr>
              <w:t>Северен централен район</w:t>
            </w:r>
          </w:p>
        </w:tc>
        <w:tc>
          <w:tcPr>
            <w:tcW w:w="1418"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4 555</w:t>
            </w:r>
          </w:p>
        </w:tc>
        <w:tc>
          <w:tcPr>
            <w:tcW w:w="1275"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5 008</w:t>
            </w:r>
          </w:p>
        </w:tc>
        <w:tc>
          <w:tcPr>
            <w:tcW w:w="1276"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4 990</w:t>
            </w:r>
          </w:p>
        </w:tc>
        <w:tc>
          <w:tcPr>
            <w:tcW w:w="1276" w:type="dxa"/>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4 869</w:t>
            </w:r>
          </w:p>
        </w:tc>
        <w:tc>
          <w:tcPr>
            <w:tcW w:w="1276" w:type="dxa"/>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5 392</w:t>
            </w:r>
          </w:p>
        </w:tc>
        <w:tc>
          <w:tcPr>
            <w:tcW w:w="1275" w:type="dxa"/>
            <w:tcBorders>
              <w:right w:val="thinThickThinSmallGap" w:sz="24" w:space="0" w:color="auto"/>
            </w:tcBorders>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5 514</w:t>
            </w:r>
          </w:p>
        </w:tc>
      </w:tr>
      <w:tr w:rsidR="00F25110" w:rsidRPr="00F25110" w:rsidTr="006614F6">
        <w:tc>
          <w:tcPr>
            <w:tcW w:w="1951" w:type="dxa"/>
            <w:tcBorders>
              <w:left w:val="thinThickThinSmallGap" w:sz="24" w:space="0" w:color="auto"/>
            </w:tcBorders>
            <w:shd w:val="clear" w:color="auto" w:fill="auto"/>
          </w:tcPr>
          <w:p w:rsidR="00F25110" w:rsidRPr="00BD1A00" w:rsidRDefault="00F25110" w:rsidP="00F25110">
            <w:pPr>
              <w:spacing w:after="0"/>
              <w:contextualSpacing/>
              <w:rPr>
                <w:rFonts w:ascii="Times New Roman" w:eastAsia="Times New Roman" w:hAnsi="Times New Roman"/>
                <w:bCs/>
                <w:i/>
                <w:color w:val="auto"/>
                <w:sz w:val="24"/>
                <w:szCs w:val="24"/>
                <w:lang w:val="bg-BG" w:eastAsia="bg-BG"/>
              </w:rPr>
            </w:pPr>
            <w:r w:rsidRPr="00BD1A00">
              <w:rPr>
                <w:rFonts w:ascii="Times New Roman" w:eastAsia="Times New Roman" w:hAnsi="Times New Roman"/>
                <w:bCs/>
                <w:i/>
                <w:color w:val="auto"/>
                <w:szCs w:val="22"/>
                <w:lang w:val="bg-BG" w:eastAsia="bg-BG"/>
              </w:rPr>
              <w:t>Североизточен район</w:t>
            </w:r>
          </w:p>
        </w:tc>
        <w:tc>
          <w:tcPr>
            <w:tcW w:w="1418"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5 859</w:t>
            </w:r>
          </w:p>
        </w:tc>
        <w:tc>
          <w:tcPr>
            <w:tcW w:w="1275"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6 717</w:t>
            </w:r>
          </w:p>
        </w:tc>
        <w:tc>
          <w:tcPr>
            <w:tcW w:w="1276"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6 528</w:t>
            </w:r>
          </w:p>
        </w:tc>
        <w:tc>
          <w:tcPr>
            <w:tcW w:w="1276" w:type="dxa"/>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6 587</w:t>
            </w:r>
          </w:p>
        </w:tc>
        <w:tc>
          <w:tcPr>
            <w:tcW w:w="1276" w:type="dxa"/>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7 271</w:t>
            </w:r>
          </w:p>
        </w:tc>
        <w:tc>
          <w:tcPr>
            <w:tcW w:w="1275" w:type="dxa"/>
            <w:tcBorders>
              <w:right w:val="thinThickThinSmallGap" w:sz="24" w:space="0" w:color="auto"/>
            </w:tcBorders>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7 496</w:t>
            </w:r>
          </w:p>
        </w:tc>
      </w:tr>
      <w:tr w:rsidR="00F25110" w:rsidRPr="00F25110" w:rsidTr="006614F6">
        <w:tc>
          <w:tcPr>
            <w:tcW w:w="1951" w:type="dxa"/>
            <w:tcBorders>
              <w:left w:val="thinThickThinSmallGap" w:sz="24" w:space="0" w:color="auto"/>
            </w:tcBorders>
            <w:shd w:val="clear" w:color="auto" w:fill="auto"/>
          </w:tcPr>
          <w:p w:rsidR="00F25110" w:rsidRPr="00BD1A00" w:rsidRDefault="00F25110" w:rsidP="00F25110">
            <w:pPr>
              <w:spacing w:after="0"/>
              <w:contextualSpacing/>
              <w:rPr>
                <w:rFonts w:ascii="Times New Roman" w:eastAsia="Times New Roman" w:hAnsi="Times New Roman"/>
                <w:bCs/>
                <w:i/>
                <w:color w:val="auto"/>
                <w:sz w:val="24"/>
                <w:szCs w:val="24"/>
                <w:lang w:val="bg-BG" w:eastAsia="bg-BG"/>
              </w:rPr>
            </w:pPr>
            <w:r w:rsidRPr="00BD1A00">
              <w:rPr>
                <w:rFonts w:ascii="Times New Roman" w:eastAsia="Times New Roman" w:hAnsi="Times New Roman"/>
                <w:bCs/>
                <w:i/>
                <w:color w:val="auto"/>
                <w:szCs w:val="22"/>
                <w:lang w:val="bg-BG" w:eastAsia="bg-BG"/>
              </w:rPr>
              <w:t>Югозападен район</w:t>
            </w:r>
          </w:p>
        </w:tc>
        <w:tc>
          <w:tcPr>
            <w:tcW w:w="1418"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24 038</w:t>
            </w:r>
          </w:p>
        </w:tc>
        <w:tc>
          <w:tcPr>
            <w:tcW w:w="1275"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27 625</w:t>
            </w:r>
          </w:p>
        </w:tc>
        <w:tc>
          <w:tcPr>
            <w:tcW w:w="1276"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28 741</w:t>
            </w:r>
          </w:p>
        </w:tc>
        <w:tc>
          <w:tcPr>
            <w:tcW w:w="1276" w:type="dxa"/>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29 834</w:t>
            </w:r>
          </w:p>
        </w:tc>
        <w:tc>
          <w:tcPr>
            <w:tcW w:w="1276" w:type="dxa"/>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33 067</w:t>
            </w:r>
          </w:p>
        </w:tc>
        <w:tc>
          <w:tcPr>
            <w:tcW w:w="1275" w:type="dxa"/>
            <w:tcBorders>
              <w:right w:val="thinThickThinSmallGap" w:sz="24" w:space="0" w:color="auto"/>
            </w:tcBorders>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32 784</w:t>
            </w:r>
          </w:p>
        </w:tc>
      </w:tr>
      <w:tr w:rsidR="00F25110" w:rsidRPr="00F25110" w:rsidTr="006614F6">
        <w:tc>
          <w:tcPr>
            <w:tcW w:w="1951" w:type="dxa"/>
            <w:tcBorders>
              <w:left w:val="thinThickThinSmallGap" w:sz="24" w:space="0" w:color="auto"/>
            </w:tcBorders>
            <w:shd w:val="clear" w:color="auto" w:fill="auto"/>
          </w:tcPr>
          <w:p w:rsidR="00F25110" w:rsidRPr="00BD1A00" w:rsidRDefault="00F25110" w:rsidP="00F25110">
            <w:pPr>
              <w:spacing w:after="0"/>
              <w:contextualSpacing/>
              <w:rPr>
                <w:rFonts w:ascii="Times New Roman" w:eastAsia="Times New Roman" w:hAnsi="Times New Roman"/>
                <w:bCs/>
                <w:i/>
                <w:color w:val="auto"/>
                <w:sz w:val="24"/>
                <w:szCs w:val="24"/>
                <w:lang w:val="bg-BG" w:eastAsia="bg-BG"/>
              </w:rPr>
            </w:pPr>
            <w:r w:rsidRPr="00BD1A00">
              <w:rPr>
                <w:rFonts w:ascii="Times New Roman" w:eastAsia="Times New Roman" w:hAnsi="Times New Roman"/>
                <w:bCs/>
                <w:i/>
                <w:color w:val="auto"/>
                <w:szCs w:val="22"/>
                <w:lang w:val="bg-BG" w:eastAsia="bg-BG"/>
              </w:rPr>
              <w:t>Южен централен район</w:t>
            </w:r>
          </w:p>
        </w:tc>
        <w:tc>
          <w:tcPr>
            <w:tcW w:w="1418"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7 661</w:t>
            </w:r>
          </w:p>
        </w:tc>
        <w:tc>
          <w:tcPr>
            <w:tcW w:w="1275"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8 413</w:t>
            </w:r>
          </w:p>
        </w:tc>
        <w:tc>
          <w:tcPr>
            <w:tcW w:w="1276" w:type="dxa"/>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8 620</w:t>
            </w:r>
          </w:p>
        </w:tc>
        <w:tc>
          <w:tcPr>
            <w:tcW w:w="1276" w:type="dxa"/>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8 768</w:t>
            </w:r>
          </w:p>
        </w:tc>
        <w:tc>
          <w:tcPr>
            <w:tcW w:w="1276" w:type="dxa"/>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9 604</w:t>
            </w:r>
          </w:p>
        </w:tc>
        <w:tc>
          <w:tcPr>
            <w:tcW w:w="1275" w:type="dxa"/>
            <w:tcBorders>
              <w:right w:val="thinThickThinSmallGap" w:sz="24" w:space="0" w:color="auto"/>
            </w:tcBorders>
            <w:shd w:val="clear" w:color="auto" w:fill="auto"/>
            <w:vAlign w:val="center"/>
          </w:tcPr>
          <w:p w:rsidR="00F25110" w:rsidRPr="00BD1A00" w:rsidRDefault="00F25110" w:rsidP="00F25110">
            <w:pPr>
              <w:spacing w:after="0" w:line="240" w:lineRule="auto"/>
              <w:jc w:val="center"/>
              <w:rPr>
                <w:rFonts w:ascii="Times New Roman" w:eastAsia="Times New Roman" w:hAnsi="Times New Roman"/>
                <w:color w:val="auto"/>
                <w:sz w:val="24"/>
                <w:szCs w:val="24"/>
                <w:lang w:val="bg-BG" w:eastAsia="bg-BG"/>
              </w:rPr>
            </w:pPr>
            <w:r w:rsidRPr="00BD1A00">
              <w:rPr>
                <w:rFonts w:ascii="Times New Roman" w:eastAsia="Times New Roman" w:hAnsi="Times New Roman"/>
                <w:color w:val="auto"/>
                <w:szCs w:val="22"/>
                <w:lang w:val="bg-BG" w:eastAsia="bg-BG"/>
              </w:rPr>
              <w:t>9 795</w:t>
            </w:r>
          </w:p>
        </w:tc>
      </w:tr>
      <w:tr w:rsidR="00F25110" w:rsidRPr="00F25110" w:rsidTr="00BD7BB1">
        <w:tc>
          <w:tcPr>
            <w:tcW w:w="1951" w:type="dxa"/>
            <w:tcBorders>
              <w:left w:val="thinThickThinSmallGap" w:sz="24" w:space="0" w:color="auto"/>
              <w:bottom w:val="thinThickThinSmallGap" w:sz="24" w:space="0" w:color="auto"/>
            </w:tcBorders>
            <w:shd w:val="clear" w:color="auto" w:fill="F4B29B" w:themeFill="accent1" w:themeFillTint="66"/>
          </w:tcPr>
          <w:p w:rsidR="00F25110" w:rsidRPr="00BD7BB1" w:rsidRDefault="00F25110" w:rsidP="00F25110">
            <w:pPr>
              <w:spacing w:after="0"/>
              <w:contextualSpacing/>
              <w:rPr>
                <w:rFonts w:ascii="Times New Roman" w:eastAsia="Times New Roman" w:hAnsi="Times New Roman"/>
                <w:b/>
                <w:bCs/>
                <w:i/>
                <w:color w:val="9B2D1F" w:themeColor="accent2"/>
                <w:sz w:val="24"/>
                <w:szCs w:val="24"/>
                <w:lang w:val="bg-BG" w:eastAsia="bg-BG"/>
              </w:rPr>
            </w:pPr>
            <w:r w:rsidRPr="00BD7BB1">
              <w:rPr>
                <w:rFonts w:ascii="Times New Roman" w:eastAsia="Times New Roman" w:hAnsi="Times New Roman"/>
                <w:b/>
                <w:bCs/>
                <w:i/>
                <w:color w:val="9B2D1F" w:themeColor="accent2"/>
                <w:szCs w:val="22"/>
                <w:lang w:val="bg-BG" w:eastAsia="bg-BG"/>
              </w:rPr>
              <w:t>Югоизточен район</w:t>
            </w:r>
          </w:p>
        </w:tc>
        <w:tc>
          <w:tcPr>
            <w:tcW w:w="1418" w:type="dxa"/>
            <w:tcBorders>
              <w:bottom w:val="thinThickThinSmallGap" w:sz="24" w:space="0" w:color="auto"/>
            </w:tcBorders>
            <w:shd w:val="clear" w:color="auto" w:fill="F4B29B" w:themeFill="accent1" w:themeFillTint="66"/>
            <w:vAlign w:val="center"/>
          </w:tcPr>
          <w:p w:rsidR="00F25110" w:rsidRPr="00BD7BB1"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BD7BB1">
              <w:rPr>
                <w:rFonts w:ascii="Times New Roman" w:eastAsia="Times New Roman" w:hAnsi="Times New Roman"/>
                <w:b/>
                <w:color w:val="9B2D1F" w:themeColor="accent2"/>
                <w:szCs w:val="22"/>
                <w:lang w:val="bg-BG" w:eastAsia="bg-BG"/>
              </w:rPr>
              <w:t>6 316</w:t>
            </w:r>
          </w:p>
        </w:tc>
        <w:tc>
          <w:tcPr>
            <w:tcW w:w="1275" w:type="dxa"/>
            <w:tcBorders>
              <w:bottom w:val="thinThickThinSmallGap" w:sz="24" w:space="0" w:color="auto"/>
            </w:tcBorders>
            <w:shd w:val="clear" w:color="auto" w:fill="F4B29B" w:themeFill="accent1" w:themeFillTint="66"/>
            <w:vAlign w:val="center"/>
          </w:tcPr>
          <w:p w:rsidR="00F25110" w:rsidRPr="00BD7BB1"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BD7BB1">
              <w:rPr>
                <w:rFonts w:ascii="Times New Roman" w:eastAsia="Times New Roman" w:hAnsi="Times New Roman"/>
                <w:b/>
                <w:color w:val="9B2D1F" w:themeColor="accent2"/>
                <w:szCs w:val="22"/>
                <w:lang w:val="bg-BG" w:eastAsia="bg-BG"/>
              </w:rPr>
              <w:t>7 260</w:t>
            </w:r>
          </w:p>
        </w:tc>
        <w:tc>
          <w:tcPr>
            <w:tcW w:w="1276" w:type="dxa"/>
            <w:tcBorders>
              <w:bottom w:val="thinThickThinSmallGap" w:sz="24" w:space="0" w:color="auto"/>
            </w:tcBorders>
            <w:shd w:val="clear" w:color="auto" w:fill="F4B29B" w:themeFill="accent1" w:themeFillTint="66"/>
            <w:vAlign w:val="center"/>
          </w:tcPr>
          <w:p w:rsidR="00F25110" w:rsidRPr="00BD7BB1"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BD7BB1">
              <w:rPr>
                <w:rFonts w:ascii="Times New Roman" w:eastAsia="Times New Roman" w:hAnsi="Times New Roman"/>
                <w:b/>
                <w:color w:val="9B2D1F" w:themeColor="accent2"/>
                <w:szCs w:val="22"/>
                <w:lang w:val="bg-BG" w:eastAsia="bg-BG"/>
              </w:rPr>
              <w:t>7 460</w:t>
            </w:r>
          </w:p>
        </w:tc>
        <w:tc>
          <w:tcPr>
            <w:tcW w:w="1276" w:type="dxa"/>
            <w:tcBorders>
              <w:bottom w:val="thinThickThinSmallGap" w:sz="24" w:space="0" w:color="auto"/>
            </w:tcBorders>
            <w:shd w:val="clear" w:color="auto" w:fill="F4B29B" w:themeFill="accent1" w:themeFillTint="66"/>
            <w:vAlign w:val="center"/>
          </w:tcPr>
          <w:p w:rsidR="00F25110" w:rsidRPr="00BD7BB1"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BD7BB1">
              <w:rPr>
                <w:rFonts w:ascii="Times New Roman" w:eastAsia="Times New Roman" w:hAnsi="Times New Roman"/>
                <w:b/>
                <w:color w:val="9B2D1F" w:themeColor="accent2"/>
                <w:szCs w:val="22"/>
                <w:lang w:val="bg-BG" w:eastAsia="bg-BG"/>
              </w:rPr>
              <w:t>7 555</w:t>
            </w:r>
          </w:p>
        </w:tc>
        <w:tc>
          <w:tcPr>
            <w:tcW w:w="1276" w:type="dxa"/>
            <w:tcBorders>
              <w:bottom w:val="thinThickThinSmallGap" w:sz="24" w:space="0" w:color="auto"/>
            </w:tcBorders>
            <w:shd w:val="clear" w:color="auto" w:fill="F4B29B" w:themeFill="accent1" w:themeFillTint="66"/>
            <w:vAlign w:val="center"/>
          </w:tcPr>
          <w:p w:rsidR="00F25110" w:rsidRPr="00BD7BB1"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BD7BB1">
              <w:rPr>
                <w:rFonts w:ascii="Times New Roman" w:eastAsia="Times New Roman" w:hAnsi="Times New Roman"/>
                <w:b/>
                <w:color w:val="9B2D1F" w:themeColor="accent2"/>
                <w:szCs w:val="22"/>
                <w:lang w:val="bg-BG" w:eastAsia="bg-BG"/>
              </w:rPr>
              <w:t>8 040</w:t>
            </w:r>
          </w:p>
        </w:tc>
        <w:tc>
          <w:tcPr>
            <w:tcW w:w="1275" w:type="dxa"/>
            <w:tcBorders>
              <w:bottom w:val="thinThickThinSmallGap" w:sz="24" w:space="0" w:color="auto"/>
              <w:right w:val="thinThickThinSmallGap" w:sz="24" w:space="0" w:color="auto"/>
            </w:tcBorders>
            <w:shd w:val="clear" w:color="auto" w:fill="F4B29B" w:themeFill="accent1" w:themeFillTint="66"/>
            <w:vAlign w:val="center"/>
          </w:tcPr>
          <w:p w:rsidR="00F25110" w:rsidRPr="00BD7BB1" w:rsidRDefault="00F25110" w:rsidP="00F25110">
            <w:pPr>
              <w:spacing w:after="0" w:line="240" w:lineRule="auto"/>
              <w:jc w:val="center"/>
              <w:rPr>
                <w:rFonts w:ascii="Times New Roman" w:eastAsia="Times New Roman" w:hAnsi="Times New Roman"/>
                <w:b/>
                <w:color w:val="9B2D1F" w:themeColor="accent2"/>
                <w:sz w:val="24"/>
                <w:szCs w:val="24"/>
                <w:lang w:val="bg-BG" w:eastAsia="bg-BG"/>
              </w:rPr>
            </w:pPr>
            <w:r w:rsidRPr="00BD7BB1">
              <w:rPr>
                <w:rFonts w:ascii="Times New Roman" w:eastAsia="Times New Roman" w:hAnsi="Times New Roman"/>
                <w:b/>
                <w:color w:val="9B2D1F" w:themeColor="accent2"/>
                <w:szCs w:val="22"/>
                <w:lang w:val="bg-BG" w:eastAsia="bg-BG"/>
              </w:rPr>
              <w:t>8 419</w:t>
            </w:r>
          </w:p>
        </w:tc>
      </w:tr>
    </w:tbl>
    <w:p w:rsidR="00F25110" w:rsidRPr="00BD7BB1" w:rsidRDefault="00F25110" w:rsidP="00F25110">
      <w:pPr>
        <w:autoSpaceDE w:val="0"/>
        <w:autoSpaceDN w:val="0"/>
        <w:adjustRightInd w:val="0"/>
        <w:spacing w:after="0"/>
        <w:contextualSpacing/>
        <w:jc w:val="both"/>
        <w:rPr>
          <w:rFonts w:ascii="Times New Roman" w:eastAsia="Times New Roman" w:hAnsi="Times New Roman"/>
          <w:b/>
          <w:i/>
          <w:color w:val="9B2D1F" w:themeColor="accent2"/>
          <w:sz w:val="24"/>
          <w:szCs w:val="24"/>
          <w:lang w:eastAsia="bg-BG"/>
        </w:rPr>
      </w:pPr>
      <w:r w:rsidRPr="00BD7BB1">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Pr="00F25110" w:rsidRDefault="00F25110" w:rsidP="00F25110">
      <w:pPr>
        <w:autoSpaceDE w:val="0"/>
        <w:autoSpaceDN w:val="0"/>
        <w:adjustRightInd w:val="0"/>
        <w:spacing w:after="0"/>
        <w:contextualSpacing/>
        <w:jc w:val="both"/>
        <w:rPr>
          <w:rFonts w:ascii="Times New Roman" w:eastAsia="Times New Roman" w:hAnsi="Times New Roman"/>
          <w:i/>
          <w:color w:val="FF0000"/>
          <w:sz w:val="24"/>
          <w:szCs w:val="24"/>
          <w:lang w:eastAsia="bg-BG"/>
        </w:rPr>
      </w:pP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Приносът на Югоизточен район в БДС на страната през 2012 г. има следните стойности: секторът на селското и горско стопанство  формира 14,3% от общата стойност за страната (една от най-ниските стойности сред районите от ниво 2); индустриалният сектор формира 17,7 % от общата стойност за страната, а секторът на услугите - 9,5%. Структурата на БДС в Югоизточен район се характеризира с превес на сектора на услугите, който формира 50 % дял от съвкупната добавена стойност в района през 2012 г. (52,1% за 2011г.) В сектора на индустрията се произвеждат 43,7% от регионалната добавена стойност (41,4% за 2011г.), а приносът на сектора на селското и горското стопанство е само 6,4%. (6,6% за 2011г.). За сравнение средно за страната през 2012г. </w:t>
      </w:r>
      <w:r w:rsidRPr="00BD7BB1">
        <w:rPr>
          <w:rFonts w:ascii="Times New Roman" w:eastAsia="Times New Roman" w:hAnsi="Times New Roman"/>
          <w:color w:val="auto"/>
          <w:sz w:val="24"/>
          <w:szCs w:val="24"/>
          <w:lang w:val="bg-BG" w:eastAsia="bg-BG"/>
        </w:rPr>
        <w:lastRenderedPageBreak/>
        <w:t xml:space="preserve">секторът на услугите формира 64,5% от БДС, секторът на индустрията - 30,1% и този на селското и горското стопанство -5,4%. </w:t>
      </w:r>
    </w:p>
    <w:p w:rsidR="00F25110" w:rsidRPr="00BD242F" w:rsidRDefault="00F25110" w:rsidP="00F25110">
      <w:pPr>
        <w:autoSpaceDE w:val="0"/>
        <w:autoSpaceDN w:val="0"/>
        <w:adjustRightInd w:val="0"/>
        <w:spacing w:after="0" w:line="360" w:lineRule="auto"/>
        <w:ind w:firstLine="708"/>
        <w:contextualSpacing/>
        <w:jc w:val="both"/>
        <w:rPr>
          <w:rFonts w:ascii="Times New Roman" w:eastAsia="Times New Roman" w:hAnsi="Times New Roman"/>
          <w:b/>
          <w:i/>
          <w:color w:val="9B2D1F" w:themeColor="accent2"/>
          <w:sz w:val="24"/>
          <w:szCs w:val="24"/>
          <w:lang w:val="bg-BG" w:eastAsia="bg-BG"/>
        </w:rPr>
      </w:pPr>
      <w:r w:rsidRPr="00BD242F">
        <w:rPr>
          <w:rFonts w:ascii="Times New Roman" w:eastAsia="Times New Roman" w:hAnsi="Times New Roman"/>
          <w:b/>
          <w:i/>
          <w:color w:val="9B2D1F" w:themeColor="accent2"/>
          <w:sz w:val="24"/>
          <w:szCs w:val="24"/>
          <w:lang w:val="bg-BG" w:eastAsia="bg-BG"/>
        </w:rPr>
        <w:t>Фигура 2</w:t>
      </w:r>
      <w:r w:rsidRPr="00BD242F">
        <w:rPr>
          <w:rFonts w:ascii="Times New Roman" w:eastAsia="Times New Roman" w:hAnsi="Times New Roman"/>
          <w:i/>
          <w:color w:val="9B2D1F" w:themeColor="accent2"/>
          <w:sz w:val="24"/>
          <w:szCs w:val="24"/>
          <w:lang w:val="bg-BG" w:eastAsia="bg-BG"/>
        </w:rPr>
        <w:t xml:space="preserve">. </w:t>
      </w:r>
      <w:r w:rsidRPr="00BD242F">
        <w:rPr>
          <w:rFonts w:ascii="Times New Roman" w:eastAsia="Times New Roman" w:hAnsi="Times New Roman"/>
          <w:b/>
          <w:i/>
          <w:color w:val="9B2D1F" w:themeColor="accent2"/>
          <w:sz w:val="24"/>
          <w:szCs w:val="24"/>
          <w:lang w:val="bg-BG" w:eastAsia="bg-BG"/>
        </w:rPr>
        <w:t>БДС  на областите в ЮИР за 2012 г. по сектори (млн.лв.)</w:t>
      </w: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eastAsia="bg-BG"/>
        </w:rPr>
      </w:pPr>
      <w:r w:rsidRPr="00BD7BB1">
        <w:rPr>
          <w:rFonts w:ascii="Times New Roman" w:eastAsia="Times New Roman" w:hAnsi="Times New Roman"/>
          <w:noProof/>
          <w:color w:val="auto"/>
          <w:sz w:val="24"/>
          <w:szCs w:val="24"/>
          <w:lang w:val="bg-BG" w:eastAsia="bg-BG"/>
        </w:rPr>
        <w:drawing>
          <wp:anchor distT="0" distB="0" distL="114300" distR="114300" simplePos="0" relativeHeight="251666432" behindDoc="0" locked="0" layoutInCell="1" allowOverlap="1" wp14:anchorId="301C72D9" wp14:editId="4E6EAA1A">
            <wp:simplePos x="0" y="0"/>
            <wp:positionH relativeFrom="column">
              <wp:posOffset>422275</wp:posOffset>
            </wp:positionH>
            <wp:positionV relativeFrom="paragraph">
              <wp:posOffset>0</wp:posOffset>
            </wp:positionV>
            <wp:extent cx="4815840" cy="2889250"/>
            <wp:effectExtent l="0" t="0" r="5715" b="1905"/>
            <wp:wrapSquare wrapText="right"/>
            <wp:docPr id="113" name="Chart 1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p>
    <w:p w:rsidR="00F25110" w:rsidRPr="00BD7BB1" w:rsidRDefault="00F25110" w:rsidP="00F25110">
      <w:pPr>
        <w:autoSpaceDE w:val="0"/>
        <w:autoSpaceDN w:val="0"/>
        <w:adjustRightInd w:val="0"/>
        <w:spacing w:after="0" w:line="360" w:lineRule="auto"/>
        <w:contextualSpacing/>
        <w:jc w:val="both"/>
        <w:rPr>
          <w:rFonts w:ascii="Times New Roman" w:eastAsia="Times New Roman" w:hAnsi="Times New Roman"/>
          <w:color w:val="auto"/>
          <w:sz w:val="24"/>
          <w:szCs w:val="24"/>
          <w:lang w:val="bg-BG" w:eastAsia="bg-BG"/>
        </w:rPr>
      </w:pP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При разпределението на отделните дялове (аграрен, индустрия, услуги) в структурата на БДС, на териториално ниво </w:t>
      </w:r>
      <w:r w:rsidRPr="00BD7BB1">
        <w:rPr>
          <w:rFonts w:ascii="Times New Roman" w:eastAsia="Times New Roman" w:hAnsi="Times New Roman"/>
          <w:color w:val="auto"/>
          <w:sz w:val="24"/>
          <w:szCs w:val="24"/>
          <w:lang w:eastAsia="bg-BG"/>
        </w:rPr>
        <w:t>NUTS</w:t>
      </w:r>
      <w:r w:rsidRPr="00BD7BB1">
        <w:rPr>
          <w:rFonts w:ascii="Times New Roman" w:eastAsia="Times New Roman" w:hAnsi="Times New Roman"/>
          <w:color w:val="auto"/>
          <w:sz w:val="24"/>
          <w:szCs w:val="24"/>
          <w:lang w:val="ru-RU" w:eastAsia="bg-BG"/>
        </w:rPr>
        <w:t xml:space="preserve"> 3</w:t>
      </w:r>
      <w:r w:rsidRPr="00BD7BB1">
        <w:rPr>
          <w:rFonts w:ascii="All Times New Roman" w:eastAsia="Times New Roman" w:hAnsi="All Times New Roman" w:cs="All Times New Roman"/>
          <w:color w:val="auto"/>
          <w:sz w:val="24"/>
          <w:szCs w:val="24"/>
          <w:lang w:val="ru-RU" w:eastAsia="bg-BG"/>
        </w:rPr>
        <w:t xml:space="preserve"> </w:t>
      </w:r>
      <w:r w:rsidRPr="00BD7BB1">
        <w:rPr>
          <w:rFonts w:ascii="Times New Roman" w:eastAsia="Times New Roman" w:hAnsi="Times New Roman"/>
          <w:color w:val="auto"/>
          <w:sz w:val="24"/>
          <w:szCs w:val="24"/>
          <w:lang w:val="bg-BG" w:eastAsia="bg-BG"/>
        </w:rPr>
        <w:t>се наблюдава диференциация и дисбаланси в потенциала</w:t>
      </w:r>
      <w:r w:rsidRPr="00BD7BB1">
        <w:rPr>
          <w:rFonts w:ascii="Times New Roman" w:eastAsia="Times New Roman" w:hAnsi="Times New Roman"/>
          <w:color w:val="auto"/>
          <w:sz w:val="24"/>
          <w:szCs w:val="24"/>
          <w:lang w:val="ru-RU" w:eastAsia="bg-BG"/>
        </w:rPr>
        <w:t xml:space="preserve"> </w:t>
      </w:r>
      <w:r w:rsidRPr="00BD7BB1">
        <w:rPr>
          <w:rFonts w:ascii="Times New Roman" w:eastAsia="Times New Roman" w:hAnsi="Times New Roman"/>
          <w:color w:val="auto"/>
          <w:sz w:val="24"/>
          <w:szCs w:val="24"/>
          <w:lang w:val="bg-BG" w:eastAsia="bg-BG"/>
        </w:rPr>
        <w:t xml:space="preserve">и приноса.  За Югоизточен район са характерни значителни вътрешнорегионални различия в приноса на отделните области във формирането на секторите на БДС. За 2012 г. област Бургас заема водещо място в сектора на услугите (50,2% от сектора на услугите в района) и в аграрния сектор (33,3%). Приносът на област Стара Загора в индустриалния сектор на района възлиза на 54,5%, а на област Бургас - 28,6%. Областите Сливен и Ямбол отбелязват ниски стойности в индустриалния сектор и в сектора на услугите и като цяло имат по- малък принос към БДС на района. </w:t>
      </w:r>
    </w:p>
    <w:p w:rsidR="00F25110" w:rsidRPr="00BD7BB1" w:rsidRDefault="00F25110" w:rsidP="00F25110">
      <w:pPr>
        <w:autoSpaceDE w:val="0"/>
        <w:autoSpaceDN w:val="0"/>
        <w:adjustRightInd w:val="0"/>
        <w:spacing w:after="0" w:line="360" w:lineRule="auto"/>
        <w:ind w:firstLine="708"/>
        <w:contextualSpacing/>
        <w:jc w:val="both"/>
        <w:rPr>
          <w:rFonts w:ascii="Times New Roman" w:eastAsia="Times New Roman" w:hAnsi="Times New Roman"/>
          <w:color w:val="auto"/>
          <w:sz w:val="24"/>
          <w:szCs w:val="24"/>
          <w:lang w:eastAsia="bg-BG"/>
        </w:rPr>
      </w:pPr>
    </w:p>
    <w:p w:rsidR="00F25110" w:rsidRPr="009C4CAB" w:rsidRDefault="00F25110" w:rsidP="00F25110">
      <w:pPr>
        <w:widowControl w:val="0"/>
        <w:autoSpaceDE w:val="0"/>
        <w:autoSpaceDN w:val="0"/>
        <w:adjustRightInd w:val="0"/>
        <w:spacing w:after="0" w:line="360" w:lineRule="auto"/>
        <w:ind w:right="140"/>
        <w:jc w:val="both"/>
        <w:rPr>
          <w:rFonts w:ascii="All Times New Roman" w:eastAsia="Times New Roman" w:hAnsi="All Times New Roman" w:cs="All Times New Roman"/>
          <w:b/>
          <w:color w:val="9B2D1F" w:themeColor="accent2"/>
          <w:sz w:val="24"/>
          <w:szCs w:val="24"/>
          <w:lang w:val="bg-BG" w:eastAsia="bg-BG"/>
        </w:rPr>
      </w:pPr>
      <w:r w:rsidRPr="009C4CAB">
        <w:rPr>
          <w:rFonts w:ascii="Times New Roman" w:eastAsia="Times New Roman" w:hAnsi="Times New Roman"/>
          <w:b/>
          <w:i/>
          <w:iCs/>
          <w:color w:val="9B2D1F" w:themeColor="accent2"/>
          <w:sz w:val="24"/>
          <w:szCs w:val="24"/>
          <w:lang w:val="bg-BG" w:eastAsia="bg-BG"/>
        </w:rPr>
        <w:t>Таблица 4.</w:t>
      </w:r>
      <w:r w:rsidRPr="009C4CAB">
        <w:rPr>
          <w:rFonts w:ascii="Times New Roman" w:eastAsia="Times New Roman" w:hAnsi="Times New Roman"/>
          <w:b/>
          <w:i/>
          <w:color w:val="9B2D1F" w:themeColor="accent2"/>
          <w:sz w:val="24"/>
          <w:szCs w:val="24"/>
          <w:lang w:val="bg-BG" w:eastAsia="bg-BG"/>
        </w:rPr>
        <w:t>Брутна добавена стойност по икономически сектори за 2011 г. и 2012г.</w:t>
      </w:r>
    </w:p>
    <w:tbl>
      <w:tblPr>
        <w:tblW w:w="9028"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7"/>
        <w:gridCol w:w="992"/>
        <w:gridCol w:w="1134"/>
        <w:gridCol w:w="1078"/>
        <w:gridCol w:w="1134"/>
        <w:gridCol w:w="1276"/>
        <w:gridCol w:w="1137"/>
      </w:tblGrid>
      <w:tr w:rsidR="00F25110" w:rsidRPr="00BD7BB1" w:rsidTr="006614F6">
        <w:trPr>
          <w:jc w:val="center"/>
        </w:trPr>
        <w:tc>
          <w:tcPr>
            <w:tcW w:w="2277" w:type="dxa"/>
            <w:vMerge w:val="restart"/>
            <w:tcBorders>
              <w:top w:val="thinThickThinSmallGap" w:sz="24" w:space="0" w:color="auto"/>
              <w:left w:val="thinThickThinSmallGap" w:sz="24" w:space="0" w:color="auto"/>
              <w:right w:val="single" w:sz="4" w:space="0" w:color="auto"/>
            </w:tcBorders>
            <w:vAlign w:val="center"/>
          </w:tcPr>
          <w:p w:rsidR="00F25110" w:rsidRPr="00BD7BB1" w:rsidRDefault="00F25110" w:rsidP="00F25110">
            <w:pPr>
              <w:spacing w:after="0" w:line="240" w:lineRule="auto"/>
              <w:ind w:left="360" w:hanging="196"/>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Район, област</w:t>
            </w:r>
          </w:p>
        </w:tc>
        <w:tc>
          <w:tcPr>
            <w:tcW w:w="6751" w:type="dxa"/>
            <w:gridSpan w:val="6"/>
            <w:tcBorders>
              <w:top w:val="thinThickThinSmallGap" w:sz="24" w:space="0" w:color="auto"/>
              <w:left w:val="single" w:sz="4" w:space="0" w:color="auto"/>
              <w:bottom w:val="double" w:sz="4" w:space="0" w:color="auto"/>
              <w:right w:val="thinThickThinSmallGap" w:sz="24" w:space="0" w:color="auto"/>
            </w:tcBorders>
          </w:tcPr>
          <w:p w:rsidR="00F25110" w:rsidRPr="00BD7BB1" w:rsidRDefault="00F25110" w:rsidP="00F25110">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БДС по икономически сектори (млн.лв.)</w:t>
            </w:r>
          </w:p>
        </w:tc>
      </w:tr>
      <w:tr w:rsidR="00F25110" w:rsidRPr="00BD7BB1" w:rsidTr="006614F6">
        <w:trPr>
          <w:trHeight w:val="444"/>
          <w:jc w:val="center"/>
        </w:trPr>
        <w:tc>
          <w:tcPr>
            <w:tcW w:w="2277" w:type="dxa"/>
            <w:vMerge/>
            <w:tcBorders>
              <w:left w:val="thinThickThinSmallGap" w:sz="24" w:space="0" w:color="auto"/>
              <w:right w:val="single" w:sz="4" w:space="0" w:color="auto"/>
            </w:tcBorders>
            <w:vAlign w:val="bottom"/>
          </w:tcPr>
          <w:p w:rsidR="00F25110" w:rsidRPr="00BD7BB1" w:rsidRDefault="00F25110" w:rsidP="00F25110">
            <w:pPr>
              <w:spacing w:after="0" w:line="240" w:lineRule="auto"/>
              <w:rPr>
                <w:rFonts w:ascii="Times New Roman" w:eastAsia="Times New Roman" w:hAnsi="Times New Roman"/>
                <w:i/>
                <w:color w:val="auto"/>
                <w:sz w:val="20"/>
                <w:lang w:val="bg-BG" w:eastAsia="bg-BG"/>
              </w:rPr>
            </w:pPr>
          </w:p>
        </w:tc>
        <w:tc>
          <w:tcPr>
            <w:tcW w:w="3204" w:type="dxa"/>
            <w:gridSpan w:val="3"/>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2011 г.</w:t>
            </w:r>
          </w:p>
        </w:tc>
        <w:tc>
          <w:tcPr>
            <w:tcW w:w="3547" w:type="dxa"/>
            <w:gridSpan w:val="3"/>
            <w:tcBorders>
              <w:top w:val="double" w:sz="4" w:space="0" w:color="auto"/>
              <w:left w:val="single" w:sz="4" w:space="0" w:color="auto"/>
              <w:bottom w:val="double" w:sz="4" w:space="0" w:color="auto"/>
              <w:right w:val="thinThickThinSmallGap" w:sz="24" w:space="0" w:color="auto"/>
            </w:tcBorders>
            <w:vAlign w:val="center"/>
          </w:tcPr>
          <w:p w:rsidR="00F25110" w:rsidRPr="00BD7BB1" w:rsidRDefault="00F25110" w:rsidP="00F25110">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20</w:t>
            </w:r>
            <w:r w:rsidRPr="00BD7BB1">
              <w:rPr>
                <w:rFonts w:ascii="Times New Roman" w:eastAsia="Times New Roman" w:hAnsi="Times New Roman"/>
                <w:b/>
                <w:bCs/>
                <w:color w:val="auto"/>
                <w:sz w:val="20"/>
                <w:lang w:eastAsia="bg-BG"/>
              </w:rPr>
              <w:t>1</w:t>
            </w:r>
            <w:r w:rsidRPr="00BD7BB1">
              <w:rPr>
                <w:rFonts w:ascii="Times New Roman" w:eastAsia="Times New Roman" w:hAnsi="Times New Roman"/>
                <w:b/>
                <w:bCs/>
                <w:color w:val="auto"/>
                <w:sz w:val="20"/>
                <w:lang w:val="bg-BG" w:eastAsia="bg-BG"/>
              </w:rPr>
              <w:t>2 г.</w:t>
            </w:r>
          </w:p>
        </w:tc>
      </w:tr>
      <w:tr w:rsidR="00F25110" w:rsidRPr="00BD7BB1" w:rsidTr="006614F6">
        <w:trPr>
          <w:trHeight w:val="444"/>
          <w:jc w:val="center"/>
        </w:trPr>
        <w:tc>
          <w:tcPr>
            <w:tcW w:w="2277" w:type="dxa"/>
            <w:vMerge/>
            <w:tcBorders>
              <w:left w:val="thinThickThinSmallGap" w:sz="24" w:space="0" w:color="auto"/>
              <w:bottom w:val="double" w:sz="4" w:space="0" w:color="auto"/>
              <w:right w:val="single" w:sz="4" w:space="0" w:color="auto"/>
            </w:tcBorders>
            <w:vAlign w:val="bottom"/>
          </w:tcPr>
          <w:p w:rsidR="00F25110" w:rsidRPr="00BD7BB1" w:rsidRDefault="00F25110" w:rsidP="00F25110">
            <w:pPr>
              <w:spacing w:after="0" w:line="240" w:lineRule="auto"/>
              <w:rPr>
                <w:rFonts w:ascii="Times New Roman" w:eastAsia="Times New Roman" w:hAnsi="Times New Roman"/>
                <w:i/>
                <w:color w:val="auto"/>
                <w:sz w:val="20"/>
                <w:lang w:val="bg-BG" w:eastAsia="bg-BG"/>
              </w:rPr>
            </w:pPr>
          </w:p>
        </w:tc>
        <w:tc>
          <w:tcPr>
            <w:tcW w:w="992"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Аграрен</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ind w:right="-81"/>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Индустрия</w:t>
            </w:r>
          </w:p>
        </w:tc>
        <w:tc>
          <w:tcPr>
            <w:tcW w:w="1078"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Услуги</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Аграрен</w:t>
            </w:r>
          </w:p>
        </w:tc>
        <w:tc>
          <w:tcPr>
            <w:tcW w:w="1276"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ind w:left="-33" w:right="-81"/>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Индустрия</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F25110" w:rsidRPr="00BD7BB1" w:rsidRDefault="00F25110" w:rsidP="00F25110">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Услуги</w:t>
            </w:r>
          </w:p>
        </w:tc>
      </w:tr>
      <w:tr w:rsidR="009C4CAB" w:rsidRPr="00BD7BB1" w:rsidTr="009C4CAB">
        <w:trPr>
          <w:jc w:val="center"/>
        </w:trPr>
        <w:tc>
          <w:tcPr>
            <w:tcW w:w="2277" w:type="dxa"/>
            <w:tcBorders>
              <w:top w:val="double" w:sz="4" w:space="0" w:color="auto"/>
              <w:left w:val="thinThickThinSmallGap" w:sz="24" w:space="0" w:color="auto"/>
              <w:bottom w:val="double" w:sz="4" w:space="0" w:color="auto"/>
              <w:right w:val="single" w:sz="4" w:space="0" w:color="auto"/>
            </w:tcBorders>
            <w:shd w:val="clear" w:color="auto" w:fill="F4B29B" w:themeFill="accent1" w:themeFillTint="66"/>
            <w:vAlign w:val="center"/>
          </w:tcPr>
          <w:p w:rsidR="00F25110" w:rsidRPr="009C4CAB" w:rsidRDefault="00F25110" w:rsidP="00F25110">
            <w:pPr>
              <w:spacing w:after="0" w:line="240" w:lineRule="auto"/>
              <w:rPr>
                <w:rFonts w:ascii="Times New Roman" w:eastAsia="Times New Roman" w:hAnsi="Times New Roman"/>
                <w:b/>
                <w:color w:val="9B2D1F" w:themeColor="accent2"/>
                <w:sz w:val="20"/>
                <w:lang w:val="bg-BG" w:eastAsia="bg-BG"/>
              </w:rPr>
            </w:pPr>
            <w:r w:rsidRPr="009C4CAB">
              <w:rPr>
                <w:rFonts w:ascii="Times New Roman" w:eastAsia="Times New Roman" w:hAnsi="Times New Roman"/>
                <w:b/>
                <w:color w:val="9B2D1F" w:themeColor="accent2"/>
                <w:sz w:val="20"/>
                <w:lang w:val="bg-BG" w:eastAsia="bg-BG"/>
              </w:rPr>
              <w:t>БЪЛГАРИЯ</w:t>
            </w:r>
          </w:p>
        </w:tc>
        <w:tc>
          <w:tcPr>
            <w:tcW w:w="992" w:type="dxa"/>
            <w:tcBorders>
              <w:top w:val="double" w:sz="4" w:space="0" w:color="auto"/>
              <w:left w:val="single" w:sz="4" w:space="0" w:color="auto"/>
              <w:bottom w:val="double" w:sz="4" w:space="0" w:color="auto"/>
              <w:right w:val="single" w:sz="4" w:space="0" w:color="auto"/>
            </w:tcBorders>
            <w:shd w:val="clear" w:color="auto" w:fill="F4B29B" w:themeFill="accent1" w:themeFillTint="66"/>
            <w:vAlign w:val="center"/>
          </w:tcPr>
          <w:p w:rsidR="00F25110" w:rsidRPr="009C4CAB" w:rsidRDefault="00F25110" w:rsidP="00F25110">
            <w:pPr>
              <w:spacing w:after="0" w:line="240" w:lineRule="auto"/>
              <w:jc w:val="center"/>
              <w:rPr>
                <w:rFonts w:ascii="Times New Roman" w:eastAsia="Times New Roman" w:hAnsi="Times New Roman"/>
                <w:color w:val="9B2D1F" w:themeColor="accent2"/>
                <w:sz w:val="24"/>
                <w:szCs w:val="24"/>
                <w:lang w:val="bg-BG" w:eastAsia="bg-BG"/>
              </w:rPr>
            </w:pPr>
            <w:r w:rsidRPr="009C4CAB">
              <w:rPr>
                <w:rFonts w:ascii="Times New Roman" w:eastAsia="Times New Roman" w:hAnsi="Times New Roman"/>
                <w:color w:val="9B2D1F" w:themeColor="accent2"/>
                <w:szCs w:val="22"/>
                <w:lang w:val="bg-BG" w:eastAsia="bg-BG"/>
              </w:rPr>
              <w:t>3 715</w:t>
            </w:r>
          </w:p>
        </w:tc>
        <w:tc>
          <w:tcPr>
            <w:tcW w:w="1134" w:type="dxa"/>
            <w:tcBorders>
              <w:top w:val="double" w:sz="4" w:space="0" w:color="auto"/>
              <w:left w:val="single" w:sz="4" w:space="0" w:color="auto"/>
              <w:bottom w:val="double" w:sz="4" w:space="0" w:color="auto"/>
              <w:right w:val="single" w:sz="4" w:space="0" w:color="auto"/>
            </w:tcBorders>
            <w:shd w:val="clear" w:color="auto" w:fill="F4B29B" w:themeFill="accent1" w:themeFillTint="66"/>
            <w:vAlign w:val="center"/>
          </w:tcPr>
          <w:p w:rsidR="00F25110" w:rsidRPr="009C4CAB" w:rsidRDefault="00F25110" w:rsidP="00F25110">
            <w:pPr>
              <w:spacing w:after="0" w:line="240" w:lineRule="auto"/>
              <w:jc w:val="center"/>
              <w:rPr>
                <w:rFonts w:ascii="Times New Roman" w:eastAsia="Times New Roman" w:hAnsi="Times New Roman"/>
                <w:color w:val="9B2D1F" w:themeColor="accent2"/>
                <w:sz w:val="24"/>
                <w:szCs w:val="24"/>
                <w:lang w:val="bg-BG" w:eastAsia="bg-BG"/>
              </w:rPr>
            </w:pPr>
            <w:r w:rsidRPr="009C4CAB">
              <w:rPr>
                <w:rFonts w:ascii="Times New Roman" w:eastAsia="Times New Roman" w:hAnsi="Times New Roman"/>
                <w:color w:val="9B2D1F" w:themeColor="accent2"/>
                <w:szCs w:val="22"/>
                <w:lang w:val="bg-BG" w:eastAsia="bg-BG"/>
              </w:rPr>
              <w:t>20 494</w:t>
            </w:r>
          </w:p>
        </w:tc>
        <w:tc>
          <w:tcPr>
            <w:tcW w:w="1078" w:type="dxa"/>
            <w:tcBorders>
              <w:top w:val="double" w:sz="4" w:space="0" w:color="auto"/>
              <w:left w:val="single" w:sz="4" w:space="0" w:color="auto"/>
              <w:bottom w:val="double" w:sz="4" w:space="0" w:color="auto"/>
              <w:right w:val="single" w:sz="4" w:space="0" w:color="auto"/>
            </w:tcBorders>
            <w:shd w:val="clear" w:color="auto" w:fill="F4B29B" w:themeFill="accent1" w:themeFillTint="66"/>
            <w:vAlign w:val="center"/>
          </w:tcPr>
          <w:p w:rsidR="00F25110" w:rsidRPr="009C4CAB" w:rsidRDefault="00F25110" w:rsidP="00F25110">
            <w:pPr>
              <w:spacing w:after="0" w:line="240" w:lineRule="auto"/>
              <w:jc w:val="center"/>
              <w:rPr>
                <w:rFonts w:ascii="Times New Roman" w:eastAsia="Times New Roman" w:hAnsi="Times New Roman"/>
                <w:color w:val="9B2D1F" w:themeColor="accent2"/>
                <w:sz w:val="24"/>
                <w:szCs w:val="24"/>
                <w:lang w:val="bg-BG" w:eastAsia="bg-BG"/>
              </w:rPr>
            </w:pPr>
            <w:r w:rsidRPr="009C4CAB">
              <w:rPr>
                <w:rFonts w:ascii="Times New Roman" w:eastAsia="Times New Roman" w:hAnsi="Times New Roman"/>
                <w:color w:val="9B2D1F" w:themeColor="accent2"/>
                <w:szCs w:val="22"/>
                <w:lang w:val="bg-BG" w:eastAsia="bg-BG"/>
              </w:rPr>
              <w:t>44 091</w:t>
            </w:r>
          </w:p>
        </w:tc>
        <w:tc>
          <w:tcPr>
            <w:tcW w:w="1134" w:type="dxa"/>
            <w:tcBorders>
              <w:top w:val="double" w:sz="4" w:space="0" w:color="auto"/>
              <w:left w:val="single" w:sz="4" w:space="0" w:color="auto"/>
              <w:bottom w:val="double" w:sz="4" w:space="0" w:color="auto"/>
              <w:right w:val="single" w:sz="4" w:space="0" w:color="auto"/>
            </w:tcBorders>
            <w:shd w:val="clear" w:color="auto" w:fill="F4B29B" w:themeFill="accent1" w:themeFillTint="66"/>
            <w:vAlign w:val="center"/>
          </w:tcPr>
          <w:p w:rsidR="00F25110" w:rsidRPr="009C4CAB" w:rsidRDefault="00F25110" w:rsidP="00F25110">
            <w:pPr>
              <w:spacing w:after="0" w:line="240" w:lineRule="auto"/>
              <w:jc w:val="center"/>
              <w:rPr>
                <w:rFonts w:ascii="Times New Roman" w:eastAsia="Times New Roman" w:hAnsi="Times New Roman"/>
                <w:color w:val="9B2D1F" w:themeColor="accent2"/>
                <w:sz w:val="24"/>
                <w:szCs w:val="24"/>
                <w:lang w:val="bg-BG" w:eastAsia="bg-BG"/>
              </w:rPr>
            </w:pPr>
            <w:r w:rsidRPr="009C4CAB">
              <w:rPr>
                <w:rFonts w:ascii="Times New Roman" w:eastAsia="Times New Roman" w:hAnsi="Times New Roman"/>
                <w:color w:val="9B2D1F" w:themeColor="accent2"/>
                <w:szCs w:val="22"/>
                <w:lang w:val="bg-BG" w:eastAsia="bg-BG"/>
              </w:rPr>
              <w:t>3 747</w:t>
            </w:r>
          </w:p>
        </w:tc>
        <w:tc>
          <w:tcPr>
            <w:tcW w:w="1276" w:type="dxa"/>
            <w:tcBorders>
              <w:top w:val="double" w:sz="4" w:space="0" w:color="auto"/>
              <w:left w:val="single" w:sz="4" w:space="0" w:color="auto"/>
              <w:bottom w:val="double" w:sz="4" w:space="0" w:color="auto"/>
              <w:right w:val="single" w:sz="4" w:space="0" w:color="auto"/>
            </w:tcBorders>
            <w:shd w:val="clear" w:color="auto" w:fill="F4B29B" w:themeFill="accent1" w:themeFillTint="66"/>
            <w:vAlign w:val="center"/>
          </w:tcPr>
          <w:p w:rsidR="00F25110" w:rsidRPr="009C4CAB" w:rsidRDefault="00F25110" w:rsidP="00F25110">
            <w:pPr>
              <w:spacing w:after="0" w:line="240" w:lineRule="auto"/>
              <w:jc w:val="center"/>
              <w:rPr>
                <w:rFonts w:ascii="Times New Roman" w:eastAsia="Times New Roman" w:hAnsi="Times New Roman"/>
                <w:color w:val="9B2D1F" w:themeColor="accent2"/>
                <w:sz w:val="24"/>
                <w:szCs w:val="24"/>
                <w:lang w:val="bg-BG" w:eastAsia="bg-BG"/>
              </w:rPr>
            </w:pPr>
            <w:r w:rsidRPr="009C4CAB">
              <w:rPr>
                <w:rFonts w:ascii="Times New Roman" w:eastAsia="Times New Roman" w:hAnsi="Times New Roman"/>
                <w:color w:val="9B2D1F" w:themeColor="accent2"/>
                <w:szCs w:val="22"/>
                <w:lang w:val="bg-BG" w:eastAsia="bg-BG"/>
              </w:rPr>
              <w:t>20 727</w:t>
            </w:r>
          </w:p>
        </w:tc>
        <w:tc>
          <w:tcPr>
            <w:tcW w:w="1137" w:type="dxa"/>
            <w:tcBorders>
              <w:top w:val="double" w:sz="4" w:space="0" w:color="auto"/>
              <w:left w:val="single" w:sz="4" w:space="0" w:color="auto"/>
              <w:bottom w:val="double" w:sz="4" w:space="0" w:color="auto"/>
              <w:right w:val="thinThickThinSmallGap" w:sz="24" w:space="0" w:color="auto"/>
            </w:tcBorders>
            <w:shd w:val="clear" w:color="auto" w:fill="F4B29B" w:themeFill="accent1" w:themeFillTint="66"/>
            <w:vAlign w:val="center"/>
          </w:tcPr>
          <w:p w:rsidR="00F25110" w:rsidRPr="009C4CAB" w:rsidRDefault="00F25110" w:rsidP="00F25110">
            <w:pPr>
              <w:spacing w:after="0" w:line="240" w:lineRule="auto"/>
              <w:jc w:val="center"/>
              <w:rPr>
                <w:rFonts w:ascii="Times New Roman" w:eastAsia="Times New Roman" w:hAnsi="Times New Roman"/>
                <w:color w:val="9B2D1F" w:themeColor="accent2"/>
                <w:sz w:val="24"/>
                <w:szCs w:val="24"/>
                <w:lang w:val="bg-BG" w:eastAsia="bg-BG"/>
              </w:rPr>
            </w:pPr>
            <w:r w:rsidRPr="009C4CAB">
              <w:rPr>
                <w:rFonts w:ascii="Times New Roman" w:eastAsia="Times New Roman" w:hAnsi="Times New Roman"/>
                <w:color w:val="9B2D1F" w:themeColor="accent2"/>
                <w:szCs w:val="22"/>
                <w:lang w:val="bg-BG" w:eastAsia="bg-BG"/>
              </w:rPr>
              <w:t>44 402</w:t>
            </w:r>
          </w:p>
        </w:tc>
      </w:tr>
      <w:tr w:rsidR="00F25110" w:rsidRPr="00BD7BB1" w:rsidTr="006614F6">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Северозападен </w:t>
            </w:r>
          </w:p>
        </w:tc>
        <w:tc>
          <w:tcPr>
            <w:tcW w:w="992"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632</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1 701</w:t>
            </w:r>
          </w:p>
        </w:tc>
        <w:tc>
          <w:tcPr>
            <w:tcW w:w="1078"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2 592</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614</w:t>
            </w:r>
          </w:p>
        </w:tc>
        <w:tc>
          <w:tcPr>
            <w:tcW w:w="1276"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1 727</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2 527</w:t>
            </w:r>
          </w:p>
        </w:tc>
      </w:tr>
      <w:tr w:rsidR="00F25110" w:rsidRPr="00BD7BB1" w:rsidTr="006614F6">
        <w:trPr>
          <w:trHeight w:val="332"/>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lastRenderedPageBreak/>
              <w:t xml:space="preserve">Северен централен </w:t>
            </w:r>
          </w:p>
        </w:tc>
        <w:tc>
          <w:tcPr>
            <w:tcW w:w="992"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589</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1 778</w:t>
            </w:r>
          </w:p>
        </w:tc>
        <w:tc>
          <w:tcPr>
            <w:tcW w:w="1078"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3 025</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608</w:t>
            </w:r>
          </w:p>
        </w:tc>
        <w:tc>
          <w:tcPr>
            <w:tcW w:w="1276"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1 925</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2 980</w:t>
            </w:r>
          </w:p>
        </w:tc>
      </w:tr>
      <w:tr w:rsidR="00F25110" w:rsidRPr="00BD7BB1" w:rsidTr="006614F6">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Североизточен </w:t>
            </w:r>
          </w:p>
        </w:tc>
        <w:tc>
          <w:tcPr>
            <w:tcW w:w="992"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597</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2 214</w:t>
            </w:r>
          </w:p>
        </w:tc>
        <w:tc>
          <w:tcPr>
            <w:tcW w:w="1078"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4 459</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609</w:t>
            </w:r>
          </w:p>
        </w:tc>
        <w:tc>
          <w:tcPr>
            <w:tcW w:w="1276"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2 315</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4 571</w:t>
            </w:r>
          </w:p>
        </w:tc>
      </w:tr>
      <w:tr w:rsidR="00F25110" w:rsidRPr="00BD7BB1" w:rsidTr="006614F6">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Югозападен</w:t>
            </w:r>
          </w:p>
        </w:tc>
        <w:tc>
          <w:tcPr>
            <w:tcW w:w="992"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506</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7 868</w:t>
            </w:r>
          </w:p>
        </w:tc>
        <w:tc>
          <w:tcPr>
            <w:tcW w:w="1078"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24 694</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534</w:t>
            </w:r>
          </w:p>
        </w:tc>
        <w:tc>
          <w:tcPr>
            <w:tcW w:w="1276"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7 353</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24 897</w:t>
            </w:r>
          </w:p>
        </w:tc>
      </w:tr>
      <w:tr w:rsidR="00F25110" w:rsidRPr="00BD7BB1" w:rsidTr="006614F6">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Южен централен</w:t>
            </w:r>
          </w:p>
        </w:tc>
        <w:tc>
          <w:tcPr>
            <w:tcW w:w="992"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863</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3 608</w:t>
            </w:r>
          </w:p>
        </w:tc>
        <w:tc>
          <w:tcPr>
            <w:tcW w:w="1078"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5 134</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847</w:t>
            </w:r>
          </w:p>
        </w:tc>
        <w:tc>
          <w:tcPr>
            <w:tcW w:w="1276"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3 728</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5 220</w:t>
            </w:r>
          </w:p>
        </w:tc>
      </w:tr>
      <w:tr w:rsidR="009C4CAB" w:rsidRPr="00BD7BB1" w:rsidTr="009C4CAB">
        <w:trPr>
          <w:jc w:val="center"/>
        </w:trPr>
        <w:tc>
          <w:tcPr>
            <w:tcW w:w="2277" w:type="dxa"/>
            <w:tcBorders>
              <w:top w:val="double" w:sz="4" w:space="0" w:color="auto"/>
              <w:left w:val="thinThickThinSmallGap" w:sz="24" w:space="0" w:color="auto"/>
              <w:bottom w:val="double" w:sz="4" w:space="0" w:color="auto"/>
              <w:right w:val="single" w:sz="4" w:space="0" w:color="auto"/>
            </w:tcBorders>
            <w:shd w:val="clear" w:color="auto" w:fill="F4B29B" w:themeFill="accent1" w:themeFillTint="66"/>
            <w:vAlign w:val="center"/>
          </w:tcPr>
          <w:p w:rsidR="00F25110" w:rsidRPr="009C4CAB" w:rsidRDefault="00F25110" w:rsidP="00F25110">
            <w:pPr>
              <w:spacing w:after="0" w:line="240" w:lineRule="auto"/>
              <w:rPr>
                <w:rFonts w:ascii="Times New Roman" w:eastAsia="Times New Roman" w:hAnsi="Times New Roman"/>
                <w:i/>
                <w:color w:val="9B2D1F" w:themeColor="accent2"/>
                <w:sz w:val="20"/>
                <w:lang w:val="bg-BG" w:eastAsia="bg-BG"/>
              </w:rPr>
            </w:pPr>
            <w:r w:rsidRPr="009C4CAB">
              <w:rPr>
                <w:rFonts w:ascii="Times New Roman" w:eastAsia="Times New Roman" w:hAnsi="Times New Roman"/>
                <w:b/>
                <w:i/>
                <w:color w:val="9B2D1F" w:themeColor="accent2"/>
                <w:sz w:val="20"/>
                <w:lang w:val="bg-BG" w:eastAsia="bg-BG"/>
              </w:rPr>
              <w:t>Югоизточен</w:t>
            </w:r>
          </w:p>
        </w:tc>
        <w:tc>
          <w:tcPr>
            <w:tcW w:w="992" w:type="dxa"/>
            <w:tcBorders>
              <w:top w:val="double" w:sz="4" w:space="0" w:color="auto"/>
              <w:left w:val="single" w:sz="4" w:space="0" w:color="auto"/>
              <w:bottom w:val="double" w:sz="4" w:space="0" w:color="auto"/>
              <w:right w:val="single" w:sz="4" w:space="0" w:color="auto"/>
            </w:tcBorders>
            <w:shd w:val="clear" w:color="auto" w:fill="F4B29B" w:themeFill="accent1" w:themeFillTint="66"/>
            <w:vAlign w:val="center"/>
          </w:tcPr>
          <w:p w:rsidR="00F25110" w:rsidRPr="009C4CAB" w:rsidRDefault="00F25110" w:rsidP="00F25110">
            <w:pPr>
              <w:spacing w:after="0" w:line="240" w:lineRule="auto"/>
              <w:jc w:val="center"/>
              <w:rPr>
                <w:rFonts w:ascii="Times New Roman" w:eastAsia="Times New Roman" w:hAnsi="Times New Roman"/>
                <w:color w:val="9B2D1F" w:themeColor="accent2"/>
                <w:sz w:val="24"/>
                <w:szCs w:val="24"/>
                <w:lang w:val="bg-BG" w:eastAsia="bg-BG"/>
              </w:rPr>
            </w:pPr>
            <w:r w:rsidRPr="009C4CAB">
              <w:rPr>
                <w:rFonts w:ascii="Times New Roman" w:eastAsia="Times New Roman" w:hAnsi="Times New Roman"/>
                <w:color w:val="9B2D1F" w:themeColor="accent2"/>
                <w:szCs w:val="22"/>
                <w:lang w:val="bg-BG" w:eastAsia="bg-BG"/>
              </w:rPr>
              <w:t>528</w:t>
            </w:r>
          </w:p>
        </w:tc>
        <w:tc>
          <w:tcPr>
            <w:tcW w:w="1134" w:type="dxa"/>
            <w:tcBorders>
              <w:top w:val="double" w:sz="4" w:space="0" w:color="auto"/>
              <w:left w:val="single" w:sz="4" w:space="0" w:color="auto"/>
              <w:bottom w:val="double" w:sz="4" w:space="0" w:color="auto"/>
              <w:right w:val="single" w:sz="4" w:space="0" w:color="auto"/>
            </w:tcBorders>
            <w:shd w:val="clear" w:color="auto" w:fill="F4B29B" w:themeFill="accent1" w:themeFillTint="66"/>
            <w:vAlign w:val="center"/>
          </w:tcPr>
          <w:p w:rsidR="00F25110" w:rsidRPr="009C4CAB" w:rsidRDefault="00F25110" w:rsidP="00F25110">
            <w:pPr>
              <w:spacing w:after="0" w:line="240" w:lineRule="auto"/>
              <w:jc w:val="center"/>
              <w:rPr>
                <w:rFonts w:ascii="Times New Roman" w:eastAsia="Times New Roman" w:hAnsi="Times New Roman"/>
                <w:color w:val="9B2D1F" w:themeColor="accent2"/>
                <w:sz w:val="24"/>
                <w:szCs w:val="24"/>
                <w:lang w:val="bg-BG" w:eastAsia="bg-BG"/>
              </w:rPr>
            </w:pPr>
            <w:r w:rsidRPr="009C4CAB">
              <w:rPr>
                <w:rFonts w:ascii="Times New Roman" w:eastAsia="Times New Roman" w:hAnsi="Times New Roman"/>
                <w:color w:val="9B2D1F" w:themeColor="accent2"/>
                <w:szCs w:val="22"/>
                <w:lang w:val="bg-BG" w:eastAsia="bg-BG"/>
              </w:rPr>
              <w:t>3 325</w:t>
            </w:r>
          </w:p>
        </w:tc>
        <w:tc>
          <w:tcPr>
            <w:tcW w:w="1078" w:type="dxa"/>
            <w:tcBorders>
              <w:top w:val="double" w:sz="4" w:space="0" w:color="auto"/>
              <w:left w:val="single" w:sz="4" w:space="0" w:color="auto"/>
              <w:bottom w:val="double" w:sz="4" w:space="0" w:color="auto"/>
              <w:right w:val="single" w:sz="4" w:space="0" w:color="auto"/>
            </w:tcBorders>
            <w:shd w:val="clear" w:color="auto" w:fill="F4B29B" w:themeFill="accent1" w:themeFillTint="66"/>
            <w:vAlign w:val="center"/>
          </w:tcPr>
          <w:p w:rsidR="00F25110" w:rsidRPr="009C4CAB" w:rsidRDefault="00F25110" w:rsidP="00F25110">
            <w:pPr>
              <w:spacing w:after="0" w:line="240" w:lineRule="auto"/>
              <w:jc w:val="center"/>
              <w:rPr>
                <w:rFonts w:ascii="Times New Roman" w:eastAsia="Times New Roman" w:hAnsi="Times New Roman"/>
                <w:color w:val="9B2D1F" w:themeColor="accent2"/>
                <w:sz w:val="24"/>
                <w:szCs w:val="24"/>
                <w:lang w:val="bg-BG" w:eastAsia="bg-BG"/>
              </w:rPr>
            </w:pPr>
            <w:r w:rsidRPr="009C4CAB">
              <w:rPr>
                <w:rFonts w:ascii="Times New Roman" w:eastAsia="Times New Roman" w:hAnsi="Times New Roman"/>
                <w:color w:val="9B2D1F" w:themeColor="accent2"/>
                <w:szCs w:val="22"/>
                <w:lang w:val="bg-BG" w:eastAsia="bg-BG"/>
              </w:rPr>
              <w:t>4 187</w:t>
            </w:r>
          </w:p>
        </w:tc>
        <w:tc>
          <w:tcPr>
            <w:tcW w:w="1134" w:type="dxa"/>
            <w:tcBorders>
              <w:top w:val="double" w:sz="4" w:space="0" w:color="auto"/>
              <w:left w:val="single" w:sz="4" w:space="0" w:color="auto"/>
              <w:bottom w:val="double" w:sz="4" w:space="0" w:color="auto"/>
              <w:right w:val="single" w:sz="4" w:space="0" w:color="auto"/>
            </w:tcBorders>
            <w:shd w:val="clear" w:color="auto" w:fill="F4B29B" w:themeFill="accent1" w:themeFillTint="66"/>
            <w:vAlign w:val="center"/>
          </w:tcPr>
          <w:p w:rsidR="00F25110" w:rsidRPr="009C4CAB" w:rsidRDefault="00F25110" w:rsidP="00F25110">
            <w:pPr>
              <w:spacing w:after="0" w:line="240" w:lineRule="auto"/>
              <w:jc w:val="center"/>
              <w:rPr>
                <w:rFonts w:ascii="Times New Roman" w:eastAsia="Times New Roman" w:hAnsi="Times New Roman"/>
                <w:color w:val="9B2D1F" w:themeColor="accent2"/>
                <w:sz w:val="24"/>
                <w:szCs w:val="24"/>
                <w:lang w:val="bg-BG" w:eastAsia="bg-BG"/>
              </w:rPr>
            </w:pPr>
            <w:r w:rsidRPr="009C4CAB">
              <w:rPr>
                <w:rFonts w:ascii="Times New Roman" w:eastAsia="Times New Roman" w:hAnsi="Times New Roman"/>
                <w:color w:val="9B2D1F" w:themeColor="accent2"/>
                <w:szCs w:val="22"/>
                <w:lang w:val="bg-BG" w:eastAsia="bg-BG"/>
              </w:rPr>
              <w:t>535</w:t>
            </w:r>
          </w:p>
        </w:tc>
        <w:tc>
          <w:tcPr>
            <w:tcW w:w="1276" w:type="dxa"/>
            <w:tcBorders>
              <w:top w:val="double" w:sz="4" w:space="0" w:color="auto"/>
              <w:left w:val="single" w:sz="4" w:space="0" w:color="auto"/>
              <w:bottom w:val="double" w:sz="4" w:space="0" w:color="auto"/>
              <w:right w:val="single" w:sz="4" w:space="0" w:color="auto"/>
            </w:tcBorders>
            <w:shd w:val="clear" w:color="auto" w:fill="F4B29B" w:themeFill="accent1" w:themeFillTint="66"/>
            <w:vAlign w:val="center"/>
          </w:tcPr>
          <w:p w:rsidR="00F25110" w:rsidRPr="009C4CAB" w:rsidRDefault="00F25110" w:rsidP="00F25110">
            <w:pPr>
              <w:spacing w:after="0" w:line="240" w:lineRule="auto"/>
              <w:jc w:val="center"/>
              <w:rPr>
                <w:rFonts w:ascii="Times New Roman" w:eastAsia="Times New Roman" w:hAnsi="Times New Roman"/>
                <w:color w:val="9B2D1F" w:themeColor="accent2"/>
                <w:sz w:val="24"/>
                <w:szCs w:val="24"/>
                <w:lang w:val="bg-BG" w:eastAsia="bg-BG"/>
              </w:rPr>
            </w:pPr>
            <w:r w:rsidRPr="009C4CAB">
              <w:rPr>
                <w:rFonts w:ascii="Times New Roman" w:eastAsia="Times New Roman" w:hAnsi="Times New Roman"/>
                <w:color w:val="9B2D1F" w:themeColor="accent2"/>
                <w:szCs w:val="22"/>
                <w:lang w:val="bg-BG" w:eastAsia="bg-BG"/>
              </w:rPr>
              <w:t>3 678</w:t>
            </w:r>
          </w:p>
        </w:tc>
        <w:tc>
          <w:tcPr>
            <w:tcW w:w="1137" w:type="dxa"/>
            <w:tcBorders>
              <w:top w:val="double" w:sz="4" w:space="0" w:color="auto"/>
              <w:left w:val="single" w:sz="4" w:space="0" w:color="auto"/>
              <w:bottom w:val="double" w:sz="4" w:space="0" w:color="auto"/>
              <w:right w:val="thinThickThinSmallGap" w:sz="24" w:space="0" w:color="auto"/>
            </w:tcBorders>
            <w:shd w:val="clear" w:color="auto" w:fill="F4B29B" w:themeFill="accent1" w:themeFillTint="66"/>
            <w:vAlign w:val="center"/>
          </w:tcPr>
          <w:p w:rsidR="00F25110" w:rsidRPr="009C4CAB" w:rsidRDefault="00F25110" w:rsidP="00F25110">
            <w:pPr>
              <w:spacing w:after="0" w:line="240" w:lineRule="auto"/>
              <w:jc w:val="center"/>
              <w:rPr>
                <w:rFonts w:ascii="Times New Roman" w:eastAsia="Times New Roman" w:hAnsi="Times New Roman"/>
                <w:color w:val="9B2D1F" w:themeColor="accent2"/>
                <w:sz w:val="24"/>
                <w:szCs w:val="24"/>
                <w:lang w:val="bg-BG" w:eastAsia="bg-BG"/>
              </w:rPr>
            </w:pPr>
            <w:r w:rsidRPr="009C4CAB">
              <w:rPr>
                <w:rFonts w:ascii="Times New Roman" w:eastAsia="Times New Roman" w:hAnsi="Times New Roman"/>
                <w:color w:val="9B2D1F" w:themeColor="accent2"/>
                <w:szCs w:val="22"/>
                <w:lang w:val="bg-BG" w:eastAsia="bg-BG"/>
              </w:rPr>
              <w:t>4 206</w:t>
            </w:r>
          </w:p>
        </w:tc>
      </w:tr>
      <w:tr w:rsidR="00F25110" w:rsidRPr="00BD7BB1" w:rsidTr="006614F6">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F25110" w:rsidRPr="00BD7BB1" w:rsidRDefault="00F25110" w:rsidP="00F25110">
            <w:pPr>
              <w:spacing w:after="0"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Бургас</w:t>
            </w:r>
          </w:p>
        </w:tc>
        <w:tc>
          <w:tcPr>
            <w:tcW w:w="992"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178</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1 072</w:t>
            </w:r>
          </w:p>
        </w:tc>
        <w:tc>
          <w:tcPr>
            <w:tcW w:w="1078"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2 108</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178</w:t>
            </w:r>
          </w:p>
        </w:tc>
        <w:tc>
          <w:tcPr>
            <w:tcW w:w="1276"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1 053</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2 110</w:t>
            </w:r>
          </w:p>
        </w:tc>
      </w:tr>
      <w:tr w:rsidR="00F25110" w:rsidRPr="00BD7BB1" w:rsidTr="006614F6">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F25110" w:rsidRPr="00BD7BB1" w:rsidRDefault="00F25110" w:rsidP="00F25110">
            <w:pPr>
              <w:spacing w:after="0"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Стара Загора</w:t>
            </w:r>
          </w:p>
        </w:tc>
        <w:tc>
          <w:tcPr>
            <w:tcW w:w="992"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137</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1 709</w:t>
            </w:r>
          </w:p>
        </w:tc>
        <w:tc>
          <w:tcPr>
            <w:tcW w:w="1078"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1 181</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135</w:t>
            </w:r>
          </w:p>
        </w:tc>
        <w:tc>
          <w:tcPr>
            <w:tcW w:w="1276"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2 004</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1 187</w:t>
            </w:r>
          </w:p>
        </w:tc>
      </w:tr>
      <w:tr w:rsidR="00F25110" w:rsidRPr="00BD7BB1" w:rsidTr="006614F6">
        <w:trPr>
          <w:jc w:val="center"/>
        </w:trPr>
        <w:tc>
          <w:tcPr>
            <w:tcW w:w="2277" w:type="dxa"/>
            <w:tcBorders>
              <w:top w:val="double" w:sz="4" w:space="0" w:color="auto"/>
              <w:left w:val="thinThickThinSmallGap" w:sz="24" w:space="0" w:color="auto"/>
              <w:bottom w:val="double" w:sz="4" w:space="0" w:color="auto"/>
              <w:right w:val="single" w:sz="4" w:space="0" w:color="auto"/>
            </w:tcBorders>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Сливен</w:t>
            </w:r>
          </w:p>
        </w:tc>
        <w:tc>
          <w:tcPr>
            <w:tcW w:w="992"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110</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292</w:t>
            </w:r>
          </w:p>
        </w:tc>
        <w:tc>
          <w:tcPr>
            <w:tcW w:w="1078"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531</w:t>
            </w:r>
          </w:p>
        </w:tc>
        <w:tc>
          <w:tcPr>
            <w:tcW w:w="1134"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111</w:t>
            </w:r>
          </w:p>
        </w:tc>
        <w:tc>
          <w:tcPr>
            <w:tcW w:w="1276" w:type="dxa"/>
            <w:tcBorders>
              <w:top w:val="double" w:sz="4" w:space="0" w:color="auto"/>
              <w:left w:val="single" w:sz="4" w:space="0" w:color="auto"/>
              <w:bottom w:val="double" w:sz="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330</w:t>
            </w:r>
          </w:p>
        </w:tc>
        <w:tc>
          <w:tcPr>
            <w:tcW w:w="1137" w:type="dxa"/>
            <w:tcBorders>
              <w:top w:val="double" w:sz="4" w:space="0" w:color="auto"/>
              <w:left w:val="single" w:sz="4" w:space="0" w:color="auto"/>
              <w:bottom w:val="double" w:sz="4" w:space="0" w:color="auto"/>
              <w:right w:val="thinThickThinSmallGap" w:sz="2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537</w:t>
            </w:r>
          </w:p>
        </w:tc>
      </w:tr>
      <w:tr w:rsidR="00F25110" w:rsidRPr="00BD7BB1" w:rsidTr="006614F6">
        <w:trPr>
          <w:jc w:val="center"/>
        </w:trPr>
        <w:tc>
          <w:tcPr>
            <w:tcW w:w="2277" w:type="dxa"/>
            <w:tcBorders>
              <w:top w:val="double" w:sz="4" w:space="0" w:color="auto"/>
              <w:left w:val="thinThickThinSmallGap" w:sz="24" w:space="0" w:color="auto"/>
              <w:bottom w:val="thinThickThinSmallGap" w:sz="24" w:space="0" w:color="auto"/>
              <w:right w:val="single" w:sz="4" w:space="0" w:color="auto"/>
            </w:tcBorders>
            <w:vAlign w:val="center"/>
          </w:tcPr>
          <w:p w:rsidR="00F25110" w:rsidRPr="00BD7BB1" w:rsidRDefault="00F25110" w:rsidP="00F25110">
            <w:pPr>
              <w:spacing w:after="0"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Ямбол</w:t>
            </w:r>
          </w:p>
        </w:tc>
        <w:tc>
          <w:tcPr>
            <w:tcW w:w="992" w:type="dxa"/>
            <w:tcBorders>
              <w:top w:val="double" w:sz="4" w:space="0" w:color="auto"/>
              <w:left w:val="single" w:sz="4" w:space="0" w:color="auto"/>
              <w:bottom w:val="thinThickThinSmallGap" w:sz="2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103</w:t>
            </w:r>
          </w:p>
        </w:tc>
        <w:tc>
          <w:tcPr>
            <w:tcW w:w="1134" w:type="dxa"/>
            <w:tcBorders>
              <w:top w:val="double" w:sz="4" w:space="0" w:color="auto"/>
              <w:left w:val="single" w:sz="4" w:space="0" w:color="auto"/>
              <w:bottom w:val="thinThickThinSmallGap" w:sz="2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252</w:t>
            </w:r>
          </w:p>
        </w:tc>
        <w:tc>
          <w:tcPr>
            <w:tcW w:w="1078" w:type="dxa"/>
            <w:tcBorders>
              <w:top w:val="double" w:sz="4" w:space="0" w:color="auto"/>
              <w:left w:val="single" w:sz="4" w:space="0" w:color="auto"/>
              <w:bottom w:val="thinThickThinSmallGap" w:sz="2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367</w:t>
            </w:r>
          </w:p>
        </w:tc>
        <w:tc>
          <w:tcPr>
            <w:tcW w:w="1134" w:type="dxa"/>
            <w:tcBorders>
              <w:top w:val="double" w:sz="4" w:space="0" w:color="auto"/>
              <w:left w:val="single" w:sz="4" w:space="0" w:color="auto"/>
              <w:bottom w:val="thinThickThinSmallGap" w:sz="2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111</w:t>
            </w:r>
          </w:p>
        </w:tc>
        <w:tc>
          <w:tcPr>
            <w:tcW w:w="1276" w:type="dxa"/>
            <w:tcBorders>
              <w:top w:val="double" w:sz="4" w:space="0" w:color="auto"/>
              <w:left w:val="single" w:sz="4" w:space="0" w:color="auto"/>
              <w:bottom w:val="thinThickThinSmallGap" w:sz="24" w:space="0" w:color="auto"/>
              <w:right w:val="single" w:sz="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290</w:t>
            </w:r>
          </w:p>
        </w:tc>
        <w:tc>
          <w:tcPr>
            <w:tcW w:w="1137" w:type="dxa"/>
            <w:tcBorders>
              <w:top w:val="double" w:sz="4" w:space="0" w:color="auto"/>
              <w:left w:val="single" w:sz="4" w:space="0" w:color="auto"/>
              <w:bottom w:val="thinThickThinSmallGap" w:sz="24" w:space="0" w:color="auto"/>
              <w:right w:val="thinThickThinSmallGap" w:sz="24"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371</w:t>
            </w:r>
          </w:p>
        </w:tc>
      </w:tr>
    </w:tbl>
    <w:p w:rsidR="00F25110" w:rsidRPr="009C4CAB" w:rsidRDefault="00F25110" w:rsidP="00F25110">
      <w:pPr>
        <w:spacing w:after="0" w:line="360" w:lineRule="auto"/>
        <w:rPr>
          <w:rFonts w:ascii="Times New Roman" w:eastAsia="Times New Roman" w:hAnsi="Times New Roman"/>
          <w:b/>
          <w:i/>
          <w:color w:val="9B2D1F" w:themeColor="accent2"/>
          <w:szCs w:val="22"/>
          <w:lang w:val="bg-BG" w:eastAsia="bg-BG"/>
        </w:rPr>
      </w:pPr>
      <w:r w:rsidRPr="009C4CAB">
        <w:rPr>
          <w:rFonts w:ascii="Times New Roman" w:eastAsia="Times New Roman" w:hAnsi="Times New Roman"/>
          <w:b/>
          <w:i/>
          <w:color w:val="9B2D1F" w:themeColor="accent2"/>
          <w:szCs w:val="22"/>
          <w:lang w:val="bg-BG" w:eastAsia="bg-BG"/>
        </w:rPr>
        <w:t>Източник: Национален статистически институт</w:t>
      </w:r>
    </w:p>
    <w:p w:rsidR="00F25110" w:rsidRPr="00BD7BB1" w:rsidRDefault="00F25110" w:rsidP="00F25110">
      <w:pPr>
        <w:spacing w:after="0" w:line="360" w:lineRule="auto"/>
        <w:rPr>
          <w:rFonts w:ascii="Times New Roman" w:eastAsia="Times New Roman" w:hAnsi="Times New Roman"/>
          <w:i/>
          <w:color w:val="auto"/>
          <w:szCs w:val="22"/>
          <w:lang w:val="bg-BG" w:eastAsia="bg-BG"/>
        </w:rPr>
      </w:pP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Calibri" w:hAnsi="Times New Roman"/>
          <w:color w:val="auto"/>
          <w:sz w:val="24"/>
          <w:szCs w:val="24"/>
          <w:lang w:val="bg-BG" w:eastAsia="bg-BG"/>
        </w:rPr>
        <w:t xml:space="preserve">По данни на НСИ  </w:t>
      </w:r>
      <w:r w:rsidRPr="00BD7BB1">
        <w:rPr>
          <w:rFonts w:ascii="Times New Roman" w:eastAsia="Calibri" w:hAnsi="Times New Roman"/>
          <w:b/>
          <w:i/>
          <w:color w:val="auto"/>
          <w:sz w:val="24"/>
          <w:szCs w:val="24"/>
          <w:lang w:val="bg-BG" w:eastAsia="bg-BG"/>
        </w:rPr>
        <w:t>преките чуждестранните инвестиции</w:t>
      </w:r>
      <w:r w:rsidRPr="00BD7BB1">
        <w:rPr>
          <w:rFonts w:ascii="Times New Roman" w:eastAsia="Calibri" w:hAnsi="Times New Roman"/>
          <w:color w:val="auto"/>
          <w:sz w:val="24"/>
          <w:szCs w:val="24"/>
          <w:lang w:val="bg-BG" w:eastAsia="bg-BG"/>
        </w:rPr>
        <w:t xml:space="preserve"> (ПЧИ) в нефинансовите предприятия към 31.12.2013г. общо за страната са 23 339 733 хил.евро, а за ЮИР - </w:t>
      </w:r>
      <w:r w:rsidRPr="00BD7BB1">
        <w:rPr>
          <w:rFonts w:ascii="Times New Roman" w:eastAsia="Times New Roman" w:hAnsi="Times New Roman"/>
          <w:bCs/>
          <w:color w:val="auto"/>
          <w:sz w:val="24"/>
          <w:szCs w:val="24"/>
          <w:lang w:val="bg-BG" w:eastAsia="bg-BG"/>
        </w:rPr>
        <w:t xml:space="preserve">3 385 949 </w:t>
      </w:r>
      <w:r w:rsidRPr="00BD7BB1">
        <w:rPr>
          <w:rFonts w:ascii="Times New Roman" w:eastAsia="Calibri" w:hAnsi="Times New Roman"/>
          <w:color w:val="auto"/>
          <w:sz w:val="24"/>
          <w:szCs w:val="24"/>
          <w:lang w:val="bg-BG" w:eastAsia="bg-BG"/>
        </w:rPr>
        <w:t>хил.евро.</w:t>
      </w:r>
      <w:r w:rsidRPr="00BD7BB1">
        <w:rPr>
          <w:rFonts w:ascii="Times New Roman" w:eastAsia="Times New Roman"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С относителен дял - 14,5 % от всички ПЧИ за България, ЮИР се нарежда на второ място след Югозападен район (</w:t>
      </w:r>
      <w:r w:rsidRPr="00BD7BB1">
        <w:rPr>
          <w:rFonts w:ascii="Times New Roman" w:eastAsia="Times New Roman" w:hAnsi="Times New Roman"/>
          <w:bCs/>
          <w:color w:val="auto"/>
          <w:sz w:val="24"/>
          <w:szCs w:val="24"/>
          <w:lang w:val="bg-BG" w:eastAsia="bg-BG"/>
        </w:rPr>
        <w:t>13 959 047</w:t>
      </w:r>
      <w:r w:rsidRPr="00BD7BB1">
        <w:rPr>
          <w:rFonts w:ascii="Times New Roman" w:eastAsia="Calibri" w:hAnsi="Times New Roman"/>
          <w:bCs/>
          <w:color w:val="auto"/>
          <w:sz w:val="24"/>
          <w:szCs w:val="24"/>
          <w:lang w:val="bg-BG" w:eastAsia="bg-BG"/>
        </w:rPr>
        <w:t xml:space="preserve"> </w:t>
      </w:r>
      <w:r w:rsidRPr="00BD7BB1">
        <w:rPr>
          <w:rFonts w:ascii="Times New Roman" w:eastAsia="Calibri" w:hAnsi="Times New Roman"/>
          <w:color w:val="auto"/>
          <w:sz w:val="24"/>
          <w:szCs w:val="24"/>
          <w:lang w:val="bg-BG" w:eastAsia="bg-BG"/>
        </w:rPr>
        <w:t>хил.евро и дял – 59,8% )</w:t>
      </w:r>
      <w:r w:rsidRPr="00BD7BB1">
        <w:rPr>
          <w:rFonts w:ascii="Times New Roman" w:eastAsia="Times New Roman" w:hAnsi="Times New Roman"/>
          <w:color w:val="auto"/>
          <w:sz w:val="24"/>
          <w:szCs w:val="24"/>
          <w:lang w:val="bg-BG" w:eastAsia="bg-BG"/>
        </w:rPr>
        <w:t xml:space="preserve"> Въпреки регистрирания  спад на </w:t>
      </w:r>
      <w:r w:rsidRPr="00BD7BB1">
        <w:rPr>
          <w:rFonts w:ascii="Times New Roman" w:eastAsia="Calibri" w:hAnsi="Times New Roman"/>
          <w:color w:val="auto"/>
          <w:sz w:val="24"/>
          <w:szCs w:val="24"/>
          <w:lang w:val="bg-BG" w:eastAsia="bg-BG"/>
        </w:rPr>
        <w:t xml:space="preserve"> ПЧИ в ЮИР за 2012 г. спрямо 2011г.  с  81 009 хил. евро, през 2013г.</w:t>
      </w:r>
      <w:r w:rsidRPr="00BD7BB1">
        <w:rPr>
          <w:rFonts w:ascii="Times New Roman" w:eastAsia="Times New Roman"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спрямо предходната, показателят  нараства с 519 709 хил. евро.</w:t>
      </w:r>
    </w:p>
    <w:p w:rsidR="00F25110" w:rsidRPr="00A3402E" w:rsidRDefault="00F25110" w:rsidP="00A3402E">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На междуобластно ниво се наблюдават значителни различия. Значителна част  от ПЧИ в ЮИР с натрупване към 31.12.2013 г. са реализирани в област Бургас -72% от тези на района. Областите Стара Загора и  Сливен през 2011г. са били с приблизително еднакъв принос към ПЧИ на района - съответно 19,1% и 17,1 %, но през 2012г. делът на област Сливен рязко спадна 4-5 пъти в сравнение с предходната година. Това намаление продължи и през 2013</w:t>
      </w:r>
      <w:r w:rsidR="001A6165">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г., когато приноса</w:t>
      </w:r>
      <w:r w:rsidR="004832E7">
        <w:rPr>
          <w:rFonts w:ascii="Times New Roman" w:eastAsia="Times New Roman" w:hAnsi="Times New Roman"/>
          <w:color w:val="auto"/>
          <w:sz w:val="24"/>
          <w:szCs w:val="24"/>
          <w:lang w:val="bg-BG" w:eastAsia="bg-BG"/>
        </w:rPr>
        <w:t xml:space="preserve"> на област Сливен  е едва 2,9 % , а за област Стара Загора е 23,5 %.</w:t>
      </w:r>
      <w:r w:rsidRPr="00BD7BB1">
        <w:rPr>
          <w:rFonts w:ascii="Times New Roman" w:eastAsia="Times New Roman" w:hAnsi="Times New Roman"/>
          <w:color w:val="auto"/>
          <w:sz w:val="24"/>
          <w:szCs w:val="24"/>
          <w:lang w:val="bg-BG" w:eastAsia="bg-BG"/>
        </w:rPr>
        <w:t xml:space="preserve"> С  най-малък дял  в ПЧИ  на района е област Ямбол – едва 53 258 хил.евро, или 1,6 %</w:t>
      </w:r>
      <w:r w:rsidR="003F0FEF">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bg-BG" w:eastAsia="bg-BG"/>
        </w:rPr>
        <w:t xml:space="preserve"> </w:t>
      </w:r>
    </w:p>
    <w:p w:rsidR="00F25110" w:rsidRPr="00C41448" w:rsidRDefault="00F25110" w:rsidP="00F25110">
      <w:pPr>
        <w:widowControl w:val="0"/>
        <w:autoSpaceDE w:val="0"/>
        <w:autoSpaceDN w:val="0"/>
        <w:adjustRightInd w:val="0"/>
        <w:spacing w:after="0" w:line="360" w:lineRule="auto"/>
        <w:ind w:right="140" w:hanging="142"/>
        <w:jc w:val="both"/>
        <w:rPr>
          <w:rFonts w:ascii="All Times New Roman" w:eastAsia="Times New Roman" w:hAnsi="All Times New Roman" w:cs="All Times New Roman"/>
          <w:color w:val="9B2D1F" w:themeColor="accent2"/>
          <w:sz w:val="24"/>
          <w:szCs w:val="24"/>
          <w:lang w:val="bg-BG" w:eastAsia="bg-BG"/>
        </w:rPr>
      </w:pPr>
      <w:r w:rsidRPr="00BD7BB1">
        <w:rPr>
          <w:rFonts w:ascii="Times New Roman" w:eastAsia="Times New Roman" w:hAnsi="Times New Roman"/>
          <w:b/>
          <w:i/>
          <w:iCs/>
          <w:color w:val="auto"/>
          <w:sz w:val="24"/>
          <w:szCs w:val="24"/>
          <w:lang w:eastAsia="bg-BG"/>
        </w:rPr>
        <w:t xml:space="preserve"> </w:t>
      </w:r>
      <w:r w:rsidRPr="00C41448">
        <w:rPr>
          <w:rFonts w:ascii="Times New Roman" w:eastAsia="Times New Roman" w:hAnsi="Times New Roman"/>
          <w:b/>
          <w:i/>
          <w:iCs/>
          <w:color w:val="9B2D1F" w:themeColor="accent2"/>
          <w:sz w:val="24"/>
          <w:szCs w:val="24"/>
          <w:lang w:val="bg-BG" w:eastAsia="bg-BG"/>
        </w:rPr>
        <w:t>Таблица 5.</w:t>
      </w:r>
      <w:r w:rsidRPr="00C41448">
        <w:rPr>
          <w:rFonts w:ascii="Times New Roman" w:eastAsia="Times New Roman" w:hAnsi="Times New Roman"/>
          <w:b/>
          <w:i/>
          <w:color w:val="9B2D1F" w:themeColor="accent2"/>
          <w:sz w:val="24"/>
          <w:szCs w:val="24"/>
          <w:lang w:val="bg-BG" w:eastAsia="bg-BG"/>
        </w:rPr>
        <w:t xml:space="preserve"> Преки чуждестранни инвестиции в предприятията от нефинансовия сектор с натрупване за периода 2007-201</w:t>
      </w:r>
      <w:r w:rsidR="00966F06">
        <w:rPr>
          <w:rFonts w:ascii="Times New Roman" w:eastAsia="Times New Roman" w:hAnsi="Times New Roman"/>
          <w:b/>
          <w:i/>
          <w:color w:val="9B2D1F" w:themeColor="accent2"/>
          <w:sz w:val="24"/>
          <w:szCs w:val="24"/>
          <w:lang w:val="bg-BG" w:eastAsia="bg-BG"/>
        </w:rPr>
        <w:t>3</w:t>
      </w:r>
      <w:r w:rsidRPr="00C41448">
        <w:rPr>
          <w:rFonts w:ascii="Times New Roman" w:eastAsia="Times New Roman" w:hAnsi="Times New Roman"/>
          <w:b/>
          <w:i/>
          <w:color w:val="9B2D1F" w:themeColor="accent2"/>
          <w:sz w:val="24"/>
          <w:szCs w:val="24"/>
          <w:lang w:val="bg-BG" w:eastAsia="bg-BG"/>
        </w:rPr>
        <w:t xml:space="preserve"> г. (в хил. евро)</w:t>
      </w:r>
    </w:p>
    <w:tbl>
      <w:tblPr>
        <w:tblW w:w="10216" w:type="dxa"/>
        <w:jc w:val="center"/>
        <w:tblInd w:w="4089" w:type="dxa"/>
        <w:tblLayout w:type="fixed"/>
        <w:tblCellMar>
          <w:left w:w="70" w:type="dxa"/>
          <w:right w:w="70" w:type="dxa"/>
        </w:tblCellMar>
        <w:tblLook w:val="0000" w:firstRow="0" w:lastRow="0" w:firstColumn="0" w:lastColumn="0" w:noHBand="0" w:noVBand="0"/>
      </w:tblPr>
      <w:tblGrid>
        <w:gridCol w:w="1615"/>
        <w:gridCol w:w="1148"/>
        <w:gridCol w:w="1134"/>
        <w:gridCol w:w="1275"/>
        <w:gridCol w:w="1276"/>
        <w:gridCol w:w="1276"/>
        <w:gridCol w:w="1276"/>
        <w:gridCol w:w="1216"/>
      </w:tblGrid>
      <w:tr w:rsidR="00A3402E" w:rsidRPr="00BD7BB1" w:rsidTr="00E16E13">
        <w:trPr>
          <w:trHeight w:val="630"/>
          <w:jc w:val="center"/>
        </w:trPr>
        <w:tc>
          <w:tcPr>
            <w:tcW w:w="1615" w:type="dxa"/>
            <w:tcBorders>
              <w:top w:val="thickThinSmallGap" w:sz="24" w:space="0" w:color="auto"/>
              <w:left w:val="thickThinSmallGap" w:sz="24" w:space="0" w:color="auto"/>
              <w:bottom w:val="single" w:sz="4" w:space="0" w:color="auto"/>
              <w:right w:val="single" w:sz="12" w:space="0" w:color="auto"/>
            </w:tcBorders>
            <w:vAlign w:val="center"/>
          </w:tcPr>
          <w:p w:rsidR="00F25110" w:rsidRPr="00BD7BB1" w:rsidRDefault="00F25110" w:rsidP="00F25110">
            <w:pPr>
              <w:spacing w:after="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Район, област</w:t>
            </w:r>
          </w:p>
        </w:tc>
        <w:tc>
          <w:tcPr>
            <w:tcW w:w="1148"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2007</w:t>
            </w:r>
          </w:p>
        </w:tc>
        <w:tc>
          <w:tcPr>
            <w:tcW w:w="1134"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2008</w:t>
            </w:r>
          </w:p>
        </w:tc>
        <w:tc>
          <w:tcPr>
            <w:tcW w:w="1275"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2009</w:t>
            </w:r>
          </w:p>
        </w:tc>
        <w:tc>
          <w:tcPr>
            <w:tcW w:w="1276"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2010</w:t>
            </w:r>
          </w:p>
        </w:tc>
        <w:tc>
          <w:tcPr>
            <w:tcW w:w="1276" w:type="dxa"/>
            <w:tcBorders>
              <w:top w:val="thickThinSmallGap" w:sz="24" w:space="0" w:color="auto"/>
              <w:left w:val="single" w:sz="12" w:space="0" w:color="auto"/>
              <w:bottom w:val="sing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2011</w:t>
            </w:r>
          </w:p>
        </w:tc>
        <w:tc>
          <w:tcPr>
            <w:tcW w:w="1276" w:type="dxa"/>
            <w:tcBorders>
              <w:top w:val="thickThinSmallGap" w:sz="24" w:space="0" w:color="auto"/>
              <w:left w:val="single" w:sz="12" w:space="0" w:color="auto"/>
              <w:bottom w:val="single" w:sz="4" w:space="0" w:color="auto"/>
              <w:right w:val="single" w:sz="12" w:space="0" w:color="auto"/>
            </w:tcBorders>
            <w:shd w:val="clear" w:color="auto" w:fill="FFFFFF"/>
          </w:tcPr>
          <w:p w:rsidR="00F25110" w:rsidRPr="00BD7BB1" w:rsidRDefault="00F25110" w:rsidP="00F25110">
            <w:pPr>
              <w:spacing w:after="0" w:line="240" w:lineRule="auto"/>
              <w:jc w:val="center"/>
              <w:rPr>
                <w:rFonts w:ascii="Times New Roman" w:eastAsia="Times New Roman" w:hAnsi="Times New Roman"/>
                <w:b/>
                <w:bCs/>
                <w:color w:val="auto"/>
                <w:sz w:val="20"/>
                <w:lang w:eastAsia="bg-BG"/>
              </w:rPr>
            </w:pPr>
          </w:p>
          <w:p w:rsidR="00F25110" w:rsidRPr="00BD7BB1" w:rsidRDefault="00F25110" w:rsidP="00F25110">
            <w:pPr>
              <w:spacing w:after="0" w:line="240" w:lineRule="auto"/>
              <w:jc w:val="center"/>
              <w:rPr>
                <w:rFonts w:ascii="Times New Roman" w:eastAsia="Times New Roman" w:hAnsi="Times New Roman"/>
                <w:b/>
                <w:bCs/>
                <w:color w:val="auto"/>
                <w:sz w:val="20"/>
                <w:lang w:eastAsia="bg-BG"/>
              </w:rPr>
            </w:pPr>
            <w:r w:rsidRPr="00BD7BB1">
              <w:rPr>
                <w:rFonts w:ascii="Times New Roman" w:eastAsia="Times New Roman" w:hAnsi="Times New Roman"/>
                <w:b/>
                <w:bCs/>
                <w:color w:val="auto"/>
                <w:sz w:val="20"/>
                <w:lang w:eastAsia="bg-BG"/>
              </w:rPr>
              <w:t>2012</w:t>
            </w:r>
          </w:p>
        </w:tc>
        <w:tc>
          <w:tcPr>
            <w:tcW w:w="1216" w:type="dxa"/>
            <w:tcBorders>
              <w:top w:val="thickThinSmallGap" w:sz="24" w:space="0" w:color="auto"/>
              <w:left w:val="single" w:sz="12" w:space="0" w:color="auto"/>
              <w:bottom w:val="single" w:sz="4" w:space="0" w:color="auto"/>
              <w:right w:val="thickThinSmallGap" w:sz="24"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b/>
                <w:bCs/>
                <w:color w:val="auto"/>
                <w:sz w:val="20"/>
                <w:lang w:eastAsia="bg-BG"/>
              </w:rPr>
            </w:pPr>
            <w:r w:rsidRPr="00BD7BB1">
              <w:rPr>
                <w:rFonts w:ascii="Times New Roman" w:eastAsia="Times New Roman" w:hAnsi="Times New Roman"/>
                <w:b/>
                <w:bCs/>
                <w:color w:val="auto"/>
                <w:sz w:val="20"/>
                <w:lang w:val="bg-BG" w:eastAsia="bg-BG"/>
              </w:rPr>
              <w:t>201</w:t>
            </w:r>
            <w:r w:rsidRPr="00BD7BB1">
              <w:rPr>
                <w:rFonts w:ascii="Times New Roman" w:eastAsia="Times New Roman" w:hAnsi="Times New Roman"/>
                <w:b/>
                <w:bCs/>
                <w:color w:val="auto"/>
                <w:sz w:val="20"/>
                <w:lang w:eastAsia="bg-BG"/>
              </w:rPr>
              <w:t>3</w:t>
            </w:r>
          </w:p>
        </w:tc>
      </w:tr>
      <w:tr w:rsidR="00C41448" w:rsidRPr="00BD7BB1" w:rsidTr="00E16E13">
        <w:trPr>
          <w:trHeight w:val="300"/>
          <w:jc w:val="center"/>
        </w:trPr>
        <w:tc>
          <w:tcPr>
            <w:tcW w:w="1615" w:type="dxa"/>
            <w:tcBorders>
              <w:top w:val="single" w:sz="4" w:space="0" w:color="auto"/>
              <w:left w:val="thickThinSmallGap" w:sz="24" w:space="0" w:color="auto"/>
              <w:bottom w:val="single" w:sz="4" w:space="0" w:color="auto"/>
              <w:right w:val="single" w:sz="12" w:space="0" w:color="auto"/>
            </w:tcBorders>
            <w:shd w:val="clear" w:color="auto" w:fill="F4B29B" w:themeFill="accent1" w:themeFillTint="66"/>
            <w:noWrap/>
            <w:vAlign w:val="center"/>
          </w:tcPr>
          <w:p w:rsidR="00F25110" w:rsidRPr="00C41448" w:rsidRDefault="00F25110" w:rsidP="00F25110">
            <w:pPr>
              <w:spacing w:after="0" w:line="240" w:lineRule="auto"/>
              <w:jc w:val="center"/>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БЪЛГАРИЯ</w:t>
            </w:r>
          </w:p>
        </w:tc>
        <w:tc>
          <w:tcPr>
            <w:tcW w:w="1148" w:type="dxa"/>
            <w:tcBorders>
              <w:top w:val="single" w:sz="4" w:space="0" w:color="auto"/>
              <w:left w:val="single" w:sz="12" w:space="0" w:color="auto"/>
              <w:bottom w:val="single" w:sz="4" w:space="0" w:color="auto"/>
              <w:right w:val="single" w:sz="12" w:space="0" w:color="auto"/>
            </w:tcBorders>
            <w:shd w:val="clear" w:color="auto" w:fill="F4B29B" w:themeFill="accent1" w:themeFillTint="66"/>
            <w:noWrap/>
            <w:vAlign w:val="center"/>
          </w:tcPr>
          <w:p w:rsidR="00F25110" w:rsidRPr="00C41448" w:rsidRDefault="00F25110" w:rsidP="00F25110">
            <w:pPr>
              <w:spacing w:after="0" w:line="240" w:lineRule="auto"/>
              <w:jc w:val="center"/>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15 167 125</w:t>
            </w:r>
          </w:p>
        </w:tc>
        <w:tc>
          <w:tcPr>
            <w:tcW w:w="1134" w:type="dxa"/>
            <w:tcBorders>
              <w:top w:val="single" w:sz="4" w:space="0" w:color="auto"/>
              <w:left w:val="single" w:sz="12" w:space="0" w:color="auto"/>
              <w:bottom w:val="single" w:sz="4" w:space="0" w:color="auto"/>
              <w:right w:val="single" w:sz="12" w:space="0" w:color="auto"/>
            </w:tcBorders>
            <w:shd w:val="clear" w:color="auto" w:fill="F4B29B" w:themeFill="accent1" w:themeFillTint="66"/>
            <w:noWrap/>
            <w:vAlign w:val="center"/>
          </w:tcPr>
          <w:p w:rsidR="00F25110" w:rsidRPr="00C41448" w:rsidRDefault="00F25110" w:rsidP="00F25110">
            <w:pPr>
              <w:spacing w:after="0" w:line="240" w:lineRule="auto"/>
              <w:jc w:val="center"/>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19 185 003</w:t>
            </w:r>
          </w:p>
        </w:tc>
        <w:tc>
          <w:tcPr>
            <w:tcW w:w="1275" w:type="dxa"/>
            <w:tcBorders>
              <w:top w:val="single" w:sz="4" w:space="0" w:color="auto"/>
              <w:left w:val="single" w:sz="12" w:space="0" w:color="auto"/>
              <w:bottom w:val="single" w:sz="4" w:space="0" w:color="auto"/>
              <w:right w:val="single" w:sz="12" w:space="0" w:color="auto"/>
            </w:tcBorders>
            <w:shd w:val="clear" w:color="auto" w:fill="F4B29B" w:themeFill="accent1" w:themeFillTint="66"/>
            <w:vAlign w:val="center"/>
          </w:tcPr>
          <w:p w:rsidR="00F25110" w:rsidRPr="00C41448" w:rsidRDefault="00F25110" w:rsidP="00F25110">
            <w:pPr>
              <w:tabs>
                <w:tab w:val="left" w:pos="1320"/>
              </w:tabs>
              <w:spacing w:after="0" w:line="240" w:lineRule="auto"/>
              <w:jc w:val="center"/>
              <w:rPr>
                <w:rFonts w:ascii="Times New Roman" w:eastAsia="Times New Roman" w:hAnsi="Times New Roman"/>
                <w:b/>
                <w:bCs/>
                <w:color w:val="9B2D1F" w:themeColor="accent2"/>
                <w:sz w:val="20"/>
                <w:lang w:eastAsia="bg-BG"/>
              </w:rPr>
            </w:pPr>
            <w:r w:rsidRPr="00C41448">
              <w:rPr>
                <w:rFonts w:ascii="Times New Roman" w:eastAsia="Times New Roman" w:hAnsi="Times New Roman"/>
                <w:b/>
                <w:bCs/>
                <w:color w:val="9B2D1F" w:themeColor="accent2"/>
                <w:sz w:val="20"/>
                <w:lang w:eastAsia="bg-BG"/>
              </w:rPr>
              <w:t>20 441 581</w:t>
            </w:r>
          </w:p>
        </w:tc>
        <w:tc>
          <w:tcPr>
            <w:tcW w:w="1276" w:type="dxa"/>
            <w:tcBorders>
              <w:top w:val="single" w:sz="4" w:space="0" w:color="auto"/>
              <w:left w:val="single" w:sz="12" w:space="0" w:color="auto"/>
              <w:bottom w:val="single" w:sz="4" w:space="0" w:color="auto"/>
              <w:right w:val="single" w:sz="12" w:space="0" w:color="auto"/>
            </w:tcBorders>
            <w:shd w:val="clear" w:color="auto" w:fill="F4B29B" w:themeFill="accent1" w:themeFillTint="66"/>
            <w:vAlign w:val="center"/>
          </w:tcPr>
          <w:p w:rsidR="00F25110" w:rsidRPr="00C41448" w:rsidRDefault="00F25110" w:rsidP="00F25110">
            <w:pPr>
              <w:tabs>
                <w:tab w:val="left" w:pos="1320"/>
              </w:tabs>
              <w:spacing w:after="0" w:line="240" w:lineRule="auto"/>
              <w:jc w:val="center"/>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22 114 446</w:t>
            </w:r>
          </w:p>
        </w:tc>
        <w:tc>
          <w:tcPr>
            <w:tcW w:w="1276" w:type="dxa"/>
            <w:tcBorders>
              <w:top w:val="single" w:sz="4" w:space="0" w:color="auto"/>
              <w:left w:val="single" w:sz="12" w:space="0" w:color="auto"/>
              <w:bottom w:val="single" w:sz="4" w:space="0" w:color="auto"/>
              <w:right w:val="single" w:sz="12" w:space="0" w:color="auto"/>
            </w:tcBorders>
            <w:shd w:val="clear" w:color="auto" w:fill="F4B29B" w:themeFill="accent1" w:themeFillTint="66"/>
            <w:vAlign w:val="center"/>
          </w:tcPr>
          <w:p w:rsidR="00F25110" w:rsidRPr="00C41448" w:rsidRDefault="00F25110" w:rsidP="00F25110">
            <w:pPr>
              <w:tabs>
                <w:tab w:val="left" w:pos="1320"/>
              </w:tabs>
              <w:spacing w:after="0" w:line="240" w:lineRule="auto"/>
              <w:jc w:val="center"/>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21 644  918</w:t>
            </w:r>
          </w:p>
        </w:tc>
        <w:tc>
          <w:tcPr>
            <w:tcW w:w="1276" w:type="dxa"/>
            <w:tcBorders>
              <w:top w:val="single" w:sz="4" w:space="0" w:color="auto"/>
              <w:left w:val="single" w:sz="12" w:space="0" w:color="auto"/>
              <w:bottom w:val="single" w:sz="4" w:space="0" w:color="auto"/>
              <w:right w:val="single" w:sz="12" w:space="0" w:color="auto"/>
            </w:tcBorders>
            <w:shd w:val="clear" w:color="auto" w:fill="F4B29B" w:themeFill="accent1" w:themeFillTint="66"/>
            <w:vAlign w:val="center"/>
          </w:tcPr>
          <w:p w:rsidR="00F25110" w:rsidRPr="00C41448" w:rsidRDefault="00F25110" w:rsidP="00F25110">
            <w:pPr>
              <w:spacing w:after="0" w:line="240" w:lineRule="auto"/>
              <w:jc w:val="center"/>
              <w:rPr>
                <w:rFonts w:ascii="Times New Roman" w:eastAsia="Times New Roman" w:hAnsi="Times New Roman"/>
                <w:b/>
                <w:color w:val="9B2D1F" w:themeColor="accent2"/>
                <w:sz w:val="20"/>
                <w:lang w:val="bg-BG" w:eastAsia="bg-BG"/>
              </w:rPr>
            </w:pPr>
            <w:r w:rsidRPr="00C41448">
              <w:rPr>
                <w:rFonts w:ascii="Times New Roman" w:eastAsia="Times New Roman" w:hAnsi="Times New Roman"/>
                <w:b/>
                <w:color w:val="9B2D1F" w:themeColor="accent2"/>
                <w:sz w:val="20"/>
                <w:lang w:val="bg-BG" w:eastAsia="bg-BG"/>
              </w:rPr>
              <w:t>21 950 596</w:t>
            </w:r>
          </w:p>
        </w:tc>
        <w:tc>
          <w:tcPr>
            <w:tcW w:w="1216" w:type="dxa"/>
            <w:tcBorders>
              <w:top w:val="single" w:sz="4" w:space="0" w:color="auto"/>
              <w:left w:val="single" w:sz="12" w:space="0" w:color="auto"/>
              <w:bottom w:val="single" w:sz="4" w:space="0" w:color="auto"/>
              <w:right w:val="thickThinSmallGap" w:sz="24" w:space="0" w:color="auto"/>
            </w:tcBorders>
            <w:shd w:val="clear" w:color="auto" w:fill="F4B29B" w:themeFill="accent1" w:themeFillTint="66"/>
            <w:vAlign w:val="center"/>
          </w:tcPr>
          <w:p w:rsidR="00F25110" w:rsidRPr="00C41448" w:rsidRDefault="00F25110" w:rsidP="00F25110">
            <w:pPr>
              <w:spacing w:after="0" w:line="240" w:lineRule="auto"/>
              <w:jc w:val="center"/>
              <w:rPr>
                <w:rFonts w:ascii="Tahoma" w:eastAsia="Times New Roman" w:hAnsi="Tahoma" w:cs="Tahoma"/>
                <w:b/>
                <w:bCs/>
                <w:color w:val="9B2D1F" w:themeColor="accent2"/>
                <w:sz w:val="16"/>
                <w:szCs w:val="16"/>
                <w:lang w:eastAsia="bg-BG"/>
              </w:rPr>
            </w:pPr>
          </w:p>
          <w:p w:rsidR="00F25110" w:rsidRPr="00C41448" w:rsidRDefault="00F25110" w:rsidP="00F25110">
            <w:pPr>
              <w:spacing w:after="0" w:line="240" w:lineRule="auto"/>
              <w:jc w:val="center"/>
              <w:rPr>
                <w:rFonts w:ascii="Tahoma" w:eastAsia="Times New Roman" w:hAnsi="Tahoma" w:cs="Tahoma"/>
                <w:b/>
                <w:bCs/>
                <w:color w:val="9B2D1F" w:themeColor="accent2"/>
                <w:sz w:val="16"/>
                <w:szCs w:val="16"/>
                <w:lang w:eastAsia="bg-BG"/>
              </w:rPr>
            </w:pPr>
            <w:r w:rsidRPr="00C41448">
              <w:rPr>
                <w:rFonts w:ascii="Tahoma" w:eastAsia="Times New Roman" w:hAnsi="Tahoma" w:cs="Tahoma"/>
                <w:b/>
                <w:bCs/>
                <w:color w:val="9B2D1F" w:themeColor="accent2"/>
                <w:sz w:val="16"/>
                <w:szCs w:val="16"/>
                <w:lang w:val="bg-BG" w:eastAsia="bg-BG"/>
              </w:rPr>
              <w:t>23 339 733</w:t>
            </w:r>
          </w:p>
          <w:p w:rsidR="00F25110" w:rsidRPr="00C41448" w:rsidRDefault="00F25110" w:rsidP="00F25110">
            <w:pPr>
              <w:tabs>
                <w:tab w:val="left" w:pos="1320"/>
              </w:tabs>
              <w:spacing w:after="0" w:line="240" w:lineRule="auto"/>
              <w:jc w:val="center"/>
              <w:rPr>
                <w:rFonts w:ascii="Times New Roman" w:eastAsia="Times New Roman" w:hAnsi="Times New Roman"/>
                <w:b/>
                <w:bCs/>
                <w:color w:val="9B2D1F" w:themeColor="accent2"/>
                <w:sz w:val="20"/>
                <w:lang w:eastAsia="bg-BG"/>
              </w:rPr>
            </w:pPr>
          </w:p>
        </w:tc>
      </w:tr>
      <w:tr w:rsidR="00A3402E" w:rsidRPr="00BD7BB1" w:rsidTr="00E16E13">
        <w:trPr>
          <w:trHeight w:val="300"/>
          <w:jc w:val="center"/>
        </w:trPr>
        <w:tc>
          <w:tcPr>
            <w:tcW w:w="1615" w:type="dxa"/>
            <w:tcBorders>
              <w:top w:val="single" w:sz="4" w:space="0" w:color="auto"/>
              <w:left w:val="thickThinSmallGap" w:sz="24"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rPr>
                <w:rFonts w:ascii="Times New Roman" w:eastAsia="Times New Roman" w:hAnsi="Times New Roman"/>
                <w:b/>
                <w:bCs/>
                <w:color w:val="auto"/>
                <w:sz w:val="20"/>
                <w:lang w:val="bg-BG" w:eastAsia="bg-BG"/>
              </w:rPr>
            </w:pPr>
            <w:r w:rsidRPr="00BD7BB1">
              <w:rPr>
                <w:rFonts w:ascii="Times New Roman" w:eastAsia="Times New Roman" w:hAnsi="Times New Roman"/>
                <w:color w:val="auto"/>
                <w:sz w:val="20"/>
                <w:lang w:val="bg-BG" w:eastAsia="bg-BG"/>
              </w:rPr>
              <w:t>Северозападен</w:t>
            </w:r>
          </w:p>
        </w:tc>
        <w:tc>
          <w:tcPr>
            <w:tcW w:w="1148" w:type="dxa"/>
            <w:tcBorders>
              <w:top w:val="single" w:sz="4" w:space="0" w:color="auto"/>
              <w:left w:val="single" w:sz="12"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425 802</w:t>
            </w:r>
          </w:p>
        </w:tc>
        <w:tc>
          <w:tcPr>
            <w:tcW w:w="1134" w:type="dxa"/>
            <w:tcBorders>
              <w:top w:val="single" w:sz="4" w:space="0" w:color="auto"/>
              <w:left w:val="single" w:sz="12"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500 961</w:t>
            </w:r>
          </w:p>
        </w:tc>
        <w:tc>
          <w:tcPr>
            <w:tcW w:w="1275" w:type="dxa"/>
            <w:tcBorders>
              <w:top w:val="single" w:sz="4" w:space="0" w:color="auto"/>
              <w:left w:val="single" w:sz="12" w:space="0" w:color="auto"/>
              <w:bottom w:val="double" w:sz="4" w:space="0" w:color="auto"/>
              <w:right w:val="single" w:sz="12" w:space="0" w:color="auto"/>
            </w:tcBorders>
            <w:shd w:val="clear" w:color="auto" w:fill="auto"/>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495 574</w:t>
            </w:r>
          </w:p>
        </w:tc>
        <w:tc>
          <w:tcPr>
            <w:tcW w:w="1276" w:type="dxa"/>
            <w:tcBorders>
              <w:top w:val="single" w:sz="4" w:space="0" w:color="auto"/>
              <w:left w:val="single" w:sz="12" w:space="0" w:color="auto"/>
              <w:bottom w:val="double" w:sz="4" w:space="0" w:color="auto"/>
              <w:right w:val="single" w:sz="12" w:space="0" w:color="auto"/>
            </w:tcBorders>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512 142</w:t>
            </w:r>
          </w:p>
        </w:tc>
        <w:tc>
          <w:tcPr>
            <w:tcW w:w="1276" w:type="dxa"/>
            <w:tcBorders>
              <w:top w:val="single" w:sz="4" w:space="0" w:color="auto"/>
              <w:left w:val="single" w:sz="12" w:space="0" w:color="auto"/>
              <w:bottom w:val="double" w:sz="4" w:space="0" w:color="auto"/>
              <w:right w:val="single" w:sz="12" w:space="0" w:color="auto"/>
            </w:tcBorders>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539 099</w:t>
            </w:r>
          </w:p>
        </w:tc>
        <w:tc>
          <w:tcPr>
            <w:tcW w:w="1276" w:type="dxa"/>
            <w:tcBorders>
              <w:top w:val="single" w:sz="4" w:space="0" w:color="auto"/>
              <w:left w:val="single" w:sz="12" w:space="0" w:color="auto"/>
              <w:bottom w:val="double" w:sz="4" w:space="0" w:color="auto"/>
              <w:right w:val="single" w:sz="12"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573 295</w:t>
            </w:r>
          </w:p>
        </w:tc>
        <w:tc>
          <w:tcPr>
            <w:tcW w:w="1216" w:type="dxa"/>
            <w:tcBorders>
              <w:top w:val="single" w:sz="4" w:space="0" w:color="auto"/>
              <w:left w:val="single" w:sz="12" w:space="0" w:color="auto"/>
              <w:bottom w:val="double" w:sz="4" w:space="0" w:color="auto"/>
              <w:right w:val="thickThinSmallGap" w:sz="24" w:space="0" w:color="auto"/>
            </w:tcBorders>
            <w:shd w:val="clear" w:color="auto" w:fill="auto"/>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eastAsia="bg-BG"/>
              </w:rPr>
            </w:pPr>
            <w:r w:rsidRPr="00BD7BB1">
              <w:rPr>
                <w:rFonts w:ascii="Times New Roman" w:eastAsia="Times New Roman" w:hAnsi="Times New Roman"/>
                <w:bCs/>
                <w:color w:val="auto"/>
                <w:sz w:val="20"/>
                <w:lang w:eastAsia="bg-BG"/>
              </w:rPr>
              <w:t>700 969</w:t>
            </w:r>
          </w:p>
        </w:tc>
      </w:tr>
      <w:tr w:rsidR="00A3402E" w:rsidRPr="00BD7BB1" w:rsidTr="00E16E13">
        <w:trPr>
          <w:trHeight w:val="300"/>
          <w:jc w:val="center"/>
        </w:trPr>
        <w:tc>
          <w:tcPr>
            <w:tcW w:w="161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rPr>
                <w:rFonts w:ascii="Times New Roman" w:eastAsia="Times New Roman" w:hAnsi="Times New Roman"/>
                <w:i/>
                <w:color w:val="auto"/>
                <w:sz w:val="20"/>
                <w:lang w:val="bg-BG" w:eastAsia="bg-BG"/>
              </w:rPr>
            </w:pPr>
            <w:r w:rsidRPr="00BD7BB1">
              <w:rPr>
                <w:rFonts w:ascii="Times New Roman" w:eastAsia="Times New Roman" w:hAnsi="Times New Roman"/>
                <w:color w:val="auto"/>
                <w:sz w:val="20"/>
                <w:lang w:val="bg-BG" w:eastAsia="bg-BG"/>
              </w:rPr>
              <w:t>Северен</w:t>
            </w: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 xml:space="preserve">централен </w:t>
            </w:r>
          </w:p>
        </w:tc>
        <w:tc>
          <w:tcPr>
            <w:tcW w:w="1148"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437 293</w:t>
            </w:r>
          </w:p>
        </w:tc>
        <w:tc>
          <w:tcPr>
            <w:tcW w:w="1134"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797 174</w:t>
            </w:r>
          </w:p>
        </w:tc>
        <w:tc>
          <w:tcPr>
            <w:tcW w:w="1275" w:type="dxa"/>
            <w:tcBorders>
              <w:top w:val="double" w:sz="4" w:space="0" w:color="auto"/>
              <w:left w:val="single" w:sz="12" w:space="0" w:color="auto"/>
              <w:bottom w:val="double" w:sz="4" w:space="0" w:color="auto"/>
              <w:right w:val="single" w:sz="12" w:space="0" w:color="auto"/>
            </w:tcBorders>
            <w:shd w:val="clear" w:color="auto" w:fill="auto"/>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759 508</w:t>
            </w:r>
          </w:p>
        </w:tc>
        <w:tc>
          <w:tcPr>
            <w:tcW w:w="1276" w:type="dxa"/>
            <w:tcBorders>
              <w:top w:val="double" w:sz="4" w:space="0" w:color="auto"/>
              <w:left w:val="single" w:sz="12" w:space="0" w:color="auto"/>
              <w:bottom w:val="double" w:sz="4" w:space="0" w:color="auto"/>
              <w:right w:val="single" w:sz="12" w:space="0" w:color="auto"/>
            </w:tcBorders>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815 908</w:t>
            </w:r>
          </w:p>
        </w:tc>
        <w:tc>
          <w:tcPr>
            <w:tcW w:w="1276" w:type="dxa"/>
            <w:tcBorders>
              <w:top w:val="double" w:sz="4" w:space="0" w:color="auto"/>
              <w:left w:val="single" w:sz="12" w:space="0" w:color="auto"/>
              <w:bottom w:val="double" w:sz="4" w:space="0" w:color="auto"/>
              <w:right w:val="single" w:sz="12" w:space="0" w:color="auto"/>
            </w:tcBorders>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807 175</w:t>
            </w:r>
          </w:p>
        </w:tc>
        <w:tc>
          <w:tcPr>
            <w:tcW w:w="1276" w:type="dxa"/>
            <w:tcBorders>
              <w:top w:val="double" w:sz="4" w:space="0" w:color="auto"/>
              <w:left w:val="single" w:sz="12" w:space="0" w:color="auto"/>
              <w:bottom w:val="double" w:sz="4" w:space="0" w:color="auto"/>
              <w:right w:val="single" w:sz="12"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841 791</w:t>
            </w:r>
          </w:p>
        </w:tc>
        <w:tc>
          <w:tcPr>
            <w:tcW w:w="1216" w:type="dxa"/>
            <w:tcBorders>
              <w:top w:val="double" w:sz="4" w:space="0" w:color="auto"/>
              <w:left w:val="single" w:sz="12" w:space="0" w:color="auto"/>
              <w:bottom w:val="double" w:sz="4" w:space="0" w:color="auto"/>
              <w:right w:val="thickThinSmallGap" w:sz="24" w:space="0" w:color="auto"/>
            </w:tcBorders>
            <w:shd w:val="clear" w:color="auto" w:fill="auto"/>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879 943</w:t>
            </w:r>
          </w:p>
        </w:tc>
      </w:tr>
      <w:tr w:rsidR="00A3402E" w:rsidRPr="00BD7BB1" w:rsidTr="00E16E13">
        <w:trPr>
          <w:trHeight w:val="300"/>
          <w:jc w:val="center"/>
        </w:trPr>
        <w:tc>
          <w:tcPr>
            <w:tcW w:w="161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Североизточен </w:t>
            </w:r>
          </w:p>
        </w:tc>
        <w:tc>
          <w:tcPr>
            <w:tcW w:w="1148"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1 460 035</w:t>
            </w:r>
          </w:p>
        </w:tc>
        <w:tc>
          <w:tcPr>
            <w:tcW w:w="1134"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2 053 309</w:t>
            </w:r>
          </w:p>
        </w:tc>
        <w:tc>
          <w:tcPr>
            <w:tcW w:w="1275" w:type="dxa"/>
            <w:tcBorders>
              <w:top w:val="double" w:sz="4" w:space="0" w:color="auto"/>
              <w:left w:val="single" w:sz="12" w:space="0" w:color="auto"/>
              <w:bottom w:val="double" w:sz="4" w:space="0" w:color="auto"/>
              <w:right w:val="single" w:sz="12" w:space="0" w:color="auto"/>
            </w:tcBorders>
            <w:shd w:val="clear" w:color="auto" w:fill="auto"/>
            <w:vAlign w:val="center"/>
          </w:tcPr>
          <w:p w:rsidR="00F25110" w:rsidRPr="00BD7BB1" w:rsidRDefault="00F25110" w:rsidP="00F25110">
            <w:pPr>
              <w:tabs>
                <w:tab w:val="left" w:pos="1320"/>
              </w:tabs>
              <w:spacing w:after="0" w:line="240" w:lineRule="auto"/>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2 083 919</w:t>
            </w:r>
          </w:p>
        </w:tc>
        <w:tc>
          <w:tcPr>
            <w:tcW w:w="1276" w:type="dxa"/>
            <w:tcBorders>
              <w:top w:val="double" w:sz="4" w:space="0" w:color="auto"/>
              <w:left w:val="single" w:sz="12" w:space="0" w:color="auto"/>
              <w:bottom w:val="double" w:sz="4" w:space="0" w:color="auto"/>
              <w:right w:val="single" w:sz="12" w:space="0" w:color="auto"/>
            </w:tcBorders>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2 102 923</w:t>
            </w:r>
          </w:p>
        </w:tc>
        <w:tc>
          <w:tcPr>
            <w:tcW w:w="1276" w:type="dxa"/>
            <w:tcBorders>
              <w:top w:val="double" w:sz="4" w:space="0" w:color="auto"/>
              <w:left w:val="single" w:sz="12" w:space="0" w:color="auto"/>
              <w:bottom w:val="double" w:sz="4" w:space="0" w:color="auto"/>
              <w:right w:val="single" w:sz="12" w:space="0" w:color="auto"/>
            </w:tcBorders>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2 018 735</w:t>
            </w:r>
          </w:p>
        </w:tc>
        <w:tc>
          <w:tcPr>
            <w:tcW w:w="1276" w:type="dxa"/>
            <w:tcBorders>
              <w:top w:val="double" w:sz="4" w:space="0" w:color="auto"/>
              <w:left w:val="single" w:sz="12" w:space="0" w:color="auto"/>
              <w:bottom w:val="double" w:sz="4" w:space="0" w:color="auto"/>
              <w:right w:val="single" w:sz="12" w:space="0" w:color="auto"/>
            </w:tcBorders>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2 024 997</w:t>
            </w:r>
          </w:p>
        </w:tc>
        <w:tc>
          <w:tcPr>
            <w:tcW w:w="1216" w:type="dxa"/>
            <w:tcBorders>
              <w:top w:val="double" w:sz="4" w:space="0" w:color="auto"/>
              <w:left w:val="single" w:sz="12" w:space="0" w:color="auto"/>
              <w:bottom w:val="double" w:sz="4" w:space="0" w:color="auto"/>
              <w:right w:val="thickThinSmallGap" w:sz="24" w:space="0" w:color="auto"/>
            </w:tcBorders>
            <w:shd w:val="clear" w:color="auto" w:fill="auto"/>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2 041 4</w:t>
            </w:r>
            <w:r w:rsidRPr="00BD7BB1">
              <w:rPr>
                <w:rFonts w:ascii="Times New Roman" w:eastAsia="Times New Roman" w:hAnsi="Times New Roman"/>
                <w:bCs/>
                <w:color w:val="auto"/>
                <w:sz w:val="20"/>
                <w:lang w:eastAsia="bg-BG"/>
              </w:rPr>
              <w:t>80</w:t>
            </w:r>
            <w:r w:rsidRPr="00BD7BB1">
              <w:rPr>
                <w:rFonts w:ascii="Times New Roman" w:eastAsia="Times New Roman" w:hAnsi="Times New Roman"/>
                <w:bCs/>
                <w:color w:val="auto"/>
                <w:sz w:val="20"/>
                <w:lang w:val="bg-BG" w:eastAsia="bg-BG"/>
              </w:rPr>
              <w:t xml:space="preserve"> </w:t>
            </w:r>
          </w:p>
        </w:tc>
      </w:tr>
      <w:tr w:rsidR="00A3402E" w:rsidRPr="00BD7BB1" w:rsidTr="00E16E13">
        <w:trPr>
          <w:trHeight w:val="300"/>
          <w:jc w:val="center"/>
        </w:trPr>
        <w:tc>
          <w:tcPr>
            <w:tcW w:w="161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lastRenderedPageBreak/>
              <w:t xml:space="preserve">Югозападен </w:t>
            </w:r>
          </w:p>
        </w:tc>
        <w:tc>
          <w:tcPr>
            <w:tcW w:w="1148"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10 404 969</w:t>
            </w:r>
          </w:p>
        </w:tc>
        <w:tc>
          <w:tcPr>
            <w:tcW w:w="1134"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12 853 513</w:t>
            </w:r>
          </w:p>
        </w:tc>
        <w:tc>
          <w:tcPr>
            <w:tcW w:w="1275" w:type="dxa"/>
            <w:tcBorders>
              <w:top w:val="double" w:sz="4" w:space="0" w:color="auto"/>
              <w:left w:val="single" w:sz="12" w:space="0" w:color="auto"/>
              <w:bottom w:val="double" w:sz="4" w:space="0" w:color="auto"/>
              <w:right w:val="single" w:sz="12" w:space="0" w:color="auto"/>
            </w:tcBorders>
            <w:shd w:val="clear" w:color="auto" w:fill="auto"/>
            <w:vAlign w:val="center"/>
          </w:tcPr>
          <w:p w:rsidR="00F25110" w:rsidRPr="00BD7BB1" w:rsidRDefault="00F25110" w:rsidP="00F25110">
            <w:pPr>
              <w:tabs>
                <w:tab w:val="left" w:pos="1320"/>
              </w:tabs>
              <w:spacing w:after="0" w:line="240" w:lineRule="auto"/>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13 872 873</w:t>
            </w:r>
          </w:p>
        </w:tc>
        <w:tc>
          <w:tcPr>
            <w:tcW w:w="1276" w:type="dxa"/>
            <w:tcBorders>
              <w:top w:val="double" w:sz="4" w:space="0" w:color="auto"/>
              <w:left w:val="single" w:sz="12" w:space="0" w:color="auto"/>
              <w:bottom w:val="double" w:sz="4" w:space="0" w:color="auto"/>
              <w:right w:val="single" w:sz="12" w:space="0" w:color="auto"/>
            </w:tcBorders>
            <w:vAlign w:val="center"/>
          </w:tcPr>
          <w:p w:rsidR="00F25110" w:rsidRPr="00BD7BB1" w:rsidRDefault="00F25110" w:rsidP="00F25110">
            <w:pPr>
              <w:tabs>
                <w:tab w:val="left" w:pos="1320"/>
              </w:tabs>
              <w:spacing w:after="0" w:line="240" w:lineRule="auto"/>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14 295 496</w:t>
            </w:r>
          </w:p>
        </w:tc>
        <w:tc>
          <w:tcPr>
            <w:tcW w:w="1276" w:type="dxa"/>
            <w:tcBorders>
              <w:top w:val="double" w:sz="4" w:space="0" w:color="auto"/>
              <w:left w:val="single" w:sz="12" w:space="0" w:color="auto"/>
              <w:bottom w:val="double" w:sz="4" w:space="0" w:color="auto"/>
              <w:right w:val="single" w:sz="12" w:space="0" w:color="auto"/>
            </w:tcBorders>
            <w:vAlign w:val="center"/>
          </w:tcPr>
          <w:p w:rsidR="00F25110" w:rsidRPr="00BD7BB1" w:rsidRDefault="00F25110" w:rsidP="00F25110">
            <w:pPr>
              <w:tabs>
                <w:tab w:val="left" w:pos="1320"/>
              </w:tabs>
              <w:spacing w:after="0" w:line="240" w:lineRule="auto"/>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13 423 894</w:t>
            </w:r>
          </w:p>
        </w:tc>
        <w:tc>
          <w:tcPr>
            <w:tcW w:w="1276" w:type="dxa"/>
            <w:tcBorders>
              <w:top w:val="double" w:sz="4" w:space="0" w:color="auto"/>
              <w:left w:val="single" w:sz="12" w:space="0" w:color="auto"/>
              <w:bottom w:val="double" w:sz="4" w:space="0" w:color="auto"/>
              <w:right w:val="single" w:sz="12"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13 611 095</w:t>
            </w:r>
          </w:p>
        </w:tc>
        <w:tc>
          <w:tcPr>
            <w:tcW w:w="1216" w:type="dxa"/>
            <w:tcBorders>
              <w:top w:val="double" w:sz="4" w:space="0" w:color="auto"/>
              <w:left w:val="single" w:sz="12" w:space="0" w:color="auto"/>
              <w:bottom w:val="double" w:sz="4" w:space="0" w:color="auto"/>
              <w:right w:val="thickThinSmallGap" w:sz="24" w:space="0" w:color="auto"/>
            </w:tcBorders>
            <w:shd w:val="clear" w:color="auto" w:fill="auto"/>
            <w:vAlign w:val="center"/>
          </w:tcPr>
          <w:p w:rsidR="00F25110" w:rsidRPr="00BD7BB1" w:rsidRDefault="00F25110" w:rsidP="00F25110">
            <w:pPr>
              <w:tabs>
                <w:tab w:val="left" w:pos="1320"/>
              </w:tabs>
              <w:spacing w:after="0" w:line="240" w:lineRule="auto"/>
              <w:rPr>
                <w:rFonts w:ascii="Times New Roman" w:eastAsia="Times New Roman" w:hAnsi="Times New Roman"/>
                <w:bCs/>
                <w:color w:val="auto"/>
                <w:sz w:val="20"/>
                <w:lang w:eastAsia="bg-BG"/>
              </w:rPr>
            </w:pPr>
            <w:r w:rsidRPr="00BD7BB1">
              <w:rPr>
                <w:rFonts w:ascii="Times New Roman" w:eastAsia="Times New Roman" w:hAnsi="Times New Roman"/>
                <w:bCs/>
                <w:color w:val="auto"/>
                <w:sz w:val="20"/>
                <w:lang w:val="bg-BG" w:eastAsia="bg-BG"/>
              </w:rPr>
              <w:t>13 959 04</w:t>
            </w:r>
            <w:r w:rsidRPr="00BD7BB1">
              <w:rPr>
                <w:rFonts w:ascii="Times New Roman" w:eastAsia="Times New Roman" w:hAnsi="Times New Roman"/>
                <w:bCs/>
                <w:color w:val="auto"/>
                <w:sz w:val="20"/>
                <w:lang w:eastAsia="bg-BG"/>
              </w:rPr>
              <w:t>7</w:t>
            </w:r>
          </w:p>
        </w:tc>
      </w:tr>
      <w:tr w:rsidR="00A3402E" w:rsidRPr="00BD7BB1" w:rsidTr="00E16E13">
        <w:trPr>
          <w:trHeight w:val="300"/>
          <w:jc w:val="center"/>
        </w:trPr>
        <w:tc>
          <w:tcPr>
            <w:tcW w:w="1615" w:type="dxa"/>
            <w:tcBorders>
              <w:top w:val="double" w:sz="4" w:space="0" w:color="auto"/>
              <w:left w:val="thickThinSmallGap" w:sz="24"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Южен централен </w:t>
            </w:r>
          </w:p>
        </w:tc>
        <w:tc>
          <w:tcPr>
            <w:tcW w:w="1148"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966 811</w:t>
            </w:r>
          </w:p>
        </w:tc>
        <w:tc>
          <w:tcPr>
            <w:tcW w:w="1134" w:type="dxa"/>
            <w:tcBorders>
              <w:top w:val="double" w:sz="4" w:space="0" w:color="auto"/>
              <w:left w:val="single" w:sz="12" w:space="0" w:color="auto"/>
              <w:bottom w:val="double" w:sz="4" w:space="0" w:color="auto"/>
              <w:right w:val="single" w:sz="12"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1 340 758</w:t>
            </w:r>
          </w:p>
        </w:tc>
        <w:tc>
          <w:tcPr>
            <w:tcW w:w="1275" w:type="dxa"/>
            <w:tcBorders>
              <w:top w:val="double" w:sz="4" w:space="0" w:color="auto"/>
              <w:left w:val="single" w:sz="12" w:space="0" w:color="auto"/>
              <w:bottom w:val="double" w:sz="4" w:space="0" w:color="auto"/>
              <w:right w:val="single" w:sz="12" w:space="0" w:color="auto"/>
            </w:tcBorders>
            <w:shd w:val="clear" w:color="auto" w:fill="auto"/>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1 372 515</w:t>
            </w:r>
          </w:p>
        </w:tc>
        <w:tc>
          <w:tcPr>
            <w:tcW w:w="1276" w:type="dxa"/>
            <w:tcBorders>
              <w:top w:val="double" w:sz="4" w:space="0" w:color="auto"/>
              <w:left w:val="single" w:sz="12" w:space="0" w:color="auto"/>
              <w:bottom w:val="double" w:sz="4" w:space="0" w:color="auto"/>
              <w:right w:val="single" w:sz="12" w:space="0" w:color="auto"/>
            </w:tcBorders>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1 659 061</w:t>
            </w:r>
          </w:p>
        </w:tc>
        <w:tc>
          <w:tcPr>
            <w:tcW w:w="1276" w:type="dxa"/>
            <w:tcBorders>
              <w:top w:val="double" w:sz="4" w:space="0" w:color="auto"/>
              <w:left w:val="single" w:sz="12" w:space="0" w:color="auto"/>
              <w:bottom w:val="double" w:sz="4" w:space="0" w:color="auto"/>
              <w:right w:val="single" w:sz="12" w:space="0" w:color="auto"/>
            </w:tcBorders>
            <w:vAlign w:val="center"/>
          </w:tcPr>
          <w:p w:rsidR="00F25110" w:rsidRPr="00BD7BB1" w:rsidRDefault="00F25110" w:rsidP="00F25110">
            <w:pPr>
              <w:tabs>
                <w:tab w:val="left" w:pos="132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1 908 766</w:t>
            </w:r>
          </w:p>
        </w:tc>
        <w:tc>
          <w:tcPr>
            <w:tcW w:w="1276" w:type="dxa"/>
            <w:tcBorders>
              <w:top w:val="double" w:sz="4" w:space="0" w:color="auto"/>
              <w:left w:val="single" w:sz="12" w:space="0" w:color="auto"/>
              <w:bottom w:val="double" w:sz="4" w:space="0" w:color="auto"/>
              <w:right w:val="single" w:sz="12" w:space="0" w:color="auto"/>
            </w:tcBorders>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2 033 179</w:t>
            </w:r>
          </w:p>
        </w:tc>
        <w:tc>
          <w:tcPr>
            <w:tcW w:w="1216" w:type="dxa"/>
            <w:tcBorders>
              <w:top w:val="double" w:sz="4" w:space="0" w:color="auto"/>
              <w:left w:val="single" w:sz="12" w:space="0" w:color="auto"/>
              <w:bottom w:val="double" w:sz="4" w:space="0" w:color="auto"/>
              <w:right w:val="thickThinSmallGap" w:sz="24" w:space="0" w:color="auto"/>
            </w:tcBorders>
            <w:shd w:val="clear" w:color="auto" w:fill="auto"/>
            <w:vAlign w:val="center"/>
          </w:tcPr>
          <w:p w:rsidR="00F25110" w:rsidRPr="00BD7BB1" w:rsidRDefault="00F25110" w:rsidP="00F25110">
            <w:pPr>
              <w:tabs>
                <w:tab w:val="left" w:pos="1320"/>
              </w:tabs>
              <w:spacing w:after="0" w:line="240" w:lineRule="auto"/>
              <w:rPr>
                <w:rFonts w:ascii="Times New Roman" w:eastAsia="Times New Roman" w:hAnsi="Times New Roman"/>
                <w:bCs/>
                <w:color w:val="auto"/>
                <w:sz w:val="20"/>
                <w:lan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2 372 34</w:t>
            </w:r>
            <w:r w:rsidRPr="00BD7BB1">
              <w:rPr>
                <w:rFonts w:ascii="Times New Roman" w:eastAsia="Times New Roman" w:hAnsi="Times New Roman"/>
                <w:bCs/>
                <w:color w:val="auto"/>
                <w:sz w:val="20"/>
                <w:lang w:eastAsia="bg-BG"/>
              </w:rPr>
              <w:t>5</w:t>
            </w:r>
          </w:p>
        </w:tc>
      </w:tr>
      <w:tr w:rsidR="00C41448" w:rsidRPr="00BD7BB1" w:rsidTr="00E16E13">
        <w:trPr>
          <w:trHeight w:val="328"/>
          <w:jc w:val="center"/>
        </w:trPr>
        <w:tc>
          <w:tcPr>
            <w:tcW w:w="1615" w:type="dxa"/>
            <w:tcBorders>
              <w:top w:val="double" w:sz="4" w:space="0" w:color="auto"/>
              <w:left w:val="thickThinSmallGap" w:sz="24" w:space="0" w:color="auto"/>
              <w:bottom w:val="double" w:sz="4" w:space="0" w:color="auto"/>
              <w:right w:val="single" w:sz="12" w:space="0" w:color="auto"/>
            </w:tcBorders>
            <w:shd w:val="clear" w:color="auto" w:fill="F4B29B" w:themeFill="accent1" w:themeFillTint="66"/>
            <w:vAlign w:val="center"/>
          </w:tcPr>
          <w:p w:rsidR="00F25110" w:rsidRPr="00C41448" w:rsidRDefault="00F25110" w:rsidP="00F25110">
            <w:pPr>
              <w:spacing w:after="0" w:line="240" w:lineRule="auto"/>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 xml:space="preserve">Югоизточен район </w:t>
            </w:r>
          </w:p>
        </w:tc>
        <w:tc>
          <w:tcPr>
            <w:tcW w:w="1148" w:type="dxa"/>
            <w:tcBorders>
              <w:top w:val="double" w:sz="4" w:space="0" w:color="auto"/>
              <w:left w:val="single" w:sz="12" w:space="0" w:color="auto"/>
              <w:bottom w:val="double" w:sz="4" w:space="0" w:color="auto"/>
              <w:right w:val="single" w:sz="12" w:space="0" w:color="auto"/>
            </w:tcBorders>
            <w:shd w:val="clear" w:color="auto" w:fill="F4B29B" w:themeFill="accent1" w:themeFillTint="66"/>
            <w:noWrap/>
            <w:vAlign w:val="center"/>
          </w:tcPr>
          <w:p w:rsidR="00F25110" w:rsidRPr="00C41448" w:rsidRDefault="00F25110" w:rsidP="00F25110">
            <w:pPr>
              <w:spacing w:after="0" w:line="240" w:lineRule="auto"/>
              <w:jc w:val="center"/>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1 472 216</w:t>
            </w:r>
          </w:p>
        </w:tc>
        <w:tc>
          <w:tcPr>
            <w:tcW w:w="1134" w:type="dxa"/>
            <w:tcBorders>
              <w:top w:val="double" w:sz="4" w:space="0" w:color="auto"/>
              <w:left w:val="single" w:sz="12" w:space="0" w:color="auto"/>
              <w:bottom w:val="double" w:sz="4" w:space="0" w:color="auto"/>
              <w:right w:val="single" w:sz="12" w:space="0" w:color="auto"/>
            </w:tcBorders>
            <w:shd w:val="clear" w:color="auto" w:fill="F4B29B" w:themeFill="accent1" w:themeFillTint="66"/>
            <w:noWrap/>
            <w:vAlign w:val="center"/>
          </w:tcPr>
          <w:p w:rsidR="00F25110" w:rsidRPr="00C41448" w:rsidRDefault="00F25110" w:rsidP="00F25110">
            <w:pPr>
              <w:spacing w:after="0" w:line="240" w:lineRule="auto"/>
              <w:jc w:val="center"/>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1 639 288</w:t>
            </w:r>
          </w:p>
        </w:tc>
        <w:tc>
          <w:tcPr>
            <w:tcW w:w="1275" w:type="dxa"/>
            <w:tcBorders>
              <w:top w:val="double" w:sz="4" w:space="0" w:color="auto"/>
              <w:left w:val="single" w:sz="12" w:space="0" w:color="auto"/>
              <w:bottom w:val="double" w:sz="4" w:space="0" w:color="auto"/>
              <w:right w:val="single" w:sz="12" w:space="0" w:color="auto"/>
            </w:tcBorders>
            <w:shd w:val="clear" w:color="auto" w:fill="F4B29B" w:themeFill="accent1" w:themeFillTint="66"/>
            <w:vAlign w:val="center"/>
          </w:tcPr>
          <w:p w:rsidR="00F25110" w:rsidRPr="00C41448" w:rsidRDefault="00F25110" w:rsidP="00F25110">
            <w:pPr>
              <w:spacing w:after="0" w:line="240" w:lineRule="auto"/>
              <w:jc w:val="center"/>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1 857 192</w:t>
            </w:r>
          </w:p>
        </w:tc>
        <w:tc>
          <w:tcPr>
            <w:tcW w:w="1276" w:type="dxa"/>
            <w:tcBorders>
              <w:top w:val="double" w:sz="4" w:space="0" w:color="auto"/>
              <w:left w:val="single" w:sz="12" w:space="0" w:color="auto"/>
              <w:bottom w:val="double" w:sz="4" w:space="0" w:color="auto"/>
              <w:right w:val="single" w:sz="12" w:space="0" w:color="auto"/>
            </w:tcBorders>
            <w:shd w:val="clear" w:color="auto" w:fill="F4B29B" w:themeFill="accent1" w:themeFillTint="66"/>
            <w:vAlign w:val="center"/>
          </w:tcPr>
          <w:p w:rsidR="00F25110" w:rsidRPr="00C41448" w:rsidRDefault="00F25110" w:rsidP="00F25110">
            <w:pPr>
              <w:spacing w:after="0" w:line="240" w:lineRule="auto"/>
              <w:jc w:val="center"/>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2 728 916</w:t>
            </w:r>
          </w:p>
        </w:tc>
        <w:tc>
          <w:tcPr>
            <w:tcW w:w="1276" w:type="dxa"/>
            <w:tcBorders>
              <w:top w:val="double" w:sz="4" w:space="0" w:color="auto"/>
              <w:left w:val="single" w:sz="12" w:space="0" w:color="auto"/>
              <w:bottom w:val="double" w:sz="4" w:space="0" w:color="auto"/>
              <w:right w:val="single" w:sz="12" w:space="0" w:color="auto"/>
            </w:tcBorders>
            <w:shd w:val="clear" w:color="auto" w:fill="F4B29B" w:themeFill="accent1" w:themeFillTint="66"/>
            <w:vAlign w:val="center"/>
          </w:tcPr>
          <w:p w:rsidR="00F25110" w:rsidRPr="00C41448" w:rsidRDefault="00F25110" w:rsidP="00F25110">
            <w:pPr>
              <w:spacing w:after="0" w:line="240" w:lineRule="auto"/>
              <w:jc w:val="center"/>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2 947 249</w:t>
            </w:r>
          </w:p>
        </w:tc>
        <w:tc>
          <w:tcPr>
            <w:tcW w:w="1276" w:type="dxa"/>
            <w:tcBorders>
              <w:top w:val="double" w:sz="4" w:space="0" w:color="auto"/>
              <w:left w:val="single" w:sz="12" w:space="0" w:color="auto"/>
              <w:bottom w:val="double" w:sz="4" w:space="0" w:color="auto"/>
              <w:right w:val="single" w:sz="12" w:space="0" w:color="auto"/>
            </w:tcBorders>
            <w:shd w:val="clear" w:color="auto" w:fill="F4B29B" w:themeFill="accent1" w:themeFillTint="66"/>
            <w:vAlign w:val="center"/>
          </w:tcPr>
          <w:p w:rsidR="00F25110" w:rsidRPr="00C41448" w:rsidRDefault="00F25110" w:rsidP="00F25110">
            <w:pPr>
              <w:spacing w:after="0" w:line="240" w:lineRule="auto"/>
              <w:rPr>
                <w:rFonts w:ascii="Times New Roman" w:eastAsia="Times New Roman" w:hAnsi="Times New Roman"/>
                <w:b/>
                <w:color w:val="9B2D1F" w:themeColor="accent2"/>
                <w:sz w:val="20"/>
                <w:lang w:val="bg-BG" w:eastAsia="bg-BG"/>
              </w:rPr>
            </w:pPr>
            <w:r w:rsidRPr="00C41448">
              <w:rPr>
                <w:rFonts w:ascii="Times New Roman" w:eastAsia="Times New Roman" w:hAnsi="Times New Roman"/>
                <w:b/>
                <w:color w:val="9B2D1F" w:themeColor="accent2"/>
                <w:sz w:val="20"/>
                <w:lang w:eastAsia="bg-BG"/>
              </w:rPr>
              <w:t xml:space="preserve">   </w:t>
            </w:r>
            <w:r w:rsidRPr="00C41448">
              <w:rPr>
                <w:rFonts w:ascii="Times New Roman" w:eastAsia="Times New Roman" w:hAnsi="Times New Roman"/>
                <w:b/>
                <w:color w:val="9B2D1F" w:themeColor="accent2"/>
                <w:sz w:val="20"/>
                <w:lang w:val="bg-BG" w:eastAsia="bg-BG"/>
              </w:rPr>
              <w:t>2 866 240</w:t>
            </w:r>
          </w:p>
        </w:tc>
        <w:tc>
          <w:tcPr>
            <w:tcW w:w="1216" w:type="dxa"/>
            <w:tcBorders>
              <w:top w:val="double" w:sz="4" w:space="0" w:color="auto"/>
              <w:left w:val="single" w:sz="12" w:space="0" w:color="auto"/>
              <w:bottom w:val="double" w:sz="4" w:space="0" w:color="auto"/>
              <w:right w:val="thickThinSmallGap" w:sz="24" w:space="0" w:color="auto"/>
            </w:tcBorders>
            <w:shd w:val="clear" w:color="auto" w:fill="F4B29B" w:themeFill="accent1" w:themeFillTint="66"/>
            <w:vAlign w:val="center"/>
          </w:tcPr>
          <w:p w:rsidR="00F25110" w:rsidRPr="00C41448" w:rsidRDefault="00F25110" w:rsidP="00F25110">
            <w:pPr>
              <w:spacing w:after="0" w:line="240" w:lineRule="auto"/>
              <w:jc w:val="center"/>
              <w:rPr>
                <w:rFonts w:ascii="Times New Roman" w:eastAsia="Times New Roman" w:hAnsi="Times New Roman"/>
                <w:b/>
                <w:bCs/>
                <w:color w:val="9B2D1F" w:themeColor="accent2"/>
                <w:sz w:val="20"/>
                <w:lang w:eastAsia="bg-BG"/>
              </w:rPr>
            </w:pPr>
            <w:r w:rsidRPr="00C41448">
              <w:rPr>
                <w:rFonts w:ascii="Times New Roman" w:eastAsia="Times New Roman" w:hAnsi="Times New Roman"/>
                <w:b/>
                <w:bCs/>
                <w:color w:val="9B2D1F" w:themeColor="accent2"/>
                <w:sz w:val="20"/>
                <w:lang w:val="bg-BG" w:eastAsia="bg-BG"/>
              </w:rPr>
              <w:t>3 385 94</w:t>
            </w:r>
            <w:r w:rsidRPr="00C41448">
              <w:rPr>
                <w:rFonts w:ascii="Times New Roman" w:eastAsia="Times New Roman" w:hAnsi="Times New Roman"/>
                <w:b/>
                <w:bCs/>
                <w:color w:val="9B2D1F" w:themeColor="accent2"/>
                <w:sz w:val="20"/>
                <w:lang w:eastAsia="bg-BG"/>
              </w:rPr>
              <w:t>9</w:t>
            </w:r>
          </w:p>
        </w:tc>
      </w:tr>
      <w:tr w:rsidR="00A3402E" w:rsidRPr="00BD7BB1" w:rsidTr="00E16E13">
        <w:trPr>
          <w:trHeight w:val="296"/>
          <w:jc w:val="center"/>
        </w:trPr>
        <w:tc>
          <w:tcPr>
            <w:tcW w:w="1615"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Бургас</w:t>
            </w:r>
          </w:p>
        </w:tc>
        <w:tc>
          <w:tcPr>
            <w:tcW w:w="1148"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772 097</w:t>
            </w:r>
          </w:p>
        </w:tc>
        <w:tc>
          <w:tcPr>
            <w:tcW w:w="1134"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F25110" w:rsidRPr="00BD7BB1" w:rsidRDefault="00F25110" w:rsidP="00F25110">
            <w:pPr>
              <w:tabs>
                <w:tab w:val="left" w:pos="300"/>
              </w:tabs>
              <w:spacing w:after="0" w:line="240" w:lineRule="auto"/>
              <w:jc w:val="center"/>
              <w:rPr>
                <w:rFonts w:ascii="Times New Roman" w:eastAsia="Times New Roman" w:hAnsi="Times New Roman"/>
                <w:bCs/>
                <w:color w:val="auto"/>
                <w:sz w:val="20"/>
                <w:lan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666 902</w:t>
            </w:r>
          </w:p>
        </w:tc>
        <w:tc>
          <w:tcPr>
            <w:tcW w:w="1275" w:type="dxa"/>
            <w:tcBorders>
              <w:top w:val="double" w:sz="4" w:space="0" w:color="auto"/>
              <w:left w:val="single" w:sz="12" w:space="0" w:color="auto"/>
              <w:bottom w:val="double" w:sz="4" w:space="0" w:color="auto"/>
              <w:right w:val="single" w:sz="12" w:space="0" w:color="auto"/>
            </w:tcBorders>
            <w:shd w:val="clear" w:color="auto" w:fill="FFFFFF"/>
            <w:vAlign w:val="center"/>
          </w:tcPr>
          <w:p w:rsidR="00F25110" w:rsidRPr="00BD7BB1" w:rsidRDefault="00F25110" w:rsidP="00F25110">
            <w:pPr>
              <w:tabs>
                <w:tab w:val="left" w:pos="30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 xml:space="preserve">  </w:t>
            </w:r>
            <w:r w:rsidRPr="00BD7BB1">
              <w:rPr>
                <w:rFonts w:ascii="Times New Roman" w:eastAsia="Times New Roman" w:hAnsi="Times New Roman"/>
                <w:bCs/>
                <w:color w:val="auto"/>
                <w:sz w:val="20"/>
                <w:lang w:val="bg-BG" w:eastAsia="bg-BG"/>
              </w:rPr>
              <w:t>836 738</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F25110" w:rsidRPr="00BD7BB1" w:rsidRDefault="00F25110" w:rsidP="00F25110">
            <w:pPr>
              <w:tabs>
                <w:tab w:val="left" w:pos="30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1 622 749</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F25110" w:rsidRPr="00BD7BB1" w:rsidRDefault="00F25110" w:rsidP="00F25110">
            <w:pPr>
              <w:tabs>
                <w:tab w:val="left" w:pos="300"/>
              </w:tabs>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1 811 907</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2 023 506</w:t>
            </w:r>
          </w:p>
        </w:tc>
        <w:tc>
          <w:tcPr>
            <w:tcW w:w="1216" w:type="dxa"/>
            <w:tcBorders>
              <w:top w:val="double" w:sz="4" w:space="0" w:color="auto"/>
              <w:left w:val="single" w:sz="12" w:space="0" w:color="auto"/>
              <w:bottom w:val="double" w:sz="4" w:space="0" w:color="auto"/>
              <w:right w:val="thickThinSmallGap" w:sz="24" w:space="0" w:color="auto"/>
            </w:tcBorders>
            <w:shd w:val="clear" w:color="auto" w:fill="FFFFFF"/>
            <w:vAlign w:val="center"/>
          </w:tcPr>
          <w:p w:rsidR="00F25110" w:rsidRPr="00BD7BB1" w:rsidRDefault="00F25110" w:rsidP="00F25110">
            <w:pPr>
              <w:tabs>
                <w:tab w:val="left" w:pos="300"/>
              </w:tabs>
              <w:spacing w:after="0" w:line="240" w:lineRule="auto"/>
              <w:jc w:val="center"/>
              <w:rPr>
                <w:rFonts w:ascii="Times New Roman" w:eastAsia="Times New Roman" w:hAnsi="Times New Roman"/>
                <w:bCs/>
                <w:color w:val="auto"/>
                <w:sz w:val="20"/>
                <w:lang w:eastAsia="bg-BG"/>
              </w:rPr>
            </w:pPr>
            <w:r w:rsidRPr="00BD7BB1">
              <w:rPr>
                <w:rFonts w:ascii="Times New Roman" w:eastAsia="Times New Roman" w:hAnsi="Times New Roman"/>
                <w:bCs/>
                <w:color w:val="auto"/>
                <w:sz w:val="20"/>
                <w:lang w:val="bg-BG" w:eastAsia="bg-BG"/>
              </w:rPr>
              <w:t>2 438 309</w:t>
            </w:r>
          </w:p>
        </w:tc>
      </w:tr>
      <w:tr w:rsidR="00A3402E" w:rsidRPr="00BD7BB1" w:rsidTr="00E16E13">
        <w:trPr>
          <w:trHeight w:val="344"/>
          <w:jc w:val="center"/>
        </w:trPr>
        <w:tc>
          <w:tcPr>
            <w:tcW w:w="1615" w:type="dxa"/>
            <w:tcBorders>
              <w:top w:val="double" w:sz="4" w:space="0" w:color="auto"/>
              <w:left w:val="thickThinSmallGap" w:sz="24" w:space="0" w:color="auto"/>
              <w:bottom w:val="double" w:sz="4" w:space="0" w:color="auto"/>
              <w:right w:val="single" w:sz="12" w:space="0" w:color="auto"/>
            </w:tcBorders>
            <w:shd w:val="clear" w:color="auto" w:fill="FFFFFF"/>
            <w:noWrap/>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Ямбол</w:t>
            </w:r>
          </w:p>
        </w:tc>
        <w:tc>
          <w:tcPr>
            <w:tcW w:w="1148"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11 813</w:t>
            </w:r>
          </w:p>
        </w:tc>
        <w:tc>
          <w:tcPr>
            <w:tcW w:w="1134"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F25110" w:rsidRPr="00BD7BB1" w:rsidRDefault="00F25110" w:rsidP="00F25110">
            <w:pPr>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w:t>
            </w:r>
          </w:p>
        </w:tc>
        <w:tc>
          <w:tcPr>
            <w:tcW w:w="1275" w:type="dxa"/>
            <w:tcBorders>
              <w:top w:val="double" w:sz="4" w:space="0" w:color="auto"/>
              <w:left w:val="single" w:sz="12" w:space="0" w:color="auto"/>
              <w:bottom w:val="doub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36 099</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64 191</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68 228</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66 344</w:t>
            </w:r>
          </w:p>
        </w:tc>
        <w:tc>
          <w:tcPr>
            <w:tcW w:w="1216" w:type="dxa"/>
            <w:tcBorders>
              <w:top w:val="double" w:sz="4" w:space="0" w:color="auto"/>
              <w:left w:val="single" w:sz="12" w:space="0" w:color="auto"/>
              <w:bottom w:val="double" w:sz="4" w:space="0" w:color="auto"/>
              <w:right w:val="thickThinSmallGap" w:sz="24"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53 258</w:t>
            </w:r>
          </w:p>
        </w:tc>
      </w:tr>
      <w:tr w:rsidR="00A3402E" w:rsidRPr="00BD7BB1" w:rsidTr="00E16E13">
        <w:trPr>
          <w:trHeight w:val="354"/>
          <w:jc w:val="center"/>
        </w:trPr>
        <w:tc>
          <w:tcPr>
            <w:tcW w:w="1615" w:type="dxa"/>
            <w:tcBorders>
              <w:top w:val="double" w:sz="4" w:space="0" w:color="auto"/>
              <w:left w:val="thickThinSmallGap" w:sz="24" w:space="0" w:color="auto"/>
              <w:bottom w:val="double" w:sz="4" w:space="0" w:color="auto"/>
              <w:right w:val="single" w:sz="12" w:space="0" w:color="auto"/>
            </w:tcBorders>
            <w:shd w:val="clear" w:color="auto" w:fill="FFFFFF"/>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Стара Загора</w:t>
            </w:r>
          </w:p>
        </w:tc>
        <w:tc>
          <w:tcPr>
            <w:tcW w:w="1148"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580 459</w:t>
            </w:r>
          </w:p>
        </w:tc>
        <w:tc>
          <w:tcPr>
            <w:tcW w:w="1134" w:type="dxa"/>
            <w:tcBorders>
              <w:top w:val="double" w:sz="4" w:space="0" w:color="auto"/>
              <w:left w:val="single" w:sz="12" w:space="0" w:color="auto"/>
              <w:bottom w:val="double" w:sz="4" w:space="0" w:color="auto"/>
              <w:right w:val="single" w:sz="12" w:space="0" w:color="auto"/>
            </w:tcBorders>
            <w:shd w:val="clear" w:color="auto" w:fill="FFFFFF"/>
            <w:noWrap/>
            <w:vAlign w:val="center"/>
          </w:tcPr>
          <w:p w:rsidR="00F25110" w:rsidRPr="00BD7BB1" w:rsidRDefault="00F25110" w:rsidP="00F25110">
            <w:pPr>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419 202</w:t>
            </w:r>
          </w:p>
        </w:tc>
        <w:tc>
          <w:tcPr>
            <w:tcW w:w="1275" w:type="dxa"/>
            <w:tcBorders>
              <w:top w:val="double" w:sz="4" w:space="0" w:color="auto"/>
              <w:left w:val="single" w:sz="12" w:space="0" w:color="auto"/>
              <w:bottom w:val="doub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425 852</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573 533</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562 143</w:t>
            </w:r>
          </w:p>
        </w:tc>
        <w:tc>
          <w:tcPr>
            <w:tcW w:w="1276" w:type="dxa"/>
            <w:tcBorders>
              <w:top w:val="double" w:sz="4" w:space="0" w:color="auto"/>
              <w:left w:val="single" w:sz="12" w:space="0" w:color="auto"/>
              <w:bottom w:val="double" w:sz="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668 907</w:t>
            </w:r>
          </w:p>
        </w:tc>
        <w:tc>
          <w:tcPr>
            <w:tcW w:w="1216" w:type="dxa"/>
            <w:tcBorders>
              <w:top w:val="double" w:sz="4" w:space="0" w:color="auto"/>
              <w:left w:val="single" w:sz="12" w:space="0" w:color="auto"/>
              <w:bottom w:val="double" w:sz="4" w:space="0" w:color="auto"/>
              <w:right w:val="thickThinSmallGap" w:sz="24"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796 9</w:t>
            </w:r>
            <w:r w:rsidRPr="00BD7BB1">
              <w:rPr>
                <w:rFonts w:ascii="Times New Roman" w:eastAsia="Times New Roman" w:hAnsi="Times New Roman"/>
                <w:color w:val="auto"/>
                <w:sz w:val="20"/>
                <w:lang w:eastAsia="bg-BG"/>
              </w:rPr>
              <w:t>80</w:t>
            </w:r>
          </w:p>
        </w:tc>
      </w:tr>
      <w:tr w:rsidR="00A3402E" w:rsidRPr="00BD7BB1" w:rsidTr="00E16E13">
        <w:trPr>
          <w:trHeight w:val="270"/>
          <w:jc w:val="center"/>
        </w:trPr>
        <w:tc>
          <w:tcPr>
            <w:tcW w:w="1615" w:type="dxa"/>
            <w:tcBorders>
              <w:top w:val="double" w:sz="4" w:space="0" w:color="auto"/>
              <w:left w:val="thickThinSmallGap" w:sz="24" w:space="0" w:color="auto"/>
              <w:bottom w:val="thickThinSmallGap" w:sz="24" w:space="0" w:color="auto"/>
              <w:right w:val="single" w:sz="12" w:space="0" w:color="auto"/>
            </w:tcBorders>
            <w:shd w:val="clear" w:color="auto" w:fill="FFFFFF"/>
            <w:noWrap/>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Сливен</w:t>
            </w:r>
          </w:p>
        </w:tc>
        <w:tc>
          <w:tcPr>
            <w:tcW w:w="1148" w:type="dxa"/>
            <w:tcBorders>
              <w:top w:val="double" w:sz="4" w:space="0" w:color="auto"/>
              <w:left w:val="single" w:sz="12" w:space="0" w:color="auto"/>
              <w:bottom w:val="thickThinSmallGap" w:sz="24" w:space="0" w:color="auto"/>
              <w:right w:val="single" w:sz="12" w:space="0" w:color="auto"/>
            </w:tcBorders>
            <w:shd w:val="clear" w:color="auto" w:fill="FFFFFF"/>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107 847</w:t>
            </w:r>
          </w:p>
        </w:tc>
        <w:tc>
          <w:tcPr>
            <w:tcW w:w="1134" w:type="dxa"/>
            <w:tcBorders>
              <w:top w:val="double" w:sz="4" w:space="0" w:color="auto"/>
              <w:left w:val="single" w:sz="12" w:space="0" w:color="auto"/>
              <w:bottom w:val="thickThinSmallGap" w:sz="24" w:space="0" w:color="auto"/>
              <w:right w:val="single" w:sz="12" w:space="0" w:color="auto"/>
            </w:tcBorders>
            <w:shd w:val="clear" w:color="auto" w:fill="FFFFFF"/>
            <w:noWrap/>
            <w:vAlign w:val="center"/>
          </w:tcPr>
          <w:p w:rsidR="00F25110" w:rsidRPr="00BD7BB1" w:rsidRDefault="00F25110" w:rsidP="00F25110">
            <w:pPr>
              <w:spacing w:after="0" w:line="240" w:lineRule="auto"/>
              <w:jc w:val="center"/>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w:t>
            </w:r>
          </w:p>
        </w:tc>
        <w:tc>
          <w:tcPr>
            <w:tcW w:w="1275" w:type="dxa"/>
            <w:tcBorders>
              <w:top w:val="double" w:sz="4" w:space="0" w:color="auto"/>
              <w:left w:val="single" w:sz="12" w:space="0" w:color="auto"/>
              <w:bottom w:val="thickThinSmallGap" w:sz="2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558 503</w:t>
            </w:r>
          </w:p>
        </w:tc>
        <w:tc>
          <w:tcPr>
            <w:tcW w:w="1276" w:type="dxa"/>
            <w:tcBorders>
              <w:top w:val="double" w:sz="4" w:space="0" w:color="auto"/>
              <w:left w:val="single" w:sz="12" w:space="0" w:color="auto"/>
              <w:bottom w:val="thickThinSmallGap" w:sz="2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468 444</w:t>
            </w:r>
          </w:p>
        </w:tc>
        <w:tc>
          <w:tcPr>
            <w:tcW w:w="1276" w:type="dxa"/>
            <w:tcBorders>
              <w:top w:val="double" w:sz="4" w:space="0" w:color="auto"/>
              <w:left w:val="single" w:sz="12" w:space="0" w:color="auto"/>
              <w:bottom w:val="thickThinSmallGap" w:sz="2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504 971</w:t>
            </w:r>
          </w:p>
        </w:tc>
        <w:tc>
          <w:tcPr>
            <w:tcW w:w="1276" w:type="dxa"/>
            <w:tcBorders>
              <w:top w:val="double" w:sz="4" w:space="0" w:color="auto"/>
              <w:left w:val="single" w:sz="12" w:space="0" w:color="auto"/>
              <w:bottom w:val="thickThinSmallGap" w:sz="24" w:space="0" w:color="auto"/>
              <w:right w:val="single" w:sz="12"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107 483</w:t>
            </w:r>
          </w:p>
        </w:tc>
        <w:tc>
          <w:tcPr>
            <w:tcW w:w="1216" w:type="dxa"/>
            <w:tcBorders>
              <w:top w:val="double" w:sz="4" w:space="0" w:color="auto"/>
              <w:left w:val="single" w:sz="12" w:space="0" w:color="auto"/>
              <w:bottom w:val="thickThinSmallGap" w:sz="24" w:space="0" w:color="auto"/>
              <w:right w:val="thickThinSmallGap" w:sz="24" w:space="0" w:color="auto"/>
            </w:tcBorders>
            <w:shd w:val="clear" w:color="auto" w:fill="FFFFFF"/>
            <w:vAlign w:val="center"/>
          </w:tcPr>
          <w:p w:rsidR="00F25110" w:rsidRPr="00BD7BB1" w:rsidRDefault="00F25110" w:rsidP="00F25110">
            <w:pPr>
              <w:spacing w:after="0" w:line="240" w:lineRule="auto"/>
              <w:jc w:val="center"/>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97 402</w:t>
            </w:r>
          </w:p>
        </w:tc>
      </w:tr>
    </w:tbl>
    <w:p w:rsidR="00F25110" w:rsidRPr="00C41448" w:rsidRDefault="00F25110" w:rsidP="00F25110">
      <w:pPr>
        <w:spacing w:after="0" w:line="360" w:lineRule="auto"/>
        <w:jc w:val="both"/>
        <w:rPr>
          <w:rFonts w:ascii="Times New Roman" w:eastAsia="Times New Roman" w:hAnsi="Times New Roman"/>
          <w:b/>
          <w:i/>
          <w:color w:val="9B2D1F" w:themeColor="accent2"/>
          <w:szCs w:val="22"/>
          <w:lang w:val="bg-BG" w:eastAsia="bg-BG"/>
        </w:rPr>
      </w:pPr>
      <w:r w:rsidRPr="00C41448">
        <w:rPr>
          <w:rFonts w:ascii="Times New Roman" w:eastAsia="Times New Roman" w:hAnsi="Times New Roman"/>
          <w:b/>
          <w:i/>
          <w:color w:val="9B2D1F" w:themeColor="accent2"/>
          <w:szCs w:val="22"/>
          <w:lang w:val="bg-BG" w:eastAsia="bg-BG"/>
        </w:rPr>
        <w:t>Източник:  Национален статистически институт</w:t>
      </w:r>
    </w:p>
    <w:p w:rsidR="00F25110" w:rsidRPr="00BD7BB1" w:rsidRDefault="00F25110" w:rsidP="00F25110">
      <w:pPr>
        <w:spacing w:after="0" w:line="360" w:lineRule="auto"/>
        <w:jc w:val="both"/>
        <w:rPr>
          <w:rFonts w:ascii="Times New Roman" w:eastAsia="Times New Roman" w:hAnsi="Times New Roman"/>
          <w:i/>
          <w:color w:val="auto"/>
          <w:szCs w:val="22"/>
          <w:lang w:eastAsia="bg-BG"/>
        </w:rPr>
      </w:pPr>
    </w:p>
    <w:p w:rsidR="00F25110" w:rsidRPr="00BD7BB1" w:rsidRDefault="00F25110" w:rsidP="00F25110">
      <w:pPr>
        <w:spacing w:after="0" w:line="360" w:lineRule="auto"/>
        <w:ind w:firstLine="708"/>
        <w:jc w:val="both"/>
        <w:rPr>
          <w:rFonts w:ascii="Times New Roman" w:eastAsia="Times New Roman" w:hAnsi="Times New Roman"/>
          <w:iCs/>
          <w:color w:val="auto"/>
          <w:sz w:val="24"/>
          <w:szCs w:val="24"/>
          <w:lang w:val="bg-BG" w:eastAsia="bg-BG"/>
        </w:rPr>
      </w:pPr>
      <w:r w:rsidRPr="00BD7BB1">
        <w:rPr>
          <w:rFonts w:ascii="Times New Roman" w:eastAsia="Times New Roman" w:hAnsi="Times New Roman"/>
          <w:color w:val="auto"/>
          <w:sz w:val="24"/>
          <w:szCs w:val="24"/>
          <w:lang w:val="bg-BG" w:eastAsia="bg-BG"/>
        </w:rPr>
        <w:t xml:space="preserve">Състоянието на </w:t>
      </w:r>
      <w:r w:rsidRPr="00BD7BB1">
        <w:rPr>
          <w:rFonts w:ascii="Times New Roman" w:eastAsia="Times New Roman" w:hAnsi="Times New Roman"/>
          <w:b/>
          <w:i/>
          <w:color w:val="auto"/>
          <w:sz w:val="24"/>
          <w:szCs w:val="24"/>
          <w:lang w:val="bg-BG" w:eastAsia="bg-BG"/>
        </w:rPr>
        <w:t>нефинансовия сектор на икономиката</w:t>
      </w:r>
      <w:r w:rsidRPr="00BD7BB1">
        <w:rPr>
          <w:rFonts w:ascii="Times New Roman" w:eastAsia="Times New Roman" w:hAnsi="Times New Roman"/>
          <w:color w:val="auto"/>
          <w:sz w:val="24"/>
          <w:szCs w:val="24"/>
          <w:lang w:val="bg-BG" w:eastAsia="bg-BG"/>
        </w:rPr>
        <w:t xml:space="preserve"> в Югоизточен район се характеризира с превес на микро</w:t>
      </w:r>
      <w:r w:rsidRPr="00BD7BB1">
        <w:rPr>
          <w:rFonts w:ascii="Times New Roman" w:eastAsia="Times New Roman" w:hAnsi="Times New Roman"/>
          <w:color w:val="auto"/>
          <w:sz w:val="24"/>
          <w:szCs w:val="24"/>
          <w:lang w:val="ru-RU" w:eastAsia="bg-BG"/>
        </w:rPr>
        <w:t xml:space="preserve"> </w:t>
      </w:r>
      <w:r w:rsidRPr="00BD7BB1">
        <w:rPr>
          <w:rFonts w:ascii="Times New Roman" w:eastAsia="Times New Roman" w:hAnsi="Times New Roman"/>
          <w:color w:val="auto"/>
          <w:sz w:val="24"/>
          <w:szCs w:val="24"/>
          <w:lang w:val="bg-BG" w:eastAsia="bg-BG"/>
        </w:rPr>
        <w:t>фирмите и малките предприятия над средните и големите предприятия. Съотношението на МСП спрямо големите предприятия и микро</w:t>
      </w:r>
      <w:r w:rsidRPr="00BD7BB1">
        <w:rPr>
          <w:rFonts w:ascii="Times New Roman" w:eastAsia="Times New Roman" w:hAnsi="Times New Roman"/>
          <w:color w:val="auto"/>
          <w:sz w:val="24"/>
          <w:szCs w:val="24"/>
          <w:lang w:val="ru-RU" w:eastAsia="bg-BG"/>
        </w:rPr>
        <w:t xml:space="preserve"> </w:t>
      </w:r>
      <w:r w:rsidRPr="00BD7BB1">
        <w:rPr>
          <w:rFonts w:ascii="Times New Roman" w:eastAsia="Times New Roman" w:hAnsi="Times New Roman"/>
          <w:color w:val="auto"/>
          <w:sz w:val="24"/>
          <w:szCs w:val="24"/>
          <w:lang w:val="bg-BG" w:eastAsia="bg-BG"/>
        </w:rPr>
        <w:t xml:space="preserve">фирмите показва нарастващ потенциал за постигане на ускорен икономически ръст и нарастване на заетостта през последните години. </w:t>
      </w:r>
      <w:r w:rsidRPr="00BD7BB1">
        <w:rPr>
          <w:rFonts w:ascii="Times New Roman" w:eastAsia="Times New Roman" w:hAnsi="Times New Roman"/>
          <w:iCs/>
          <w:color w:val="auto"/>
          <w:sz w:val="24"/>
          <w:szCs w:val="24"/>
          <w:lang w:val="bg-BG" w:eastAsia="bg-BG"/>
        </w:rPr>
        <w:t>Делът на микропредприятията в общия брой на предприятията в ЮИР през 2013 г. възлиза на 92,9%, на малките и средни предприятия – 7%  и на големите предприятия - 0,2 % .</w:t>
      </w:r>
    </w:p>
    <w:p w:rsidR="00F25110" w:rsidRPr="00BD7BB1" w:rsidRDefault="00F25110" w:rsidP="00F25110">
      <w:pPr>
        <w:spacing w:after="0" w:line="360" w:lineRule="auto"/>
        <w:ind w:firstLine="708"/>
        <w:jc w:val="both"/>
        <w:rPr>
          <w:rFonts w:ascii="Times New Roman" w:eastAsia="Calibri" w:hAnsi="Times New Roman"/>
          <w:iCs/>
          <w:color w:val="auto"/>
          <w:sz w:val="24"/>
          <w:szCs w:val="24"/>
          <w:lang w:val="bg-BG" w:eastAsia="bg-BG"/>
        </w:rPr>
      </w:pPr>
      <w:r w:rsidRPr="00BD7BB1">
        <w:rPr>
          <w:rFonts w:ascii="Times New Roman" w:eastAsia="Calibri" w:hAnsi="Times New Roman"/>
          <w:b/>
          <w:i/>
          <w:color w:val="auto"/>
          <w:sz w:val="24"/>
          <w:szCs w:val="24"/>
          <w:lang w:val="bg-BG" w:eastAsia="bg-BG"/>
        </w:rPr>
        <w:t xml:space="preserve">Броят на нефинансовите  предприятия </w:t>
      </w:r>
      <w:r w:rsidRPr="00BD7BB1">
        <w:rPr>
          <w:rFonts w:ascii="Times New Roman" w:eastAsia="Calibri" w:hAnsi="Times New Roman"/>
          <w:color w:val="auto"/>
          <w:sz w:val="24"/>
          <w:szCs w:val="24"/>
          <w:lang w:val="bg-BG" w:eastAsia="bg-BG"/>
        </w:rPr>
        <w:t xml:space="preserve">за 2013 год. в ЮИР е </w:t>
      </w:r>
      <w:r w:rsidRPr="00BD7BB1">
        <w:rPr>
          <w:rFonts w:ascii="Times New Roman" w:eastAsia="Times New Roman" w:hAnsi="Times New Roman"/>
          <w:bCs/>
          <w:color w:val="auto"/>
          <w:sz w:val="24"/>
          <w:szCs w:val="24"/>
          <w:lang w:val="bg-BG" w:eastAsia="bg-BG"/>
        </w:rPr>
        <w:t xml:space="preserve">54 472 </w:t>
      </w:r>
      <w:r w:rsidRPr="00BD7BB1">
        <w:rPr>
          <w:rFonts w:ascii="Times New Roman" w:eastAsia="Calibri" w:hAnsi="Times New Roman"/>
          <w:color w:val="auto"/>
          <w:sz w:val="24"/>
          <w:szCs w:val="24"/>
          <w:lang w:val="bg-BG" w:eastAsia="bg-BG"/>
        </w:rPr>
        <w:t xml:space="preserve">бр.,   от   </w:t>
      </w:r>
      <w:r w:rsidRPr="00BD7BB1">
        <w:rPr>
          <w:rFonts w:ascii="Times New Roman" w:eastAsia="Times New Roman" w:hAnsi="Times New Roman"/>
          <w:bCs/>
          <w:color w:val="auto"/>
          <w:sz w:val="24"/>
          <w:szCs w:val="24"/>
          <w:lang w:val="bg-BG" w:eastAsia="bg-BG"/>
        </w:rPr>
        <w:t xml:space="preserve">                  377 383</w:t>
      </w:r>
      <w:r w:rsidRPr="00BD7BB1">
        <w:rPr>
          <w:rFonts w:ascii="Times New Roman" w:eastAsia="Calibri" w:hAnsi="Times New Roman"/>
          <w:color w:val="auto"/>
          <w:sz w:val="24"/>
          <w:szCs w:val="24"/>
          <w:lang w:val="bg-BG" w:eastAsia="bg-BG"/>
        </w:rPr>
        <w:t>бр. за страната.</w:t>
      </w:r>
      <w:r w:rsidRPr="00BD7BB1">
        <w:rPr>
          <w:rFonts w:ascii="Times New Roman" w:eastAsia="Calibri" w:hAnsi="Times New Roman"/>
          <w:iCs/>
          <w:color w:val="auto"/>
          <w:sz w:val="24"/>
          <w:szCs w:val="24"/>
          <w:lang w:val="bg-BG" w:eastAsia="bg-BG"/>
        </w:rPr>
        <w:t xml:space="preserve"> През 2013 г.</w:t>
      </w:r>
      <w:r w:rsidRPr="00BD7BB1">
        <w:rPr>
          <w:rFonts w:ascii="Times New Roman" w:eastAsia="Times New Roman" w:hAnsi="Times New Roman"/>
          <w:color w:val="auto"/>
          <w:sz w:val="24"/>
          <w:szCs w:val="24"/>
          <w:lang w:val="bg-BG" w:eastAsia="bg-BG"/>
        </w:rPr>
        <w:t xml:space="preserve"> </w:t>
      </w:r>
      <w:r w:rsidRPr="00BD7BB1">
        <w:rPr>
          <w:rFonts w:ascii="Times New Roman" w:eastAsia="Calibri" w:hAnsi="Times New Roman"/>
          <w:iCs/>
          <w:color w:val="auto"/>
          <w:sz w:val="24"/>
          <w:szCs w:val="24"/>
          <w:lang w:val="bg-BG" w:eastAsia="bg-BG"/>
        </w:rPr>
        <w:t>спрямо 2012 г. се наблюдава, макар и малко увеличение на броя на предприятията от нефинансовия сектор на икономиката - с 1,5%  (53 689 бр. за 2012г.)</w:t>
      </w:r>
      <w:r w:rsidR="00A47E25">
        <w:rPr>
          <w:rFonts w:ascii="Times New Roman" w:eastAsia="Calibri" w:hAnsi="Times New Roman"/>
          <w:iCs/>
          <w:color w:val="auto"/>
          <w:sz w:val="24"/>
          <w:szCs w:val="24"/>
          <w:lang w:val="bg-BG" w:eastAsia="bg-BG"/>
        </w:rPr>
        <w:t>.</w:t>
      </w:r>
      <w:r w:rsidRPr="00BD7BB1">
        <w:rPr>
          <w:rFonts w:ascii="Times New Roman" w:eastAsia="Calibri" w:hAnsi="Times New Roman"/>
          <w:iCs/>
          <w:color w:val="auto"/>
          <w:sz w:val="24"/>
          <w:szCs w:val="24"/>
          <w:lang w:val="bg-BG" w:eastAsia="bg-BG"/>
        </w:rPr>
        <w:t xml:space="preserve"> За страната се наблюдава същата тенденция на увеличение на показателя   през 2013 г. спрямо предходната с 1,4%  (372 036 бр. за 2012г.)</w:t>
      </w:r>
      <w:r w:rsidR="00101AD6">
        <w:rPr>
          <w:rFonts w:ascii="Times New Roman" w:eastAsia="Calibri" w:hAnsi="Times New Roman"/>
          <w:iCs/>
          <w:color w:val="auto"/>
          <w:sz w:val="24"/>
          <w:szCs w:val="24"/>
          <w:lang w:val="bg-BG" w:eastAsia="bg-BG"/>
        </w:rPr>
        <w:t>.</w:t>
      </w:r>
    </w:p>
    <w:p w:rsidR="00F25110" w:rsidRPr="00BD7BB1" w:rsidRDefault="00F25110" w:rsidP="00F25110">
      <w:pPr>
        <w:spacing w:after="0" w:line="360" w:lineRule="auto"/>
        <w:ind w:firstLine="708"/>
        <w:jc w:val="both"/>
        <w:rPr>
          <w:rFonts w:ascii="Times New Roman" w:eastAsia="Calibri" w:hAnsi="Times New Roman"/>
          <w:color w:val="auto"/>
          <w:sz w:val="24"/>
          <w:szCs w:val="24"/>
          <w:lang w:val="bg-BG" w:eastAsia="bg-BG"/>
        </w:rPr>
      </w:pPr>
      <w:r w:rsidRPr="00BD7BB1">
        <w:rPr>
          <w:rFonts w:ascii="Times New Roman" w:eastAsia="Calibri" w:hAnsi="Times New Roman"/>
          <w:b/>
          <w:i/>
          <w:color w:val="auto"/>
          <w:sz w:val="24"/>
          <w:szCs w:val="24"/>
          <w:lang w:val="bg-BG" w:eastAsia="bg-BG"/>
        </w:rPr>
        <w:t>Приходите от дейността на нефинансовите предприятия</w:t>
      </w:r>
      <w:r w:rsidRPr="00BD7BB1">
        <w:rPr>
          <w:rFonts w:ascii="Times New Roman" w:eastAsia="Calibri" w:hAnsi="Times New Roman"/>
          <w:color w:val="auto"/>
          <w:sz w:val="24"/>
          <w:szCs w:val="24"/>
          <w:lang w:val="bg-BG" w:eastAsia="bg-BG"/>
        </w:rPr>
        <w:t xml:space="preserve"> за 2013 г. в  ЮИР са 32 976 972 хил.лв., 13,6 % от общите за страната (</w:t>
      </w:r>
      <w:r w:rsidRPr="00BD7BB1">
        <w:rPr>
          <w:rFonts w:ascii="Times New Roman" w:eastAsia="Calibri" w:hAnsi="Times New Roman"/>
          <w:bCs/>
          <w:color w:val="auto"/>
          <w:sz w:val="24"/>
          <w:szCs w:val="24"/>
          <w:lang w:val="bg-BG" w:eastAsia="bg-BG"/>
        </w:rPr>
        <w:t>243 265 809 хил.лв.</w:t>
      </w:r>
      <w:r w:rsidRPr="00B836CB">
        <w:rPr>
          <w:rFonts w:ascii="Times New Roman" w:eastAsia="Calibri" w:hAnsi="Times New Roman"/>
          <w:bCs/>
          <w:color w:val="auto"/>
          <w:sz w:val="24"/>
          <w:szCs w:val="24"/>
          <w:lang w:val="bg-BG" w:eastAsia="bg-BG"/>
        </w:rPr>
        <w:t>)</w:t>
      </w:r>
      <w:r w:rsidR="00B836CB" w:rsidRPr="00B836CB">
        <w:rPr>
          <w:rFonts w:ascii="Times New Roman" w:eastAsia="Calibri" w:hAnsi="Times New Roman"/>
          <w:bCs/>
          <w:color w:val="auto"/>
          <w:sz w:val="24"/>
          <w:szCs w:val="24"/>
          <w:lang w:val="bg-BG" w:eastAsia="bg-BG"/>
        </w:rPr>
        <w:t xml:space="preserve">. </w:t>
      </w:r>
      <w:r w:rsidRPr="00BD7BB1">
        <w:rPr>
          <w:rFonts w:ascii="Times New Roman" w:eastAsia="Calibri" w:hAnsi="Times New Roman"/>
          <w:color w:val="auto"/>
          <w:sz w:val="24"/>
          <w:szCs w:val="24"/>
          <w:lang w:val="bg-BG" w:eastAsia="bg-BG"/>
        </w:rPr>
        <w:t>Статистиката сочи, че районът се намира на трето място по брой предприятия след ЮЗР и ЮЦР, а по приходи от дейността е на второ място след ЮЗР. Приходите от дейността, реализирани от сектора на  микрофирмите  и МСП на територията на ЮИР съставляват - 62 %  от всички приходи в продуктивния сектор на икономиката на района. Големите предприятия, въпреки малкия си брой, формират - 38 % от всички приходи на предприятията в ЮИР. През 2013г. спрямо предходната, единствено в ЮИР  се наблюдава макар и малък спад в размера на реализираните приходи от дейността на предприятията  на фона на общото покачване на приходите за страната.</w:t>
      </w:r>
    </w:p>
    <w:p w:rsidR="00F25110" w:rsidRPr="006C14E2" w:rsidRDefault="00F25110" w:rsidP="006C14E2">
      <w:pPr>
        <w:spacing w:after="0" w:line="360" w:lineRule="auto"/>
        <w:ind w:firstLine="708"/>
        <w:jc w:val="both"/>
        <w:rPr>
          <w:rFonts w:ascii="Times New Roman" w:eastAsia="Calibri" w:hAnsi="Times New Roman"/>
          <w:color w:val="auto"/>
          <w:sz w:val="24"/>
          <w:szCs w:val="24"/>
          <w:lang w:val="bg-BG" w:eastAsia="bg-BG"/>
        </w:rPr>
      </w:pPr>
      <w:r w:rsidRPr="00BD7BB1">
        <w:rPr>
          <w:rFonts w:ascii="Times New Roman" w:eastAsia="Calibri" w:hAnsi="Times New Roman"/>
          <w:color w:val="auto"/>
          <w:sz w:val="24"/>
          <w:szCs w:val="24"/>
          <w:lang w:val="bg-BG" w:eastAsia="bg-BG"/>
        </w:rPr>
        <w:lastRenderedPageBreak/>
        <w:t>Придобитите дълготрайни материални активи в ЮИР през 2013 г. се увеличават  с 3,3% спрямо предходната 2012 г. (от 17 006 878 хил. лв. на 17 567 041 хил. лв.) и съставляват 15,4% от всички инвестици в ДМА за страната.</w:t>
      </w:r>
    </w:p>
    <w:p w:rsidR="00F25110" w:rsidRPr="00C41448" w:rsidRDefault="00F25110" w:rsidP="00F25110">
      <w:pPr>
        <w:widowControl w:val="0"/>
        <w:autoSpaceDE w:val="0"/>
        <w:autoSpaceDN w:val="0"/>
        <w:adjustRightInd w:val="0"/>
        <w:spacing w:after="0"/>
        <w:ind w:right="140"/>
        <w:jc w:val="both"/>
        <w:rPr>
          <w:rFonts w:ascii="All Times New Roman" w:eastAsia="Times New Roman" w:hAnsi="All Times New Roman" w:cs="All Times New Roman"/>
          <w:color w:val="9B2D1F" w:themeColor="accent2"/>
          <w:sz w:val="24"/>
          <w:szCs w:val="24"/>
          <w:lang w:val="bg-BG" w:eastAsia="bg-BG"/>
        </w:rPr>
      </w:pPr>
      <w:r w:rsidRPr="00C41448">
        <w:rPr>
          <w:rFonts w:ascii="Times New Roman" w:eastAsia="Times New Roman" w:hAnsi="Times New Roman"/>
          <w:b/>
          <w:i/>
          <w:iCs/>
          <w:color w:val="9B2D1F" w:themeColor="accent2"/>
          <w:sz w:val="24"/>
          <w:szCs w:val="24"/>
          <w:lang w:val="bg-BG" w:eastAsia="bg-BG"/>
        </w:rPr>
        <w:t>Таблица 6.</w:t>
      </w:r>
      <w:r w:rsidRPr="00C41448">
        <w:rPr>
          <w:rFonts w:ascii="Times New Roman" w:eastAsia="Times New Roman" w:hAnsi="Times New Roman"/>
          <w:b/>
          <w:iCs/>
          <w:color w:val="9B2D1F" w:themeColor="accent2"/>
          <w:sz w:val="24"/>
          <w:szCs w:val="24"/>
          <w:lang w:val="bg-BG" w:eastAsia="bg-BG"/>
        </w:rPr>
        <w:t xml:space="preserve"> </w:t>
      </w:r>
      <w:r w:rsidRPr="00C41448">
        <w:rPr>
          <w:rFonts w:ascii="Times New Roman" w:eastAsia="Calibri" w:hAnsi="Times New Roman"/>
          <w:b/>
          <w:i/>
          <w:color w:val="9B2D1F" w:themeColor="accent2"/>
          <w:sz w:val="24"/>
          <w:szCs w:val="24"/>
          <w:lang w:val="bg-BG" w:eastAsia="bg-BG"/>
        </w:rPr>
        <w:t>Разпределение на предприятията от нефинансовия сектор на икономиката през 2013 г. по големина, статистически райони,</w:t>
      </w:r>
      <w:r w:rsidRPr="00C41448">
        <w:rPr>
          <w:rFonts w:ascii="Times New Roman" w:eastAsia="Times New Roman" w:hAnsi="Times New Roman"/>
          <w:color w:val="9B2D1F" w:themeColor="accent2"/>
          <w:sz w:val="24"/>
          <w:szCs w:val="24"/>
          <w:lang w:val="bg-BG" w:eastAsia="bg-BG"/>
        </w:rPr>
        <w:t xml:space="preserve"> </w:t>
      </w:r>
      <w:r w:rsidRPr="00C41448">
        <w:rPr>
          <w:rFonts w:ascii="Times New Roman" w:eastAsia="Calibri" w:hAnsi="Times New Roman"/>
          <w:b/>
          <w:i/>
          <w:color w:val="9B2D1F" w:themeColor="accent2"/>
          <w:sz w:val="24"/>
          <w:szCs w:val="24"/>
          <w:lang w:val="bg-BG" w:eastAsia="bg-BG"/>
        </w:rPr>
        <w:t>приходи от продажби и дълготрайни материални активи</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1843"/>
        <w:gridCol w:w="2268"/>
        <w:gridCol w:w="2126"/>
      </w:tblGrid>
      <w:tr w:rsidR="00F25110" w:rsidRPr="00BD7BB1" w:rsidTr="006614F6">
        <w:trPr>
          <w:trHeight w:val="1065"/>
        </w:trPr>
        <w:tc>
          <w:tcPr>
            <w:tcW w:w="3686" w:type="dxa"/>
            <w:tcBorders>
              <w:top w:val="thickThinSmallGap" w:sz="24" w:space="0" w:color="auto"/>
              <w:left w:val="thickThinSmallGap" w:sz="24" w:space="0" w:color="auto"/>
            </w:tcBorders>
            <w:shd w:val="clear" w:color="auto" w:fill="auto"/>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Статистически зони </w:t>
            </w:r>
            <w:r w:rsidRPr="00BD7BB1">
              <w:rPr>
                <w:rFonts w:ascii="Times New Roman" w:eastAsia="Times New Roman" w:hAnsi="Times New Roman"/>
                <w:color w:val="auto"/>
                <w:sz w:val="20"/>
                <w:lang w:val="bg-BG" w:eastAsia="bg-BG"/>
              </w:rPr>
              <w:br/>
              <w:t>Статистически райони /</w:t>
            </w:r>
            <w:r w:rsidRPr="00BD7BB1">
              <w:rPr>
                <w:rFonts w:ascii="Times New Roman" w:eastAsia="Times New Roman" w:hAnsi="Times New Roman"/>
                <w:color w:val="auto"/>
                <w:sz w:val="20"/>
                <w:lang w:val="bg-BG" w:eastAsia="bg-BG"/>
              </w:rPr>
              <w:br/>
              <w:t>Големина на предприятията</w:t>
            </w:r>
          </w:p>
        </w:tc>
        <w:tc>
          <w:tcPr>
            <w:tcW w:w="1843" w:type="dxa"/>
            <w:tcBorders>
              <w:top w:val="thickThinSmallGap" w:sz="24" w:space="0" w:color="auto"/>
            </w:tcBorders>
            <w:shd w:val="clear" w:color="auto" w:fill="auto"/>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Предприятия</w:t>
            </w:r>
          </w:p>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бр.)</w:t>
            </w:r>
          </w:p>
        </w:tc>
        <w:tc>
          <w:tcPr>
            <w:tcW w:w="2268" w:type="dxa"/>
            <w:tcBorders>
              <w:top w:val="thickThinSmallGap" w:sz="24" w:space="0" w:color="auto"/>
            </w:tcBorders>
            <w:shd w:val="clear" w:color="auto" w:fill="auto"/>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p>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Приходи от дейността  (хил. лв.)</w:t>
            </w:r>
          </w:p>
        </w:tc>
        <w:tc>
          <w:tcPr>
            <w:tcW w:w="2126" w:type="dxa"/>
            <w:tcBorders>
              <w:top w:val="thickThinSmallGap" w:sz="24" w:space="0" w:color="auto"/>
              <w:right w:val="thickThinSmallGap" w:sz="24" w:space="0" w:color="auto"/>
            </w:tcBorders>
            <w:shd w:val="clear" w:color="auto" w:fill="auto"/>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Дълготрайни материални активи</w:t>
            </w:r>
          </w:p>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(хил.лв.)</w:t>
            </w:r>
          </w:p>
        </w:tc>
      </w:tr>
      <w:tr w:rsidR="00C41448" w:rsidRPr="00BD7BB1" w:rsidTr="00C41448">
        <w:trPr>
          <w:trHeight w:val="255"/>
        </w:trPr>
        <w:tc>
          <w:tcPr>
            <w:tcW w:w="3686" w:type="dxa"/>
            <w:tcBorders>
              <w:left w:val="thickThinSmallGap" w:sz="24" w:space="0" w:color="auto"/>
            </w:tcBorders>
            <w:shd w:val="clear" w:color="auto" w:fill="F4B29B" w:themeFill="accent1" w:themeFillTint="66"/>
            <w:noWrap/>
            <w:vAlign w:val="center"/>
          </w:tcPr>
          <w:p w:rsidR="00F25110" w:rsidRPr="00C41448" w:rsidRDefault="00F25110" w:rsidP="00F25110">
            <w:pPr>
              <w:spacing w:after="0" w:line="240" w:lineRule="auto"/>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Общо за страната</w:t>
            </w:r>
          </w:p>
        </w:tc>
        <w:tc>
          <w:tcPr>
            <w:tcW w:w="1843" w:type="dxa"/>
            <w:shd w:val="clear" w:color="auto" w:fill="F4B29B" w:themeFill="accent1" w:themeFillTint="66"/>
            <w:noWrap/>
            <w:vAlign w:val="center"/>
          </w:tcPr>
          <w:p w:rsidR="00F25110" w:rsidRPr="00C41448" w:rsidRDefault="00F25110" w:rsidP="00F25110">
            <w:pPr>
              <w:spacing w:after="0" w:line="240" w:lineRule="auto"/>
              <w:jc w:val="center"/>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eastAsia="bg-BG"/>
              </w:rPr>
              <w:t xml:space="preserve">                  </w:t>
            </w:r>
            <w:r w:rsidRPr="00C41448">
              <w:rPr>
                <w:rFonts w:ascii="Times New Roman" w:eastAsia="Times New Roman" w:hAnsi="Times New Roman"/>
                <w:b/>
                <w:bCs/>
                <w:color w:val="9B2D1F" w:themeColor="accent2"/>
                <w:sz w:val="20"/>
                <w:lang w:val="bg-BG" w:eastAsia="bg-BG"/>
              </w:rPr>
              <w:t>377 383</w:t>
            </w:r>
          </w:p>
        </w:tc>
        <w:tc>
          <w:tcPr>
            <w:tcW w:w="2268" w:type="dxa"/>
            <w:shd w:val="clear" w:color="auto" w:fill="F4B29B" w:themeFill="accent1" w:themeFillTint="66"/>
            <w:noWrap/>
            <w:vAlign w:val="center"/>
          </w:tcPr>
          <w:p w:rsidR="00F25110" w:rsidRPr="00C41448" w:rsidRDefault="00F25110" w:rsidP="00F25110">
            <w:pPr>
              <w:spacing w:after="0" w:line="240" w:lineRule="auto"/>
              <w:jc w:val="right"/>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243 265 809</w:t>
            </w:r>
          </w:p>
        </w:tc>
        <w:tc>
          <w:tcPr>
            <w:tcW w:w="2126" w:type="dxa"/>
            <w:tcBorders>
              <w:right w:val="thickThinSmallGap" w:sz="24" w:space="0" w:color="auto"/>
            </w:tcBorders>
            <w:shd w:val="clear" w:color="auto" w:fill="F4B29B" w:themeFill="accent1" w:themeFillTint="66"/>
            <w:noWrap/>
            <w:vAlign w:val="center"/>
          </w:tcPr>
          <w:p w:rsidR="00F25110" w:rsidRPr="00C41448" w:rsidRDefault="00F25110" w:rsidP="00F25110">
            <w:pPr>
              <w:spacing w:after="0" w:line="240" w:lineRule="auto"/>
              <w:jc w:val="right"/>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113 772 862</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 xml:space="preserve">348 372 </w:t>
            </w:r>
            <w:r w:rsidRPr="00BD7BB1">
              <w:rPr>
                <w:rFonts w:ascii="Times New Roman" w:eastAsia="Times New Roman" w:hAnsi="Times New Roman"/>
                <w:color w:val="auto"/>
                <w:sz w:val="20"/>
                <w:lang w:val="bg-BG" w:eastAsia="bg-BG"/>
              </w:rPr>
              <w:tab/>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57 703 636</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35 759 032</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23 768</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55 590 809</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17 550 889</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 xml:space="preserve">4 </w:t>
            </w:r>
            <w:r w:rsidRPr="00BD7BB1">
              <w:rPr>
                <w:rFonts w:ascii="Times New Roman" w:eastAsia="Times New Roman" w:hAnsi="Times New Roman"/>
                <w:color w:val="auto"/>
                <w:sz w:val="20"/>
                <w:lang w:eastAsia="bg-BG"/>
              </w:rPr>
              <w:t>497</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56 751 824</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17 494 818</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Големи фирми (250+ заети)</w:t>
            </w:r>
          </w:p>
        </w:tc>
        <w:tc>
          <w:tcPr>
            <w:tcW w:w="1843"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 xml:space="preserve">                        746</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73 219 540</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42 968 123</w:t>
            </w:r>
          </w:p>
        </w:tc>
      </w:tr>
      <w:tr w:rsidR="00F25110" w:rsidRPr="00BD7BB1" w:rsidTr="006614F6">
        <w:trPr>
          <w:trHeight w:val="255"/>
        </w:trPr>
        <w:tc>
          <w:tcPr>
            <w:tcW w:w="3686" w:type="dxa"/>
            <w:tcBorders>
              <w:left w:val="thickThinSmallGap" w:sz="24" w:space="0" w:color="auto"/>
            </w:tcBorders>
            <w:shd w:val="clear" w:color="auto" w:fill="auto"/>
            <w:noWrap/>
            <w:vAlign w:val="center"/>
          </w:tcPr>
          <w:p w:rsidR="00F25110" w:rsidRPr="00BD7BB1" w:rsidRDefault="00F25110" w:rsidP="00F25110">
            <w:pPr>
              <w:spacing w:after="0" w:line="240" w:lineRule="auto"/>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Северозападен</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28 194</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11 687 137</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6 719 139</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25 968</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3 097 538</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1 637 339</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val="bg-BG" w:eastAsia="bg-BG"/>
              </w:rPr>
              <w:t xml:space="preserve"> 1 8</w:t>
            </w:r>
            <w:r w:rsidRPr="00BD7BB1">
              <w:rPr>
                <w:rFonts w:ascii="Times New Roman" w:eastAsia="Times New Roman" w:hAnsi="Times New Roman"/>
                <w:color w:val="auto"/>
                <w:sz w:val="20"/>
                <w:lang w:eastAsia="bg-BG"/>
              </w:rPr>
              <w:t>21</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2 995 851</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1 228 065</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val="bg-BG" w:eastAsia="bg-BG"/>
              </w:rPr>
              <w:t>35</w:t>
            </w:r>
            <w:r w:rsidRPr="00BD7BB1">
              <w:rPr>
                <w:rFonts w:ascii="Times New Roman" w:eastAsia="Times New Roman" w:hAnsi="Times New Roman"/>
                <w:color w:val="auto"/>
                <w:sz w:val="20"/>
                <w:lang w:eastAsia="bg-BG"/>
              </w:rPr>
              <w:t>7</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2 709 791</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1 121 391</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Големи фирми (250+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val="bg-BG" w:eastAsia="bg-BG"/>
              </w:rPr>
              <w:t>4</w:t>
            </w:r>
            <w:r w:rsidRPr="00BD7BB1">
              <w:rPr>
                <w:rFonts w:ascii="Times New Roman" w:eastAsia="Times New Roman" w:hAnsi="Times New Roman"/>
                <w:color w:val="auto"/>
                <w:sz w:val="20"/>
                <w:lang w:eastAsia="bg-BG"/>
              </w:rPr>
              <w:t>8</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2 883 957</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2 732 344</w:t>
            </w:r>
          </w:p>
        </w:tc>
      </w:tr>
      <w:tr w:rsidR="00F25110" w:rsidRPr="00BD7BB1" w:rsidTr="006614F6">
        <w:trPr>
          <w:trHeight w:val="255"/>
        </w:trPr>
        <w:tc>
          <w:tcPr>
            <w:tcW w:w="3686" w:type="dxa"/>
            <w:tcBorders>
              <w:left w:val="thickThinSmallGap" w:sz="24" w:space="0" w:color="auto"/>
            </w:tcBorders>
            <w:shd w:val="clear" w:color="auto" w:fill="auto"/>
            <w:noWrap/>
            <w:vAlign w:val="center"/>
          </w:tcPr>
          <w:p w:rsidR="00F25110" w:rsidRPr="00BD7BB1" w:rsidRDefault="00F25110" w:rsidP="00F25110">
            <w:pPr>
              <w:spacing w:after="0" w:line="240" w:lineRule="auto"/>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Северен централен</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eastAsia="bg-BG"/>
              </w:rPr>
            </w:pPr>
            <w:r w:rsidRPr="00BD7BB1">
              <w:rPr>
                <w:rFonts w:ascii="Times New Roman" w:eastAsia="Times New Roman" w:hAnsi="Times New Roman"/>
                <w:b/>
                <w:bCs/>
                <w:color w:val="auto"/>
                <w:sz w:val="20"/>
                <w:lang w:val="bg-BG" w:eastAsia="bg-BG"/>
              </w:rPr>
              <w:t>34 5</w:t>
            </w:r>
            <w:r w:rsidRPr="00BD7BB1">
              <w:rPr>
                <w:rFonts w:ascii="Times New Roman" w:eastAsia="Times New Roman" w:hAnsi="Times New Roman"/>
                <w:b/>
                <w:bCs/>
                <w:color w:val="auto"/>
                <w:sz w:val="20"/>
                <w:lang w:eastAsia="bg-BG"/>
              </w:rPr>
              <w:t>50</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18 388 755</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6 555 987</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val="bg-BG" w:eastAsia="bg-BG"/>
              </w:rPr>
              <w:t xml:space="preserve">31 </w:t>
            </w:r>
            <w:r w:rsidRPr="00BD7BB1">
              <w:rPr>
                <w:rFonts w:ascii="Times New Roman" w:eastAsia="Times New Roman" w:hAnsi="Times New Roman"/>
                <w:color w:val="auto"/>
                <w:sz w:val="20"/>
                <w:lang w:eastAsia="bg-BG"/>
              </w:rPr>
              <w:t>541</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4 382 114</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1 735 820</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val="bg-BG" w:eastAsia="bg-BG"/>
              </w:rPr>
              <w:t>2 4</w:t>
            </w:r>
            <w:r w:rsidRPr="00BD7BB1">
              <w:rPr>
                <w:rFonts w:ascii="Times New Roman" w:eastAsia="Times New Roman" w:hAnsi="Times New Roman"/>
                <w:color w:val="auto"/>
                <w:sz w:val="20"/>
                <w:lang w:eastAsia="bg-BG"/>
              </w:rPr>
              <w:t>28</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4 768 763</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1 683 029</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505</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5 533 790</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1 736 271</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Големи фирми (250+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76</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3 704 088</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1 400 867</w:t>
            </w:r>
          </w:p>
        </w:tc>
      </w:tr>
      <w:tr w:rsidR="00F25110" w:rsidRPr="00BD7BB1" w:rsidTr="006614F6">
        <w:trPr>
          <w:trHeight w:val="255"/>
        </w:trPr>
        <w:tc>
          <w:tcPr>
            <w:tcW w:w="3686" w:type="dxa"/>
            <w:tcBorders>
              <w:left w:val="thickThinSmallGap" w:sz="24" w:space="0" w:color="auto"/>
            </w:tcBorders>
            <w:shd w:val="clear" w:color="auto" w:fill="auto"/>
            <w:noWrap/>
            <w:vAlign w:val="center"/>
          </w:tcPr>
          <w:p w:rsidR="00F25110" w:rsidRPr="00BD7BB1" w:rsidRDefault="00F25110" w:rsidP="00F25110">
            <w:pPr>
              <w:spacing w:after="0" w:line="240" w:lineRule="auto"/>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Североизточен</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eastAsia="bg-BG"/>
              </w:rPr>
            </w:pPr>
            <w:r w:rsidRPr="00BD7BB1">
              <w:rPr>
                <w:rFonts w:ascii="Times New Roman" w:eastAsia="Times New Roman" w:hAnsi="Times New Roman"/>
                <w:b/>
                <w:bCs/>
                <w:color w:val="auto"/>
                <w:sz w:val="20"/>
                <w:lang w:eastAsia="bg-BG"/>
              </w:rPr>
              <w:t>51 063</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25 481 435</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12 763 451</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val="bg-BG" w:eastAsia="bg-BG"/>
              </w:rPr>
              <w:t>4</w:t>
            </w:r>
            <w:r w:rsidRPr="00BD7BB1">
              <w:rPr>
                <w:rFonts w:ascii="Times New Roman" w:eastAsia="Times New Roman" w:hAnsi="Times New Roman"/>
                <w:color w:val="auto"/>
                <w:sz w:val="20"/>
                <w:lang w:eastAsia="bg-BG"/>
              </w:rPr>
              <w:t>7 358</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6 724 647</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4 732 924</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3 090</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 xml:space="preserve">7 248 061 </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2 365 402</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529</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5 662 542</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2 180 990</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Големи фирми (250+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86</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5 846 185</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3 484 135</w:t>
            </w:r>
          </w:p>
        </w:tc>
      </w:tr>
      <w:tr w:rsidR="00C41448" w:rsidRPr="00BD7BB1" w:rsidTr="00C41448">
        <w:trPr>
          <w:trHeight w:val="248"/>
        </w:trPr>
        <w:tc>
          <w:tcPr>
            <w:tcW w:w="3686" w:type="dxa"/>
            <w:tcBorders>
              <w:top w:val="single" w:sz="4" w:space="0" w:color="auto"/>
              <w:left w:val="thickThinSmallGap" w:sz="24" w:space="0" w:color="auto"/>
            </w:tcBorders>
            <w:shd w:val="clear" w:color="auto" w:fill="F4B29B" w:themeFill="accent1" w:themeFillTint="66"/>
            <w:noWrap/>
            <w:vAlign w:val="center"/>
          </w:tcPr>
          <w:p w:rsidR="00F25110" w:rsidRPr="00C41448" w:rsidRDefault="00F25110" w:rsidP="00F25110">
            <w:pPr>
              <w:spacing w:after="0" w:line="240" w:lineRule="auto"/>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Югоизточен</w:t>
            </w:r>
          </w:p>
        </w:tc>
        <w:tc>
          <w:tcPr>
            <w:tcW w:w="1843" w:type="dxa"/>
            <w:tcBorders>
              <w:top w:val="single" w:sz="4" w:space="0" w:color="auto"/>
            </w:tcBorders>
            <w:shd w:val="clear" w:color="auto" w:fill="F4B29B" w:themeFill="accent1" w:themeFillTint="66"/>
            <w:noWrap/>
            <w:vAlign w:val="center"/>
          </w:tcPr>
          <w:p w:rsidR="00F25110" w:rsidRPr="00C41448" w:rsidRDefault="00F25110" w:rsidP="00F25110">
            <w:pPr>
              <w:spacing w:after="0" w:line="240" w:lineRule="auto"/>
              <w:jc w:val="right"/>
              <w:rPr>
                <w:rFonts w:ascii="Times New Roman" w:eastAsia="Times New Roman" w:hAnsi="Times New Roman"/>
                <w:b/>
                <w:bCs/>
                <w:color w:val="9B2D1F" w:themeColor="accent2"/>
                <w:sz w:val="20"/>
                <w:lang w:eastAsia="bg-BG"/>
              </w:rPr>
            </w:pPr>
            <w:r w:rsidRPr="00C41448">
              <w:rPr>
                <w:rFonts w:ascii="Times New Roman" w:eastAsia="Times New Roman" w:hAnsi="Times New Roman"/>
                <w:b/>
                <w:bCs/>
                <w:color w:val="9B2D1F" w:themeColor="accent2"/>
                <w:sz w:val="20"/>
                <w:lang w:eastAsia="bg-BG"/>
              </w:rPr>
              <w:t>54 472</w:t>
            </w:r>
          </w:p>
        </w:tc>
        <w:tc>
          <w:tcPr>
            <w:tcW w:w="2268" w:type="dxa"/>
            <w:tcBorders>
              <w:top w:val="single" w:sz="4" w:space="0" w:color="auto"/>
            </w:tcBorders>
            <w:shd w:val="clear" w:color="auto" w:fill="F4B29B" w:themeFill="accent1" w:themeFillTint="66"/>
            <w:noWrap/>
            <w:vAlign w:val="center"/>
          </w:tcPr>
          <w:p w:rsidR="00F25110" w:rsidRPr="00C41448" w:rsidRDefault="00F25110" w:rsidP="00F25110">
            <w:pPr>
              <w:spacing w:after="0" w:line="240" w:lineRule="auto"/>
              <w:jc w:val="right"/>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32 976 972</w:t>
            </w:r>
          </w:p>
        </w:tc>
        <w:tc>
          <w:tcPr>
            <w:tcW w:w="2126" w:type="dxa"/>
            <w:tcBorders>
              <w:top w:val="single" w:sz="4" w:space="0" w:color="auto"/>
              <w:right w:val="thickThinSmallGap" w:sz="24" w:space="0" w:color="auto"/>
            </w:tcBorders>
            <w:shd w:val="clear" w:color="auto" w:fill="F4B29B" w:themeFill="accent1" w:themeFillTint="66"/>
            <w:noWrap/>
            <w:vAlign w:val="center"/>
          </w:tcPr>
          <w:p w:rsidR="00F25110" w:rsidRPr="00C41448" w:rsidRDefault="00F25110" w:rsidP="00F25110">
            <w:pPr>
              <w:spacing w:after="0" w:line="240" w:lineRule="auto"/>
              <w:jc w:val="right"/>
              <w:rPr>
                <w:rFonts w:ascii="Times New Roman" w:eastAsia="Times New Roman" w:hAnsi="Times New Roman"/>
                <w:b/>
                <w:bCs/>
                <w:color w:val="9B2D1F" w:themeColor="accent2"/>
                <w:sz w:val="20"/>
                <w:lang w:val="bg-BG" w:eastAsia="bg-BG"/>
              </w:rPr>
            </w:pPr>
            <w:r w:rsidRPr="00C41448">
              <w:rPr>
                <w:rFonts w:ascii="Times New Roman" w:eastAsia="Times New Roman" w:hAnsi="Times New Roman"/>
                <w:b/>
                <w:bCs/>
                <w:color w:val="9B2D1F" w:themeColor="accent2"/>
                <w:sz w:val="20"/>
                <w:lang w:val="bg-BG" w:eastAsia="bg-BG"/>
              </w:rPr>
              <w:t>17 567 041</w:t>
            </w:r>
          </w:p>
        </w:tc>
      </w:tr>
      <w:tr w:rsidR="00F25110" w:rsidRPr="00BD7BB1" w:rsidTr="006614F6">
        <w:trPr>
          <w:trHeight w:val="266"/>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50 598</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7 751 633</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6 072 125</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3 225</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7 118 778</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val="bg-BG" w:eastAsia="bg-BG"/>
              </w:rPr>
              <w:t>2 409 773</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567</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5 440 852</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2 389 313</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Големи фирми (250+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82</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12 665 709</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6 695 830</w:t>
            </w:r>
          </w:p>
        </w:tc>
      </w:tr>
      <w:tr w:rsidR="00F25110" w:rsidRPr="00BD7BB1" w:rsidTr="006614F6">
        <w:trPr>
          <w:trHeight w:val="255"/>
        </w:trPr>
        <w:tc>
          <w:tcPr>
            <w:tcW w:w="3686" w:type="dxa"/>
            <w:tcBorders>
              <w:left w:val="thickThinSmallGap" w:sz="24" w:space="0" w:color="auto"/>
            </w:tcBorders>
            <w:shd w:val="clear" w:color="auto" w:fill="auto"/>
            <w:noWrap/>
            <w:vAlign w:val="center"/>
          </w:tcPr>
          <w:p w:rsidR="00F25110" w:rsidRPr="00BD7BB1" w:rsidRDefault="00F25110" w:rsidP="00F25110">
            <w:pPr>
              <w:spacing w:after="0" w:line="240" w:lineRule="auto"/>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Югозападен</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eastAsia="bg-BG"/>
              </w:rPr>
            </w:pPr>
            <w:r w:rsidRPr="00BD7BB1">
              <w:rPr>
                <w:rFonts w:ascii="Times New Roman" w:eastAsia="Times New Roman" w:hAnsi="Times New Roman"/>
                <w:b/>
                <w:bCs/>
                <w:color w:val="auto"/>
                <w:sz w:val="20"/>
                <w:lang w:eastAsia="bg-BG"/>
              </w:rPr>
              <w:t>142 955</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124 066 112</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57 168 408</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131 969</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27 802 378</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17 200 453</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8 923</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26 059 327</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7 551 625</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1 733</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29 814 817</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7 513 946</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Големи фирми (250+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val="bg-BG" w:eastAsia="bg-BG"/>
              </w:rPr>
              <w:t>3</w:t>
            </w:r>
            <w:r w:rsidRPr="00BD7BB1">
              <w:rPr>
                <w:rFonts w:ascii="Times New Roman" w:eastAsia="Times New Roman" w:hAnsi="Times New Roman"/>
                <w:color w:val="auto"/>
                <w:sz w:val="20"/>
                <w:lang w:eastAsia="bg-BG"/>
              </w:rPr>
              <w:t>30</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40 389 590</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24 902 384</w:t>
            </w:r>
          </w:p>
        </w:tc>
      </w:tr>
      <w:tr w:rsidR="00F25110" w:rsidRPr="00BD7BB1" w:rsidTr="006614F6">
        <w:trPr>
          <w:trHeight w:val="255"/>
        </w:trPr>
        <w:tc>
          <w:tcPr>
            <w:tcW w:w="3686" w:type="dxa"/>
            <w:tcBorders>
              <w:left w:val="thickThinSmallGap" w:sz="24" w:space="0" w:color="auto"/>
            </w:tcBorders>
            <w:shd w:val="clear" w:color="auto" w:fill="auto"/>
            <w:noWrap/>
            <w:vAlign w:val="center"/>
          </w:tcPr>
          <w:p w:rsidR="00F25110" w:rsidRPr="00BD7BB1" w:rsidRDefault="00F25110" w:rsidP="00F25110">
            <w:pPr>
              <w:spacing w:after="0" w:line="240" w:lineRule="auto"/>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Южен централен</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eastAsia="bg-BG"/>
              </w:rPr>
            </w:pPr>
            <w:r w:rsidRPr="00BD7BB1">
              <w:rPr>
                <w:rFonts w:ascii="Times New Roman" w:eastAsia="Times New Roman" w:hAnsi="Times New Roman"/>
                <w:b/>
                <w:bCs/>
                <w:color w:val="auto"/>
                <w:sz w:val="20"/>
                <w:lang w:eastAsia="bg-BG"/>
              </w:rPr>
              <w:t>66 149</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30 665 398</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12 998 836</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Микрофирми (до 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60 938</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7 945 326</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4 380 371</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Малки фирми (10 - 49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4 281</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7 400 029</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2 312 995</w:t>
            </w:r>
          </w:p>
        </w:tc>
      </w:tr>
      <w:tr w:rsidR="00F25110" w:rsidRPr="00BD7BB1" w:rsidTr="006614F6">
        <w:trPr>
          <w:trHeight w:val="255"/>
        </w:trPr>
        <w:tc>
          <w:tcPr>
            <w:tcW w:w="3686" w:type="dxa"/>
            <w:tcBorders>
              <w:left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Средни фирми (50 - 249 заети)</w:t>
            </w:r>
          </w:p>
        </w:tc>
        <w:tc>
          <w:tcPr>
            <w:tcW w:w="1843"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8</w:t>
            </w:r>
            <w:r w:rsidRPr="00BD7BB1">
              <w:rPr>
                <w:rFonts w:ascii="Times New Roman" w:eastAsia="Times New Roman" w:hAnsi="Times New Roman"/>
                <w:color w:val="auto"/>
                <w:sz w:val="20"/>
                <w:lang w:eastAsia="bg-BG"/>
              </w:rPr>
              <w:t>06</w:t>
            </w:r>
            <w:r w:rsidRPr="00BD7BB1">
              <w:rPr>
                <w:rFonts w:ascii="Times New Roman" w:eastAsia="Times New Roman" w:hAnsi="Times New Roman"/>
                <w:color w:val="auto"/>
                <w:sz w:val="20"/>
                <w:lang w:val="bg-BG" w:eastAsia="bg-BG"/>
              </w:rPr>
              <w:t xml:space="preserve">  </w:t>
            </w:r>
          </w:p>
        </w:tc>
        <w:tc>
          <w:tcPr>
            <w:tcW w:w="2268" w:type="dxa"/>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7 590 032</w:t>
            </w:r>
          </w:p>
        </w:tc>
        <w:tc>
          <w:tcPr>
            <w:tcW w:w="2126" w:type="dxa"/>
            <w:tcBorders>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2 552 907</w:t>
            </w:r>
          </w:p>
        </w:tc>
      </w:tr>
      <w:tr w:rsidR="00F25110" w:rsidRPr="00BD7BB1" w:rsidTr="006614F6">
        <w:trPr>
          <w:trHeight w:val="162"/>
        </w:trPr>
        <w:tc>
          <w:tcPr>
            <w:tcW w:w="3686" w:type="dxa"/>
            <w:tcBorders>
              <w:left w:val="thickThinSmallGap" w:sz="24" w:space="0" w:color="auto"/>
              <w:bottom w:val="thickThinSmallGap" w:sz="24" w:space="0" w:color="auto"/>
            </w:tcBorders>
            <w:shd w:val="clear" w:color="auto" w:fill="auto"/>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Големи фирми (250+ заети)</w:t>
            </w:r>
          </w:p>
        </w:tc>
        <w:tc>
          <w:tcPr>
            <w:tcW w:w="1843" w:type="dxa"/>
            <w:tcBorders>
              <w:bottom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val="bg-BG" w:eastAsia="bg-BG"/>
              </w:rPr>
              <w:t>1</w:t>
            </w:r>
            <w:r w:rsidRPr="00BD7BB1">
              <w:rPr>
                <w:rFonts w:ascii="Times New Roman" w:eastAsia="Times New Roman" w:hAnsi="Times New Roman"/>
                <w:color w:val="auto"/>
                <w:sz w:val="20"/>
                <w:lang w:eastAsia="bg-BG"/>
              </w:rPr>
              <w:t>24</w:t>
            </w:r>
          </w:p>
        </w:tc>
        <w:tc>
          <w:tcPr>
            <w:tcW w:w="2268" w:type="dxa"/>
            <w:tcBorders>
              <w:bottom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7 730 011</w:t>
            </w:r>
          </w:p>
        </w:tc>
        <w:tc>
          <w:tcPr>
            <w:tcW w:w="2126" w:type="dxa"/>
            <w:tcBorders>
              <w:bottom w:val="thickThinSmallGap" w:sz="24" w:space="0" w:color="auto"/>
              <w:right w:val="thickThinSmallGap" w:sz="24" w:space="0" w:color="auto"/>
            </w:tcBorders>
            <w:shd w:val="clear" w:color="auto" w:fill="auto"/>
            <w:noWrap/>
            <w:vAlign w:val="center"/>
          </w:tcPr>
          <w:p w:rsidR="00F25110" w:rsidRPr="00BD7BB1" w:rsidRDefault="00F25110" w:rsidP="00F25110">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3 752 563</w:t>
            </w:r>
          </w:p>
        </w:tc>
      </w:tr>
    </w:tbl>
    <w:p w:rsidR="00F25110" w:rsidRPr="00C41448" w:rsidRDefault="00F25110" w:rsidP="00F25110">
      <w:pPr>
        <w:spacing w:after="0" w:line="360" w:lineRule="auto"/>
        <w:jc w:val="both"/>
        <w:rPr>
          <w:rFonts w:ascii="Times New Roman" w:eastAsia="Times New Roman" w:hAnsi="Times New Roman"/>
          <w:b/>
          <w:i/>
          <w:color w:val="9B2D1F" w:themeColor="accent2"/>
          <w:szCs w:val="22"/>
          <w:lang w:val="bg-BG" w:eastAsia="bg-BG"/>
        </w:rPr>
      </w:pPr>
      <w:r w:rsidRPr="00C41448">
        <w:rPr>
          <w:rFonts w:ascii="Times New Roman" w:eastAsia="Times New Roman" w:hAnsi="Times New Roman"/>
          <w:b/>
          <w:i/>
          <w:color w:val="9B2D1F" w:themeColor="accent2"/>
          <w:szCs w:val="22"/>
          <w:lang w:val="bg-BG" w:eastAsia="bg-BG"/>
        </w:rPr>
        <w:t>Източник:  Национален статистически институт</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lastRenderedPageBreak/>
        <w:t>По данни на Министерството на туризма се наблюдава 6% ръст в броя на чуждестранните туристи, посетили България за периода януари –декември 2014</w:t>
      </w:r>
      <w:r w:rsidR="003B10FB">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г. спрямо същия период на 2013</w:t>
      </w:r>
      <w:r w:rsidR="003B10FB">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г.</w:t>
      </w:r>
      <w:r w:rsidR="003B10FB">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Страната ни е посетена общо от 7 310 845 чуждестранни граждани (без транзитно преминалите).</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 Приходите от международен туризъм за периода януари-ноември на</w:t>
      </w:r>
      <w:r w:rsidR="002B632C">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2014 г. възлизат на 3 004.2млн. евро, което е с 1.7% повече в сравнение със същия период на 2013 г.</w:t>
      </w:r>
      <w:r w:rsidR="002B632C">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Разходите на българските граждани за пътувания в чужбина за периода януари-ноември 2014 г.са общо1149.6млн. евро или с 6.2% повече спрямо същия период на 2013 г.</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Туризмът продължава да заема водещо място в икономиката на Югоизточния район на основата на благоприятните природни фактори, изградената туристическа база и инфраструктура и традиционния опит в предоставянето на сезонни туристически услуги.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ru-RU" w:eastAsia="bg-BG"/>
        </w:rPr>
        <w:t>Общо за района през 201</w:t>
      </w:r>
      <w:r w:rsidRPr="00BD7BB1">
        <w:rPr>
          <w:rFonts w:ascii="Times New Roman" w:eastAsia="Times New Roman" w:hAnsi="Times New Roman"/>
          <w:color w:val="auto"/>
          <w:sz w:val="24"/>
          <w:szCs w:val="24"/>
          <w:lang w:val="bg-BG" w:eastAsia="bg-BG"/>
        </w:rPr>
        <w:t>4</w:t>
      </w:r>
      <w:r w:rsidRPr="00BD7BB1">
        <w:rPr>
          <w:rFonts w:ascii="Times New Roman" w:eastAsia="Times New Roman" w:hAnsi="Times New Roman"/>
          <w:color w:val="auto"/>
          <w:sz w:val="24"/>
          <w:szCs w:val="24"/>
          <w:lang w:val="ru-RU" w:eastAsia="bg-BG"/>
        </w:rPr>
        <w:t xml:space="preserve"> г. </w:t>
      </w:r>
      <w:r w:rsidRPr="00BD7BB1">
        <w:rPr>
          <w:rFonts w:ascii="Times New Roman" w:eastAsia="Times New Roman" w:hAnsi="Times New Roman"/>
          <w:b/>
          <w:i/>
          <w:color w:val="auto"/>
          <w:sz w:val="24"/>
          <w:szCs w:val="24"/>
          <w:lang w:val="ru-RU" w:eastAsia="bg-BG"/>
        </w:rPr>
        <w:t xml:space="preserve">средствата за подслон и </w:t>
      </w:r>
      <w:r w:rsidRPr="00BD7BB1">
        <w:rPr>
          <w:rFonts w:ascii="Times New Roman" w:eastAsia="Times New Roman" w:hAnsi="Times New Roman"/>
          <w:b/>
          <w:bCs/>
          <w:i/>
          <w:iCs/>
          <w:color w:val="auto"/>
          <w:sz w:val="24"/>
          <w:szCs w:val="24"/>
          <w:lang w:val="ru-RU" w:eastAsia="bg-BG"/>
        </w:rPr>
        <w:t>места за настаняване</w:t>
      </w:r>
      <w:r w:rsidRPr="00BD7BB1">
        <w:rPr>
          <w:rFonts w:ascii="Times New Roman" w:eastAsia="Times New Roman" w:hAnsi="Times New Roman"/>
          <w:b/>
          <w:bCs/>
          <w:iCs/>
          <w:color w:val="auto"/>
          <w:sz w:val="24"/>
          <w:szCs w:val="24"/>
          <w:lang w:val="ru-RU" w:eastAsia="bg-BG"/>
        </w:rPr>
        <w:t xml:space="preserve">  </w:t>
      </w:r>
      <w:r w:rsidRPr="00BD7BB1">
        <w:rPr>
          <w:rFonts w:ascii="Times New Roman" w:eastAsia="Times New Roman" w:hAnsi="Times New Roman"/>
          <w:bCs/>
          <w:iCs/>
          <w:color w:val="auto"/>
          <w:sz w:val="24"/>
          <w:szCs w:val="24"/>
          <w:lang w:val="ru-RU" w:eastAsia="bg-BG"/>
        </w:rPr>
        <w:t>са</w:t>
      </w:r>
      <w:r w:rsidRPr="00BD7BB1">
        <w:rPr>
          <w:rFonts w:ascii="Times New Roman" w:eastAsia="Times New Roman" w:hAnsi="Times New Roman"/>
          <w:b/>
          <w:bCs/>
          <w:iCs/>
          <w:color w:val="auto"/>
          <w:sz w:val="24"/>
          <w:szCs w:val="24"/>
          <w:lang w:val="ru-RU" w:eastAsia="bg-BG"/>
        </w:rPr>
        <w:t xml:space="preserve"> </w:t>
      </w:r>
      <w:r w:rsidRPr="00BD7BB1">
        <w:rPr>
          <w:rFonts w:ascii="Times New Roman" w:eastAsia="Times New Roman" w:hAnsi="Times New Roman"/>
          <w:color w:val="auto"/>
          <w:sz w:val="24"/>
          <w:szCs w:val="24"/>
          <w:lang w:val="bg-BG" w:eastAsia="bg-BG"/>
        </w:rPr>
        <w:t>909</w:t>
      </w:r>
      <w:r w:rsidRPr="00BD7BB1">
        <w:rPr>
          <w:rFonts w:ascii="Times New Roman" w:eastAsia="Times New Roman" w:hAnsi="Times New Roman"/>
          <w:color w:val="auto"/>
          <w:sz w:val="24"/>
          <w:szCs w:val="24"/>
          <w:lang w:val="ru-RU" w:eastAsia="bg-BG"/>
        </w:rPr>
        <w:t xml:space="preserve"> бр., </w:t>
      </w:r>
      <w:r w:rsidRPr="00BD7BB1">
        <w:rPr>
          <w:rFonts w:ascii="Times New Roman" w:eastAsia="Times New Roman" w:hAnsi="Times New Roman"/>
          <w:color w:val="auto"/>
          <w:sz w:val="24"/>
          <w:szCs w:val="24"/>
          <w:lang w:val="bg-BG" w:eastAsia="bg-BG"/>
        </w:rPr>
        <w:t xml:space="preserve"> или  28,7 % </w:t>
      </w:r>
      <w:r w:rsidRPr="00BD7BB1">
        <w:rPr>
          <w:rFonts w:ascii="Times New Roman" w:eastAsia="Times New Roman" w:hAnsi="Times New Roman"/>
          <w:color w:val="auto"/>
          <w:sz w:val="24"/>
          <w:szCs w:val="24"/>
          <w:lang w:val="ru-RU" w:eastAsia="bg-BG"/>
        </w:rPr>
        <w:t xml:space="preserve">от общо за страната - 3 163 бр. На територията на област Бургас  са съсредоточени  82 %  (747 бр.) от средствата за подслон и </w:t>
      </w:r>
      <w:r w:rsidRPr="00BD7BB1">
        <w:rPr>
          <w:rFonts w:ascii="Times New Roman" w:eastAsia="Times New Roman" w:hAnsi="Times New Roman"/>
          <w:bCs/>
          <w:iCs/>
          <w:color w:val="auto"/>
          <w:sz w:val="24"/>
          <w:szCs w:val="24"/>
          <w:lang w:val="ru-RU" w:eastAsia="bg-BG"/>
        </w:rPr>
        <w:t xml:space="preserve">места за настаняване </w:t>
      </w:r>
      <w:r w:rsidRPr="00BD7BB1">
        <w:rPr>
          <w:rFonts w:ascii="Times New Roman" w:eastAsia="Times New Roman" w:hAnsi="Times New Roman"/>
          <w:bCs/>
          <w:iCs/>
          <w:color w:val="auto"/>
          <w:sz w:val="24"/>
          <w:szCs w:val="24"/>
          <w:lang w:val="bg-BG" w:eastAsia="bg-BG"/>
        </w:rPr>
        <w:t xml:space="preserve"> в района.</w:t>
      </w:r>
      <w:r w:rsidR="00E8239C">
        <w:rPr>
          <w:rFonts w:ascii="Times New Roman" w:eastAsia="Times New Roman" w:hAnsi="Times New Roman"/>
          <w:bCs/>
          <w:iCs/>
          <w:color w:val="auto"/>
          <w:sz w:val="24"/>
          <w:szCs w:val="24"/>
          <w:lang w:val="bg-BG" w:eastAsia="bg-BG"/>
        </w:rPr>
        <w:t xml:space="preserve"> </w:t>
      </w:r>
      <w:r w:rsidRPr="00BD7BB1">
        <w:rPr>
          <w:rFonts w:ascii="Times New Roman" w:eastAsia="Times New Roman" w:hAnsi="Times New Roman"/>
          <w:bCs/>
          <w:iCs/>
          <w:color w:val="auto"/>
          <w:sz w:val="24"/>
          <w:szCs w:val="24"/>
          <w:lang w:val="bg-BG" w:eastAsia="bg-BG"/>
        </w:rPr>
        <w:t>Разпределението сред останалите три области е следното:</w:t>
      </w:r>
      <w:r w:rsidRPr="00BD7BB1">
        <w:rPr>
          <w:rFonts w:ascii="Times New Roman" w:eastAsia="Times New Roman" w:hAnsi="Times New Roman"/>
          <w:color w:val="auto"/>
          <w:sz w:val="24"/>
          <w:szCs w:val="24"/>
          <w:lang w:val="ru-RU" w:eastAsia="bg-BG"/>
        </w:rPr>
        <w:t xml:space="preserve"> в област Сливен - 83 бр., в област Стара Загора - 59 бр.  и  в област ямбол Ямбол - 21 бр.</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ru-RU" w:eastAsia="bg-BG"/>
        </w:rPr>
        <w:t>По данни на НСИ средствата за подслон и места за настаняване в к.к.”Слънчев бряг” възлизат на 152 бр., като по този показател той заема първо място от деветте курортни комплекса в страната.</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ru-RU" w:eastAsia="bg-BG"/>
        </w:rPr>
      </w:pPr>
      <w:r w:rsidRPr="00BD7BB1">
        <w:rPr>
          <w:rFonts w:ascii="Times New Roman" w:eastAsia="Times New Roman" w:hAnsi="Times New Roman"/>
          <w:b/>
          <w:i/>
          <w:color w:val="auto"/>
          <w:sz w:val="24"/>
          <w:szCs w:val="24"/>
          <w:lang w:val="ru-RU" w:eastAsia="bg-BG"/>
        </w:rPr>
        <w:t>Броят легла в</w:t>
      </w:r>
      <w:r w:rsidRPr="00BD7BB1">
        <w:rPr>
          <w:rFonts w:ascii="Times New Roman" w:eastAsia="Times New Roman" w:hAnsi="Times New Roman"/>
          <w:color w:val="auto"/>
          <w:sz w:val="24"/>
          <w:szCs w:val="24"/>
          <w:lang w:val="ru-RU" w:eastAsia="bg-BG"/>
        </w:rPr>
        <w:t xml:space="preserve"> ЮИР е 128 217 бр.,</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ru-RU" w:eastAsia="bg-BG"/>
        </w:rPr>
        <w:t xml:space="preserve">което възлиза на 40,8 % от общия брой за страната  - 314 257 бр. </w:t>
      </w:r>
      <w:r w:rsidRPr="00BD7BB1">
        <w:rPr>
          <w:rFonts w:ascii="Times New Roman" w:eastAsia="Times New Roman" w:hAnsi="Times New Roman"/>
          <w:color w:val="auto"/>
          <w:sz w:val="24"/>
          <w:szCs w:val="24"/>
          <w:lang w:val="bg-BG" w:eastAsia="bg-BG"/>
        </w:rPr>
        <w:t>В област Бургас е локализирана най-голяма част от легловата ба</w:t>
      </w:r>
      <w:r w:rsidRPr="00BD7BB1">
        <w:rPr>
          <w:rFonts w:ascii="Times New Roman" w:eastAsia="Times New Roman" w:hAnsi="Times New Roman"/>
          <w:color w:val="auto"/>
          <w:sz w:val="24"/>
          <w:szCs w:val="24"/>
          <w:lang w:val="bg-BG" w:eastAsia="bg-BG"/>
        </w:rPr>
        <w:softHyphen/>
        <w:t xml:space="preserve">за </w:t>
      </w:r>
      <w:r w:rsidRPr="00BD7BB1">
        <w:rPr>
          <w:rFonts w:ascii="Times New Roman" w:eastAsia="Times New Roman" w:hAnsi="Times New Roman"/>
          <w:color w:val="auto"/>
          <w:sz w:val="24"/>
          <w:szCs w:val="24"/>
          <w:lang w:val="ru-RU" w:eastAsia="bg-BG"/>
        </w:rPr>
        <w:t>94% от общия брой легла за района - (120 986 бр.)</w:t>
      </w:r>
      <w:r w:rsidR="00683FC8">
        <w:rPr>
          <w:rFonts w:ascii="Times New Roman" w:eastAsia="Times New Roman" w:hAnsi="Times New Roman"/>
          <w:color w:val="auto"/>
          <w:sz w:val="24"/>
          <w:szCs w:val="24"/>
          <w:lang w:val="ru-RU" w:eastAsia="bg-BG"/>
        </w:rPr>
        <w:t>.</w:t>
      </w:r>
      <w:r w:rsidRPr="00BD7BB1">
        <w:rPr>
          <w:rFonts w:ascii="Times New Roman" w:eastAsia="Times New Roman" w:hAnsi="Times New Roman"/>
          <w:color w:val="auto"/>
          <w:sz w:val="24"/>
          <w:szCs w:val="24"/>
          <w:lang w:val="ru-RU" w:eastAsia="bg-BG"/>
        </w:rPr>
        <w:t xml:space="preserve"> В останалите  области на ЮИР броят легла е както следва: Стара Загора - 3843; Сливен - 2572 и Ямбол - 816 бр.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ru-RU" w:eastAsia="bg-BG"/>
        </w:rPr>
      </w:pPr>
      <w:r w:rsidRPr="00BD7BB1">
        <w:rPr>
          <w:rFonts w:ascii="Times New Roman" w:eastAsia="Times New Roman" w:hAnsi="Times New Roman"/>
          <w:bCs/>
          <w:iCs/>
          <w:color w:val="auto"/>
          <w:sz w:val="24"/>
          <w:szCs w:val="24"/>
          <w:lang w:val="bg-BG" w:eastAsia="bg-BG"/>
        </w:rPr>
        <w:t>По показател</w:t>
      </w:r>
      <w:r w:rsidRPr="00BD7BB1">
        <w:rPr>
          <w:rFonts w:ascii="Times New Roman" w:eastAsia="Times New Roman" w:hAnsi="Times New Roman"/>
          <w:b/>
          <w:bCs/>
          <w:i/>
          <w:iCs/>
          <w:color w:val="auto"/>
          <w:sz w:val="24"/>
          <w:szCs w:val="24"/>
          <w:lang w:val="bg-BG" w:eastAsia="bg-BG"/>
        </w:rPr>
        <w:t xml:space="preserve"> Приходи от нощувки</w:t>
      </w:r>
      <w:r w:rsidRPr="00BD7BB1">
        <w:rPr>
          <w:rFonts w:ascii="Times New Roman" w:eastAsia="Times New Roman" w:hAnsi="Times New Roman"/>
          <w:b/>
          <w:bCs/>
          <w:iCs/>
          <w:color w:val="auto"/>
          <w:sz w:val="24"/>
          <w:szCs w:val="24"/>
          <w:lang w:val="bg-BG" w:eastAsia="bg-BG"/>
        </w:rPr>
        <w:t>,</w:t>
      </w:r>
      <w:r w:rsidRPr="00BD7BB1">
        <w:rPr>
          <w:rFonts w:ascii="Times New Roman" w:eastAsia="Times New Roman" w:hAnsi="Times New Roman"/>
          <w:bCs/>
          <w:iCs/>
          <w:color w:val="auto"/>
          <w:sz w:val="24"/>
          <w:szCs w:val="24"/>
          <w:lang w:val="bg-BG" w:eastAsia="bg-BG"/>
        </w:rPr>
        <w:t xml:space="preserve"> </w:t>
      </w:r>
      <w:r w:rsidRPr="00BD7BB1">
        <w:rPr>
          <w:rFonts w:ascii="Times New Roman" w:eastAsia="Times New Roman" w:hAnsi="Times New Roman"/>
          <w:b/>
          <w:bCs/>
          <w:iCs/>
          <w:color w:val="auto"/>
          <w:sz w:val="24"/>
          <w:szCs w:val="24"/>
          <w:lang w:val="bg-BG" w:eastAsia="bg-BG"/>
        </w:rPr>
        <w:t>ЮИР</w:t>
      </w:r>
      <w:r w:rsidRPr="00BD7BB1">
        <w:rPr>
          <w:rFonts w:ascii="Times New Roman" w:eastAsia="Times New Roman" w:hAnsi="Times New Roman"/>
          <w:b/>
          <w:bCs/>
          <w:i/>
          <w:iCs/>
          <w:color w:val="auto"/>
          <w:sz w:val="24"/>
          <w:szCs w:val="24"/>
          <w:lang w:val="bg-BG" w:eastAsia="bg-BG"/>
        </w:rPr>
        <w:t xml:space="preserve"> </w:t>
      </w:r>
      <w:r w:rsidRPr="00BD7BB1">
        <w:rPr>
          <w:rFonts w:ascii="Times New Roman" w:eastAsia="Times New Roman" w:hAnsi="Times New Roman"/>
          <w:bCs/>
          <w:iCs/>
          <w:color w:val="auto"/>
          <w:sz w:val="24"/>
          <w:szCs w:val="24"/>
          <w:lang w:val="bg-BG" w:eastAsia="bg-BG"/>
        </w:rPr>
        <w:t>заема водещо място в страната сред районите от ниво 2,</w:t>
      </w:r>
      <w:r w:rsidRPr="00BD7BB1">
        <w:rPr>
          <w:rFonts w:ascii="Times New Roman" w:eastAsia="Times New Roman" w:hAnsi="Times New Roman"/>
          <w:b/>
          <w:bCs/>
          <w:i/>
          <w:iCs/>
          <w:color w:val="auto"/>
          <w:sz w:val="24"/>
          <w:szCs w:val="24"/>
          <w:lang w:val="bg-BG" w:eastAsia="bg-BG"/>
        </w:rPr>
        <w:t xml:space="preserve">  </w:t>
      </w:r>
      <w:r w:rsidRPr="00BD7BB1">
        <w:rPr>
          <w:rFonts w:ascii="Times New Roman" w:eastAsia="Times New Roman" w:hAnsi="Times New Roman"/>
          <w:bCs/>
          <w:iCs/>
          <w:color w:val="auto"/>
          <w:sz w:val="24"/>
          <w:szCs w:val="24"/>
          <w:lang w:val="bg-BG" w:eastAsia="bg-BG"/>
        </w:rPr>
        <w:t>с 368 565 576 лв., съставляващи 36,9 %</w:t>
      </w:r>
      <w:r w:rsidR="00F938CA">
        <w:rPr>
          <w:rFonts w:ascii="Times New Roman" w:eastAsia="Times New Roman" w:hAnsi="Times New Roman"/>
          <w:bCs/>
          <w:iCs/>
          <w:color w:val="auto"/>
          <w:sz w:val="24"/>
          <w:szCs w:val="24"/>
          <w:lang w:val="bg-BG" w:eastAsia="bg-BG"/>
        </w:rPr>
        <w:t xml:space="preserve"> от общите приходи  за страната</w:t>
      </w:r>
      <w:r w:rsidRPr="00BD7BB1">
        <w:rPr>
          <w:rFonts w:ascii="Times New Roman" w:eastAsia="Times New Roman" w:hAnsi="Times New Roman"/>
          <w:bCs/>
          <w:iCs/>
          <w:color w:val="auto"/>
          <w:sz w:val="24"/>
          <w:szCs w:val="24"/>
          <w:lang w:val="bg-BG" w:eastAsia="bg-BG"/>
        </w:rPr>
        <w:t xml:space="preserve"> </w:t>
      </w:r>
      <w:r w:rsidRPr="00BD7BB1">
        <w:rPr>
          <w:rFonts w:ascii="Times New Roman" w:eastAsia="Times New Roman" w:hAnsi="Times New Roman"/>
          <w:bCs/>
          <w:iCs/>
          <w:color w:val="auto"/>
          <w:sz w:val="24"/>
          <w:szCs w:val="24"/>
          <w:lang w:val="ru-RU" w:eastAsia="bg-BG"/>
        </w:rPr>
        <w:t xml:space="preserve">( </w:t>
      </w:r>
      <w:r w:rsidRPr="00BD7BB1">
        <w:rPr>
          <w:rFonts w:ascii="Times New Roman" w:eastAsia="Times New Roman" w:hAnsi="Times New Roman"/>
          <w:bCs/>
          <w:iCs/>
          <w:color w:val="auto"/>
          <w:sz w:val="24"/>
          <w:szCs w:val="24"/>
          <w:lang w:val="bg-BG" w:eastAsia="bg-BG"/>
        </w:rPr>
        <w:t>998 344 818 лв.</w:t>
      </w:r>
      <w:r w:rsidRPr="00BD7BB1">
        <w:rPr>
          <w:rFonts w:ascii="Times New Roman" w:eastAsia="Times New Roman" w:hAnsi="Times New Roman"/>
          <w:bCs/>
          <w:iCs/>
          <w:color w:val="auto"/>
          <w:sz w:val="24"/>
          <w:szCs w:val="24"/>
          <w:lang w:val="ru-RU" w:eastAsia="bg-BG"/>
        </w:rPr>
        <w:t>).</w:t>
      </w:r>
      <w:r w:rsidRPr="00BD7BB1">
        <w:rPr>
          <w:rFonts w:ascii="Times New Roman" w:eastAsia="Times New Roman" w:hAnsi="Times New Roman"/>
          <w:bCs/>
          <w:iCs/>
          <w:color w:val="auto"/>
          <w:sz w:val="24"/>
          <w:szCs w:val="24"/>
          <w:lang w:val="bg-BG" w:eastAsia="bg-BG"/>
        </w:rPr>
        <w:t xml:space="preserve"> На вътрешнорегионално ниво съществуват значителни диспропорции, като развитието на туризма се концентрира почти изцяло в област Бургас. Това се дължи изключително на крайбрежната територия на района, където са разположени най-атрактивните природно-рекреационните ресурси. През 2014</w:t>
      </w:r>
      <w:r w:rsidR="00F70F90">
        <w:rPr>
          <w:rFonts w:ascii="Times New Roman" w:eastAsia="Times New Roman" w:hAnsi="Times New Roman"/>
          <w:bCs/>
          <w:iCs/>
          <w:color w:val="auto"/>
          <w:sz w:val="24"/>
          <w:szCs w:val="24"/>
          <w:lang w:val="bg-BG" w:eastAsia="bg-BG"/>
        </w:rPr>
        <w:t xml:space="preserve"> </w:t>
      </w:r>
      <w:r w:rsidRPr="00BD7BB1">
        <w:rPr>
          <w:rFonts w:ascii="Times New Roman" w:eastAsia="Times New Roman" w:hAnsi="Times New Roman"/>
          <w:bCs/>
          <w:iCs/>
          <w:color w:val="auto"/>
          <w:sz w:val="24"/>
          <w:szCs w:val="24"/>
          <w:lang w:val="bg-BG" w:eastAsia="bg-BG"/>
        </w:rPr>
        <w:t>г.</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Cs/>
          <w:iCs/>
          <w:color w:val="auto"/>
          <w:sz w:val="24"/>
          <w:szCs w:val="24"/>
          <w:lang w:val="bg-BG" w:eastAsia="bg-BG"/>
        </w:rPr>
        <w:t>в областта се реализират  95% от всички приходи от нощувки в ЮИР. Само в к.к.Слънчев бряг приходите от нощувки са 200 678 410 лв., което формира дял от</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Cs/>
          <w:iCs/>
          <w:color w:val="auto"/>
          <w:sz w:val="24"/>
          <w:szCs w:val="24"/>
          <w:lang w:val="bg-BG" w:eastAsia="bg-BG"/>
        </w:rPr>
        <w:t xml:space="preserve"> 54,4 % от приходите за района и 20 % от тези за страната.</w:t>
      </w:r>
    </w:p>
    <w:p w:rsidR="00F25110" w:rsidRPr="00BD7BB1" w:rsidRDefault="00F25110" w:rsidP="00F25110">
      <w:pPr>
        <w:spacing w:after="0" w:line="360" w:lineRule="auto"/>
        <w:ind w:firstLine="708"/>
        <w:jc w:val="both"/>
        <w:rPr>
          <w:rFonts w:ascii="All Times New Roman" w:eastAsia="Times New Roman" w:hAnsi="All Times New Roman" w:cs="All Times New Roman"/>
          <w:color w:val="auto"/>
          <w:sz w:val="24"/>
          <w:szCs w:val="24"/>
          <w:lang w:val="bg-BG" w:eastAsia="bg-BG"/>
        </w:rPr>
      </w:pPr>
      <w:r w:rsidRPr="00BD7BB1">
        <w:rPr>
          <w:rFonts w:ascii="All Times New Roman" w:eastAsia="Times New Roman" w:hAnsi="All Times New Roman" w:cs="All Times New Roman"/>
          <w:color w:val="auto"/>
          <w:sz w:val="24"/>
          <w:szCs w:val="24"/>
          <w:lang w:val="bg-BG" w:eastAsia="bg-BG"/>
        </w:rPr>
        <w:lastRenderedPageBreak/>
        <w:t xml:space="preserve">През последните 4-5 години се наблюдава процес на постепенно нарастване на  показателя - приходи от нощувки, както за  ЮИР, така и за страната. Прави впечатление обаче, забавяне темпа на нарастване на показателя и докато през 2013г. спрямо 2012г. приходите от нощувки в ЮИР са нарастнали с 13% , то през 2014 г. показателят е  нарастнал едва  с 3,3 % на годишна база спрямо предходната година (356 594 395 лв.) </w:t>
      </w:r>
    </w:p>
    <w:p w:rsidR="00F25110" w:rsidRPr="00BD7BB1" w:rsidRDefault="00F25110" w:rsidP="00F25110">
      <w:pPr>
        <w:spacing w:after="0" w:line="360" w:lineRule="auto"/>
        <w:jc w:val="both"/>
        <w:rPr>
          <w:rFonts w:ascii="All Times New Roman" w:eastAsia="Times New Roman" w:hAnsi="All Times New Roman" w:cs="All Times New Roman"/>
          <w:color w:val="auto"/>
          <w:sz w:val="24"/>
          <w:szCs w:val="24"/>
          <w:lang w:val="bg-BG" w:eastAsia="bg-BG"/>
        </w:rPr>
      </w:pPr>
      <w:r w:rsidRPr="00BD7BB1">
        <w:rPr>
          <w:rFonts w:ascii="All Times New Roman" w:eastAsia="Times New Roman" w:hAnsi="All Times New Roman" w:cs="All Times New Roman"/>
          <w:color w:val="auto"/>
          <w:sz w:val="24"/>
          <w:szCs w:val="24"/>
          <w:lang w:val="bg-BG" w:eastAsia="bg-BG"/>
        </w:rPr>
        <w:t>За сравнение, приходите от нощувки на национално ниво през 2014г. спр</w:t>
      </w:r>
      <w:r w:rsidR="00BB6602">
        <w:rPr>
          <w:rFonts w:ascii="All Times New Roman" w:eastAsia="Times New Roman" w:hAnsi="All Times New Roman" w:cs="All Times New Roman"/>
          <w:color w:val="auto"/>
          <w:sz w:val="24"/>
          <w:szCs w:val="24"/>
          <w:lang w:val="bg-BG" w:eastAsia="bg-BG"/>
        </w:rPr>
        <w:t>ямо 2013г. са нарастнали с 10%.</w:t>
      </w:r>
    </w:p>
    <w:p w:rsidR="00F25110" w:rsidRPr="00BB6602" w:rsidRDefault="00F25110" w:rsidP="00F25110">
      <w:pPr>
        <w:spacing w:after="0" w:line="240" w:lineRule="auto"/>
        <w:ind w:left="-426"/>
        <w:jc w:val="both"/>
        <w:rPr>
          <w:rFonts w:ascii="Times New Roman" w:eastAsia="Times New Roman" w:hAnsi="Times New Roman"/>
          <w:b/>
          <w:bCs/>
          <w:i/>
          <w:color w:val="9B2D1F" w:themeColor="accent2"/>
          <w:sz w:val="24"/>
          <w:szCs w:val="24"/>
          <w:lang w:val="bg-BG"/>
        </w:rPr>
      </w:pPr>
      <w:r w:rsidRPr="00BB6602">
        <w:rPr>
          <w:rFonts w:ascii="Times New Roman" w:eastAsia="Times New Roman" w:hAnsi="Times New Roman"/>
          <w:b/>
          <w:i/>
          <w:iCs/>
          <w:color w:val="9B2D1F" w:themeColor="accent2"/>
          <w:sz w:val="24"/>
          <w:szCs w:val="24"/>
          <w:lang w:val="bg-BG" w:eastAsia="bg-BG"/>
        </w:rPr>
        <w:t>Таблица 7.</w:t>
      </w:r>
      <w:r w:rsidRPr="00BB6602">
        <w:rPr>
          <w:rFonts w:ascii="Times New Roman" w:eastAsia="Times New Roman" w:hAnsi="Times New Roman"/>
          <w:b/>
          <w:iCs/>
          <w:color w:val="9B2D1F" w:themeColor="accent2"/>
          <w:sz w:val="24"/>
          <w:szCs w:val="24"/>
          <w:lang w:val="bg-BG" w:eastAsia="bg-BG"/>
        </w:rPr>
        <w:t xml:space="preserve"> </w:t>
      </w:r>
      <w:r w:rsidRPr="00BB6602">
        <w:rPr>
          <w:rFonts w:ascii="Times New Roman" w:eastAsia="Times New Roman" w:hAnsi="Times New Roman"/>
          <w:b/>
          <w:bCs/>
          <w:i/>
          <w:color w:val="9B2D1F" w:themeColor="accent2"/>
          <w:sz w:val="24"/>
          <w:szCs w:val="24"/>
          <w:lang w:val="bg-BG"/>
        </w:rPr>
        <w:t>Дейност на средствата за подслон и местата за настаняване по статистически зони, статистически райони и по области през 2014 г.</w:t>
      </w:r>
    </w:p>
    <w:p w:rsidR="00F25110" w:rsidRPr="00BD7BB1" w:rsidRDefault="00F25110" w:rsidP="00F25110">
      <w:pPr>
        <w:spacing w:after="0" w:line="240" w:lineRule="auto"/>
        <w:ind w:left="-426"/>
        <w:jc w:val="both"/>
        <w:rPr>
          <w:rFonts w:ascii="Times New Roman" w:eastAsia="Times New Roman" w:hAnsi="Times New Roman"/>
          <w:b/>
          <w:bCs/>
          <w:i/>
          <w:color w:val="auto"/>
          <w:sz w:val="24"/>
          <w:szCs w:val="24"/>
          <w:lang w:val="bg-BG"/>
        </w:rPr>
      </w:pPr>
    </w:p>
    <w:tbl>
      <w:tblPr>
        <w:tblW w:w="1119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417"/>
        <w:gridCol w:w="993"/>
        <w:gridCol w:w="1134"/>
        <w:gridCol w:w="1134"/>
        <w:gridCol w:w="1134"/>
        <w:gridCol w:w="1134"/>
        <w:gridCol w:w="1275"/>
        <w:gridCol w:w="1276"/>
      </w:tblGrid>
      <w:tr w:rsidR="00F25110" w:rsidRPr="00BD7BB1" w:rsidTr="006614F6">
        <w:trPr>
          <w:trHeight w:val="555"/>
        </w:trPr>
        <w:tc>
          <w:tcPr>
            <w:tcW w:w="1702" w:type="dxa"/>
            <w:vMerge w:val="restart"/>
            <w:tcBorders>
              <w:top w:val="thinThickThinSmallGap" w:sz="24" w:space="0" w:color="auto"/>
              <w:left w:val="thinThickThinSmallGap" w:sz="24" w:space="0" w:color="auto"/>
            </w:tcBorders>
            <w:shd w:val="clear" w:color="auto" w:fill="auto"/>
          </w:tcPr>
          <w:p w:rsidR="00F25110" w:rsidRPr="00BD7BB1" w:rsidRDefault="00F25110" w:rsidP="00F25110">
            <w:pPr>
              <w:spacing w:after="0" w:line="240" w:lineRule="auto"/>
              <w:rPr>
                <w:rFonts w:ascii="Times New Roman" w:eastAsia="Times New Roman" w:hAnsi="Times New Roman"/>
                <w:b/>
                <w:bCs/>
                <w:color w:val="auto"/>
                <w:sz w:val="20"/>
                <w:lang w:val="bg-BG"/>
              </w:rPr>
            </w:pPr>
            <w:r w:rsidRPr="00BD7BB1">
              <w:rPr>
                <w:rFonts w:ascii="Times New Roman" w:eastAsia="Times New Roman" w:hAnsi="Times New Roman"/>
                <w:b/>
                <w:bCs/>
                <w:color w:val="auto"/>
                <w:sz w:val="20"/>
                <w:lang w:val="bg-BG"/>
              </w:rPr>
              <w:t>Статистически райони               Области</w:t>
            </w:r>
          </w:p>
        </w:tc>
        <w:tc>
          <w:tcPr>
            <w:tcW w:w="1417" w:type="dxa"/>
            <w:vMerge w:val="restart"/>
            <w:tcBorders>
              <w:top w:val="thinThickThinSmallGap" w:sz="24" w:space="0" w:color="auto"/>
            </w:tcBorders>
            <w:shd w:val="clear" w:color="auto" w:fill="auto"/>
          </w:tcPr>
          <w:p w:rsidR="00F25110" w:rsidRPr="00BD7BB1" w:rsidRDefault="00F25110" w:rsidP="00F25110">
            <w:pPr>
              <w:spacing w:after="0" w:line="240" w:lineRule="auto"/>
              <w:jc w:val="right"/>
              <w:rPr>
                <w:rFonts w:ascii="Times New Roman" w:eastAsia="Times New Roman" w:hAnsi="Times New Roman"/>
                <w:b/>
                <w:bCs/>
                <w:color w:val="auto"/>
                <w:sz w:val="20"/>
                <w:lang w:val="bg-BG"/>
              </w:rPr>
            </w:pPr>
            <w:r w:rsidRPr="00BD7BB1">
              <w:rPr>
                <w:rFonts w:ascii="Times New Roman" w:eastAsia="Times New Roman" w:hAnsi="Times New Roman"/>
                <w:b/>
                <w:bCs/>
                <w:color w:val="auto"/>
                <w:sz w:val="20"/>
                <w:lang w:val="bg-BG"/>
              </w:rPr>
              <w:t>Средства за подслон и места за настаняване - брой</w:t>
            </w:r>
          </w:p>
        </w:tc>
        <w:tc>
          <w:tcPr>
            <w:tcW w:w="993" w:type="dxa"/>
            <w:vMerge w:val="restart"/>
            <w:tcBorders>
              <w:top w:val="thinThickThinSmallGap" w:sz="24" w:space="0" w:color="auto"/>
            </w:tcBorders>
            <w:shd w:val="clear" w:color="auto" w:fill="auto"/>
          </w:tcPr>
          <w:p w:rsidR="00F25110" w:rsidRPr="00BD7BB1" w:rsidRDefault="00F25110" w:rsidP="00F25110">
            <w:pPr>
              <w:spacing w:after="0" w:line="240" w:lineRule="auto"/>
              <w:jc w:val="right"/>
              <w:rPr>
                <w:rFonts w:ascii="Times New Roman" w:eastAsia="Times New Roman" w:hAnsi="Times New Roman"/>
                <w:b/>
                <w:bCs/>
                <w:color w:val="auto"/>
                <w:sz w:val="20"/>
              </w:rPr>
            </w:pPr>
            <w:r w:rsidRPr="00BD7BB1">
              <w:rPr>
                <w:rFonts w:ascii="Times New Roman" w:eastAsia="Times New Roman" w:hAnsi="Times New Roman"/>
                <w:b/>
                <w:bCs/>
                <w:color w:val="auto"/>
                <w:sz w:val="20"/>
              </w:rPr>
              <w:t xml:space="preserve">Легла </w:t>
            </w:r>
            <w:r w:rsidRPr="00BD7BB1">
              <w:rPr>
                <w:rFonts w:ascii="Times New Roman" w:eastAsia="Times New Roman" w:hAnsi="Times New Roman"/>
                <w:b/>
                <w:bCs/>
                <w:color w:val="auto"/>
                <w:sz w:val="20"/>
                <w:lang w:val="bg-BG"/>
              </w:rPr>
              <w:t>-</w:t>
            </w:r>
            <w:r w:rsidRPr="00BD7BB1">
              <w:rPr>
                <w:rFonts w:ascii="Times New Roman" w:eastAsia="Times New Roman" w:hAnsi="Times New Roman"/>
                <w:b/>
                <w:bCs/>
                <w:color w:val="auto"/>
                <w:sz w:val="20"/>
              </w:rPr>
              <w:t>брой</w:t>
            </w:r>
          </w:p>
        </w:tc>
        <w:tc>
          <w:tcPr>
            <w:tcW w:w="2268" w:type="dxa"/>
            <w:gridSpan w:val="2"/>
            <w:tcBorders>
              <w:top w:val="thinThickThinSmallGap" w:sz="24" w:space="0" w:color="auto"/>
            </w:tcBorders>
            <w:shd w:val="clear" w:color="auto" w:fill="auto"/>
          </w:tcPr>
          <w:p w:rsidR="00F25110" w:rsidRPr="00BD7BB1" w:rsidRDefault="00F25110" w:rsidP="00F25110">
            <w:pPr>
              <w:spacing w:after="0" w:line="240" w:lineRule="auto"/>
              <w:jc w:val="right"/>
              <w:rPr>
                <w:rFonts w:ascii="Times New Roman" w:eastAsia="Times New Roman" w:hAnsi="Times New Roman"/>
                <w:b/>
                <w:bCs/>
                <w:color w:val="auto"/>
                <w:sz w:val="20"/>
              </w:rPr>
            </w:pPr>
            <w:r w:rsidRPr="00BD7BB1">
              <w:rPr>
                <w:rFonts w:ascii="Times New Roman" w:eastAsia="Times New Roman" w:hAnsi="Times New Roman"/>
                <w:b/>
                <w:bCs/>
                <w:color w:val="auto"/>
                <w:sz w:val="20"/>
              </w:rPr>
              <w:t>Реализирани нощувки - брой</w:t>
            </w:r>
          </w:p>
        </w:tc>
        <w:tc>
          <w:tcPr>
            <w:tcW w:w="2268" w:type="dxa"/>
            <w:gridSpan w:val="2"/>
            <w:tcBorders>
              <w:top w:val="thinThickThinSmallGap" w:sz="24" w:space="0" w:color="auto"/>
            </w:tcBorders>
            <w:shd w:val="clear" w:color="auto" w:fill="auto"/>
          </w:tcPr>
          <w:p w:rsidR="00F25110" w:rsidRPr="00BD7BB1" w:rsidRDefault="00F25110" w:rsidP="00F25110">
            <w:pPr>
              <w:spacing w:after="0" w:line="240" w:lineRule="auto"/>
              <w:jc w:val="right"/>
              <w:rPr>
                <w:rFonts w:ascii="Times New Roman" w:eastAsia="Times New Roman" w:hAnsi="Times New Roman"/>
                <w:b/>
                <w:bCs/>
                <w:color w:val="auto"/>
                <w:sz w:val="20"/>
              </w:rPr>
            </w:pPr>
            <w:r w:rsidRPr="00BD7BB1">
              <w:rPr>
                <w:rFonts w:ascii="Times New Roman" w:eastAsia="Times New Roman" w:hAnsi="Times New Roman"/>
                <w:b/>
                <w:bCs/>
                <w:color w:val="auto"/>
                <w:sz w:val="20"/>
              </w:rPr>
              <w:t>Пренощували лица - брой</w:t>
            </w:r>
          </w:p>
        </w:tc>
        <w:tc>
          <w:tcPr>
            <w:tcW w:w="2551" w:type="dxa"/>
            <w:gridSpan w:val="2"/>
            <w:tcBorders>
              <w:top w:val="thinThickThinSmallGap" w:sz="24" w:space="0" w:color="auto"/>
              <w:right w:val="thinThickThinSmallGap" w:sz="24" w:space="0" w:color="auto"/>
            </w:tcBorders>
            <w:shd w:val="clear" w:color="auto" w:fill="auto"/>
          </w:tcPr>
          <w:p w:rsidR="00F25110" w:rsidRPr="00BD7BB1" w:rsidRDefault="00F25110" w:rsidP="00F25110">
            <w:pPr>
              <w:spacing w:after="0" w:line="240" w:lineRule="auto"/>
              <w:jc w:val="right"/>
              <w:rPr>
                <w:rFonts w:ascii="Times New Roman" w:eastAsia="Times New Roman" w:hAnsi="Times New Roman"/>
                <w:b/>
                <w:bCs/>
                <w:color w:val="auto"/>
                <w:sz w:val="20"/>
              </w:rPr>
            </w:pPr>
            <w:r w:rsidRPr="00BD7BB1">
              <w:rPr>
                <w:rFonts w:ascii="Times New Roman" w:eastAsia="Times New Roman" w:hAnsi="Times New Roman"/>
                <w:b/>
                <w:bCs/>
                <w:color w:val="auto"/>
                <w:sz w:val="20"/>
              </w:rPr>
              <w:t>Приходи от нощувки - левове</w:t>
            </w:r>
          </w:p>
        </w:tc>
      </w:tr>
      <w:tr w:rsidR="00F25110" w:rsidRPr="00BD7BB1" w:rsidTr="006614F6">
        <w:trPr>
          <w:trHeight w:val="615"/>
        </w:trPr>
        <w:tc>
          <w:tcPr>
            <w:tcW w:w="1702" w:type="dxa"/>
            <w:vMerge/>
            <w:tcBorders>
              <w:left w:val="thinThickThinSmallGap" w:sz="24" w:space="0" w:color="auto"/>
            </w:tcBorders>
            <w:shd w:val="clear" w:color="auto" w:fill="auto"/>
          </w:tcPr>
          <w:p w:rsidR="00F25110" w:rsidRPr="00BD7BB1" w:rsidRDefault="00F25110" w:rsidP="00F25110">
            <w:pPr>
              <w:spacing w:after="0" w:line="240" w:lineRule="auto"/>
              <w:rPr>
                <w:rFonts w:ascii="Times New Roman" w:eastAsia="Times New Roman" w:hAnsi="Times New Roman"/>
                <w:b/>
                <w:bCs/>
                <w:color w:val="auto"/>
                <w:sz w:val="20"/>
              </w:rPr>
            </w:pPr>
          </w:p>
        </w:tc>
        <w:tc>
          <w:tcPr>
            <w:tcW w:w="1417" w:type="dxa"/>
            <w:vMerge/>
            <w:shd w:val="clear" w:color="auto" w:fill="auto"/>
          </w:tcPr>
          <w:p w:rsidR="00F25110" w:rsidRPr="00BD7BB1" w:rsidRDefault="00F25110" w:rsidP="00F25110">
            <w:pPr>
              <w:spacing w:after="0" w:line="240" w:lineRule="auto"/>
              <w:rPr>
                <w:rFonts w:ascii="Times New Roman" w:eastAsia="Times New Roman" w:hAnsi="Times New Roman"/>
                <w:b/>
                <w:bCs/>
                <w:color w:val="auto"/>
                <w:sz w:val="20"/>
              </w:rPr>
            </w:pPr>
          </w:p>
        </w:tc>
        <w:tc>
          <w:tcPr>
            <w:tcW w:w="993" w:type="dxa"/>
            <w:vMerge/>
            <w:shd w:val="clear" w:color="auto" w:fill="auto"/>
          </w:tcPr>
          <w:p w:rsidR="00F25110" w:rsidRPr="00BD7BB1" w:rsidRDefault="00F25110" w:rsidP="00F25110">
            <w:pPr>
              <w:spacing w:after="0" w:line="240" w:lineRule="auto"/>
              <w:rPr>
                <w:rFonts w:ascii="Times New Roman" w:eastAsia="Times New Roman" w:hAnsi="Times New Roman"/>
                <w:b/>
                <w:bCs/>
                <w:color w:val="auto"/>
                <w:sz w:val="20"/>
              </w:rPr>
            </w:pPr>
          </w:p>
        </w:tc>
        <w:tc>
          <w:tcPr>
            <w:tcW w:w="1134" w:type="dxa"/>
            <w:shd w:val="clear" w:color="auto" w:fill="auto"/>
          </w:tcPr>
          <w:p w:rsidR="00F25110" w:rsidRPr="00BD7BB1" w:rsidRDefault="00F25110" w:rsidP="00F25110">
            <w:pPr>
              <w:spacing w:after="0" w:line="240" w:lineRule="auto"/>
              <w:jc w:val="right"/>
              <w:rPr>
                <w:rFonts w:ascii="Times New Roman" w:eastAsia="Times New Roman" w:hAnsi="Times New Roman"/>
                <w:b/>
                <w:bCs/>
                <w:color w:val="auto"/>
                <w:sz w:val="20"/>
              </w:rPr>
            </w:pPr>
            <w:r w:rsidRPr="00BD7BB1">
              <w:rPr>
                <w:rFonts w:ascii="Times New Roman" w:eastAsia="Times New Roman" w:hAnsi="Times New Roman"/>
                <w:b/>
                <w:bCs/>
                <w:color w:val="auto"/>
                <w:sz w:val="20"/>
              </w:rPr>
              <w:t>Общо</w:t>
            </w:r>
          </w:p>
        </w:tc>
        <w:tc>
          <w:tcPr>
            <w:tcW w:w="1134" w:type="dxa"/>
            <w:shd w:val="clear" w:color="auto" w:fill="auto"/>
          </w:tcPr>
          <w:p w:rsidR="00F25110" w:rsidRPr="00BD7BB1" w:rsidRDefault="00F25110" w:rsidP="00F25110">
            <w:pPr>
              <w:spacing w:after="0" w:line="240" w:lineRule="auto"/>
              <w:jc w:val="right"/>
              <w:rPr>
                <w:rFonts w:ascii="Times New Roman" w:eastAsia="Times New Roman" w:hAnsi="Times New Roman"/>
                <w:b/>
                <w:bCs/>
                <w:color w:val="auto"/>
                <w:sz w:val="20"/>
              </w:rPr>
            </w:pPr>
            <w:r w:rsidRPr="00BD7BB1">
              <w:rPr>
                <w:rFonts w:ascii="Times New Roman" w:eastAsia="Times New Roman" w:hAnsi="Times New Roman"/>
                <w:b/>
                <w:bCs/>
                <w:color w:val="auto"/>
                <w:sz w:val="20"/>
              </w:rPr>
              <w:t>в т.ч. чужденци</w:t>
            </w:r>
          </w:p>
        </w:tc>
        <w:tc>
          <w:tcPr>
            <w:tcW w:w="1134" w:type="dxa"/>
            <w:shd w:val="clear" w:color="auto" w:fill="auto"/>
          </w:tcPr>
          <w:p w:rsidR="00F25110" w:rsidRPr="00BD7BB1" w:rsidRDefault="00F25110" w:rsidP="00F25110">
            <w:pPr>
              <w:spacing w:after="0" w:line="240" w:lineRule="auto"/>
              <w:jc w:val="right"/>
              <w:rPr>
                <w:rFonts w:ascii="Times New Roman" w:eastAsia="Times New Roman" w:hAnsi="Times New Roman"/>
                <w:b/>
                <w:bCs/>
                <w:color w:val="auto"/>
                <w:sz w:val="20"/>
              </w:rPr>
            </w:pPr>
            <w:r w:rsidRPr="00BD7BB1">
              <w:rPr>
                <w:rFonts w:ascii="Times New Roman" w:eastAsia="Times New Roman" w:hAnsi="Times New Roman"/>
                <w:b/>
                <w:bCs/>
                <w:color w:val="auto"/>
                <w:sz w:val="20"/>
              </w:rPr>
              <w:t>Общо</w:t>
            </w:r>
          </w:p>
        </w:tc>
        <w:tc>
          <w:tcPr>
            <w:tcW w:w="1134" w:type="dxa"/>
            <w:shd w:val="clear" w:color="auto" w:fill="auto"/>
          </w:tcPr>
          <w:p w:rsidR="00F25110" w:rsidRPr="00BD7BB1" w:rsidRDefault="00F25110" w:rsidP="00F25110">
            <w:pPr>
              <w:spacing w:after="0" w:line="240" w:lineRule="auto"/>
              <w:jc w:val="right"/>
              <w:rPr>
                <w:rFonts w:ascii="Times New Roman" w:eastAsia="Times New Roman" w:hAnsi="Times New Roman"/>
                <w:b/>
                <w:bCs/>
                <w:color w:val="auto"/>
                <w:sz w:val="20"/>
              </w:rPr>
            </w:pPr>
            <w:r w:rsidRPr="00BD7BB1">
              <w:rPr>
                <w:rFonts w:ascii="Times New Roman" w:eastAsia="Times New Roman" w:hAnsi="Times New Roman"/>
                <w:b/>
                <w:bCs/>
                <w:color w:val="auto"/>
                <w:sz w:val="20"/>
              </w:rPr>
              <w:t>в т.ч. чужденци</w:t>
            </w:r>
          </w:p>
        </w:tc>
        <w:tc>
          <w:tcPr>
            <w:tcW w:w="1275" w:type="dxa"/>
            <w:shd w:val="clear" w:color="auto" w:fill="auto"/>
          </w:tcPr>
          <w:p w:rsidR="00F25110" w:rsidRPr="00BD7BB1" w:rsidRDefault="00F25110" w:rsidP="00F25110">
            <w:pPr>
              <w:spacing w:after="0" w:line="240" w:lineRule="auto"/>
              <w:jc w:val="right"/>
              <w:rPr>
                <w:rFonts w:ascii="Times New Roman" w:eastAsia="Times New Roman" w:hAnsi="Times New Roman"/>
                <w:b/>
                <w:bCs/>
                <w:color w:val="auto"/>
                <w:sz w:val="20"/>
              </w:rPr>
            </w:pPr>
            <w:r w:rsidRPr="00BD7BB1">
              <w:rPr>
                <w:rFonts w:ascii="Times New Roman" w:eastAsia="Times New Roman" w:hAnsi="Times New Roman"/>
                <w:b/>
                <w:bCs/>
                <w:color w:val="auto"/>
                <w:sz w:val="20"/>
              </w:rPr>
              <w:t>Общо</w:t>
            </w:r>
          </w:p>
        </w:tc>
        <w:tc>
          <w:tcPr>
            <w:tcW w:w="1276" w:type="dxa"/>
            <w:tcBorders>
              <w:right w:val="thinThickThinSmallGap" w:sz="24" w:space="0" w:color="auto"/>
            </w:tcBorders>
            <w:shd w:val="clear" w:color="auto" w:fill="auto"/>
          </w:tcPr>
          <w:p w:rsidR="00F25110" w:rsidRPr="00BD7BB1" w:rsidRDefault="00F25110" w:rsidP="00F25110">
            <w:pPr>
              <w:spacing w:after="0" w:line="240" w:lineRule="auto"/>
              <w:jc w:val="right"/>
              <w:rPr>
                <w:rFonts w:ascii="Times New Roman" w:eastAsia="Times New Roman" w:hAnsi="Times New Roman"/>
                <w:b/>
                <w:bCs/>
                <w:color w:val="auto"/>
                <w:sz w:val="20"/>
              </w:rPr>
            </w:pPr>
            <w:r w:rsidRPr="00BD7BB1">
              <w:rPr>
                <w:rFonts w:ascii="Times New Roman" w:eastAsia="Times New Roman" w:hAnsi="Times New Roman"/>
                <w:b/>
                <w:bCs/>
                <w:color w:val="auto"/>
                <w:sz w:val="20"/>
              </w:rPr>
              <w:t>в т.ч. чужденци</w:t>
            </w:r>
          </w:p>
        </w:tc>
      </w:tr>
      <w:tr w:rsidR="00BB6602" w:rsidRPr="00BD7BB1" w:rsidTr="00BB6602">
        <w:trPr>
          <w:trHeight w:val="225"/>
        </w:trPr>
        <w:tc>
          <w:tcPr>
            <w:tcW w:w="1702" w:type="dxa"/>
            <w:tcBorders>
              <w:left w:val="thinThickThinSmallGap" w:sz="24" w:space="0" w:color="auto"/>
            </w:tcBorders>
            <w:shd w:val="clear" w:color="auto" w:fill="F4B29B" w:themeFill="accent1" w:themeFillTint="66"/>
            <w:noWrap/>
          </w:tcPr>
          <w:p w:rsidR="00F25110" w:rsidRPr="00BB6602" w:rsidRDefault="00F25110" w:rsidP="00F25110">
            <w:pPr>
              <w:spacing w:after="0" w:line="240" w:lineRule="auto"/>
              <w:rPr>
                <w:rFonts w:ascii="Times New Roman" w:eastAsia="Times New Roman" w:hAnsi="Times New Roman"/>
                <w:b/>
                <w:bCs/>
                <w:color w:val="9B2D1F" w:themeColor="accent2"/>
                <w:sz w:val="20"/>
              </w:rPr>
            </w:pPr>
            <w:r w:rsidRPr="00BB6602">
              <w:rPr>
                <w:rFonts w:ascii="Times New Roman" w:eastAsia="Times New Roman" w:hAnsi="Times New Roman"/>
                <w:b/>
                <w:bCs/>
                <w:color w:val="9B2D1F" w:themeColor="accent2"/>
                <w:sz w:val="20"/>
              </w:rPr>
              <w:t>Общо за страната</w:t>
            </w:r>
          </w:p>
        </w:tc>
        <w:tc>
          <w:tcPr>
            <w:tcW w:w="1417"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color w:val="9B2D1F" w:themeColor="accent2"/>
                <w:sz w:val="20"/>
                <w:lang w:val="bg-BG" w:eastAsia="bg-BG"/>
              </w:rPr>
            </w:pPr>
            <w:r w:rsidRPr="00BB6602">
              <w:rPr>
                <w:rFonts w:ascii="Times New Roman" w:eastAsia="Times New Roman" w:hAnsi="Times New Roman"/>
                <w:color w:val="9B2D1F" w:themeColor="accent2"/>
                <w:sz w:val="20"/>
                <w:lang w:val="bg-BG" w:eastAsia="bg-BG"/>
              </w:rPr>
              <w:t>3 163</w:t>
            </w:r>
          </w:p>
        </w:tc>
        <w:tc>
          <w:tcPr>
            <w:tcW w:w="993"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color w:val="9B2D1F" w:themeColor="accent2"/>
                <w:sz w:val="20"/>
                <w:lang w:val="bg-BG" w:eastAsia="bg-BG"/>
              </w:rPr>
            </w:pPr>
            <w:r w:rsidRPr="00BB6602">
              <w:rPr>
                <w:rFonts w:ascii="Times New Roman" w:eastAsia="Times New Roman" w:hAnsi="Times New Roman"/>
                <w:color w:val="9B2D1F" w:themeColor="accent2"/>
                <w:sz w:val="20"/>
                <w:lang w:val="bg-BG" w:eastAsia="bg-BG"/>
              </w:rPr>
              <w:t>314 257</w:t>
            </w:r>
          </w:p>
        </w:tc>
        <w:tc>
          <w:tcPr>
            <w:tcW w:w="1134"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color w:val="9B2D1F" w:themeColor="accent2"/>
                <w:sz w:val="20"/>
                <w:lang w:val="bg-BG" w:eastAsia="bg-BG"/>
              </w:rPr>
            </w:pPr>
            <w:r w:rsidRPr="00BB6602">
              <w:rPr>
                <w:rFonts w:ascii="Times New Roman" w:eastAsia="Times New Roman" w:hAnsi="Times New Roman"/>
                <w:color w:val="9B2D1F" w:themeColor="accent2"/>
                <w:sz w:val="20"/>
                <w:lang w:val="bg-BG" w:eastAsia="bg-BG"/>
              </w:rPr>
              <w:t>21 698 391</w:t>
            </w:r>
          </w:p>
        </w:tc>
        <w:tc>
          <w:tcPr>
            <w:tcW w:w="1134"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color w:val="9B2D1F" w:themeColor="accent2"/>
                <w:sz w:val="20"/>
                <w:lang w:val="bg-BG" w:eastAsia="bg-BG"/>
              </w:rPr>
            </w:pPr>
            <w:r w:rsidRPr="00BB6602">
              <w:rPr>
                <w:rFonts w:ascii="Times New Roman" w:eastAsia="Times New Roman" w:hAnsi="Times New Roman"/>
                <w:color w:val="9B2D1F" w:themeColor="accent2"/>
                <w:sz w:val="20"/>
                <w:lang w:val="bg-BG" w:eastAsia="bg-BG"/>
              </w:rPr>
              <w:t>14 077 798</w:t>
            </w:r>
          </w:p>
        </w:tc>
        <w:tc>
          <w:tcPr>
            <w:tcW w:w="1134"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color w:val="9B2D1F" w:themeColor="accent2"/>
                <w:sz w:val="20"/>
                <w:lang w:val="bg-BG" w:eastAsia="bg-BG"/>
              </w:rPr>
            </w:pPr>
            <w:r w:rsidRPr="00BB6602">
              <w:rPr>
                <w:rFonts w:ascii="Times New Roman" w:eastAsia="Times New Roman" w:hAnsi="Times New Roman"/>
                <w:color w:val="9B2D1F" w:themeColor="accent2"/>
                <w:sz w:val="20"/>
                <w:lang w:val="bg-BG" w:eastAsia="bg-BG"/>
              </w:rPr>
              <w:t>5 945 908</w:t>
            </w:r>
          </w:p>
        </w:tc>
        <w:tc>
          <w:tcPr>
            <w:tcW w:w="1134"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color w:val="9B2D1F" w:themeColor="accent2"/>
                <w:sz w:val="20"/>
                <w:lang w:val="bg-BG" w:eastAsia="bg-BG"/>
              </w:rPr>
            </w:pPr>
            <w:r w:rsidRPr="00BB6602">
              <w:rPr>
                <w:rFonts w:ascii="Times New Roman" w:eastAsia="Times New Roman" w:hAnsi="Times New Roman"/>
                <w:color w:val="9B2D1F" w:themeColor="accent2"/>
                <w:sz w:val="20"/>
                <w:lang w:val="bg-BG" w:eastAsia="bg-BG"/>
              </w:rPr>
              <w:t>2 791 578</w:t>
            </w:r>
          </w:p>
        </w:tc>
        <w:tc>
          <w:tcPr>
            <w:tcW w:w="1275"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color w:val="9B2D1F" w:themeColor="accent2"/>
                <w:sz w:val="20"/>
                <w:lang w:val="bg-BG" w:eastAsia="bg-BG"/>
              </w:rPr>
            </w:pPr>
            <w:r w:rsidRPr="00BB6602">
              <w:rPr>
                <w:rFonts w:ascii="Times New Roman" w:eastAsia="Times New Roman" w:hAnsi="Times New Roman"/>
                <w:color w:val="9B2D1F" w:themeColor="accent2"/>
                <w:sz w:val="20"/>
                <w:lang w:val="bg-BG" w:eastAsia="bg-BG"/>
              </w:rPr>
              <w:t>998 344 818</w:t>
            </w:r>
          </w:p>
        </w:tc>
        <w:tc>
          <w:tcPr>
            <w:tcW w:w="1276" w:type="dxa"/>
            <w:tcBorders>
              <w:right w:val="thinThickThinSmallGap" w:sz="24" w:space="0" w:color="auto"/>
            </w:tcBorders>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color w:val="9B2D1F" w:themeColor="accent2"/>
                <w:sz w:val="20"/>
                <w:lang w:val="bg-BG" w:eastAsia="bg-BG"/>
              </w:rPr>
            </w:pPr>
            <w:r w:rsidRPr="00BB6602">
              <w:rPr>
                <w:rFonts w:ascii="Times New Roman" w:eastAsia="Times New Roman" w:hAnsi="Times New Roman"/>
                <w:color w:val="9B2D1F" w:themeColor="accent2"/>
                <w:sz w:val="20"/>
                <w:lang w:val="bg-BG" w:eastAsia="bg-BG"/>
              </w:rPr>
              <w:t>711 764 101</w:t>
            </w:r>
          </w:p>
        </w:tc>
      </w:tr>
      <w:tr w:rsidR="00F25110" w:rsidRPr="00BD7BB1" w:rsidTr="006614F6">
        <w:trPr>
          <w:trHeight w:val="225"/>
        </w:trPr>
        <w:tc>
          <w:tcPr>
            <w:tcW w:w="1702" w:type="dxa"/>
            <w:tcBorders>
              <w:left w:val="thinThickThinSmallGap" w:sz="24" w:space="0" w:color="auto"/>
            </w:tcBorders>
            <w:shd w:val="clear" w:color="auto" w:fill="auto"/>
            <w:noWrap/>
          </w:tcPr>
          <w:p w:rsidR="00F25110" w:rsidRPr="00BD7BB1" w:rsidRDefault="00F25110" w:rsidP="00F25110">
            <w:pPr>
              <w:spacing w:after="0" w:line="240" w:lineRule="auto"/>
              <w:rPr>
                <w:rFonts w:ascii="Times New Roman" w:eastAsia="Times New Roman" w:hAnsi="Times New Roman"/>
                <w:bCs/>
                <w:i/>
                <w:color w:val="auto"/>
                <w:sz w:val="20"/>
              </w:rPr>
            </w:pPr>
            <w:r w:rsidRPr="00BD7BB1">
              <w:rPr>
                <w:rFonts w:ascii="Times New Roman" w:eastAsia="Times New Roman" w:hAnsi="Times New Roman"/>
                <w:bCs/>
                <w:i/>
                <w:color w:val="auto"/>
                <w:sz w:val="20"/>
              </w:rPr>
              <w:t>Северозападен район</w:t>
            </w:r>
          </w:p>
        </w:tc>
        <w:tc>
          <w:tcPr>
            <w:tcW w:w="1417"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206</w:t>
            </w:r>
          </w:p>
        </w:tc>
        <w:tc>
          <w:tcPr>
            <w:tcW w:w="993"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8 741</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502 229</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56 308</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260 184</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28 371</w:t>
            </w:r>
          </w:p>
        </w:tc>
        <w:tc>
          <w:tcPr>
            <w:tcW w:w="1275"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17 119 082</w:t>
            </w:r>
          </w:p>
        </w:tc>
        <w:tc>
          <w:tcPr>
            <w:tcW w:w="1276" w:type="dxa"/>
            <w:tcBorders>
              <w:right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2 583 298</w:t>
            </w:r>
          </w:p>
        </w:tc>
      </w:tr>
      <w:tr w:rsidR="00F25110" w:rsidRPr="00BD7BB1" w:rsidTr="006614F6">
        <w:trPr>
          <w:trHeight w:val="225"/>
        </w:trPr>
        <w:tc>
          <w:tcPr>
            <w:tcW w:w="1702" w:type="dxa"/>
            <w:tcBorders>
              <w:left w:val="thinThickThinSmallGap" w:sz="24" w:space="0" w:color="auto"/>
            </w:tcBorders>
            <w:shd w:val="clear" w:color="auto" w:fill="auto"/>
            <w:noWrap/>
          </w:tcPr>
          <w:p w:rsidR="00F25110" w:rsidRPr="00BD7BB1" w:rsidRDefault="00F25110" w:rsidP="00F25110">
            <w:pPr>
              <w:spacing w:after="0" w:line="240" w:lineRule="auto"/>
              <w:rPr>
                <w:rFonts w:ascii="Times New Roman" w:eastAsia="Times New Roman" w:hAnsi="Times New Roman"/>
                <w:bCs/>
                <w:i/>
                <w:color w:val="auto"/>
                <w:sz w:val="20"/>
              </w:rPr>
            </w:pPr>
            <w:r w:rsidRPr="00BD7BB1">
              <w:rPr>
                <w:rFonts w:ascii="Times New Roman" w:eastAsia="Times New Roman" w:hAnsi="Times New Roman"/>
                <w:bCs/>
                <w:i/>
                <w:color w:val="auto"/>
                <w:sz w:val="20"/>
              </w:rPr>
              <w:t>Северен централен район</w:t>
            </w:r>
          </w:p>
        </w:tc>
        <w:tc>
          <w:tcPr>
            <w:tcW w:w="1417"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263</w:t>
            </w:r>
          </w:p>
        </w:tc>
        <w:tc>
          <w:tcPr>
            <w:tcW w:w="993"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11 542</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653 968</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131 344</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392 670</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79 698</w:t>
            </w:r>
          </w:p>
        </w:tc>
        <w:tc>
          <w:tcPr>
            <w:tcW w:w="1275"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24 555 762</w:t>
            </w:r>
          </w:p>
        </w:tc>
        <w:tc>
          <w:tcPr>
            <w:tcW w:w="1276" w:type="dxa"/>
            <w:tcBorders>
              <w:right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6 636 525</w:t>
            </w:r>
          </w:p>
        </w:tc>
      </w:tr>
      <w:tr w:rsidR="00F25110" w:rsidRPr="00BD7BB1" w:rsidTr="006614F6">
        <w:trPr>
          <w:trHeight w:val="225"/>
        </w:trPr>
        <w:tc>
          <w:tcPr>
            <w:tcW w:w="1702" w:type="dxa"/>
            <w:tcBorders>
              <w:left w:val="thinThickThinSmallGap" w:sz="24" w:space="0" w:color="auto"/>
            </w:tcBorders>
            <w:shd w:val="clear" w:color="auto" w:fill="auto"/>
            <w:noWrap/>
          </w:tcPr>
          <w:p w:rsidR="00F25110" w:rsidRPr="00BD7BB1" w:rsidRDefault="00F25110" w:rsidP="00F25110">
            <w:pPr>
              <w:spacing w:after="0" w:line="240" w:lineRule="auto"/>
              <w:rPr>
                <w:rFonts w:ascii="Times New Roman" w:eastAsia="Times New Roman" w:hAnsi="Times New Roman"/>
                <w:bCs/>
                <w:i/>
                <w:color w:val="auto"/>
                <w:sz w:val="20"/>
              </w:rPr>
            </w:pPr>
            <w:r w:rsidRPr="00BD7BB1">
              <w:rPr>
                <w:rFonts w:ascii="Times New Roman" w:eastAsia="Times New Roman" w:hAnsi="Times New Roman"/>
                <w:bCs/>
                <w:i/>
                <w:color w:val="auto"/>
                <w:sz w:val="20"/>
              </w:rPr>
              <w:t>Североизточен район</w:t>
            </w:r>
          </w:p>
        </w:tc>
        <w:tc>
          <w:tcPr>
            <w:tcW w:w="1417"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596</w:t>
            </w:r>
          </w:p>
        </w:tc>
        <w:tc>
          <w:tcPr>
            <w:tcW w:w="993"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93 279</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6 432 891</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5 064 824</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1 259 503</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798 455</w:t>
            </w:r>
          </w:p>
        </w:tc>
        <w:tc>
          <w:tcPr>
            <w:tcW w:w="1275"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315 326 038</w:t>
            </w:r>
          </w:p>
        </w:tc>
        <w:tc>
          <w:tcPr>
            <w:tcW w:w="1276" w:type="dxa"/>
            <w:tcBorders>
              <w:right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261 398 443</w:t>
            </w:r>
          </w:p>
        </w:tc>
      </w:tr>
      <w:tr w:rsidR="00F25110" w:rsidRPr="00BD7BB1" w:rsidTr="006614F6">
        <w:trPr>
          <w:trHeight w:val="264"/>
        </w:trPr>
        <w:tc>
          <w:tcPr>
            <w:tcW w:w="1702" w:type="dxa"/>
            <w:tcBorders>
              <w:left w:val="thinThickThinSmallGap" w:sz="24" w:space="0" w:color="auto"/>
            </w:tcBorders>
            <w:shd w:val="clear" w:color="auto" w:fill="auto"/>
            <w:noWrap/>
          </w:tcPr>
          <w:p w:rsidR="00F25110" w:rsidRPr="00BD7BB1" w:rsidRDefault="00F25110" w:rsidP="00F25110">
            <w:pPr>
              <w:spacing w:after="0" w:line="240" w:lineRule="auto"/>
              <w:rPr>
                <w:rFonts w:ascii="Times New Roman" w:eastAsia="Times New Roman" w:hAnsi="Times New Roman"/>
                <w:bCs/>
                <w:i/>
                <w:color w:val="auto"/>
                <w:sz w:val="20"/>
              </w:rPr>
            </w:pPr>
            <w:r w:rsidRPr="00BD7BB1">
              <w:rPr>
                <w:rFonts w:ascii="Times New Roman" w:eastAsia="Times New Roman" w:hAnsi="Times New Roman"/>
                <w:bCs/>
                <w:i/>
                <w:color w:val="auto"/>
                <w:sz w:val="20"/>
              </w:rPr>
              <w:t>Югозападен район</w:t>
            </w:r>
          </w:p>
        </w:tc>
        <w:tc>
          <w:tcPr>
            <w:tcW w:w="1417"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605</w:t>
            </w:r>
          </w:p>
        </w:tc>
        <w:tc>
          <w:tcPr>
            <w:tcW w:w="993"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44 514</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3 435 008</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1 799 696</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1 629 119</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785 654</w:t>
            </w:r>
          </w:p>
        </w:tc>
        <w:tc>
          <w:tcPr>
            <w:tcW w:w="1275"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184 657 472</w:t>
            </w:r>
          </w:p>
        </w:tc>
        <w:tc>
          <w:tcPr>
            <w:tcW w:w="1276" w:type="dxa"/>
            <w:tcBorders>
              <w:right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119 452 964</w:t>
            </w:r>
          </w:p>
        </w:tc>
      </w:tr>
      <w:tr w:rsidR="00F25110" w:rsidRPr="00BD7BB1" w:rsidTr="006614F6">
        <w:trPr>
          <w:trHeight w:val="225"/>
        </w:trPr>
        <w:tc>
          <w:tcPr>
            <w:tcW w:w="1702" w:type="dxa"/>
            <w:tcBorders>
              <w:left w:val="thinThickThinSmallGap" w:sz="24" w:space="0" w:color="auto"/>
            </w:tcBorders>
            <w:shd w:val="clear" w:color="auto" w:fill="auto"/>
            <w:noWrap/>
          </w:tcPr>
          <w:p w:rsidR="00F25110" w:rsidRPr="00BD7BB1" w:rsidRDefault="00F25110" w:rsidP="00F25110">
            <w:pPr>
              <w:spacing w:after="0" w:line="240" w:lineRule="auto"/>
              <w:rPr>
                <w:rFonts w:ascii="Times New Roman" w:eastAsia="Times New Roman" w:hAnsi="Times New Roman"/>
                <w:bCs/>
                <w:i/>
                <w:color w:val="auto"/>
                <w:sz w:val="20"/>
              </w:rPr>
            </w:pPr>
            <w:r w:rsidRPr="00BD7BB1">
              <w:rPr>
                <w:rFonts w:ascii="Times New Roman" w:eastAsia="Times New Roman" w:hAnsi="Times New Roman"/>
                <w:bCs/>
                <w:i/>
                <w:color w:val="auto"/>
                <w:sz w:val="20"/>
              </w:rPr>
              <w:t>Южен централен район</w:t>
            </w:r>
          </w:p>
        </w:tc>
        <w:tc>
          <w:tcPr>
            <w:tcW w:w="1417"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584</w:t>
            </w:r>
          </w:p>
        </w:tc>
        <w:tc>
          <w:tcPr>
            <w:tcW w:w="993"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27 964</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2 113 542</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445 786</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924 246</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162 568</w:t>
            </w:r>
          </w:p>
        </w:tc>
        <w:tc>
          <w:tcPr>
            <w:tcW w:w="1275"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88 120 888</w:t>
            </w:r>
          </w:p>
        </w:tc>
        <w:tc>
          <w:tcPr>
            <w:tcW w:w="1276" w:type="dxa"/>
            <w:tcBorders>
              <w:right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22 875 660</w:t>
            </w:r>
          </w:p>
        </w:tc>
      </w:tr>
      <w:tr w:rsidR="00BB6602" w:rsidRPr="00BD7BB1" w:rsidTr="00BB6602">
        <w:trPr>
          <w:trHeight w:val="225"/>
        </w:trPr>
        <w:tc>
          <w:tcPr>
            <w:tcW w:w="1702" w:type="dxa"/>
            <w:tcBorders>
              <w:left w:val="thinThickThinSmallGap" w:sz="24" w:space="0" w:color="auto"/>
            </w:tcBorders>
            <w:shd w:val="clear" w:color="auto" w:fill="F4B29B" w:themeFill="accent1" w:themeFillTint="66"/>
            <w:noWrap/>
          </w:tcPr>
          <w:p w:rsidR="00F25110" w:rsidRPr="00BB6602" w:rsidRDefault="00F25110" w:rsidP="00F25110">
            <w:pPr>
              <w:spacing w:after="0" w:line="240" w:lineRule="auto"/>
              <w:rPr>
                <w:rFonts w:ascii="Times New Roman" w:eastAsia="Times New Roman" w:hAnsi="Times New Roman"/>
                <w:b/>
                <w:bCs/>
                <w:color w:val="9B2D1F" w:themeColor="accent2"/>
                <w:sz w:val="20"/>
              </w:rPr>
            </w:pPr>
            <w:r w:rsidRPr="00BB6602">
              <w:rPr>
                <w:rFonts w:ascii="Times New Roman" w:eastAsia="Times New Roman" w:hAnsi="Times New Roman"/>
                <w:b/>
                <w:bCs/>
                <w:color w:val="9B2D1F" w:themeColor="accent2"/>
                <w:sz w:val="20"/>
              </w:rPr>
              <w:t>Югоизточен район</w:t>
            </w:r>
          </w:p>
        </w:tc>
        <w:tc>
          <w:tcPr>
            <w:tcW w:w="1417"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b/>
                <w:color w:val="9B2D1F" w:themeColor="accent2"/>
                <w:sz w:val="20"/>
                <w:lang w:val="bg-BG" w:eastAsia="bg-BG"/>
              </w:rPr>
            </w:pPr>
            <w:r w:rsidRPr="00BB6602">
              <w:rPr>
                <w:rFonts w:ascii="Times New Roman" w:eastAsia="Times New Roman" w:hAnsi="Times New Roman"/>
                <w:b/>
                <w:color w:val="9B2D1F" w:themeColor="accent2"/>
                <w:sz w:val="20"/>
                <w:lang w:val="bg-BG" w:eastAsia="bg-BG"/>
              </w:rPr>
              <w:t>909</w:t>
            </w:r>
          </w:p>
        </w:tc>
        <w:tc>
          <w:tcPr>
            <w:tcW w:w="993"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b/>
                <w:color w:val="9B2D1F" w:themeColor="accent2"/>
                <w:sz w:val="20"/>
                <w:lang w:val="bg-BG" w:eastAsia="bg-BG"/>
              </w:rPr>
            </w:pPr>
            <w:r w:rsidRPr="00BB6602">
              <w:rPr>
                <w:rFonts w:ascii="Times New Roman" w:eastAsia="Times New Roman" w:hAnsi="Times New Roman"/>
                <w:b/>
                <w:color w:val="9B2D1F" w:themeColor="accent2"/>
                <w:sz w:val="20"/>
                <w:lang w:val="bg-BG" w:eastAsia="bg-BG"/>
              </w:rPr>
              <w:t>128 217</w:t>
            </w:r>
          </w:p>
        </w:tc>
        <w:tc>
          <w:tcPr>
            <w:tcW w:w="1134"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b/>
                <w:color w:val="9B2D1F" w:themeColor="accent2"/>
                <w:sz w:val="20"/>
                <w:lang w:val="bg-BG" w:eastAsia="bg-BG"/>
              </w:rPr>
            </w:pPr>
            <w:r w:rsidRPr="00BB6602">
              <w:rPr>
                <w:rFonts w:ascii="Times New Roman" w:eastAsia="Times New Roman" w:hAnsi="Times New Roman"/>
                <w:b/>
                <w:color w:val="9B2D1F" w:themeColor="accent2"/>
                <w:sz w:val="20"/>
                <w:lang w:val="bg-BG" w:eastAsia="bg-BG"/>
              </w:rPr>
              <w:t>8 560 753</w:t>
            </w:r>
          </w:p>
        </w:tc>
        <w:tc>
          <w:tcPr>
            <w:tcW w:w="1134"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b/>
                <w:color w:val="9B2D1F" w:themeColor="accent2"/>
                <w:sz w:val="20"/>
                <w:lang w:val="bg-BG" w:eastAsia="bg-BG"/>
              </w:rPr>
            </w:pPr>
            <w:r w:rsidRPr="00BB6602">
              <w:rPr>
                <w:rFonts w:ascii="Times New Roman" w:eastAsia="Times New Roman" w:hAnsi="Times New Roman"/>
                <w:b/>
                <w:color w:val="9B2D1F" w:themeColor="accent2"/>
                <w:sz w:val="20"/>
                <w:lang w:val="bg-BG" w:eastAsia="bg-BG"/>
              </w:rPr>
              <w:t>6 579 840</w:t>
            </w:r>
          </w:p>
        </w:tc>
        <w:tc>
          <w:tcPr>
            <w:tcW w:w="1134"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b/>
                <w:color w:val="9B2D1F" w:themeColor="accent2"/>
                <w:sz w:val="20"/>
                <w:lang w:val="bg-BG" w:eastAsia="bg-BG"/>
              </w:rPr>
            </w:pPr>
            <w:r w:rsidRPr="00BB6602">
              <w:rPr>
                <w:rFonts w:ascii="Times New Roman" w:eastAsia="Times New Roman" w:hAnsi="Times New Roman"/>
                <w:b/>
                <w:color w:val="9B2D1F" w:themeColor="accent2"/>
                <w:sz w:val="20"/>
                <w:lang w:val="bg-BG" w:eastAsia="bg-BG"/>
              </w:rPr>
              <w:t>1 480 186</w:t>
            </w:r>
          </w:p>
        </w:tc>
        <w:tc>
          <w:tcPr>
            <w:tcW w:w="1134"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b/>
                <w:color w:val="9B2D1F" w:themeColor="accent2"/>
                <w:sz w:val="20"/>
                <w:lang w:val="bg-BG" w:eastAsia="bg-BG"/>
              </w:rPr>
            </w:pPr>
            <w:r w:rsidRPr="00BB6602">
              <w:rPr>
                <w:rFonts w:ascii="Times New Roman" w:eastAsia="Times New Roman" w:hAnsi="Times New Roman"/>
                <w:b/>
                <w:color w:val="9B2D1F" w:themeColor="accent2"/>
                <w:sz w:val="20"/>
                <w:lang w:val="bg-BG" w:eastAsia="bg-BG"/>
              </w:rPr>
              <w:t>936 832</w:t>
            </w:r>
          </w:p>
        </w:tc>
        <w:tc>
          <w:tcPr>
            <w:tcW w:w="1275" w:type="dxa"/>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b/>
                <w:color w:val="9B2D1F" w:themeColor="accent2"/>
                <w:sz w:val="20"/>
                <w:lang w:val="bg-BG" w:eastAsia="bg-BG"/>
              </w:rPr>
            </w:pPr>
            <w:r w:rsidRPr="00BB6602">
              <w:rPr>
                <w:rFonts w:ascii="Times New Roman" w:eastAsia="Times New Roman" w:hAnsi="Times New Roman"/>
                <w:b/>
                <w:color w:val="9B2D1F" w:themeColor="accent2"/>
                <w:sz w:val="20"/>
                <w:lang w:val="bg-BG" w:eastAsia="bg-BG"/>
              </w:rPr>
              <w:t>368 565 576</w:t>
            </w:r>
          </w:p>
        </w:tc>
        <w:tc>
          <w:tcPr>
            <w:tcW w:w="1276" w:type="dxa"/>
            <w:tcBorders>
              <w:right w:val="thinThickThinSmallGap" w:sz="24" w:space="0" w:color="auto"/>
            </w:tcBorders>
            <w:shd w:val="clear" w:color="auto" w:fill="F4B29B" w:themeFill="accent1" w:themeFillTint="66"/>
            <w:noWrap/>
            <w:vAlign w:val="center"/>
          </w:tcPr>
          <w:p w:rsidR="00F25110" w:rsidRPr="00BB6602" w:rsidRDefault="00F25110" w:rsidP="00F25110">
            <w:pPr>
              <w:spacing w:after="0" w:line="240" w:lineRule="auto"/>
              <w:jc w:val="center"/>
              <w:rPr>
                <w:rFonts w:ascii="Times New Roman" w:eastAsia="Times New Roman" w:hAnsi="Times New Roman"/>
                <w:b/>
                <w:color w:val="9B2D1F" w:themeColor="accent2"/>
                <w:sz w:val="20"/>
                <w:lang w:val="bg-BG" w:eastAsia="bg-BG"/>
              </w:rPr>
            </w:pPr>
            <w:r w:rsidRPr="00BB6602">
              <w:rPr>
                <w:rFonts w:ascii="Times New Roman" w:eastAsia="Times New Roman" w:hAnsi="Times New Roman"/>
                <w:b/>
                <w:color w:val="9B2D1F" w:themeColor="accent2"/>
                <w:sz w:val="20"/>
                <w:lang w:val="bg-BG" w:eastAsia="bg-BG"/>
              </w:rPr>
              <w:t>298 817 211</w:t>
            </w:r>
          </w:p>
        </w:tc>
      </w:tr>
      <w:tr w:rsidR="00F25110" w:rsidRPr="00BD7BB1" w:rsidTr="006614F6">
        <w:trPr>
          <w:trHeight w:val="280"/>
        </w:trPr>
        <w:tc>
          <w:tcPr>
            <w:tcW w:w="1702" w:type="dxa"/>
            <w:tcBorders>
              <w:left w:val="thinThickThinSmallGap" w:sz="24" w:space="0" w:color="auto"/>
            </w:tcBorders>
            <w:shd w:val="clear" w:color="auto" w:fill="auto"/>
            <w:noWrap/>
          </w:tcPr>
          <w:p w:rsidR="00F25110" w:rsidRPr="00BD7BB1" w:rsidRDefault="00F25110" w:rsidP="00F25110">
            <w:pPr>
              <w:spacing w:after="0" w:line="240" w:lineRule="auto"/>
              <w:rPr>
                <w:rFonts w:ascii="Times New Roman" w:eastAsia="Times New Roman" w:hAnsi="Times New Roman"/>
                <w:b/>
                <w:color w:val="auto"/>
                <w:sz w:val="20"/>
              </w:rPr>
            </w:pPr>
            <w:r w:rsidRPr="00BD7BB1">
              <w:rPr>
                <w:rFonts w:ascii="Times New Roman" w:eastAsia="Times New Roman" w:hAnsi="Times New Roman"/>
                <w:b/>
                <w:color w:val="auto"/>
                <w:sz w:val="20"/>
              </w:rPr>
              <w:t>Бургас</w:t>
            </w:r>
          </w:p>
        </w:tc>
        <w:tc>
          <w:tcPr>
            <w:tcW w:w="1417"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747</w:t>
            </w:r>
          </w:p>
        </w:tc>
        <w:tc>
          <w:tcPr>
            <w:tcW w:w="993"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120 986</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8 051 983</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6 495 433</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1297569</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908 019</w:t>
            </w:r>
          </w:p>
        </w:tc>
        <w:tc>
          <w:tcPr>
            <w:tcW w:w="1275"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350 180 021</w:t>
            </w:r>
          </w:p>
        </w:tc>
        <w:tc>
          <w:tcPr>
            <w:tcW w:w="1276" w:type="dxa"/>
            <w:tcBorders>
              <w:right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294 011 373</w:t>
            </w:r>
          </w:p>
        </w:tc>
      </w:tr>
      <w:tr w:rsidR="00F25110" w:rsidRPr="00BD7BB1" w:rsidTr="006614F6">
        <w:trPr>
          <w:trHeight w:val="283"/>
        </w:trPr>
        <w:tc>
          <w:tcPr>
            <w:tcW w:w="1702" w:type="dxa"/>
            <w:tcBorders>
              <w:left w:val="thinThickThinSmallGap" w:sz="24" w:space="0" w:color="auto"/>
            </w:tcBorders>
            <w:shd w:val="clear" w:color="auto" w:fill="auto"/>
            <w:noWrap/>
          </w:tcPr>
          <w:p w:rsidR="00F25110" w:rsidRPr="00BD7BB1" w:rsidRDefault="00F25110" w:rsidP="00F25110">
            <w:pPr>
              <w:spacing w:after="0" w:line="240" w:lineRule="auto"/>
              <w:rPr>
                <w:rFonts w:ascii="Times New Roman" w:eastAsia="Times New Roman" w:hAnsi="Times New Roman"/>
                <w:b/>
                <w:color w:val="auto"/>
                <w:sz w:val="20"/>
              </w:rPr>
            </w:pPr>
            <w:r w:rsidRPr="00BD7BB1">
              <w:rPr>
                <w:rFonts w:ascii="Times New Roman" w:eastAsia="Times New Roman" w:hAnsi="Times New Roman"/>
                <w:b/>
                <w:color w:val="auto"/>
                <w:sz w:val="20"/>
              </w:rPr>
              <w:t>Сливен</w:t>
            </w:r>
          </w:p>
        </w:tc>
        <w:tc>
          <w:tcPr>
            <w:tcW w:w="1417"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82</w:t>
            </w:r>
          </w:p>
        </w:tc>
        <w:tc>
          <w:tcPr>
            <w:tcW w:w="993"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2 572</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104 897</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15 076</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46 026</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5 935</w:t>
            </w:r>
          </w:p>
        </w:tc>
        <w:tc>
          <w:tcPr>
            <w:tcW w:w="1275"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3 507 450</w:t>
            </w:r>
          </w:p>
        </w:tc>
        <w:tc>
          <w:tcPr>
            <w:tcW w:w="1276" w:type="dxa"/>
            <w:tcBorders>
              <w:right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906 428</w:t>
            </w:r>
          </w:p>
        </w:tc>
      </w:tr>
      <w:tr w:rsidR="00F25110" w:rsidRPr="00BD7BB1" w:rsidTr="006614F6">
        <w:trPr>
          <w:trHeight w:val="260"/>
        </w:trPr>
        <w:tc>
          <w:tcPr>
            <w:tcW w:w="1702" w:type="dxa"/>
            <w:tcBorders>
              <w:left w:val="thinThickThinSmallGap" w:sz="24" w:space="0" w:color="auto"/>
            </w:tcBorders>
            <w:shd w:val="clear" w:color="auto" w:fill="auto"/>
            <w:noWrap/>
          </w:tcPr>
          <w:p w:rsidR="00F25110" w:rsidRPr="00BD7BB1" w:rsidRDefault="00F25110" w:rsidP="00F25110">
            <w:pPr>
              <w:spacing w:after="0" w:line="240" w:lineRule="auto"/>
              <w:rPr>
                <w:rFonts w:ascii="Times New Roman" w:eastAsia="Times New Roman" w:hAnsi="Times New Roman"/>
                <w:b/>
                <w:color w:val="auto"/>
                <w:sz w:val="20"/>
              </w:rPr>
            </w:pPr>
            <w:r w:rsidRPr="00BD7BB1">
              <w:rPr>
                <w:rFonts w:ascii="Times New Roman" w:eastAsia="Times New Roman" w:hAnsi="Times New Roman"/>
                <w:b/>
                <w:color w:val="auto"/>
                <w:sz w:val="20"/>
              </w:rPr>
              <w:t>Стара Загора</w:t>
            </w:r>
          </w:p>
        </w:tc>
        <w:tc>
          <w:tcPr>
            <w:tcW w:w="1417"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59</w:t>
            </w:r>
          </w:p>
        </w:tc>
        <w:tc>
          <w:tcPr>
            <w:tcW w:w="993"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3 843</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309 432</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45 774</w:t>
            </w:r>
          </w:p>
        </w:tc>
        <w:tc>
          <w:tcPr>
            <w:tcW w:w="1134"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116 698</w:t>
            </w:r>
          </w:p>
        </w:tc>
        <w:tc>
          <w:tcPr>
            <w:tcW w:w="1134" w:type="dxa"/>
            <w:shd w:val="clear" w:color="auto" w:fill="auto"/>
            <w:noWrap/>
            <w:vAlign w:val="center"/>
          </w:tcPr>
          <w:p w:rsidR="00F25110" w:rsidRPr="00BD7BB1" w:rsidRDefault="00F25110" w:rsidP="00F25110">
            <w:pPr>
              <w:spacing w:after="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18 678</w:t>
            </w:r>
          </w:p>
        </w:tc>
        <w:tc>
          <w:tcPr>
            <w:tcW w:w="1275" w:type="dxa"/>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11 774 002</w:t>
            </w:r>
          </w:p>
        </w:tc>
        <w:tc>
          <w:tcPr>
            <w:tcW w:w="1276" w:type="dxa"/>
            <w:tcBorders>
              <w:right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2 917 413</w:t>
            </w:r>
          </w:p>
        </w:tc>
      </w:tr>
      <w:tr w:rsidR="00F25110" w:rsidRPr="00BD7BB1" w:rsidTr="006614F6">
        <w:trPr>
          <w:trHeight w:val="302"/>
        </w:trPr>
        <w:tc>
          <w:tcPr>
            <w:tcW w:w="1702" w:type="dxa"/>
            <w:tcBorders>
              <w:left w:val="thinThickThinSmallGap" w:sz="24" w:space="0" w:color="auto"/>
              <w:bottom w:val="thinThickThinSmallGap" w:sz="24" w:space="0" w:color="auto"/>
            </w:tcBorders>
            <w:shd w:val="clear" w:color="auto" w:fill="auto"/>
            <w:noWrap/>
          </w:tcPr>
          <w:p w:rsidR="00F25110" w:rsidRPr="00BD7BB1" w:rsidRDefault="00F25110" w:rsidP="00F25110">
            <w:pPr>
              <w:spacing w:after="0" w:line="240" w:lineRule="auto"/>
              <w:rPr>
                <w:rFonts w:ascii="Times New Roman" w:eastAsia="Times New Roman" w:hAnsi="Times New Roman"/>
                <w:b/>
                <w:color w:val="auto"/>
                <w:sz w:val="20"/>
              </w:rPr>
            </w:pPr>
            <w:r w:rsidRPr="00BD7BB1">
              <w:rPr>
                <w:rFonts w:ascii="Times New Roman" w:eastAsia="Times New Roman" w:hAnsi="Times New Roman"/>
                <w:b/>
                <w:color w:val="auto"/>
                <w:sz w:val="20"/>
              </w:rPr>
              <w:t>Ямбол</w:t>
            </w:r>
          </w:p>
        </w:tc>
        <w:tc>
          <w:tcPr>
            <w:tcW w:w="1417" w:type="dxa"/>
            <w:tcBorders>
              <w:bottom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21</w:t>
            </w:r>
          </w:p>
        </w:tc>
        <w:tc>
          <w:tcPr>
            <w:tcW w:w="993" w:type="dxa"/>
            <w:tcBorders>
              <w:bottom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816</w:t>
            </w:r>
          </w:p>
        </w:tc>
        <w:tc>
          <w:tcPr>
            <w:tcW w:w="1134" w:type="dxa"/>
            <w:tcBorders>
              <w:bottom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94 441</w:t>
            </w:r>
          </w:p>
        </w:tc>
        <w:tc>
          <w:tcPr>
            <w:tcW w:w="1134" w:type="dxa"/>
            <w:tcBorders>
              <w:bottom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23 557</w:t>
            </w:r>
          </w:p>
        </w:tc>
        <w:tc>
          <w:tcPr>
            <w:tcW w:w="1134" w:type="dxa"/>
            <w:tcBorders>
              <w:bottom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19 893</w:t>
            </w:r>
          </w:p>
        </w:tc>
        <w:tc>
          <w:tcPr>
            <w:tcW w:w="1134" w:type="dxa"/>
            <w:tcBorders>
              <w:bottom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4 200</w:t>
            </w:r>
          </w:p>
        </w:tc>
        <w:tc>
          <w:tcPr>
            <w:tcW w:w="1275" w:type="dxa"/>
            <w:tcBorders>
              <w:bottom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3 104 103</w:t>
            </w:r>
          </w:p>
        </w:tc>
        <w:tc>
          <w:tcPr>
            <w:tcW w:w="1276" w:type="dxa"/>
            <w:tcBorders>
              <w:bottom w:val="thinThickThinSmallGap" w:sz="24" w:space="0" w:color="auto"/>
              <w:right w:val="thinThickThinSmallGap" w:sz="24" w:space="0" w:color="auto"/>
            </w:tcBorders>
            <w:shd w:val="clear" w:color="auto" w:fill="auto"/>
            <w:noWrap/>
            <w:vAlign w:val="center"/>
          </w:tcPr>
          <w:p w:rsidR="00F25110" w:rsidRPr="00BD7BB1" w:rsidRDefault="00F25110" w:rsidP="00F25110">
            <w:pPr>
              <w:spacing w:after="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98 1997</w:t>
            </w:r>
          </w:p>
        </w:tc>
      </w:tr>
    </w:tbl>
    <w:p w:rsidR="00F25110" w:rsidRPr="00BB6602" w:rsidRDefault="00F25110" w:rsidP="00F25110">
      <w:pPr>
        <w:spacing w:after="0" w:line="360" w:lineRule="auto"/>
        <w:jc w:val="both"/>
        <w:rPr>
          <w:rFonts w:ascii="Times New Roman" w:eastAsia="Times New Roman" w:hAnsi="Times New Roman"/>
          <w:b/>
          <w:i/>
          <w:color w:val="9B2D1F" w:themeColor="accent2"/>
          <w:szCs w:val="22"/>
          <w:lang w:val="bg-BG" w:eastAsia="bg-BG"/>
        </w:rPr>
      </w:pPr>
      <w:r w:rsidRPr="00BB6602">
        <w:rPr>
          <w:rFonts w:ascii="Times New Roman" w:eastAsia="Times New Roman" w:hAnsi="Times New Roman"/>
          <w:b/>
          <w:i/>
          <w:color w:val="9B2D1F" w:themeColor="accent2"/>
          <w:szCs w:val="22"/>
          <w:lang w:val="bg-BG" w:eastAsia="bg-BG"/>
        </w:rPr>
        <w:t>Източник:  Национален статистически институт</w:t>
      </w:r>
    </w:p>
    <w:p w:rsidR="00F25110" w:rsidRDefault="00F25110" w:rsidP="00F25110">
      <w:pPr>
        <w:spacing w:after="0" w:line="360" w:lineRule="auto"/>
        <w:jc w:val="both"/>
        <w:rPr>
          <w:rFonts w:ascii="Times New Roman" w:eastAsia="Times New Roman" w:hAnsi="Times New Roman"/>
          <w:i/>
          <w:color w:val="auto"/>
          <w:szCs w:val="22"/>
          <w:lang w:val="bg-BG" w:eastAsia="bg-BG"/>
        </w:rPr>
      </w:pPr>
    </w:p>
    <w:p w:rsidR="00BB6602" w:rsidRDefault="00BB6602" w:rsidP="00F25110">
      <w:pPr>
        <w:spacing w:after="0" w:line="360" w:lineRule="auto"/>
        <w:jc w:val="both"/>
        <w:rPr>
          <w:rFonts w:ascii="Times New Roman" w:eastAsia="Times New Roman" w:hAnsi="Times New Roman"/>
          <w:i/>
          <w:color w:val="auto"/>
          <w:szCs w:val="22"/>
          <w:lang w:val="bg-BG" w:eastAsia="bg-BG"/>
        </w:rPr>
      </w:pPr>
    </w:p>
    <w:p w:rsidR="00BB6602" w:rsidRDefault="00BB6602" w:rsidP="00F25110">
      <w:pPr>
        <w:spacing w:after="0" w:line="360" w:lineRule="auto"/>
        <w:jc w:val="both"/>
        <w:rPr>
          <w:rFonts w:ascii="Times New Roman" w:eastAsia="Times New Roman" w:hAnsi="Times New Roman"/>
          <w:i/>
          <w:color w:val="auto"/>
          <w:szCs w:val="22"/>
          <w:lang w:val="bg-BG" w:eastAsia="bg-BG"/>
        </w:rPr>
      </w:pPr>
    </w:p>
    <w:p w:rsidR="00BB6602" w:rsidRDefault="00BB6602" w:rsidP="00F25110">
      <w:pPr>
        <w:spacing w:after="0" w:line="360" w:lineRule="auto"/>
        <w:jc w:val="both"/>
        <w:rPr>
          <w:rFonts w:ascii="Times New Roman" w:eastAsia="Times New Roman" w:hAnsi="Times New Roman"/>
          <w:i/>
          <w:color w:val="auto"/>
          <w:szCs w:val="22"/>
          <w:lang w:val="bg-BG" w:eastAsia="bg-BG"/>
        </w:rPr>
      </w:pPr>
    </w:p>
    <w:p w:rsidR="00BB6602" w:rsidRDefault="00BB6602" w:rsidP="00F25110">
      <w:pPr>
        <w:spacing w:after="0" w:line="360" w:lineRule="auto"/>
        <w:jc w:val="both"/>
        <w:rPr>
          <w:rFonts w:ascii="Times New Roman" w:eastAsia="Times New Roman" w:hAnsi="Times New Roman"/>
          <w:i/>
          <w:color w:val="auto"/>
          <w:szCs w:val="22"/>
          <w:lang w:val="bg-BG" w:eastAsia="bg-BG"/>
        </w:rPr>
      </w:pPr>
    </w:p>
    <w:p w:rsidR="00BB6602" w:rsidRDefault="00BB6602" w:rsidP="00F25110">
      <w:pPr>
        <w:spacing w:after="0" w:line="360" w:lineRule="auto"/>
        <w:jc w:val="both"/>
        <w:rPr>
          <w:rFonts w:ascii="Times New Roman" w:eastAsia="Times New Roman" w:hAnsi="Times New Roman"/>
          <w:i/>
          <w:color w:val="auto"/>
          <w:szCs w:val="22"/>
          <w:lang w:val="bg-BG" w:eastAsia="bg-BG"/>
        </w:rPr>
      </w:pPr>
    </w:p>
    <w:p w:rsidR="00BB6602" w:rsidRDefault="00BB6602" w:rsidP="00F25110">
      <w:pPr>
        <w:spacing w:after="0" w:line="360" w:lineRule="auto"/>
        <w:jc w:val="both"/>
        <w:rPr>
          <w:rFonts w:ascii="Times New Roman" w:eastAsia="Times New Roman" w:hAnsi="Times New Roman"/>
          <w:i/>
          <w:color w:val="auto"/>
          <w:szCs w:val="22"/>
          <w:lang w:val="bg-BG" w:eastAsia="bg-BG"/>
        </w:rPr>
      </w:pPr>
    </w:p>
    <w:p w:rsidR="0070490F" w:rsidRDefault="0070490F" w:rsidP="00F25110">
      <w:pPr>
        <w:spacing w:after="0" w:line="360" w:lineRule="auto"/>
        <w:jc w:val="both"/>
        <w:rPr>
          <w:rFonts w:ascii="Times New Roman" w:eastAsia="Times New Roman" w:hAnsi="Times New Roman"/>
          <w:i/>
          <w:color w:val="auto"/>
          <w:szCs w:val="22"/>
          <w:lang w:val="bg-BG" w:eastAsia="bg-BG"/>
        </w:rPr>
      </w:pPr>
    </w:p>
    <w:p w:rsidR="0070490F" w:rsidRDefault="0070490F" w:rsidP="00F25110">
      <w:pPr>
        <w:spacing w:after="0" w:line="360" w:lineRule="auto"/>
        <w:jc w:val="both"/>
        <w:rPr>
          <w:rFonts w:ascii="Times New Roman" w:eastAsia="Times New Roman" w:hAnsi="Times New Roman"/>
          <w:i/>
          <w:color w:val="auto"/>
          <w:szCs w:val="22"/>
          <w:lang w:val="bg-BG" w:eastAsia="bg-BG"/>
        </w:rPr>
      </w:pPr>
    </w:p>
    <w:p w:rsidR="00BB6602" w:rsidRPr="00BD7BB1" w:rsidRDefault="00BB6602" w:rsidP="00F25110">
      <w:pPr>
        <w:spacing w:after="0" w:line="360" w:lineRule="auto"/>
        <w:jc w:val="both"/>
        <w:rPr>
          <w:rFonts w:ascii="Times New Roman" w:eastAsia="Times New Roman" w:hAnsi="Times New Roman"/>
          <w:i/>
          <w:color w:val="auto"/>
          <w:szCs w:val="22"/>
          <w:lang w:val="bg-BG" w:eastAsia="bg-BG"/>
        </w:rPr>
      </w:pPr>
    </w:p>
    <w:p w:rsidR="00F25110" w:rsidRPr="005D0034" w:rsidRDefault="00F25110" w:rsidP="00F25110">
      <w:pPr>
        <w:spacing w:after="0" w:line="360" w:lineRule="auto"/>
        <w:jc w:val="both"/>
        <w:rPr>
          <w:rFonts w:ascii="Times New Roman" w:eastAsia="Times New Roman" w:hAnsi="Times New Roman"/>
          <w:b/>
          <w:i/>
          <w:color w:val="9B2D1F" w:themeColor="accent2"/>
          <w:szCs w:val="22"/>
          <w:lang w:val="bg-BG" w:eastAsia="bg-BG"/>
        </w:rPr>
      </w:pPr>
      <w:r w:rsidRPr="00BD7BB1">
        <w:rPr>
          <w:rFonts w:ascii="Times New Roman" w:eastAsia="Times New Roman" w:hAnsi="Times New Roman"/>
          <w:b/>
          <w:i/>
          <w:color w:val="auto"/>
          <w:sz w:val="24"/>
          <w:szCs w:val="24"/>
          <w:lang w:val="bg-BG" w:eastAsia="bg-BG"/>
        </w:rPr>
        <w:t xml:space="preserve">  </w:t>
      </w:r>
      <w:r w:rsidRPr="005D0034">
        <w:rPr>
          <w:rFonts w:ascii="Times New Roman" w:eastAsia="Times New Roman" w:hAnsi="Times New Roman"/>
          <w:b/>
          <w:i/>
          <w:color w:val="9B2D1F" w:themeColor="accent2"/>
          <w:sz w:val="24"/>
          <w:szCs w:val="24"/>
          <w:lang w:val="bg-BG" w:eastAsia="bg-BG"/>
        </w:rPr>
        <w:t xml:space="preserve">Фигура </w:t>
      </w:r>
      <w:r w:rsidRPr="005D0034">
        <w:rPr>
          <w:rFonts w:ascii="Times New Roman" w:eastAsia="Times New Roman" w:hAnsi="Times New Roman"/>
          <w:b/>
          <w:i/>
          <w:color w:val="9B2D1F" w:themeColor="accent2"/>
          <w:sz w:val="24"/>
          <w:szCs w:val="24"/>
          <w:lang w:eastAsia="bg-BG"/>
        </w:rPr>
        <w:t>3</w:t>
      </w:r>
      <w:r w:rsidRPr="005D0034">
        <w:rPr>
          <w:rFonts w:ascii="Times New Roman" w:eastAsia="Times New Roman" w:hAnsi="Times New Roman"/>
          <w:i/>
          <w:color w:val="9B2D1F" w:themeColor="accent2"/>
          <w:sz w:val="24"/>
          <w:szCs w:val="24"/>
          <w:lang w:val="bg-BG" w:eastAsia="bg-BG"/>
        </w:rPr>
        <w:t xml:space="preserve">. </w:t>
      </w:r>
      <w:r w:rsidRPr="005D0034">
        <w:rPr>
          <w:rFonts w:ascii="Times New Roman" w:eastAsia="Times New Roman" w:hAnsi="Times New Roman"/>
          <w:b/>
          <w:i/>
          <w:color w:val="9B2D1F" w:themeColor="accent2"/>
          <w:szCs w:val="22"/>
          <w:lang w:val="bg-BG" w:eastAsia="bg-BG"/>
        </w:rPr>
        <w:t>Приходи от нощувки по статистически  райони  2010-2014г.(лв.)</w:t>
      </w:r>
    </w:p>
    <w:p w:rsidR="00F25110" w:rsidRPr="005D0034" w:rsidRDefault="00F25110" w:rsidP="00F25110">
      <w:pPr>
        <w:autoSpaceDE w:val="0"/>
        <w:autoSpaceDN w:val="0"/>
        <w:adjustRightInd w:val="0"/>
        <w:spacing w:after="0" w:line="360" w:lineRule="auto"/>
        <w:rPr>
          <w:rFonts w:ascii="Tahoma" w:eastAsia="Calibri" w:hAnsi="Tahoma" w:cs="Tahoma"/>
          <w:b/>
          <w:bCs/>
          <w:color w:val="9B2D1F" w:themeColor="accent2"/>
          <w:sz w:val="16"/>
          <w:szCs w:val="16"/>
          <w:lang w:val="bg-BG"/>
        </w:rPr>
      </w:pPr>
      <w:r w:rsidRPr="00BD7BB1">
        <w:rPr>
          <w:rFonts w:ascii="Times New Roman" w:eastAsia="Times New Roman" w:hAnsi="Times New Roman"/>
          <w:noProof/>
          <w:color w:val="auto"/>
          <w:sz w:val="24"/>
          <w:szCs w:val="24"/>
          <w:lang w:val="bg-BG" w:eastAsia="bg-BG"/>
        </w:rPr>
        <w:drawing>
          <wp:inline distT="0" distB="0" distL="0" distR="0" wp14:anchorId="7824FBE8" wp14:editId="3DE0E58C">
            <wp:extent cx="5817235" cy="3389630"/>
            <wp:effectExtent l="0" t="0" r="0" b="0"/>
            <wp:docPr id="111" name="Chart 1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BD7BB1">
        <w:rPr>
          <w:rFonts w:ascii="Times New Roman" w:eastAsia="Times New Roman" w:hAnsi="Times New Roman"/>
          <w:color w:val="auto"/>
          <w:sz w:val="24"/>
          <w:szCs w:val="24"/>
          <w:lang w:val="bg-BG" w:eastAsia="bg-BG"/>
        </w:rPr>
        <w:t xml:space="preserve"> </w:t>
      </w:r>
      <w:r w:rsidRPr="005D0034">
        <w:rPr>
          <w:rFonts w:ascii="Times New Roman" w:eastAsia="Times New Roman" w:hAnsi="Times New Roman"/>
          <w:b/>
          <w:i/>
          <w:color w:val="9B2D1F" w:themeColor="accent2"/>
          <w:szCs w:val="22"/>
          <w:lang w:val="bg-BG" w:eastAsia="bg-BG"/>
        </w:rPr>
        <w:t>Източник:  Национален статистически институт</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bCs/>
          <w:color w:val="auto"/>
          <w:sz w:val="24"/>
          <w:szCs w:val="24"/>
          <w:lang w:val="bg-BG" w:eastAsia="bg-BG"/>
        </w:rPr>
      </w:pPr>
      <w:r w:rsidRPr="00BD7BB1">
        <w:rPr>
          <w:rFonts w:ascii="Times New Roman" w:eastAsia="Calibri" w:hAnsi="Times New Roman"/>
          <w:bCs/>
          <w:color w:val="auto"/>
          <w:sz w:val="24"/>
          <w:szCs w:val="24"/>
          <w:lang w:val="bg-BG"/>
        </w:rPr>
        <w:t xml:space="preserve">Инвестициите в </w:t>
      </w:r>
      <w:r w:rsidRPr="00BD7BB1">
        <w:rPr>
          <w:rFonts w:ascii="Times New Roman" w:eastAsia="Calibri" w:hAnsi="Times New Roman"/>
          <w:b/>
          <w:bCs/>
          <w:color w:val="auto"/>
          <w:sz w:val="24"/>
          <w:szCs w:val="24"/>
          <w:lang w:val="bg-BG"/>
        </w:rPr>
        <w:t>научноизследователската и развойна дейност (НИРД)</w:t>
      </w:r>
      <w:r w:rsidRPr="00BD7BB1">
        <w:rPr>
          <w:rFonts w:ascii="Times New Roman" w:eastAsia="Calibri" w:hAnsi="Times New Roman"/>
          <w:bCs/>
          <w:color w:val="auto"/>
          <w:sz w:val="24"/>
          <w:szCs w:val="24"/>
          <w:lang w:val="bg-BG"/>
        </w:rPr>
        <w:t xml:space="preserve"> са от първостепенно значение за прехода към икономика, базирана на знанието, както и за увеличаване на производителността на труда и стимулиране на икономическия растеж. Интензивността на</w:t>
      </w:r>
      <w:r w:rsidRPr="00BD7BB1">
        <w:rPr>
          <w:rFonts w:ascii="Times New Roman" w:eastAsia="Times New Roman" w:hAnsi="Times New Roman"/>
          <w:color w:val="auto"/>
          <w:sz w:val="24"/>
          <w:szCs w:val="24"/>
          <w:lang w:val="bg-BG" w:eastAsia="bg-BG"/>
        </w:rPr>
        <w:t xml:space="preserve"> </w:t>
      </w:r>
      <w:r w:rsidRPr="00BD7BB1">
        <w:rPr>
          <w:rFonts w:ascii="Times New Roman" w:eastAsia="Calibri" w:hAnsi="Times New Roman"/>
          <w:bCs/>
          <w:color w:val="auto"/>
          <w:sz w:val="24"/>
          <w:szCs w:val="24"/>
          <w:lang w:val="bg-BG"/>
        </w:rPr>
        <w:t>научно-изследователската и развойна дейност (НИРД), измерена като процент на разходите за НИРД от БВП, е един от ключовите показатели за измерване на напредъка на Европейския съюз (ЕС) в достигане на целите на новата стратегия „Европа 2020”.</w:t>
      </w:r>
      <w:r w:rsidRPr="00BD7BB1">
        <w:rPr>
          <w:rFonts w:ascii="Times New Roman" w:eastAsia="Times New Roman" w:hAnsi="Times New Roman"/>
          <w:bCs/>
          <w:color w:val="auto"/>
          <w:sz w:val="24"/>
          <w:szCs w:val="24"/>
          <w:lang w:val="bg-BG" w:eastAsia="bg-BG"/>
        </w:rPr>
        <w:t xml:space="preserve"> По данни на НСИ разходите за научноизследователска и развойна дейност (НИРД) за страната през 2013г. са 521 682 хил.лв., което е с 5 % повече в сравнение с предходната година.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Една от петте водещи цели на стратегия „Европа 2020”е в Европейския съюз  да се</w:t>
      </w:r>
      <w:r w:rsidRPr="00BD7BB1">
        <w:rPr>
          <w:rFonts w:ascii="Times New Roman" w:eastAsia="Times New Roman" w:hAnsi="Times New Roman"/>
          <w:color w:val="auto"/>
          <w:sz w:val="25"/>
          <w:szCs w:val="25"/>
          <w:lang w:val="bg-BG"/>
        </w:rPr>
        <w:t xml:space="preserve"> </w:t>
      </w:r>
      <w:r w:rsidRPr="00BD7BB1">
        <w:rPr>
          <w:rFonts w:ascii="Times New Roman" w:eastAsia="Times New Roman" w:hAnsi="Times New Roman"/>
          <w:bCs/>
          <w:color w:val="auto"/>
          <w:sz w:val="24"/>
          <w:szCs w:val="24"/>
          <w:lang w:val="bg-BG" w:eastAsia="bg-BG"/>
        </w:rPr>
        <w:t>постигне 3% интензивност на НИРД (измерена като процент на разходите за НИРД от БВП).Националната цел на  България е достигане на 1,5%  интензивност на НИРД през 2020 година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През 2013 интензивността на НИРД в България нараства спрямо предходната година - от 0,62% през 2012 на 0,65% през 2013, но все още е значително под средната стойност на този показател за ЕС-27 (2,08% през 2012).</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 xml:space="preserve">Нарастването в абсолютна </w:t>
      </w:r>
      <w:r w:rsidRPr="00BD7BB1">
        <w:rPr>
          <w:rFonts w:ascii="Times New Roman" w:eastAsia="Times New Roman" w:hAnsi="Times New Roman"/>
          <w:bCs/>
          <w:color w:val="auto"/>
          <w:sz w:val="24"/>
          <w:szCs w:val="24"/>
          <w:lang w:val="bg-BG" w:eastAsia="bg-BG"/>
        </w:rPr>
        <w:lastRenderedPageBreak/>
        <w:t>стойност на общите разходи за НИРД спрямо предходната година се дължи в най-голяма степен на сектор Предприятия, където разходите за НИРД се увеличават със 17,9 млн. лв. или с 6%. Сектор Предприятия продължава да бъде и най-големият от четирите основни институционални сектора, в които се осъществява НИРД, с дял от 61% от общите разходи за НИРД. Следват секторите Държавно управление и Висше образование с дялове съответно 29,7 и 8,7%.</w:t>
      </w:r>
    </w:p>
    <w:p w:rsidR="00F25110" w:rsidRPr="005D0034" w:rsidRDefault="00F25110" w:rsidP="00F25110">
      <w:pPr>
        <w:spacing w:after="0" w:line="360" w:lineRule="auto"/>
        <w:jc w:val="both"/>
        <w:rPr>
          <w:rFonts w:ascii="Times New Roman" w:eastAsia="Times New Roman" w:hAnsi="Times New Roman"/>
          <w:b/>
          <w:i/>
          <w:iCs/>
          <w:color w:val="9B2D1F" w:themeColor="accent2"/>
          <w:sz w:val="24"/>
          <w:szCs w:val="24"/>
          <w:lang w:val="bg-BG" w:eastAsia="bg-BG"/>
        </w:rPr>
      </w:pPr>
      <w:r w:rsidRPr="005D0034">
        <w:rPr>
          <w:rFonts w:ascii="Times New Roman" w:eastAsia="Times New Roman" w:hAnsi="Times New Roman"/>
          <w:b/>
          <w:bCs/>
          <w:i/>
          <w:color w:val="9B2D1F" w:themeColor="accent2"/>
          <w:sz w:val="24"/>
          <w:szCs w:val="24"/>
          <w:lang w:val="bg-BG" w:eastAsia="bg-BG"/>
        </w:rPr>
        <w:t>Таблица 8.</w:t>
      </w:r>
      <w:r w:rsidRPr="005D0034">
        <w:rPr>
          <w:rFonts w:ascii="Times New Roman" w:eastAsia="Times New Roman" w:hAnsi="Times New Roman"/>
          <w:b/>
          <w:i/>
          <w:iCs/>
          <w:color w:val="9B2D1F" w:themeColor="accent2"/>
          <w:sz w:val="24"/>
          <w:szCs w:val="24"/>
          <w:lang w:val="bg-BG" w:eastAsia="bg-BG"/>
        </w:rPr>
        <w:t xml:space="preserve"> Разходи за научно-изследователска и развойна дейност (предварителни данни)</w:t>
      </w:r>
    </w:p>
    <w:tbl>
      <w:tblPr>
        <w:tblW w:w="9498" w:type="dxa"/>
        <w:tblInd w:w="70" w:type="dxa"/>
        <w:tblLayout w:type="fixed"/>
        <w:tblCellMar>
          <w:left w:w="70" w:type="dxa"/>
          <w:right w:w="70" w:type="dxa"/>
        </w:tblCellMar>
        <w:tblLook w:val="0000" w:firstRow="0" w:lastRow="0" w:firstColumn="0" w:lastColumn="0" w:noHBand="0" w:noVBand="0"/>
      </w:tblPr>
      <w:tblGrid>
        <w:gridCol w:w="2835"/>
        <w:gridCol w:w="1418"/>
        <w:gridCol w:w="1276"/>
        <w:gridCol w:w="1275"/>
        <w:gridCol w:w="1276"/>
        <w:gridCol w:w="1418"/>
      </w:tblGrid>
      <w:tr w:rsidR="00F25110" w:rsidRPr="00BD7BB1" w:rsidTr="006614F6">
        <w:trPr>
          <w:trHeight w:val="579"/>
        </w:trPr>
        <w:tc>
          <w:tcPr>
            <w:tcW w:w="2835" w:type="dxa"/>
            <w:tcBorders>
              <w:top w:val="thinThickThinSmallGap" w:sz="24" w:space="0" w:color="auto"/>
              <w:left w:val="thinThickThinSmallGap" w:sz="24" w:space="0" w:color="auto"/>
              <w:bottom w:val="single" w:sz="12" w:space="0" w:color="000000"/>
              <w:right w:val="double" w:sz="4" w:space="0" w:color="auto"/>
            </w:tcBorders>
            <w:vAlign w:val="center"/>
          </w:tcPr>
          <w:p w:rsidR="00F25110" w:rsidRPr="00BD7BB1" w:rsidRDefault="00F25110" w:rsidP="005D0034">
            <w:pPr>
              <w:spacing w:after="0" w:line="240" w:lineRule="auto"/>
              <w:jc w:val="center"/>
              <w:rPr>
                <w:rFonts w:ascii="Times New Roman" w:eastAsia="Times New Roman" w:hAnsi="Times New Roman"/>
                <w:b/>
                <w:bCs/>
                <w:color w:val="auto"/>
                <w:sz w:val="24"/>
                <w:szCs w:val="24"/>
                <w:lang w:val="bg-BG" w:eastAsia="bg-BG"/>
              </w:rPr>
            </w:pPr>
          </w:p>
        </w:tc>
        <w:tc>
          <w:tcPr>
            <w:tcW w:w="1418" w:type="dxa"/>
            <w:tcBorders>
              <w:top w:val="thinThickThinSmallGap" w:sz="24" w:space="0" w:color="auto"/>
              <w:left w:val="double" w:sz="4" w:space="0" w:color="auto"/>
              <w:bottom w:val="single" w:sz="12" w:space="0" w:color="000000"/>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b/>
                <w:bCs/>
                <w:color w:val="auto"/>
                <w:sz w:val="24"/>
                <w:szCs w:val="24"/>
                <w:lang w:val="bg-BG" w:eastAsia="bg-BG"/>
              </w:rPr>
            </w:pPr>
            <w:r w:rsidRPr="00BD7BB1">
              <w:rPr>
                <w:rFonts w:ascii="Times New Roman" w:eastAsia="Times New Roman" w:hAnsi="Times New Roman"/>
                <w:b/>
                <w:bCs/>
                <w:color w:val="auto"/>
                <w:szCs w:val="22"/>
                <w:lang w:val="bg-BG" w:eastAsia="bg-BG"/>
              </w:rPr>
              <w:t xml:space="preserve">2009 </w:t>
            </w:r>
          </w:p>
        </w:tc>
        <w:tc>
          <w:tcPr>
            <w:tcW w:w="1276" w:type="dxa"/>
            <w:tcBorders>
              <w:top w:val="thinThickThinSmallGap" w:sz="24" w:space="0" w:color="auto"/>
              <w:left w:val="double" w:sz="4" w:space="0" w:color="auto"/>
              <w:bottom w:val="single" w:sz="12" w:space="0" w:color="000000"/>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b/>
                <w:bCs/>
                <w:color w:val="auto"/>
                <w:sz w:val="24"/>
                <w:szCs w:val="24"/>
                <w:lang w:val="bg-BG" w:eastAsia="bg-BG"/>
              </w:rPr>
            </w:pPr>
            <w:r w:rsidRPr="00BD7BB1">
              <w:rPr>
                <w:rFonts w:ascii="Times New Roman" w:eastAsia="Times New Roman" w:hAnsi="Times New Roman"/>
                <w:b/>
                <w:bCs/>
                <w:color w:val="auto"/>
                <w:szCs w:val="22"/>
                <w:lang w:val="bg-BG" w:eastAsia="bg-BG"/>
              </w:rPr>
              <w:t xml:space="preserve">2010 </w:t>
            </w:r>
          </w:p>
        </w:tc>
        <w:tc>
          <w:tcPr>
            <w:tcW w:w="1275" w:type="dxa"/>
            <w:tcBorders>
              <w:top w:val="thinThickThinSmallGap" w:sz="24" w:space="0" w:color="auto"/>
              <w:left w:val="double" w:sz="4" w:space="0" w:color="auto"/>
              <w:bottom w:val="single" w:sz="12" w:space="0" w:color="000000"/>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b/>
                <w:color w:val="auto"/>
                <w:sz w:val="24"/>
                <w:szCs w:val="24"/>
                <w:lang w:val="bg-BG" w:eastAsia="bg-BG"/>
              </w:rPr>
            </w:pPr>
            <w:r w:rsidRPr="00BD7BB1">
              <w:rPr>
                <w:rFonts w:ascii="Times New Roman" w:eastAsia="Times New Roman" w:hAnsi="Times New Roman"/>
                <w:b/>
                <w:color w:val="auto"/>
                <w:szCs w:val="22"/>
                <w:lang w:val="bg-BG" w:eastAsia="bg-BG"/>
              </w:rPr>
              <w:t>2011</w:t>
            </w:r>
          </w:p>
        </w:tc>
        <w:tc>
          <w:tcPr>
            <w:tcW w:w="1276" w:type="dxa"/>
            <w:tcBorders>
              <w:top w:val="thinThickThinSmallGap" w:sz="24" w:space="0" w:color="auto"/>
              <w:left w:val="double" w:sz="4" w:space="0" w:color="auto"/>
              <w:bottom w:val="single" w:sz="12" w:space="0" w:color="000000"/>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b/>
                <w:bCs/>
                <w:color w:val="auto"/>
                <w:sz w:val="24"/>
                <w:szCs w:val="24"/>
                <w:lang w:val="bg-BG" w:eastAsia="bg-BG"/>
              </w:rPr>
            </w:pPr>
            <w:r w:rsidRPr="00BD7BB1">
              <w:rPr>
                <w:rFonts w:ascii="Times New Roman" w:eastAsia="Times New Roman" w:hAnsi="Times New Roman"/>
                <w:b/>
                <w:bCs/>
                <w:color w:val="auto"/>
                <w:szCs w:val="22"/>
                <w:lang w:val="bg-BG" w:eastAsia="bg-BG"/>
              </w:rPr>
              <w:t>2012</w:t>
            </w:r>
          </w:p>
        </w:tc>
        <w:tc>
          <w:tcPr>
            <w:tcW w:w="1418" w:type="dxa"/>
            <w:tcBorders>
              <w:top w:val="thinThickThinSmallGap" w:sz="24" w:space="0" w:color="auto"/>
              <w:left w:val="double" w:sz="4" w:space="0" w:color="auto"/>
              <w:bottom w:val="single" w:sz="12" w:space="0" w:color="000000"/>
              <w:right w:val="thinThickThinSmallGap" w:sz="2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b/>
                <w:bCs/>
                <w:color w:val="auto"/>
                <w:sz w:val="24"/>
                <w:szCs w:val="24"/>
                <w:lang w:val="bg-BG" w:eastAsia="bg-BG"/>
              </w:rPr>
            </w:pPr>
            <w:r w:rsidRPr="00BD7BB1">
              <w:rPr>
                <w:rFonts w:ascii="Times New Roman" w:eastAsia="Times New Roman" w:hAnsi="Times New Roman"/>
                <w:b/>
                <w:bCs/>
                <w:color w:val="auto"/>
                <w:szCs w:val="22"/>
                <w:lang w:val="bg-BG" w:eastAsia="bg-BG"/>
              </w:rPr>
              <w:t>2013</w:t>
            </w:r>
          </w:p>
        </w:tc>
      </w:tr>
      <w:tr w:rsidR="00F25110" w:rsidRPr="00BD7BB1" w:rsidTr="006614F6">
        <w:trPr>
          <w:trHeight w:val="630"/>
        </w:trPr>
        <w:tc>
          <w:tcPr>
            <w:tcW w:w="2835" w:type="dxa"/>
            <w:tcBorders>
              <w:top w:val="single" w:sz="12" w:space="0" w:color="000000"/>
              <w:left w:val="thinThickThinSmallGap" w:sz="24" w:space="0" w:color="auto"/>
              <w:right w:val="double" w:sz="4" w:space="0" w:color="auto"/>
            </w:tcBorders>
            <w:shd w:val="clear" w:color="auto" w:fill="FFFFFF"/>
            <w:noWrap/>
            <w:vAlign w:val="bottom"/>
          </w:tcPr>
          <w:p w:rsidR="00F25110" w:rsidRPr="00BD7BB1" w:rsidRDefault="00F25110" w:rsidP="005D0034">
            <w:pPr>
              <w:spacing w:after="0" w:line="240" w:lineRule="auto"/>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Разходи за НИРД </w:t>
            </w:r>
          </w:p>
          <w:p w:rsidR="00F25110" w:rsidRPr="00BD7BB1" w:rsidRDefault="00F25110" w:rsidP="005D0034">
            <w:pPr>
              <w:spacing w:after="0" w:line="240" w:lineRule="auto"/>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в България (млн.лв.)</w:t>
            </w:r>
          </w:p>
        </w:tc>
        <w:tc>
          <w:tcPr>
            <w:tcW w:w="1418" w:type="dxa"/>
            <w:tcBorders>
              <w:top w:val="single" w:sz="12" w:space="0" w:color="000000"/>
              <w:left w:val="double" w:sz="4" w:space="0" w:color="auto"/>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361,1</w:t>
            </w:r>
          </w:p>
        </w:tc>
        <w:tc>
          <w:tcPr>
            <w:tcW w:w="1276" w:type="dxa"/>
            <w:tcBorders>
              <w:top w:val="single" w:sz="12" w:space="0" w:color="000000"/>
              <w:left w:val="double" w:sz="4" w:space="0" w:color="auto"/>
              <w:right w:val="double" w:sz="4" w:space="0" w:color="auto"/>
            </w:tcBorders>
            <w:shd w:val="clear" w:color="auto" w:fill="FFFFFF"/>
            <w:noWrap/>
            <w:vAlign w:val="center"/>
          </w:tcPr>
          <w:p w:rsidR="00F25110" w:rsidRPr="00BD7BB1" w:rsidRDefault="00F25110" w:rsidP="005D0034">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421,6</w:t>
            </w:r>
          </w:p>
        </w:tc>
        <w:tc>
          <w:tcPr>
            <w:tcW w:w="1275" w:type="dxa"/>
            <w:tcBorders>
              <w:top w:val="single" w:sz="12" w:space="0" w:color="000000"/>
              <w:left w:val="double" w:sz="4" w:space="0" w:color="auto"/>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429,6</w:t>
            </w:r>
          </w:p>
        </w:tc>
        <w:tc>
          <w:tcPr>
            <w:tcW w:w="1276" w:type="dxa"/>
            <w:tcBorders>
              <w:top w:val="single" w:sz="12" w:space="0" w:color="000000"/>
              <w:left w:val="double" w:sz="4" w:space="0" w:color="auto"/>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496,2</w:t>
            </w:r>
          </w:p>
        </w:tc>
        <w:tc>
          <w:tcPr>
            <w:tcW w:w="1418" w:type="dxa"/>
            <w:tcBorders>
              <w:top w:val="single" w:sz="12" w:space="0" w:color="000000"/>
              <w:left w:val="double" w:sz="4" w:space="0" w:color="auto"/>
              <w:right w:val="thinThickThinSmallGap" w:sz="24" w:space="0" w:color="auto"/>
            </w:tcBorders>
            <w:shd w:val="clear" w:color="auto" w:fill="FFFFFF"/>
            <w:noWrap/>
            <w:vAlign w:val="center"/>
          </w:tcPr>
          <w:p w:rsidR="00F25110" w:rsidRPr="00BD7BB1" w:rsidRDefault="00F25110" w:rsidP="005D0034">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521,2</w:t>
            </w:r>
          </w:p>
        </w:tc>
      </w:tr>
      <w:tr w:rsidR="00F25110" w:rsidRPr="00BD7BB1" w:rsidTr="006614F6">
        <w:trPr>
          <w:trHeight w:val="747"/>
        </w:trPr>
        <w:tc>
          <w:tcPr>
            <w:tcW w:w="2835" w:type="dxa"/>
            <w:tcBorders>
              <w:top w:val="single" w:sz="12" w:space="0" w:color="auto"/>
              <w:left w:val="thinThickThinSmallGap" w:sz="24" w:space="0" w:color="auto"/>
              <w:right w:val="double" w:sz="4" w:space="0" w:color="auto"/>
            </w:tcBorders>
            <w:shd w:val="clear" w:color="auto" w:fill="FFFFFF"/>
            <w:vAlign w:val="center"/>
          </w:tcPr>
          <w:p w:rsidR="00F25110" w:rsidRPr="00BD7BB1" w:rsidRDefault="00F25110" w:rsidP="005D0034">
            <w:pPr>
              <w:spacing w:after="0" w:line="240" w:lineRule="auto"/>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Разходи за НИРД в % от БВП- България</w:t>
            </w:r>
          </w:p>
        </w:tc>
        <w:tc>
          <w:tcPr>
            <w:tcW w:w="1418" w:type="dxa"/>
            <w:tcBorders>
              <w:top w:val="single" w:sz="12" w:space="0" w:color="auto"/>
              <w:left w:val="double" w:sz="4" w:space="0" w:color="auto"/>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Cs w:val="22"/>
                <w:lang w:val="bg-BG" w:eastAsia="bg-BG"/>
              </w:rPr>
              <w:t>0,53</w:t>
            </w:r>
          </w:p>
        </w:tc>
        <w:tc>
          <w:tcPr>
            <w:tcW w:w="1276" w:type="dxa"/>
            <w:tcBorders>
              <w:top w:val="single" w:sz="12" w:space="0" w:color="auto"/>
              <w:left w:val="double" w:sz="4" w:space="0" w:color="auto"/>
              <w:right w:val="double" w:sz="4" w:space="0" w:color="auto"/>
            </w:tcBorders>
            <w:shd w:val="clear" w:color="auto" w:fill="FFFFFF"/>
            <w:noWrap/>
            <w:vAlign w:val="center"/>
          </w:tcPr>
          <w:p w:rsidR="00F25110" w:rsidRPr="00BD7BB1" w:rsidRDefault="00F25110" w:rsidP="005D0034">
            <w:pPr>
              <w:spacing w:after="0" w:line="240" w:lineRule="auto"/>
              <w:jc w:val="center"/>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Cs w:val="22"/>
                <w:lang w:val="bg-BG" w:eastAsia="bg-BG"/>
              </w:rPr>
              <w:t>0,60</w:t>
            </w:r>
          </w:p>
        </w:tc>
        <w:tc>
          <w:tcPr>
            <w:tcW w:w="1275" w:type="dxa"/>
            <w:tcBorders>
              <w:top w:val="single" w:sz="12" w:space="0" w:color="auto"/>
              <w:left w:val="double" w:sz="4" w:space="0" w:color="auto"/>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0,57</w:t>
            </w:r>
          </w:p>
        </w:tc>
        <w:tc>
          <w:tcPr>
            <w:tcW w:w="1276" w:type="dxa"/>
            <w:tcBorders>
              <w:top w:val="single" w:sz="12" w:space="0" w:color="auto"/>
              <w:left w:val="double" w:sz="4" w:space="0" w:color="auto"/>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bCs/>
                <w:color w:val="auto"/>
                <w:sz w:val="24"/>
                <w:szCs w:val="24"/>
                <w:lang w:eastAsia="bg-BG"/>
              </w:rPr>
            </w:pPr>
            <w:r w:rsidRPr="00BD7BB1">
              <w:rPr>
                <w:rFonts w:ascii="Times New Roman" w:eastAsia="Times New Roman" w:hAnsi="Times New Roman"/>
                <w:bCs/>
                <w:color w:val="auto"/>
                <w:szCs w:val="22"/>
                <w:lang w:val="bg-BG" w:eastAsia="bg-BG"/>
              </w:rPr>
              <w:t>0,6</w:t>
            </w:r>
            <w:r w:rsidRPr="00BD7BB1">
              <w:rPr>
                <w:rFonts w:ascii="Times New Roman" w:eastAsia="Times New Roman" w:hAnsi="Times New Roman"/>
                <w:bCs/>
                <w:color w:val="auto"/>
                <w:szCs w:val="22"/>
                <w:lang w:eastAsia="bg-BG"/>
              </w:rPr>
              <w:t>2</w:t>
            </w:r>
          </w:p>
        </w:tc>
        <w:tc>
          <w:tcPr>
            <w:tcW w:w="1418" w:type="dxa"/>
            <w:tcBorders>
              <w:top w:val="single" w:sz="12" w:space="0" w:color="auto"/>
              <w:left w:val="double" w:sz="4" w:space="0" w:color="auto"/>
              <w:right w:val="thinThickThinSmallGap" w:sz="24" w:space="0" w:color="auto"/>
            </w:tcBorders>
            <w:shd w:val="clear" w:color="auto" w:fill="FFFFFF"/>
            <w:noWrap/>
            <w:vAlign w:val="center"/>
          </w:tcPr>
          <w:p w:rsidR="00F25110" w:rsidRPr="00BD7BB1" w:rsidRDefault="00F25110" w:rsidP="005D0034">
            <w:pPr>
              <w:spacing w:after="0" w:line="240" w:lineRule="auto"/>
              <w:jc w:val="center"/>
              <w:rPr>
                <w:rFonts w:ascii="Times New Roman" w:eastAsia="Times New Roman" w:hAnsi="Times New Roman"/>
                <w:bCs/>
                <w:color w:val="auto"/>
                <w:sz w:val="24"/>
                <w:szCs w:val="24"/>
                <w:lang w:eastAsia="bg-BG"/>
              </w:rPr>
            </w:pPr>
            <w:r w:rsidRPr="00BD7BB1">
              <w:rPr>
                <w:rFonts w:ascii="Times New Roman" w:eastAsia="Times New Roman" w:hAnsi="Times New Roman"/>
                <w:bCs/>
                <w:color w:val="auto"/>
                <w:szCs w:val="22"/>
                <w:lang w:val="bg-BG" w:eastAsia="bg-BG"/>
              </w:rPr>
              <w:t>0,6</w:t>
            </w:r>
            <w:r w:rsidRPr="00BD7BB1">
              <w:rPr>
                <w:rFonts w:ascii="Times New Roman" w:eastAsia="Times New Roman" w:hAnsi="Times New Roman"/>
                <w:bCs/>
                <w:color w:val="auto"/>
                <w:szCs w:val="22"/>
                <w:lang w:eastAsia="bg-BG"/>
              </w:rPr>
              <w:t>5</w:t>
            </w:r>
          </w:p>
        </w:tc>
      </w:tr>
      <w:tr w:rsidR="00F25110" w:rsidRPr="00BD7BB1" w:rsidTr="006614F6">
        <w:trPr>
          <w:trHeight w:val="692"/>
        </w:trPr>
        <w:tc>
          <w:tcPr>
            <w:tcW w:w="2835" w:type="dxa"/>
            <w:tcBorders>
              <w:top w:val="double" w:sz="4" w:space="0" w:color="auto"/>
              <w:left w:val="thinThickThinSmallGap" w:sz="24" w:space="0" w:color="auto"/>
              <w:bottom w:val="thinThickThinSmallGap" w:sz="24" w:space="0" w:color="auto"/>
              <w:right w:val="double" w:sz="4" w:space="0" w:color="auto"/>
            </w:tcBorders>
            <w:shd w:val="clear" w:color="auto" w:fill="FFFFFF"/>
            <w:vAlign w:val="center"/>
          </w:tcPr>
          <w:p w:rsidR="00F25110" w:rsidRPr="00BD7BB1" w:rsidRDefault="00F25110" w:rsidP="005D0034">
            <w:pPr>
              <w:spacing w:after="0" w:line="240" w:lineRule="auto"/>
              <w:rPr>
                <w:rFonts w:ascii="Times New Roman" w:eastAsia="Times New Roman" w:hAnsi="Times New Roman"/>
                <w:bCs/>
                <w:i/>
                <w:color w:val="auto"/>
                <w:sz w:val="24"/>
                <w:szCs w:val="24"/>
                <w:lang w:val="bg-BG" w:eastAsia="bg-BG"/>
              </w:rPr>
            </w:pPr>
            <w:r w:rsidRPr="00BD7BB1">
              <w:rPr>
                <w:rFonts w:ascii="Times New Roman" w:eastAsia="Times New Roman" w:hAnsi="Times New Roman"/>
                <w:bCs/>
                <w:i/>
                <w:color w:val="auto"/>
                <w:szCs w:val="22"/>
                <w:lang w:val="bg-BG" w:eastAsia="bg-BG"/>
              </w:rPr>
              <w:t>ЕС -27</w:t>
            </w:r>
          </w:p>
        </w:tc>
        <w:tc>
          <w:tcPr>
            <w:tcW w:w="1418"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Cs w:val="22"/>
                <w:lang w:val="bg-BG" w:eastAsia="bg-BG"/>
              </w:rPr>
              <w:t>2,01</w:t>
            </w:r>
          </w:p>
        </w:tc>
        <w:tc>
          <w:tcPr>
            <w:tcW w:w="1276" w:type="dxa"/>
            <w:tcBorders>
              <w:top w:val="double" w:sz="4" w:space="0" w:color="auto"/>
              <w:left w:val="double" w:sz="4" w:space="0" w:color="auto"/>
              <w:bottom w:val="thinThickThinSmallGap" w:sz="24" w:space="0" w:color="auto"/>
              <w:right w:val="double" w:sz="4" w:space="0" w:color="auto"/>
            </w:tcBorders>
            <w:shd w:val="clear" w:color="auto" w:fill="FFFFFF"/>
            <w:noWrap/>
            <w:vAlign w:val="center"/>
          </w:tcPr>
          <w:p w:rsidR="00F25110" w:rsidRPr="00BD7BB1" w:rsidRDefault="00F25110" w:rsidP="005D0034">
            <w:pPr>
              <w:spacing w:after="0" w:line="240" w:lineRule="auto"/>
              <w:jc w:val="center"/>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Cs w:val="22"/>
                <w:lang w:val="bg-BG" w:eastAsia="bg-BG"/>
              </w:rPr>
              <w:t>2,01</w:t>
            </w:r>
          </w:p>
        </w:tc>
        <w:tc>
          <w:tcPr>
            <w:tcW w:w="1275"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2,05</w:t>
            </w:r>
          </w:p>
        </w:tc>
        <w:tc>
          <w:tcPr>
            <w:tcW w:w="1276" w:type="dxa"/>
            <w:tcBorders>
              <w:top w:val="double" w:sz="4" w:space="0" w:color="auto"/>
              <w:left w:val="double" w:sz="4" w:space="0" w:color="auto"/>
              <w:bottom w:val="thinThickThinSmallGap" w:sz="24" w:space="0" w:color="auto"/>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Cs w:val="22"/>
                <w:lang w:val="bg-BG" w:eastAsia="bg-BG"/>
              </w:rPr>
              <w:t>2,08</w:t>
            </w:r>
          </w:p>
        </w:tc>
        <w:tc>
          <w:tcPr>
            <w:tcW w:w="1418" w:type="dxa"/>
            <w:tcBorders>
              <w:top w:val="double" w:sz="4" w:space="0" w:color="auto"/>
              <w:left w:val="double" w:sz="4" w:space="0" w:color="auto"/>
              <w:bottom w:val="thinThickThinSmallGap" w:sz="24" w:space="0" w:color="auto"/>
              <w:right w:val="thinThickThinSmallGap" w:sz="24" w:space="0" w:color="auto"/>
            </w:tcBorders>
            <w:shd w:val="clear" w:color="auto" w:fill="FFFFFF"/>
            <w:noWrap/>
            <w:vAlign w:val="center"/>
          </w:tcPr>
          <w:p w:rsidR="00F25110" w:rsidRPr="00BD7BB1" w:rsidRDefault="00F25110" w:rsidP="005D0034">
            <w:pPr>
              <w:spacing w:after="0" w:line="240" w:lineRule="auto"/>
              <w:jc w:val="center"/>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Cs w:val="22"/>
                <w:lang w:val="bg-BG" w:eastAsia="bg-BG"/>
              </w:rPr>
              <w:t>-</w:t>
            </w:r>
          </w:p>
        </w:tc>
      </w:tr>
    </w:tbl>
    <w:p w:rsidR="00F25110" w:rsidRPr="005D0034" w:rsidRDefault="005D0034" w:rsidP="00F25110">
      <w:pPr>
        <w:spacing w:after="0"/>
        <w:jc w:val="both"/>
        <w:rPr>
          <w:rFonts w:ascii="Times New Roman" w:eastAsia="Times New Roman" w:hAnsi="Times New Roman"/>
          <w:b/>
          <w:i/>
          <w:iCs/>
          <w:color w:val="9B2D1F" w:themeColor="accent2"/>
          <w:szCs w:val="22"/>
          <w:lang w:val="bg-BG" w:eastAsia="bg-BG"/>
        </w:rPr>
      </w:pPr>
      <w:r>
        <w:rPr>
          <w:rFonts w:ascii="Times New Roman" w:eastAsia="Times New Roman" w:hAnsi="Times New Roman"/>
          <w:b/>
          <w:i/>
          <w:iCs/>
          <w:color w:val="9B2D1F" w:themeColor="accent2"/>
          <w:szCs w:val="22"/>
          <w:lang w:val="bg-BG" w:eastAsia="bg-BG"/>
        </w:rPr>
        <w:t>Източник: Евростат</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Разходите за </w:t>
      </w:r>
      <w:r w:rsidRPr="00BD7BB1">
        <w:rPr>
          <w:rFonts w:ascii="Times New Roman" w:eastAsia="Times New Roman" w:hAnsi="Times New Roman"/>
          <w:bCs/>
          <w:iCs/>
          <w:color w:val="auto"/>
          <w:sz w:val="24"/>
          <w:szCs w:val="24"/>
          <w:lang w:val="bg-BG" w:eastAsia="bg-BG"/>
        </w:rPr>
        <w:t xml:space="preserve">научно-изследователска и развойна дейност </w:t>
      </w:r>
      <w:r w:rsidRPr="00BD7BB1">
        <w:rPr>
          <w:rFonts w:ascii="Times New Roman" w:eastAsia="Times New Roman" w:hAnsi="Times New Roman"/>
          <w:bCs/>
          <w:color w:val="auto"/>
          <w:sz w:val="24"/>
          <w:szCs w:val="24"/>
          <w:lang w:val="bg-BG" w:eastAsia="bg-BG"/>
        </w:rPr>
        <w:t>в Югоизточен район през 2013 г. възлизат на 16 580 хил.лв. и формират 3 % от от всички разходи за НИРД  в страната. В сравнение с 2011</w:t>
      </w:r>
      <w:r w:rsidR="001C0CFA">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г.</w:t>
      </w:r>
      <w:r w:rsidR="001C0CFA">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 xml:space="preserve"> през 2013г. се  наблюдава покачване на показат</w:t>
      </w:r>
      <w:r w:rsidR="00C15E5C">
        <w:rPr>
          <w:rFonts w:ascii="Times New Roman" w:eastAsia="Times New Roman" w:hAnsi="Times New Roman"/>
          <w:bCs/>
          <w:color w:val="auto"/>
          <w:sz w:val="24"/>
          <w:szCs w:val="24"/>
          <w:lang w:val="bg-BG" w:eastAsia="bg-BG"/>
        </w:rPr>
        <w:t>е</w:t>
      </w:r>
      <w:r w:rsidRPr="00BD7BB1">
        <w:rPr>
          <w:rFonts w:ascii="Times New Roman" w:eastAsia="Times New Roman" w:hAnsi="Times New Roman"/>
          <w:bCs/>
          <w:color w:val="auto"/>
          <w:sz w:val="24"/>
          <w:szCs w:val="24"/>
          <w:lang w:val="bg-BG" w:eastAsia="bg-BG"/>
        </w:rPr>
        <w:t xml:space="preserve">ля с 21 %. Въпреки това през 2011г. спрямо 2010г. е регистрирано съкращаване на разходите за НИРД с 34%. В структурата на разходите за НИРД по сектори през 2013 г. най-голям е делът на сектора на предприятията - 61,4% (10 183 хил.лв.), следван от държавния сектор - 23,5% (3 891 хил.лв.) </w:t>
      </w:r>
    </w:p>
    <w:p w:rsidR="00F25110" w:rsidRPr="005D0034" w:rsidRDefault="00F25110" w:rsidP="005D0034">
      <w:pPr>
        <w:spacing w:after="0" w:line="240" w:lineRule="auto"/>
        <w:jc w:val="both"/>
        <w:rPr>
          <w:rFonts w:ascii="Times New Roman" w:eastAsia="Times New Roman" w:hAnsi="Times New Roman"/>
          <w:b/>
          <w:i/>
          <w:iCs/>
          <w:color w:val="9B2D1F" w:themeColor="accent2"/>
          <w:sz w:val="24"/>
          <w:szCs w:val="24"/>
          <w:lang w:val="bg-BG" w:eastAsia="bg-BG"/>
        </w:rPr>
      </w:pPr>
      <w:r w:rsidRPr="005D0034">
        <w:rPr>
          <w:rFonts w:ascii="Times New Roman" w:eastAsia="Times New Roman" w:hAnsi="Times New Roman"/>
          <w:b/>
          <w:bCs/>
          <w:i/>
          <w:color w:val="9B2D1F" w:themeColor="accent2"/>
          <w:sz w:val="24"/>
          <w:szCs w:val="24"/>
          <w:lang w:val="bg-BG" w:eastAsia="bg-BG"/>
        </w:rPr>
        <w:t>Таблица 9.</w:t>
      </w:r>
      <w:r w:rsidRPr="005D0034">
        <w:rPr>
          <w:rFonts w:ascii="Times New Roman" w:eastAsia="Times New Roman" w:hAnsi="Times New Roman"/>
          <w:color w:val="9B2D1F" w:themeColor="accent2"/>
          <w:sz w:val="24"/>
          <w:szCs w:val="24"/>
          <w:lang w:val="bg-BG" w:eastAsia="bg-BG"/>
        </w:rPr>
        <w:t xml:space="preserve"> </w:t>
      </w:r>
      <w:r w:rsidRPr="005D0034">
        <w:rPr>
          <w:rFonts w:ascii="Times New Roman" w:eastAsia="Times New Roman" w:hAnsi="Times New Roman"/>
          <w:b/>
          <w:i/>
          <w:iCs/>
          <w:color w:val="9B2D1F" w:themeColor="accent2"/>
          <w:sz w:val="24"/>
          <w:szCs w:val="24"/>
          <w:lang w:val="bg-BG" w:eastAsia="bg-BG"/>
        </w:rPr>
        <w:t>Разходи за НИРД по статистически райони и сектори - 2013 г.(хил.лв.)</w:t>
      </w:r>
    </w:p>
    <w:tbl>
      <w:tblPr>
        <w:tblW w:w="9498" w:type="dxa"/>
        <w:tblInd w:w="70" w:type="dxa"/>
        <w:tblLayout w:type="fixed"/>
        <w:tblCellMar>
          <w:left w:w="70" w:type="dxa"/>
          <w:right w:w="70" w:type="dxa"/>
        </w:tblCellMar>
        <w:tblLook w:val="0000" w:firstRow="0" w:lastRow="0" w:firstColumn="0" w:lastColumn="0" w:noHBand="0" w:noVBand="0"/>
      </w:tblPr>
      <w:tblGrid>
        <w:gridCol w:w="2694"/>
        <w:gridCol w:w="992"/>
        <w:gridCol w:w="1559"/>
        <w:gridCol w:w="1276"/>
        <w:gridCol w:w="1417"/>
        <w:gridCol w:w="1560"/>
      </w:tblGrid>
      <w:tr w:rsidR="00F25110" w:rsidRPr="00BD7BB1" w:rsidTr="006614F6">
        <w:trPr>
          <w:trHeight w:val="315"/>
        </w:trPr>
        <w:tc>
          <w:tcPr>
            <w:tcW w:w="2694" w:type="dxa"/>
            <w:vMerge w:val="restart"/>
            <w:tcBorders>
              <w:top w:val="thinThickThinSmallGap" w:sz="24" w:space="0" w:color="auto"/>
              <w:left w:val="thinThickThinSmallGap" w:sz="24" w:space="0" w:color="auto"/>
              <w:right w:val="double" w:sz="4" w:space="0" w:color="auto"/>
            </w:tcBorders>
            <w:vAlign w:val="center"/>
          </w:tcPr>
          <w:p w:rsidR="00F25110" w:rsidRPr="00BD7BB1" w:rsidRDefault="00F25110" w:rsidP="005D0034">
            <w:pPr>
              <w:spacing w:after="0" w:line="240" w:lineRule="auto"/>
              <w:rPr>
                <w:rFonts w:ascii="Times New Roman" w:eastAsia="Times New Roman" w:hAnsi="Times New Roman"/>
                <w:b/>
                <w:bCs/>
                <w:color w:val="auto"/>
                <w:sz w:val="24"/>
                <w:szCs w:val="24"/>
                <w:lang w:val="bg-BG" w:eastAsia="bg-BG"/>
              </w:rPr>
            </w:pPr>
          </w:p>
          <w:p w:rsidR="00F25110" w:rsidRPr="00BD7BB1" w:rsidRDefault="00F25110" w:rsidP="005D0034">
            <w:pPr>
              <w:spacing w:after="0" w:line="240" w:lineRule="auto"/>
              <w:rPr>
                <w:rFonts w:ascii="Times New Roman" w:eastAsia="Times New Roman" w:hAnsi="Times New Roman"/>
                <w:b/>
                <w:bCs/>
                <w:color w:val="auto"/>
                <w:sz w:val="24"/>
                <w:szCs w:val="24"/>
                <w:lang w:val="bg-BG" w:eastAsia="bg-BG"/>
              </w:rPr>
            </w:pPr>
            <w:r w:rsidRPr="00BD7BB1">
              <w:rPr>
                <w:rFonts w:ascii="Times New Roman" w:eastAsia="Times New Roman" w:hAnsi="Times New Roman"/>
                <w:b/>
                <w:bCs/>
                <w:color w:val="auto"/>
                <w:szCs w:val="22"/>
                <w:lang w:val="bg-BG" w:eastAsia="bg-BG"/>
              </w:rPr>
              <w:t xml:space="preserve">Статистически райони </w:t>
            </w:r>
          </w:p>
          <w:p w:rsidR="00F25110" w:rsidRPr="00BD7BB1" w:rsidRDefault="00F25110" w:rsidP="005D0034">
            <w:pPr>
              <w:spacing w:after="0" w:line="240" w:lineRule="auto"/>
              <w:jc w:val="center"/>
              <w:rPr>
                <w:rFonts w:ascii="Times New Roman" w:eastAsia="Times New Roman" w:hAnsi="Times New Roman"/>
                <w:b/>
                <w:bCs/>
                <w:color w:val="auto"/>
                <w:sz w:val="24"/>
                <w:szCs w:val="24"/>
                <w:lang w:val="bg-BG" w:eastAsia="bg-BG"/>
              </w:rPr>
            </w:pPr>
            <w:r w:rsidRPr="00BD7BB1">
              <w:rPr>
                <w:rFonts w:ascii="Times New Roman" w:eastAsia="Times New Roman" w:hAnsi="Times New Roman"/>
                <w:b/>
                <w:bCs/>
                <w:color w:val="auto"/>
                <w:szCs w:val="22"/>
                <w:lang w:val="bg-BG" w:eastAsia="bg-BG"/>
              </w:rPr>
              <w:t xml:space="preserve"> </w:t>
            </w:r>
          </w:p>
        </w:tc>
        <w:tc>
          <w:tcPr>
            <w:tcW w:w="992" w:type="dxa"/>
            <w:vMerge w:val="restart"/>
            <w:tcBorders>
              <w:top w:val="thinThickThinSmallGap" w:sz="24" w:space="0" w:color="auto"/>
              <w:left w:val="double" w:sz="4" w:space="0" w:color="auto"/>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b/>
                <w:bCs/>
                <w:color w:val="auto"/>
                <w:sz w:val="24"/>
                <w:szCs w:val="24"/>
                <w:lang w:val="bg-BG" w:eastAsia="bg-BG"/>
              </w:rPr>
            </w:pPr>
            <w:r w:rsidRPr="00BD7BB1">
              <w:rPr>
                <w:rFonts w:ascii="Times New Roman" w:eastAsia="Times New Roman" w:hAnsi="Times New Roman"/>
                <w:b/>
                <w:bCs/>
                <w:color w:val="auto"/>
                <w:szCs w:val="22"/>
                <w:lang w:val="bg-BG" w:eastAsia="bg-BG"/>
              </w:rPr>
              <w:t>общо</w:t>
            </w:r>
          </w:p>
        </w:tc>
        <w:tc>
          <w:tcPr>
            <w:tcW w:w="5812" w:type="dxa"/>
            <w:gridSpan w:val="4"/>
            <w:tcBorders>
              <w:top w:val="thinThickThinSmallGap" w:sz="24" w:space="0" w:color="auto"/>
              <w:left w:val="double" w:sz="4" w:space="0" w:color="auto"/>
              <w:bottom w:val="single" w:sz="4" w:space="0" w:color="auto"/>
              <w:right w:val="thinThickThinSmallGap" w:sz="2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b/>
                <w:bCs/>
                <w:color w:val="auto"/>
                <w:sz w:val="24"/>
                <w:szCs w:val="24"/>
                <w:lang w:val="bg-BG" w:eastAsia="bg-BG"/>
              </w:rPr>
            </w:pPr>
            <w:r w:rsidRPr="00BD7BB1">
              <w:rPr>
                <w:rFonts w:ascii="Times New Roman" w:eastAsia="Times New Roman" w:hAnsi="Times New Roman"/>
                <w:b/>
                <w:bCs/>
                <w:color w:val="auto"/>
                <w:szCs w:val="22"/>
                <w:lang w:val="bg-BG" w:eastAsia="bg-BG"/>
              </w:rPr>
              <w:t>Сектори</w:t>
            </w:r>
          </w:p>
        </w:tc>
      </w:tr>
      <w:tr w:rsidR="00F25110" w:rsidRPr="00BD7BB1" w:rsidTr="006614F6">
        <w:trPr>
          <w:trHeight w:val="330"/>
        </w:trPr>
        <w:tc>
          <w:tcPr>
            <w:tcW w:w="2694" w:type="dxa"/>
            <w:vMerge/>
            <w:tcBorders>
              <w:left w:val="thinThickThinSmallGap" w:sz="24" w:space="0" w:color="auto"/>
              <w:bottom w:val="single" w:sz="12" w:space="0" w:color="000000"/>
              <w:right w:val="double" w:sz="4" w:space="0" w:color="auto"/>
            </w:tcBorders>
            <w:vAlign w:val="center"/>
          </w:tcPr>
          <w:p w:rsidR="00F25110" w:rsidRPr="00BD7BB1" w:rsidRDefault="00F25110" w:rsidP="005D0034">
            <w:pPr>
              <w:spacing w:after="0" w:line="240" w:lineRule="auto"/>
              <w:rPr>
                <w:rFonts w:ascii="Times New Roman" w:eastAsia="Times New Roman" w:hAnsi="Times New Roman"/>
                <w:b/>
                <w:bCs/>
                <w:color w:val="auto"/>
                <w:sz w:val="24"/>
                <w:szCs w:val="24"/>
                <w:lang w:val="bg-BG" w:eastAsia="bg-BG"/>
              </w:rPr>
            </w:pPr>
          </w:p>
        </w:tc>
        <w:tc>
          <w:tcPr>
            <w:tcW w:w="992" w:type="dxa"/>
            <w:vMerge/>
            <w:tcBorders>
              <w:left w:val="double" w:sz="4" w:space="0" w:color="auto"/>
              <w:bottom w:val="single" w:sz="12" w:space="0" w:color="000000"/>
              <w:right w:val="double" w:sz="4" w:space="0" w:color="auto"/>
            </w:tcBorders>
            <w:shd w:val="clear" w:color="auto" w:fill="FFFFFF"/>
            <w:vAlign w:val="center"/>
          </w:tcPr>
          <w:p w:rsidR="00F25110" w:rsidRPr="00BD7BB1" w:rsidRDefault="00F25110" w:rsidP="005D0034">
            <w:pPr>
              <w:spacing w:after="0" w:line="240" w:lineRule="auto"/>
              <w:jc w:val="center"/>
              <w:rPr>
                <w:rFonts w:ascii="Times New Roman" w:eastAsia="Times New Roman" w:hAnsi="Times New Roman"/>
                <w:b/>
                <w:bCs/>
                <w:color w:val="auto"/>
                <w:sz w:val="24"/>
                <w:szCs w:val="24"/>
                <w:lang w:val="bg-BG" w:eastAsia="bg-BG"/>
              </w:rPr>
            </w:pPr>
          </w:p>
        </w:tc>
        <w:tc>
          <w:tcPr>
            <w:tcW w:w="1559" w:type="dxa"/>
            <w:tcBorders>
              <w:top w:val="single" w:sz="4" w:space="0" w:color="auto"/>
              <w:left w:val="double" w:sz="4" w:space="0" w:color="auto"/>
              <w:bottom w:val="single" w:sz="12" w:space="0" w:color="000000"/>
              <w:right w:val="double" w:sz="4" w:space="0" w:color="auto"/>
            </w:tcBorders>
            <w:shd w:val="clear" w:color="auto" w:fill="FFFFFF"/>
          </w:tcPr>
          <w:p w:rsidR="00F25110" w:rsidRPr="00BD7BB1" w:rsidRDefault="00F25110" w:rsidP="005D0034">
            <w:pPr>
              <w:spacing w:after="0" w:line="240" w:lineRule="auto"/>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Предприятия</w:t>
            </w:r>
          </w:p>
        </w:tc>
        <w:tc>
          <w:tcPr>
            <w:tcW w:w="1276" w:type="dxa"/>
            <w:tcBorders>
              <w:top w:val="single" w:sz="4" w:space="0" w:color="auto"/>
              <w:left w:val="double" w:sz="4" w:space="0" w:color="auto"/>
              <w:bottom w:val="single" w:sz="12" w:space="0" w:color="000000"/>
              <w:right w:val="double" w:sz="4" w:space="0" w:color="auto"/>
            </w:tcBorders>
            <w:shd w:val="clear" w:color="auto" w:fill="FFFFFF"/>
          </w:tcPr>
          <w:p w:rsidR="00F25110" w:rsidRPr="00BD7BB1" w:rsidRDefault="00F25110" w:rsidP="005D0034">
            <w:pPr>
              <w:spacing w:after="0" w:line="240" w:lineRule="auto"/>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Държавен</w:t>
            </w:r>
          </w:p>
        </w:tc>
        <w:tc>
          <w:tcPr>
            <w:tcW w:w="1417" w:type="dxa"/>
            <w:tcBorders>
              <w:top w:val="single" w:sz="4" w:space="0" w:color="auto"/>
              <w:left w:val="double" w:sz="4" w:space="0" w:color="auto"/>
              <w:bottom w:val="single" w:sz="12" w:space="0" w:color="000000"/>
              <w:right w:val="double" w:sz="4" w:space="0" w:color="auto"/>
            </w:tcBorders>
            <w:shd w:val="clear" w:color="auto" w:fill="FFFFFF"/>
          </w:tcPr>
          <w:p w:rsidR="00F25110" w:rsidRPr="00BD7BB1" w:rsidRDefault="00F25110" w:rsidP="005D0034">
            <w:pPr>
              <w:spacing w:after="0" w:line="240" w:lineRule="auto"/>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Висше образование</w:t>
            </w:r>
          </w:p>
        </w:tc>
        <w:tc>
          <w:tcPr>
            <w:tcW w:w="1560" w:type="dxa"/>
            <w:tcBorders>
              <w:top w:val="single" w:sz="4" w:space="0" w:color="auto"/>
              <w:left w:val="double" w:sz="4" w:space="0" w:color="auto"/>
              <w:bottom w:val="single" w:sz="12" w:space="0" w:color="000000"/>
              <w:right w:val="thinThickThinSmallGap" w:sz="24" w:space="0" w:color="auto"/>
            </w:tcBorders>
            <w:shd w:val="clear" w:color="auto" w:fill="FFFFFF"/>
          </w:tcPr>
          <w:p w:rsidR="00F25110" w:rsidRPr="00BD7BB1" w:rsidRDefault="00F25110" w:rsidP="005D0034">
            <w:pPr>
              <w:spacing w:after="0" w:line="240" w:lineRule="auto"/>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Нетърговски организации</w:t>
            </w:r>
          </w:p>
        </w:tc>
      </w:tr>
      <w:tr w:rsidR="005D0034" w:rsidRPr="00BD7BB1" w:rsidTr="005D0034">
        <w:trPr>
          <w:trHeight w:val="300"/>
        </w:trPr>
        <w:tc>
          <w:tcPr>
            <w:tcW w:w="2694" w:type="dxa"/>
            <w:tcBorders>
              <w:top w:val="single" w:sz="12" w:space="0" w:color="000000"/>
              <w:left w:val="thinThickThinSmallGap" w:sz="24" w:space="0" w:color="auto"/>
              <w:bottom w:val="double" w:sz="6" w:space="0" w:color="auto"/>
              <w:right w:val="double" w:sz="4" w:space="0" w:color="auto"/>
            </w:tcBorders>
            <w:shd w:val="clear" w:color="auto" w:fill="F4B29B" w:themeFill="accent1" w:themeFillTint="66"/>
            <w:noWrap/>
            <w:vAlign w:val="bottom"/>
          </w:tcPr>
          <w:p w:rsidR="00F25110" w:rsidRPr="005D0034" w:rsidRDefault="00F25110" w:rsidP="005D0034">
            <w:pPr>
              <w:spacing w:after="0" w:line="240" w:lineRule="auto"/>
              <w:rPr>
                <w:rFonts w:ascii="Times New Roman" w:eastAsia="Times New Roman" w:hAnsi="Times New Roman"/>
                <w:b/>
                <w:bCs/>
                <w:color w:val="9B2D1F" w:themeColor="accent2"/>
                <w:sz w:val="24"/>
                <w:szCs w:val="24"/>
                <w:lang w:val="bg-BG" w:eastAsia="bg-BG"/>
              </w:rPr>
            </w:pPr>
            <w:r w:rsidRPr="005D0034">
              <w:rPr>
                <w:rFonts w:ascii="Times New Roman" w:eastAsia="Times New Roman" w:hAnsi="Times New Roman"/>
                <w:b/>
                <w:bCs/>
                <w:color w:val="9B2D1F" w:themeColor="accent2"/>
                <w:szCs w:val="22"/>
                <w:lang w:val="bg-BG" w:eastAsia="bg-BG"/>
              </w:rPr>
              <w:t>БЪЛГАРИЯ</w:t>
            </w:r>
          </w:p>
        </w:tc>
        <w:tc>
          <w:tcPr>
            <w:tcW w:w="992" w:type="dxa"/>
            <w:tcBorders>
              <w:top w:val="single" w:sz="12" w:space="0" w:color="000000"/>
              <w:left w:val="double" w:sz="4" w:space="0" w:color="auto"/>
              <w:bottom w:val="double" w:sz="6" w:space="0" w:color="auto"/>
              <w:right w:val="double" w:sz="4" w:space="0" w:color="auto"/>
            </w:tcBorders>
            <w:shd w:val="clear" w:color="auto" w:fill="F4B29B" w:themeFill="accent1" w:themeFillTint="66"/>
            <w:vAlign w:val="center"/>
          </w:tcPr>
          <w:p w:rsidR="00F25110" w:rsidRPr="005D0034" w:rsidRDefault="00F25110" w:rsidP="005D0034">
            <w:pPr>
              <w:spacing w:after="0" w:line="240" w:lineRule="auto"/>
              <w:jc w:val="right"/>
              <w:rPr>
                <w:rFonts w:ascii="Times New Roman" w:eastAsia="Times New Roman" w:hAnsi="Times New Roman"/>
                <w:color w:val="9B2D1F" w:themeColor="accent2"/>
                <w:sz w:val="24"/>
                <w:szCs w:val="24"/>
                <w:lang w:val="bg-BG" w:eastAsia="bg-BG"/>
              </w:rPr>
            </w:pPr>
            <w:r w:rsidRPr="005D0034">
              <w:rPr>
                <w:rFonts w:ascii="Times New Roman" w:eastAsia="Times New Roman" w:hAnsi="Times New Roman"/>
                <w:color w:val="9B2D1F" w:themeColor="accent2"/>
                <w:szCs w:val="22"/>
                <w:lang w:val="bg-BG" w:eastAsia="bg-BG"/>
              </w:rPr>
              <w:t>521 682</w:t>
            </w:r>
          </w:p>
        </w:tc>
        <w:tc>
          <w:tcPr>
            <w:tcW w:w="1559" w:type="dxa"/>
            <w:tcBorders>
              <w:top w:val="single" w:sz="12" w:space="0" w:color="000000"/>
              <w:left w:val="double" w:sz="4" w:space="0" w:color="auto"/>
              <w:bottom w:val="double" w:sz="6" w:space="0" w:color="auto"/>
              <w:right w:val="double" w:sz="4" w:space="0" w:color="auto"/>
            </w:tcBorders>
            <w:shd w:val="clear" w:color="auto" w:fill="F4B29B" w:themeFill="accent1" w:themeFillTint="66"/>
            <w:noWrap/>
            <w:vAlign w:val="center"/>
          </w:tcPr>
          <w:p w:rsidR="00F25110" w:rsidRPr="005D0034" w:rsidRDefault="00F25110" w:rsidP="005D0034">
            <w:pPr>
              <w:spacing w:after="0" w:line="240" w:lineRule="auto"/>
              <w:jc w:val="right"/>
              <w:rPr>
                <w:rFonts w:ascii="Times New Roman" w:eastAsia="Times New Roman" w:hAnsi="Times New Roman"/>
                <w:color w:val="9B2D1F" w:themeColor="accent2"/>
                <w:sz w:val="24"/>
                <w:szCs w:val="24"/>
                <w:lang w:val="bg-BG" w:eastAsia="bg-BG"/>
              </w:rPr>
            </w:pPr>
            <w:r w:rsidRPr="005D0034">
              <w:rPr>
                <w:rFonts w:ascii="Times New Roman" w:eastAsia="Times New Roman" w:hAnsi="Times New Roman"/>
                <w:color w:val="9B2D1F" w:themeColor="accent2"/>
                <w:szCs w:val="22"/>
                <w:lang w:val="bg-BG" w:eastAsia="bg-BG"/>
              </w:rPr>
              <w:t>318 640</w:t>
            </w:r>
          </w:p>
        </w:tc>
        <w:tc>
          <w:tcPr>
            <w:tcW w:w="1276" w:type="dxa"/>
            <w:tcBorders>
              <w:top w:val="single" w:sz="12" w:space="0" w:color="000000"/>
              <w:left w:val="double" w:sz="4" w:space="0" w:color="auto"/>
              <w:bottom w:val="double" w:sz="6" w:space="0" w:color="auto"/>
              <w:right w:val="double" w:sz="4" w:space="0" w:color="auto"/>
            </w:tcBorders>
            <w:shd w:val="clear" w:color="auto" w:fill="F4B29B" w:themeFill="accent1" w:themeFillTint="66"/>
            <w:vAlign w:val="center"/>
          </w:tcPr>
          <w:p w:rsidR="00F25110" w:rsidRPr="005D0034" w:rsidRDefault="00F25110" w:rsidP="005D0034">
            <w:pPr>
              <w:spacing w:after="0" w:line="240" w:lineRule="auto"/>
              <w:jc w:val="right"/>
              <w:rPr>
                <w:rFonts w:ascii="Times New Roman" w:eastAsia="Times New Roman" w:hAnsi="Times New Roman"/>
                <w:color w:val="9B2D1F" w:themeColor="accent2"/>
                <w:sz w:val="24"/>
                <w:szCs w:val="24"/>
                <w:lang w:val="bg-BG" w:eastAsia="bg-BG"/>
              </w:rPr>
            </w:pPr>
            <w:r w:rsidRPr="005D0034">
              <w:rPr>
                <w:rFonts w:ascii="Times New Roman" w:eastAsia="Times New Roman" w:hAnsi="Times New Roman"/>
                <w:color w:val="9B2D1F" w:themeColor="accent2"/>
                <w:szCs w:val="22"/>
                <w:lang w:val="bg-BG" w:eastAsia="bg-BG"/>
              </w:rPr>
              <w:t>154 807</w:t>
            </w:r>
          </w:p>
        </w:tc>
        <w:tc>
          <w:tcPr>
            <w:tcW w:w="1417" w:type="dxa"/>
            <w:tcBorders>
              <w:top w:val="single" w:sz="12" w:space="0" w:color="000000"/>
              <w:left w:val="double" w:sz="4" w:space="0" w:color="auto"/>
              <w:bottom w:val="double" w:sz="6" w:space="0" w:color="auto"/>
              <w:right w:val="double" w:sz="4" w:space="0" w:color="auto"/>
            </w:tcBorders>
            <w:shd w:val="clear" w:color="auto" w:fill="F4B29B" w:themeFill="accent1" w:themeFillTint="66"/>
            <w:vAlign w:val="center"/>
          </w:tcPr>
          <w:p w:rsidR="00F25110" w:rsidRPr="005D0034" w:rsidRDefault="00F25110" w:rsidP="005D0034">
            <w:pPr>
              <w:spacing w:after="0" w:line="240" w:lineRule="auto"/>
              <w:jc w:val="right"/>
              <w:rPr>
                <w:rFonts w:ascii="Times New Roman" w:eastAsia="Times New Roman" w:hAnsi="Times New Roman"/>
                <w:color w:val="9B2D1F" w:themeColor="accent2"/>
                <w:sz w:val="24"/>
                <w:szCs w:val="24"/>
                <w:lang w:val="bg-BG" w:eastAsia="bg-BG"/>
              </w:rPr>
            </w:pPr>
            <w:r w:rsidRPr="005D0034">
              <w:rPr>
                <w:rFonts w:ascii="Times New Roman" w:eastAsia="Times New Roman" w:hAnsi="Times New Roman"/>
                <w:color w:val="9B2D1F" w:themeColor="accent2"/>
                <w:szCs w:val="22"/>
                <w:lang w:val="bg-BG" w:eastAsia="bg-BG"/>
              </w:rPr>
              <w:t>45 106</w:t>
            </w:r>
          </w:p>
        </w:tc>
        <w:tc>
          <w:tcPr>
            <w:tcW w:w="1560" w:type="dxa"/>
            <w:tcBorders>
              <w:top w:val="single" w:sz="12" w:space="0" w:color="000000"/>
              <w:left w:val="double" w:sz="4" w:space="0" w:color="auto"/>
              <w:bottom w:val="double" w:sz="6" w:space="0" w:color="auto"/>
              <w:right w:val="thinThickThinSmallGap" w:sz="24" w:space="0" w:color="auto"/>
            </w:tcBorders>
            <w:shd w:val="clear" w:color="auto" w:fill="F4B29B" w:themeFill="accent1" w:themeFillTint="66"/>
            <w:noWrap/>
            <w:vAlign w:val="center"/>
          </w:tcPr>
          <w:p w:rsidR="00F25110" w:rsidRPr="005D0034" w:rsidRDefault="00F25110" w:rsidP="005D0034">
            <w:pPr>
              <w:spacing w:after="0" w:line="240" w:lineRule="auto"/>
              <w:jc w:val="right"/>
              <w:rPr>
                <w:rFonts w:ascii="Times New Roman" w:eastAsia="Times New Roman" w:hAnsi="Times New Roman"/>
                <w:color w:val="9B2D1F" w:themeColor="accent2"/>
                <w:sz w:val="24"/>
                <w:szCs w:val="24"/>
                <w:lang w:val="bg-BG" w:eastAsia="bg-BG"/>
              </w:rPr>
            </w:pPr>
            <w:r w:rsidRPr="005D0034">
              <w:rPr>
                <w:rFonts w:ascii="Times New Roman" w:eastAsia="Times New Roman" w:hAnsi="Times New Roman"/>
                <w:color w:val="9B2D1F" w:themeColor="accent2"/>
                <w:szCs w:val="22"/>
                <w:lang w:val="bg-BG" w:eastAsia="bg-BG"/>
              </w:rPr>
              <w:t>3 129</w:t>
            </w:r>
          </w:p>
        </w:tc>
      </w:tr>
      <w:tr w:rsidR="00F25110" w:rsidRPr="00BD7BB1" w:rsidTr="006614F6">
        <w:trPr>
          <w:trHeight w:val="331"/>
        </w:trPr>
        <w:tc>
          <w:tcPr>
            <w:tcW w:w="2694" w:type="dxa"/>
            <w:tcBorders>
              <w:top w:val="single" w:sz="12" w:space="0" w:color="auto"/>
              <w:left w:val="thinThickThinSmallGap" w:sz="2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rPr>
                <w:rFonts w:ascii="Times New Roman" w:eastAsia="Times New Roman" w:hAnsi="Times New Roman"/>
                <w:bCs/>
                <w:i/>
                <w:color w:val="auto"/>
                <w:sz w:val="24"/>
                <w:szCs w:val="24"/>
                <w:lang w:val="bg-BG" w:eastAsia="bg-BG"/>
              </w:rPr>
            </w:pPr>
            <w:r w:rsidRPr="00BD7BB1">
              <w:rPr>
                <w:rFonts w:ascii="Times New Roman" w:eastAsia="Times New Roman" w:hAnsi="Times New Roman"/>
                <w:bCs/>
                <w:i/>
                <w:color w:val="auto"/>
                <w:szCs w:val="22"/>
                <w:lang w:val="bg-BG" w:eastAsia="bg-BG"/>
              </w:rPr>
              <w:t>Северозападен район</w:t>
            </w:r>
          </w:p>
        </w:tc>
        <w:tc>
          <w:tcPr>
            <w:tcW w:w="992" w:type="dxa"/>
            <w:tcBorders>
              <w:top w:val="single" w:sz="12"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10 671</w:t>
            </w:r>
          </w:p>
        </w:tc>
        <w:tc>
          <w:tcPr>
            <w:tcW w:w="1559" w:type="dxa"/>
            <w:tcBorders>
              <w:top w:val="single" w:sz="12" w:space="0" w:color="auto"/>
              <w:left w:val="double" w:sz="4" w:space="0" w:color="auto"/>
              <w:bottom w:val="double" w:sz="4" w:space="0" w:color="auto"/>
              <w:right w:val="double" w:sz="4" w:space="0" w:color="auto"/>
            </w:tcBorders>
            <w:shd w:val="clear" w:color="auto" w:fill="FFFFFF"/>
            <w:noWrap/>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w:t>
            </w:r>
          </w:p>
        </w:tc>
        <w:tc>
          <w:tcPr>
            <w:tcW w:w="1276" w:type="dxa"/>
            <w:tcBorders>
              <w:top w:val="single" w:sz="12"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5 248</w:t>
            </w:r>
          </w:p>
        </w:tc>
        <w:tc>
          <w:tcPr>
            <w:tcW w:w="1417" w:type="dxa"/>
            <w:tcBorders>
              <w:top w:val="single" w:sz="12"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w:t>
            </w:r>
          </w:p>
        </w:tc>
        <w:tc>
          <w:tcPr>
            <w:tcW w:w="1560" w:type="dxa"/>
            <w:tcBorders>
              <w:top w:val="single" w:sz="12" w:space="0" w:color="auto"/>
              <w:left w:val="double" w:sz="4" w:space="0" w:color="auto"/>
              <w:bottom w:val="double" w:sz="4" w:space="0" w:color="auto"/>
              <w:right w:val="thinThickThinSmallGap" w:sz="24" w:space="0" w:color="auto"/>
            </w:tcBorders>
            <w:shd w:val="clear" w:color="auto" w:fill="FFFFFF"/>
            <w:noWrap/>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w:t>
            </w:r>
          </w:p>
        </w:tc>
      </w:tr>
      <w:tr w:rsidR="00F25110" w:rsidRPr="00BD7BB1" w:rsidTr="006614F6">
        <w:trPr>
          <w:trHeight w:val="386"/>
        </w:trPr>
        <w:tc>
          <w:tcPr>
            <w:tcW w:w="2694" w:type="dxa"/>
            <w:tcBorders>
              <w:top w:val="double" w:sz="4" w:space="0" w:color="auto"/>
              <w:left w:val="thinThickThinSmallGap" w:sz="2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rPr>
                <w:rFonts w:ascii="Times New Roman" w:eastAsia="Times New Roman" w:hAnsi="Times New Roman"/>
                <w:bCs/>
                <w:i/>
                <w:color w:val="auto"/>
                <w:sz w:val="24"/>
                <w:szCs w:val="24"/>
                <w:lang w:val="bg-BG" w:eastAsia="bg-BG"/>
              </w:rPr>
            </w:pPr>
            <w:r w:rsidRPr="00BD7BB1">
              <w:rPr>
                <w:rFonts w:ascii="Times New Roman" w:eastAsia="Times New Roman" w:hAnsi="Times New Roman"/>
                <w:bCs/>
                <w:i/>
                <w:color w:val="auto"/>
                <w:szCs w:val="22"/>
                <w:lang w:val="bg-BG" w:eastAsia="bg-BG"/>
              </w:rPr>
              <w:t>Северен централен район</w:t>
            </w:r>
          </w:p>
        </w:tc>
        <w:tc>
          <w:tcPr>
            <w:tcW w:w="992" w:type="dxa"/>
            <w:tcBorders>
              <w:top w:val="double" w:sz="4"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9 799</w:t>
            </w:r>
          </w:p>
        </w:tc>
        <w:tc>
          <w:tcPr>
            <w:tcW w:w="1559" w:type="dxa"/>
            <w:tcBorders>
              <w:top w:val="double" w:sz="4" w:space="0" w:color="auto"/>
              <w:left w:val="double" w:sz="4" w:space="0" w:color="auto"/>
              <w:bottom w:val="double" w:sz="4" w:space="0" w:color="auto"/>
              <w:right w:val="double" w:sz="4" w:space="0" w:color="auto"/>
            </w:tcBorders>
            <w:shd w:val="clear" w:color="auto" w:fill="FFFFFF"/>
            <w:noWrap/>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7 495</w:t>
            </w:r>
          </w:p>
        </w:tc>
        <w:tc>
          <w:tcPr>
            <w:tcW w:w="1276" w:type="dxa"/>
            <w:tcBorders>
              <w:top w:val="double" w:sz="4"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1 013</w:t>
            </w:r>
          </w:p>
        </w:tc>
        <w:tc>
          <w:tcPr>
            <w:tcW w:w="1417" w:type="dxa"/>
            <w:tcBorders>
              <w:top w:val="double" w:sz="4"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1 291</w:t>
            </w:r>
          </w:p>
        </w:tc>
        <w:tc>
          <w:tcPr>
            <w:tcW w:w="1560" w:type="dxa"/>
            <w:tcBorders>
              <w:top w:val="double" w:sz="4" w:space="0" w:color="auto"/>
              <w:left w:val="double" w:sz="4" w:space="0" w:color="auto"/>
              <w:bottom w:val="double" w:sz="4" w:space="0" w:color="auto"/>
              <w:right w:val="thinThickThinSmallGap" w:sz="24" w:space="0" w:color="auto"/>
            </w:tcBorders>
            <w:shd w:val="clear" w:color="auto" w:fill="FFFFFF"/>
            <w:noWrap/>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w:t>
            </w:r>
          </w:p>
        </w:tc>
      </w:tr>
      <w:tr w:rsidR="00F25110" w:rsidRPr="00BD7BB1" w:rsidTr="006614F6">
        <w:trPr>
          <w:trHeight w:val="334"/>
        </w:trPr>
        <w:tc>
          <w:tcPr>
            <w:tcW w:w="2694" w:type="dxa"/>
            <w:tcBorders>
              <w:top w:val="double" w:sz="4" w:space="0" w:color="auto"/>
              <w:left w:val="thinThickThinSmallGap" w:sz="2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rPr>
                <w:rFonts w:ascii="Times New Roman" w:eastAsia="Times New Roman" w:hAnsi="Times New Roman"/>
                <w:bCs/>
                <w:i/>
                <w:color w:val="auto"/>
                <w:sz w:val="24"/>
                <w:szCs w:val="24"/>
                <w:lang w:val="bg-BG" w:eastAsia="bg-BG"/>
              </w:rPr>
            </w:pPr>
            <w:r w:rsidRPr="00BD7BB1">
              <w:rPr>
                <w:rFonts w:ascii="Times New Roman" w:eastAsia="Times New Roman" w:hAnsi="Times New Roman"/>
                <w:bCs/>
                <w:i/>
                <w:color w:val="auto"/>
                <w:szCs w:val="22"/>
                <w:lang w:val="bg-BG" w:eastAsia="bg-BG"/>
              </w:rPr>
              <w:t>Североизточен район</w:t>
            </w:r>
          </w:p>
        </w:tc>
        <w:tc>
          <w:tcPr>
            <w:tcW w:w="992" w:type="dxa"/>
            <w:tcBorders>
              <w:top w:val="double" w:sz="4"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29 741</w:t>
            </w:r>
          </w:p>
        </w:tc>
        <w:tc>
          <w:tcPr>
            <w:tcW w:w="1559" w:type="dxa"/>
            <w:tcBorders>
              <w:top w:val="double" w:sz="4" w:space="0" w:color="auto"/>
              <w:left w:val="double" w:sz="4" w:space="0" w:color="auto"/>
              <w:bottom w:val="double" w:sz="4" w:space="0" w:color="auto"/>
              <w:right w:val="double" w:sz="4" w:space="0" w:color="auto"/>
            </w:tcBorders>
            <w:shd w:val="clear" w:color="auto" w:fill="FFFFFF"/>
            <w:noWrap/>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w:t>
            </w:r>
          </w:p>
        </w:tc>
        <w:tc>
          <w:tcPr>
            <w:tcW w:w="1276" w:type="dxa"/>
            <w:tcBorders>
              <w:top w:val="double" w:sz="4"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11 233</w:t>
            </w:r>
          </w:p>
        </w:tc>
        <w:tc>
          <w:tcPr>
            <w:tcW w:w="1417" w:type="dxa"/>
            <w:tcBorders>
              <w:top w:val="double" w:sz="4"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3 527</w:t>
            </w:r>
          </w:p>
        </w:tc>
        <w:tc>
          <w:tcPr>
            <w:tcW w:w="1560" w:type="dxa"/>
            <w:tcBorders>
              <w:top w:val="double" w:sz="4" w:space="0" w:color="auto"/>
              <w:left w:val="double" w:sz="4" w:space="0" w:color="auto"/>
              <w:bottom w:val="double" w:sz="4" w:space="0" w:color="auto"/>
              <w:right w:val="thinThickThinSmallGap" w:sz="24" w:space="0" w:color="auto"/>
            </w:tcBorders>
            <w:shd w:val="clear" w:color="auto" w:fill="FFFFFF"/>
            <w:noWrap/>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w:t>
            </w:r>
          </w:p>
        </w:tc>
      </w:tr>
      <w:tr w:rsidR="00F25110" w:rsidRPr="00BD7BB1" w:rsidTr="006614F6">
        <w:trPr>
          <w:trHeight w:val="258"/>
        </w:trPr>
        <w:tc>
          <w:tcPr>
            <w:tcW w:w="2694" w:type="dxa"/>
            <w:tcBorders>
              <w:top w:val="double" w:sz="4" w:space="0" w:color="auto"/>
              <w:left w:val="thinThickThinSmallGap" w:sz="24" w:space="0" w:color="auto"/>
              <w:bottom w:val="double" w:sz="4" w:space="0" w:color="auto"/>
              <w:right w:val="double" w:sz="4" w:space="0" w:color="auto"/>
            </w:tcBorders>
            <w:shd w:val="clear" w:color="auto" w:fill="FFFFFF"/>
          </w:tcPr>
          <w:p w:rsidR="00F25110" w:rsidRPr="00BD7BB1" w:rsidRDefault="00F25110" w:rsidP="005D0034">
            <w:pPr>
              <w:spacing w:after="0" w:line="240" w:lineRule="auto"/>
              <w:rPr>
                <w:rFonts w:ascii="Times New Roman" w:eastAsia="Times New Roman" w:hAnsi="Times New Roman"/>
                <w:i/>
                <w:color w:val="auto"/>
                <w:sz w:val="24"/>
                <w:szCs w:val="24"/>
                <w:lang w:val="bg-BG" w:eastAsia="bg-BG"/>
              </w:rPr>
            </w:pPr>
            <w:r w:rsidRPr="00BD7BB1">
              <w:rPr>
                <w:rFonts w:ascii="Times New Roman" w:eastAsia="Times New Roman" w:hAnsi="Times New Roman"/>
                <w:i/>
                <w:color w:val="auto"/>
                <w:sz w:val="24"/>
                <w:szCs w:val="24"/>
                <w:lang w:val="bg-BG" w:eastAsia="bg-BG"/>
              </w:rPr>
              <w:t xml:space="preserve">Югозападен район </w:t>
            </w:r>
          </w:p>
        </w:tc>
        <w:tc>
          <w:tcPr>
            <w:tcW w:w="992" w:type="dxa"/>
            <w:tcBorders>
              <w:top w:val="double" w:sz="4"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430 305</w:t>
            </w:r>
          </w:p>
        </w:tc>
        <w:tc>
          <w:tcPr>
            <w:tcW w:w="1559" w:type="dxa"/>
            <w:tcBorders>
              <w:top w:val="double" w:sz="4" w:space="0" w:color="auto"/>
              <w:left w:val="double" w:sz="4" w:space="0" w:color="auto"/>
              <w:bottom w:val="double" w:sz="4" w:space="0" w:color="auto"/>
              <w:right w:val="double" w:sz="4" w:space="0" w:color="auto"/>
            </w:tcBorders>
            <w:shd w:val="clear" w:color="auto" w:fill="FFFFFF"/>
            <w:noWrap/>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268 082</w:t>
            </w:r>
          </w:p>
        </w:tc>
        <w:tc>
          <w:tcPr>
            <w:tcW w:w="1276" w:type="dxa"/>
            <w:tcBorders>
              <w:top w:val="double" w:sz="4"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126 556</w:t>
            </w:r>
          </w:p>
        </w:tc>
        <w:tc>
          <w:tcPr>
            <w:tcW w:w="1417" w:type="dxa"/>
            <w:tcBorders>
              <w:top w:val="double" w:sz="4"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33 410</w:t>
            </w:r>
          </w:p>
        </w:tc>
        <w:tc>
          <w:tcPr>
            <w:tcW w:w="1560" w:type="dxa"/>
            <w:tcBorders>
              <w:top w:val="double" w:sz="4" w:space="0" w:color="auto"/>
              <w:left w:val="double" w:sz="4" w:space="0" w:color="auto"/>
              <w:bottom w:val="double" w:sz="4" w:space="0" w:color="auto"/>
              <w:right w:val="thinThickThinSmallGap" w:sz="24" w:space="0" w:color="auto"/>
            </w:tcBorders>
            <w:shd w:val="clear" w:color="auto" w:fill="FFFFFF"/>
            <w:noWrap/>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2 257</w:t>
            </w:r>
          </w:p>
        </w:tc>
      </w:tr>
      <w:tr w:rsidR="00F25110" w:rsidRPr="00BD7BB1" w:rsidTr="006614F6">
        <w:trPr>
          <w:trHeight w:val="258"/>
        </w:trPr>
        <w:tc>
          <w:tcPr>
            <w:tcW w:w="2694" w:type="dxa"/>
            <w:tcBorders>
              <w:top w:val="double" w:sz="4" w:space="0" w:color="auto"/>
              <w:left w:val="thinThickThinSmallGap" w:sz="24" w:space="0" w:color="auto"/>
              <w:bottom w:val="double" w:sz="4" w:space="0" w:color="auto"/>
              <w:right w:val="double" w:sz="4" w:space="0" w:color="auto"/>
            </w:tcBorders>
            <w:shd w:val="clear" w:color="auto" w:fill="FFFFFF"/>
          </w:tcPr>
          <w:p w:rsidR="00F25110" w:rsidRPr="00BD7BB1" w:rsidRDefault="00F25110" w:rsidP="005D0034">
            <w:pPr>
              <w:spacing w:after="0" w:line="240" w:lineRule="auto"/>
              <w:rPr>
                <w:rFonts w:ascii="Times New Roman" w:eastAsia="Times New Roman" w:hAnsi="Times New Roman"/>
                <w:i/>
                <w:color w:val="auto"/>
                <w:sz w:val="24"/>
                <w:szCs w:val="24"/>
                <w:lang w:val="bg-BG" w:eastAsia="bg-BG"/>
              </w:rPr>
            </w:pPr>
            <w:r w:rsidRPr="00BD7BB1">
              <w:rPr>
                <w:rFonts w:ascii="Times New Roman" w:eastAsia="Times New Roman" w:hAnsi="Times New Roman"/>
                <w:i/>
                <w:color w:val="auto"/>
                <w:sz w:val="24"/>
                <w:szCs w:val="24"/>
                <w:lang w:val="bg-BG" w:eastAsia="bg-BG"/>
              </w:rPr>
              <w:t>Южен централен район</w:t>
            </w:r>
          </w:p>
        </w:tc>
        <w:tc>
          <w:tcPr>
            <w:tcW w:w="992" w:type="dxa"/>
            <w:tcBorders>
              <w:top w:val="double" w:sz="4"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24 586</w:t>
            </w:r>
          </w:p>
        </w:tc>
        <w:tc>
          <w:tcPr>
            <w:tcW w:w="1559" w:type="dxa"/>
            <w:tcBorders>
              <w:top w:val="double" w:sz="4" w:space="0" w:color="auto"/>
              <w:left w:val="double" w:sz="4" w:space="0" w:color="auto"/>
              <w:bottom w:val="double" w:sz="4" w:space="0" w:color="auto"/>
              <w:right w:val="double" w:sz="4" w:space="0" w:color="auto"/>
            </w:tcBorders>
            <w:shd w:val="clear" w:color="auto" w:fill="FFFFFF"/>
            <w:noWrap/>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13 302</w:t>
            </w:r>
          </w:p>
        </w:tc>
        <w:tc>
          <w:tcPr>
            <w:tcW w:w="1276" w:type="dxa"/>
            <w:tcBorders>
              <w:top w:val="double" w:sz="4"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6 866</w:t>
            </w:r>
          </w:p>
        </w:tc>
        <w:tc>
          <w:tcPr>
            <w:tcW w:w="1417" w:type="dxa"/>
            <w:tcBorders>
              <w:top w:val="double" w:sz="4" w:space="0" w:color="auto"/>
              <w:left w:val="double" w:sz="4" w:space="0" w:color="auto"/>
              <w:bottom w:val="double" w:sz="4" w:space="0" w:color="auto"/>
              <w:right w:val="double" w:sz="4" w:space="0" w:color="auto"/>
            </w:tcBorders>
            <w:shd w:val="clear" w:color="auto" w:fill="FFFFFF"/>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w:t>
            </w:r>
          </w:p>
        </w:tc>
        <w:tc>
          <w:tcPr>
            <w:tcW w:w="1560" w:type="dxa"/>
            <w:tcBorders>
              <w:top w:val="double" w:sz="4" w:space="0" w:color="auto"/>
              <w:left w:val="double" w:sz="4" w:space="0" w:color="auto"/>
              <w:bottom w:val="double" w:sz="4" w:space="0" w:color="auto"/>
              <w:right w:val="thinThickThinSmallGap" w:sz="24" w:space="0" w:color="auto"/>
            </w:tcBorders>
            <w:shd w:val="clear" w:color="auto" w:fill="FFFFFF"/>
            <w:noWrap/>
            <w:vAlign w:val="center"/>
          </w:tcPr>
          <w:p w:rsidR="00F25110" w:rsidRPr="00BD7BB1" w:rsidRDefault="00F25110" w:rsidP="005D0034">
            <w:pPr>
              <w:spacing w:after="0" w:line="240" w:lineRule="auto"/>
              <w:jc w:val="right"/>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Cs w:val="22"/>
                <w:lang w:val="bg-BG" w:eastAsia="bg-BG"/>
              </w:rPr>
              <w:t>..</w:t>
            </w:r>
          </w:p>
        </w:tc>
      </w:tr>
      <w:tr w:rsidR="005D0034" w:rsidRPr="00BD7BB1" w:rsidTr="005D0034">
        <w:trPr>
          <w:trHeight w:val="328"/>
        </w:trPr>
        <w:tc>
          <w:tcPr>
            <w:tcW w:w="2694" w:type="dxa"/>
            <w:tcBorders>
              <w:top w:val="double" w:sz="4" w:space="0" w:color="auto"/>
              <w:left w:val="thinThickThinSmallGap" w:sz="24" w:space="0" w:color="auto"/>
              <w:bottom w:val="thinThickThinSmallGap" w:sz="24" w:space="0" w:color="auto"/>
              <w:right w:val="double" w:sz="4" w:space="0" w:color="auto"/>
            </w:tcBorders>
            <w:shd w:val="clear" w:color="auto" w:fill="F4B29B" w:themeFill="accent1" w:themeFillTint="66"/>
          </w:tcPr>
          <w:p w:rsidR="00F25110" w:rsidRPr="005D0034" w:rsidRDefault="00F25110" w:rsidP="005D0034">
            <w:pPr>
              <w:spacing w:after="0" w:line="240" w:lineRule="auto"/>
              <w:rPr>
                <w:rFonts w:ascii="Times New Roman" w:eastAsia="Times New Roman" w:hAnsi="Times New Roman"/>
                <w:b/>
                <w:i/>
                <w:color w:val="9B2D1F" w:themeColor="accent2"/>
                <w:sz w:val="24"/>
                <w:szCs w:val="24"/>
                <w:lang w:val="bg-BG" w:eastAsia="bg-BG"/>
              </w:rPr>
            </w:pPr>
            <w:r w:rsidRPr="005D0034">
              <w:rPr>
                <w:rFonts w:ascii="Times New Roman" w:eastAsia="Times New Roman" w:hAnsi="Times New Roman"/>
                <w:b/>
                <w:i/>
                <w:color w:val="9B2D1F" w:themeColor="accent2"/>
                <w:sz w:val="24"/>
                <w:szCs w:val="24"/>
                <w:lang w:val="bg-BG" w:eastAsia="bg-BG"/>
              </w:rPr>
              <w:lastRenderedPageBreak/>
              <w:t>Югоизточен район</w:t>
            </w:r>
          </w:p>
        </w:tc>
        <w:tc>
          <w:tcPr>
            <w:tcW w:w="992" w:type="dxa"/>
            <w:tcBorders>
              <w:top w:val="double" w:sz="4" w:space="0" w:color="auto"/>
              <w:left w:val="double" w:sz="4" w:space="0" w:color="auto"/>
              <w:bottom w:val="thinThickThinSmallGap" w:sz="24" w:space="0" w:color="auto"/>
              <w:right w:val="double" w:sz="4" w:space="0" w:color="auto"/>
            </w:tcBorders>
            <w:shd w:val="clear" w:color="auto" w:fill="F4B29B" w:themeFill="accent1" w:themeFillTint="66"/>
            <w:vAlign w:val="center"/>
          </w:tcPr>
          <w:p w:rsidR="00F25110" w:rsidRPr="005D0034" w:rsidRDefault="00F25110" w:rsidP="005D0034">
            <w:pPr>
              <w:spacing w:after="0" w:line="240" w:lineRule="auto"/>
              <w:jc w:val="right"/>
              <w:rPr>
                <w:rFonts w:ascii="Times New Roman" w:eastAsia="Times New Roman" w:hAnsi="Times New Roman"/>
                <w:color w:val="9B2D1F" w:themeColor="accent2"/>
                <w:sz w:val="24"/>
                <w:szCs w:val="24"/>
                <w:lang w:val="bg-BG" w:eastAsia="bg-BG"/>
              </w:rPr>
            </w:pPr>
            <w:r w:rsidRPr="005D0034">
              <w:rPr>
                <w:rFonts w:ascii="Times New Roman" w:eastAsia="Times New Roman" w:hAnsi="Times New Roman"/>
                <w:color w:val="9B2D1F" w:themeColor="accent2"/>
                <w:szCs w:val="22"/>
                <w:lang w:val="bg-BG" w:eastAsia="bg-BG"/>
              </w:rPr>
              <w:t>16 580</w:t>
            </w:r>
          </w:p>
        </w:tc>
        <w:tc>
          <w:tcPr>
            <w:tcW w:w="1559" w:type="dxa"/>
            <w:tcBorders>
              <w:top w:val="double" w:sz="4" w:space="0" w:color="auto"/>
              <w:left w:val="double" w:sz="4" w:space="0" w:color="auto"/>
              <w:bottom w:val="thinThickThinSmallGap" w:sz="24" w:space="0" w:color="auto"/>
              <w:right w:val="double" w:sz="4" w:space="0" w:color="auto"/>
            </w:tcBorders>
            <w:shd w:val="clear" w:color="auto" w:fill="F4B29B" w:themeFill="accent1" w:themeFillTint="66"/>
            <w:noWrap/>
            <w:vAlign w:val="center"/>
          </w:tcPr>
          <w:p w:rsidR="00F25110" w:rsidRPr="005D0034" w:rsidRDefault="00F25110" w:rsidP="005D0034">
            <w:pPr>
              <w:spacing w:after="0" w:line="240" w:lineRule="auto"/>
              <w:jc w:val="right"/>
              <w:rPr>
                <w:rFonts w:ascii="Times New Roman" w:eastAsia="Times New Roman" w:hAnsi="Times New Roman"/>
                <w:color w:val="9B2D1F" w:themeColor="accent2"/>
                <w:sz w:val="24"/>
                <w:szCs w:val="24"/>
                <w:lang w:val="bg-BG" w:eastAsia="bg-BG"/>
              </w:rPr>
            </w:pPr>
            <w:r w:rsidRPr="005D0034">
              <w:rPr>
                <w:rFonts w:ascii="Times New Roman" w:eastAsia="Times New Roman" w:hAnsi="Times New Roman"/>
                <w:color w:val="9B2D1F" w:themeColor="accent2"/>
                <w:szCs w:val="22"/>
                <w:lang w:val="bg-BG" w:eastAsia="bg-BG"/>
              </w:rPr>
              <w:t>10 183</w:t>
            </w:r>
          </w:p>
        </w:tc>
        <w:tc>
          <w:tcPr>
            <w:tcW w:w="1276" w:type="dxa"/>
            <w:tcBorders>
              <w:top w:val="double" w:sz="4" w:space="0" w:color="auto"/>
              <w:left w:val="double" w:sz="4" w:space="0" w:color="auto"/>
              <w:bottom w:val="thinThickThinSmallGap" w:sz="24" w:space="0" w:color="auto"/>
              <w:right w:val="double" w:sz="4" w:space="0" w:color="auto"/>
            </w:tcBorders>
            <w:shd w:val="clear" w:color="auto" w:fill="F4B29B" w:themeFill="accent1" w:themeFillTint="66"/>
            <w:vAlign w:val="center"/>
          </w:tcPr>
          <w:p w:rsidR="00F25110" w:rsidRPr="005D0034" w:rsidRDefault="00F25110" w:rsidP="005D0034">
            <w:pPr>
              <w:spacing w:after="0" w:line="240" w:lineRule="auto"/>
              <w:jc w:val="right"/>
              <w:rPr>
                <w:rFonts w:ascii="Times New Roman" w:eastAsia="Times New Roman" w:hAnsi="Times New Roman"/>
                <w:color w:val="9B2D1F" w:themeColor="accent2"/>
                <w:sz w:val="24"/>
                <w:szCs w:val="24"/>
                <w:lang w:val="bg-BG" w:eastAsia="bg-BG"/>
              </w:rPr>
            </w:pPr>
            <w:r w:rsidRPr="005D0034">
              <w:rPr>
                <w:rFonts w:ascii="Times New Roman" w:eastAsia="Times New Roman" w:hAnsi="Times New Roman"/>
                <w:color w:val="9B2D1F" w:themeColor="accent2"/>
                <w:szCs w:val="22"/>
                <w:lang w:val="bg-BG" w:eastAsia="bg-BG"/>
              </w:rPr>
              <w:t>3 891</w:t>
            </w:r>
          </w:p>
        </w:tc>
        <w:tc>
          <w:tcPr>
            <w:tcW w:w="1417" w:type="dxa"/>
            <w:tcBorders>
              <w:top w:val="double" w:sz="4" w:space="0" w:color="auto"/>
              <w:left w:val="double" w:sz="4" w:space="0" w:color="auto"/>
              <w:bottom w:val="thinThickThinSmallGap" w:sz="24" w:space="0" w:color="auto"/>
              <w:right w:val="double" w:sz="4" w:space="0" w:color="auto"/>
            </w:tcBorders>
            <w:shd w:val="clear" w:color="auto" w:fill="F4B29B" w:themeFill="accent1" w:themeFillTint="66"/>
            <w:vAlign w:val="center"/>
          </w:tcPr>
          <w:p w:rsidR="00F25110" w:rsidRPr="005D0034" w:rsidRDefault="00F25110" w:rsidP="005D0034">
            <w:pPr>
              <w:spacing w:after="0" w:line="240" w:lineRule="auto"/>
              <w:jc w:val="right"/>
              <w:rPr>
                <w:rFonts w:ascii="Times New Roman" w:eastAsia="Times New Roman" w:hAnsi="Times New Roman"/>
                <w:color w:val="9B2D1F" w:themeColor="accent2"/>
                <w:sz w:val="24"/>
                <w:szCs w:val="24"/>
                <w:lang w:val="bg-BG" w:eastAsia="bg-BG"/>
              </w:rPr>
            </w:pPr>
            <w:r w:rsidRPr="005D0034">
              <w:rPr>
                <w:rFonts w:ascii="Times New Roman" w:eastAsia="Times New Roman" w:hAnsi="Times New Roman"/>
                <w:color w:val="9B2D1F" w:themeColor="accent2"/>
                <w:szCs w:val="22"/>
                <w:lang w:val="bg-BG" w:eastAsia="bg-BG"/>
              </w:rPr>
              <w:t>2 506</w:t>
            </w:r>
          </w:p>
        </w:tc>
        <w:tc>
          <w:tcPr>
            <w:tcW w:w="1560" w:type="dxa"/>
            <w:tcBorders>
              <w:top w:val="double" w:sz="4" w:space="0" w:color="auto"/>
              <w:left w:val="double" w:sz="4" w:space="0" w:color="auto"/>
              <w:bottom w:val="thinThickThinSmallGap" w:sz="24" w:space="0" w:color="auto"/>
              <w:right w:val="thinThickThinSmallGap" w:sz="24" w:space="0" w:color="auto"/>
            </w:tcBorders>
            <w:shd w:val="clear" w:color="auto" w:fill="F4B29B" w:themeFill="accent1" w:themeFillTint="66"/>
            <w:noWrap/>
            <w:vAlign w:val="center"/>
          </w:tcPr>
          <w:p w:rsidR="00F25110" w:rsidRPr="005D0034" w:rsidRDefault="00F25110" w:rsidP="005D0034">
            <w:pPr>
              <w:spacing w:after="0" w:line="240" w:lineRule="auto"/>
              <w:jc w:val="right"/>
              <w:rPr>
                <w:rFonts w:ascii="Times New Roman" w:eastAsia="Times New Roman" w:hAnsi="Times New Roman"/>
                <w:color w:val="9B2D1F" w:themeColor="accent2"/>
                <w:sz w:val="24"/>
                <w:szCs w:val="24"/>
                <w:lang w:val="bg-BG" w:eastAsia="bg-BG"/>
              </w:rPr>
            </w:pPr>
            <w:r w:rsidRPr="005D0034">
              <w:rPr>
                <w:rFonts w:ascii="Times New Roman" w:eastAsia="Times New Roman" w:hAnsi="Times New Roman"/>
                <w:color w:val="9B2D1F" w:themeColor="accent2"/>
                <w:szCs w:val="22"/>
                <w:lang w:val="bg-BG" w:eastAsia="bg-BG"/>
              </w:rPr>
              <w:t>−</w:t>
            </w:r>
          </w:p>
        </w:tc>
      </w:tr>
    </w:tbl>
    <w:p w:rsidR="00F25110" w:rsidRPr="005D0034" w:rsidRDefault="00F25110" w:rsidP="005D0034">
      <w:pPr>
        <w:spacing w:after="0" w:line="240" w:lineRule="auto"/>
        <w:jc w:val="both"/>
        <w:rPr>
          <w:rFonts w:ascii="Times New Roman" w:eastAsia="Times New Roman" w:hAnsi="Times New Roman"/>
          <w:b/>
          <w:i/>
          <w:iCs/>
          <w:color w:val="9B2D1F" w:themeColor="accent2"/>
          <w:szCs w:val="22"/>
          <w:lang w:val="bg-BG" w:eastAsia="bg-BG"/>
        </w:rPr>
      </w:pPr>
      <w:r w:rsidRPr="005D0034">
        <w:rPr>
          <w:rFonts w:ascii="Times New Roman" w:eastAsia="Times New Roman" w:hAnsi="Times New Roman"/>
          <w:b/>
          <w:i/>
          <w:iCs/>
          <w:color w:val="9B2D1F" w:themeColor="accent2"/>
          <w:szCs w:val="22"/>
          <w:lang w:val="bg-BG" w:eastAsia="bg-BG"/>
        </w:rPr>
        <w:t>Източник: НСИ</w:t>
      </w:r>
      <w:r w:rsidR="005D0034" w:rsidRPr="005D0034">
        <w:rPr>
          <w:rFonts w:ascii="Times New Roman" w:eastAsia="Times New Roman" w:hAnsi="Times New Roman"/>
          <w:b/>
          <w:i/>
          <w:iCs/>
          <w:color w:val="9B2D1F" w:themeColor="accent2"/>
          <w:szCs w:val="22"/>
          <w:lang w:val="bg-BG" w:eastAsia="bg-BG"/>
        </w:rPr>
        <w:t xml:space="preserve">, ".." = </w:t>
      </w:r>
      <w:r w:rsidR="005D0034" w:rsidRPr="005D0034">
        <w:rPr>
          <w:rFonts w:ascii="Times New Roman" w:eastAsia="Times New Roman" w:hAnsi="Times New Roman" w:hint="cs"/>
          <w:b/>
          <w:i/>
          <w:iCs/>
          <w:color w:val="9B2D1F" w:themeColor="accent2"/>
          <w:szCs w:val="22"/>
          <w:lang w:val="bg-BG" w:eastAsia="bg-BG"/>
        </w:rPr>
        <w:t>конфиденциални</w:t>
      </w:r>
      <w:r w:rsidR="005D0034" w:rsidRPr="005D0034">
        <w:rPr>
          <w:rFonts w:ascii="Times New Roman" w:eastAsia="Times New Roman" w:hAnsi="Times New Roman"/>
          <w:b/>
          <w:i/>
          <w:iCs/>
          <w:color w:val="9B2D1F" w:themeColor="accent2"/>
          <w:szCs w:val="22"/>
          <w:lang w:val="bg-BG" w:eastAsia="bg-BG"/>
        </w:rPr>
        <w:t xml:space="preserve"> </w:t>
      </w:r>
      <w:r w:rsidR="005D0034" w:rsidRPr="005D0034">
        <w:rPr>
          <w:rFonts w:ascii="Times New Roman" w:eastAsia="Times New Roman" w:hAnsi="Times New Roman" w:hint="cs"/>
          <w:b/>
          <w:i/>
          <w:iCs/>
          <w:color w:val="9B2D1F" w:themeColor="accent2"/>
          <w:szCs w:val="22"/>
          <w:lang w:val="bg-BG" w:eastAsia="bg-BG"/>
        </w:rPr>
        <w:t>данни</w:t>
      </w:r>
      <w:r w:rsidR="005D0034" w:rsidRPr="005D0034">
        <w:rPr>
          <w:rFonts w:ascii="Times New Roman" w:eastAsia="Times New Roman" w:hAnsi="Times New Roman"/>
          <w:b/>
          <w:i/>
          <w:iCs/>
          <w:color w:val="9B2D1F" w:themeColor="accent2"/>
          <w:szCs w:val="22"/>
          <w:lang w:val="bg-BG" w:eastAsia="bg-BG"/>
        </w:rPr>
        <w:t xml:space="preserve">,     "-" = </w:t>
      </w:r>
      <w:r w:rsidR="005D0034" w:rsidRPr="005D0034">
        <w:rPr>
          <w:rFonts w:ascii="Times New Roman" w:eastAsia="Times New Roman" w:hAnsi="Times New Roman" w:hint="cs"/>
          <w:b/>
          <w:i/>
          <w:iCs/>
          <w:color w:val="9B2D1F" w:themeColor="accent2"/>
          <w:szCs w:val="22"/>
          <w:lang w:val="bg-BG" w:eastAsia="bg-BG"/>
        </w:rPr>
        <w:t>няма</w:t>
      </w:r>
      <w:r w:rsidR="005D0034" w:rsidRPr="005D0034">
        <w:rPr>
          <w:rFonts w:ascii="Times New Roman" w:eastAsia="Times New Roman" w:hAnsi="Times New Roman"/>
          <w:b/>
          <w:i/>
          <w:iCs/>
          <w:color w:val="9B2D1F" w:themeColor="accent2"/>
          <w:szCs w:val="22"/>
          <w:lang w:val="bg-BG" w:eastAsia="bg-BG"/>
        </w:rPr>
        <w:t xml:space="preserve"> </w:t>
      </w:r>
      <w:r w:rsidR="005D0034" w:rsidRPr="005D0034">
        <w:rPr>
          <w:rFonts w:ascii="Times New Roman" w:eastAsia="Times New Roman" w:hAnsi="Times New Roman" w:hint="cs"/>
          <w:b/>
          <w:i/>
          <w:iCs/>
          <w:color w:val="9B2D1F" w:themeColor="accent2"/>
          <w:szCs w:val="22"/>
          <w:lang w:val="bg-BG" w:eastAsia="bg-BG"/>
        </w:rPr>
        <w:t>случаи</w:t>
      </w:r>
    </w:p>
    <w:p w:rsidR="00F25110" w:rsidRPr="00BD7BB1" w:rsidRDefault="00F25110" w:rsidP="00F25110">
      <w:pPr>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Административните области с по-благоприятно икономическо състояние на територията на ЮИР се възползват повече от иновативни продукти и услуги. За периода 2007-2013г.  най-високи са разходите за НИРД в област Стара Загора, следвана от област Бургас.Областите Сливен и Ямбол отчитат нулеви разходи за НИРД за  периода 2008-2011 г. Въпреки това област Ямбол  през 2013г. отчита повишаване на показателя почти 5 пъти спрямо предходната година.</w:t>
      </w:r>
    </w:p>
    <w:p w:rsidR="00F25110" w:rsidRPr="00927A1F" w:rsidRDefault="00F25110" w:rsidP="00F25110">
      <w:pPr>
        <w:spacing w:after="0" w:line="360" w:lineRule="auto"/>
        <w:jc w:val="both"/>
        <w:rPr>
          <w:rFonts w:ascii="Times New Roman" w:eastAsia="Times New Roman" w:hAnsi="Times New Roman"/>
          <w:color w:val="9B2D1F" w:themeColor="accent2"/>
          <w:sz w:val="24"/>
          <w:szCs w:val="24"/>
          <w:lang w:val="bg-BG" w:eastAsia="bg-BG"/>
        </w:rPr>
      </w:pPr>
      <w:r w:rsidRPr="00927A1F">
        <w:rPr>
          <w:rFonts w:ascii="Times New Roman" w:eastAsia="Times New Roman" w:hAnsi="Times New Roman"/>
          <w:b/>
          <w:i/>
          <w:color w:val="9B2D1F" w:themeColor="accent2"/>
          <w:sz w:val="24"/>
          <w:szCs w:val="24"/>
          <w:lang w:val="bg-BG" w:eastAsia="bg-BG"/>
        </w:rPr>
        <w:t>Фигура 4</w:t>
      </w:r>
      <w:r w:rsidRPr="00927A1F">
        <w:rPr>
          <w:rFonts w:ascii="Times New Roman" w:eastAsia="Times New Roman" w:hAnsi="Times New Roman"/>
          <w:i/>
          <w:color w:val="9B2D1F" w:themeColor="accent2"/>
          <w:sz w:val="24"/>
          <w:szCs w:val="24"/>
          <w:lang w:val="bg-BG" w:eastAsia="bg-BG"/>
        </w:rPr>
        <w:t xml:space="preserve">. </w:t>
      </w:r>
      <w:r w:rsidRPr="00927A1F">
        <w:rPr>
          <w:rFonts w:ascii="Times New Roman" w:eastAsia="Times New Roman" w:hAnsi="Times New Roman"/>
          <w:b/>
          <w:bCs/>
          <w:i/>
          <w:color w:val="9B2D1F" w:themeColor="accent2"/>
          <w:sz w:val="24"/>
          <w:szCs w:val="24"/>
          <w:lang w:val="bg-BG" w:eastAsia="bg-BG"/>
        </w:rPr>
        <w:t>Разходи за НИРД по админ. области в ЮИР 2007-2013 г.(хил.лв.)</w:t>
      </w:r>
    </w:p>
    <w:p w:rsidR="00F25110" w:rsidRPr="00927A1F" w:rsidRDefault="00F25110" w:rsidP="00F25110">
      <w:pPr>
        <w:spacing w:after="0" w:line="360" w:lineRule="auto"/>
        <w:jc w:val="both"/>
        <w:rPr>
          <w:rFonts w:ascii="Times New Roman" w:eastAsia="Times New Roman" w:hAnsi="Times New Roman"/>
          <w:b/>
          <w:color w:val="9B2D1F" w:themeColor="accent2"/>
          <w:szCs w:val="22"/>
          <w:lang w:val="bg-BG" w:eastAsia="bg-BG"/>
        </w:rPr>
      </w:pPr>
      <w:r w:rsidRPr="00BD7BB1">
        <w:rPr>
          <w:rFonts w:ascii="Times New Roman" w:eastAsia="Times New Roman" w:hAnsi="Times New Roman"/>
          <w:noProof/>
          <w:color w:val="auto"/>
          <w:sz w:val="24"/>
          <w:szCs w:val="24"/>
          <w:lang w:val="bg-BG" w:eastAsia="bg-BG"/>
        </w:rPr>
        <w:drawing>
          <wp:inline distT="0" distB="0" distL="0" distR="0" wp14:anchorId="35ED380F" wp14:editId="688C6765">
            <wp:extent cx="5754370" cy="2664460"/>
            <wp:effectExtent l="0" t="0" r="0" b="254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4370" cy="2664460"/>
                    </a:xfrm>
                    <a:prstGeom prst="rect">
                      <a:avLst/>
                    </a:prstGeom>
                    <a:noFill/>
                    <a:ln>
                      <a:noFill/>
                    </a:ln>
                  </pic:spPr>
                </pic:pic>
              </a:graphicData>
            </a:graphic>
          </wp:inline>
        </w:drawing>
      </w:r>
      <w:r w:rsidRPr="00BD7BB1">
        <w:rPr>
          <w:rFonts w:ascii="Times New Roman" w:eastAsia="Times New Roman" w:hAnsi="Times New Roman"/>
          <w:i/>
          <w:color w:val="auto"/>
          <w:szCs w:val="22"/>
          <w:lang w:val="bg-BG" w:eastAsia="bg-BG"/>
        </w:rPr>
        <w:t xml:space="preserve"> </w:t>
      </w:r>
      <w:r w:rsidRPr="00927A1F">
        <w:rPr>
          <w:rFonts w:ascii="Times New Roman" w:eastAsia="Times New Roman" w:hAnsi="Times New Roman"/>
          <w:b/>
          <w:i/>
          <w:color w:val="9B2D1F" w:themeColor="accent2"/>
          <w:szCs w:val="22"/>
          <w:lang w:val="bg-BG" w:eastAsia="bg-BG"/>
        </w:rPr>
        <w:t>Източник:  Национален статистически институт</w:t>
      </w:r>
    </w:p>
    <w:p w:rsidR="00F25110" w:rsidRPr="005800A3" w:rsidRDefault="00F25110" w:rsidP="00F25110">
      <w:pPr>
        <w:spacing w:after="0" w:line="360" w:lineRule="auto"/>
        <w:jc w:val="both"/>
        <w:rPr>
          <w:rFonts w:ascii="Times New Roman" w:eastAsia="Times New Roman" w:hAnsi="Times New Roman"/>
          <w:b/>
          <w:color w:val="9B2D1F" w:themeColor="accent2"/>
          <w:sz w:val="24"/>
          <w:szCs w:val="24"/>
          <w:lang w:val="bg-BG" w:eastAsia="bg-BG"/>
        </w:rPr>
      </w:pPr>
      <w:r w:rsidRPr="005800A3">
        <w:rPr>
          <w:rFonts w:ascii="Times New Roman" w:eastAsia="Times New Roman" w:hAnsi="Times New Roman"/>
          <w:b/>
          <w:color w:val="9B2D1F" w:themeColor="accent2"/>
          <w:sz w:val="24"/>
          <w:szCs w:val="24"/>
          <w:lang w:val="bg-BG" w:eastAsia="bg-BG"/>
        </w:rPr>
        <w:t>1.</w:t>
      </w:r>
      <w:r w:rsidR="005800A3" w:rsidRPr="005800A3">
        <w:rPr>
          <w:rFonts w:ascii="Times New Roman" w:eastAsia="Times New Roman" w:hAnsi="Times New Roman"/>
          <w:b/>
          <w:color w:val="9B2D1F" w:themeColor="accent2"/>
          <w:sz w:val="24"/>
          <w:szCs w:val="24"/>
          <w:lang w:val="bg-BG" w:eastAsia="bg-BG"/>
        </w:rPr>
        <w:t>2</w:t>
      </w:r>
      <w:r w:rsidRPr="005800A3">
        <w:rPr>
          <w:rFonts w:ascii="Times New Roman" w:eastAsia="Times New Roman" w:hAnsi="Times New Roman"/>
          <w:b/>
          <w:color w:val="9B2D1F" w:themeColor="accent2"/>
          <w:sz w:val="24"/>
          <w:szCs w:val="24"/>
          <w:lang w:val="bg-BG" w:eastAsia="bg-BG"/>
        </w:rPr>
        <w:t xml:space="preserve"> Анализ на изпълнението на оперативните програми, съфинансирани от ЕФРР, ЕСФ и КФ на територията на Югоизточен район.</w:t>
      </w:r>
    </w:p>
    <w:p w:rsidR="00F25110" w:rsidRPr="00BD7BB1" w:rsidRDefault="00F25110" w:rsidP="00F25110">
      <w:pPr>
        <w:autoSpaceDE w:val="0"/>
        <w:autoSpaceDN w:val="0"/>
        <w:adjustRightInd w:val="0"/>
        <w:spacing w:after="0" w:line="360" w:lineRule="auto"/>
        <w:ind w:firstLine="720"/>
        <w:jc w:val="both"/>
        <w:rPr>
          <w:rFonts w:ascii="Times New Roman" w:eastAsia="Calibri" w:hAnsi="Times New Roman"/>
          <w:color w:val="auto"/>
          <w:sz w:val="24"/>
          <w:szCs w:val="24"/>
          <w:lang w:val="bg-BG" w:eastAsia="bg-BG"/>
        </w:rPr>
      </w:pPr>
      <w:r w:rsidRPr="00BD7BB1">
        <w:rPr>
          <w:rFonts w:ascii="Times New Roman" w:eastAsia="Calibri" w:hAnsi="Times New Roman"/>
          <w:color w:val="auto"/>
          <w:sz w:val="24"/>
          <w:szCs w:val="24"/>
          <w:lang w:val="bg-BG" w:eastAsia="bg-BG"/>
        </w:rPr>
        <w:t>По данни от Информационната система за управление и наблюдение на структурните инструменти на ЕС</w:t>
      </w:r>
      <w:r w:rsidRPr="00BD7BB1">
        <w:rPr>
          <w:rFonts w:ascii="Times New Roman" w:eastAsia="Calibri" w:hAnsi="Times New Roman"/>
          <w:b/>
          <w:color w:val="auto"/>
          <w:sz w:val="24"/>
          <w:szCs w:val="24"/>
          <w:lang w:val="bg-BG" w:eastAsia="bg-BG"/>
        </w:rPr>
        <w:t xml:space="preserve"> </w:t>
      </w:r>
      <w:r w:rsidRPr="00BD7BB1">
        <w:rPr>
          <w:rFonts w:ascii="Times New Roman" w:eastAsia="Calibri" w:hAnsi="Times New Roman"/>
          <w:color w:val="auto"/>
          <w:sz w:val="24"/>
          <w:szCs w:val="24"/>
          <w:lang w:val="bg-BG" w:eastAsia="bg-BG"/>
        </w:rPr>
        <w:t>(ИСУН) на национално ниво  броят  на  регистрираните проекти</w:t>
      </w:r>
      <w:r w:rsidRPr="00BD7BB1">
        <w:rPr>
          <w:rFonts w:ascii="Times New Roman" w:eastAsia="Times New Roman"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 xml:space="preserve">по </w:t>
      </w:r>
      <w:r w:rsidRPr="00BD7BB1">
        <w:rPr>
          <w:rFonts w:ascii="Times New Roman" w:eastAsia="Calibri" w:hAnsi="Times New Roman"/>
          <w:color w:val="auto"/>
          <w:sz w:val="24"/>
          <w:szCs w:val="24"/>
          <w:lang w:val="fr-FR" w:eastAsia="bg-BG"/>
        </w:rPr>
        <w:t>O</w:t>
      </w:r>
      <w:r w:rsidRPr="00BD7BB1">
        <w:rPr>
          <w:rFonts w:ascii="Times New Roman" w:eastAsia="Calibri" w:hAnsi="Times New Roman"/>
          <w:color w:val="auto"/>
          <w:sz w:val="24"/>
          <w:szCs w:val="24"/>
          <w:lang w:val="bg-BG" w:eastAsia="bg-BG"/>
        </w:rPr>
        <w:t xml:space="preserve">перативните програми (2007-2013г.) към 04.05.2015г. е 11 521 бр. на стойност </w:t>
      </w:r>
      <w:r w:rsidRPr="00BD7BB1">
        <w:rPr>
          <w:rFonts w:ascii="Times New Roman" w:eastAsia="Calibri" w:hAnsi="Times New Roman"/>
          <w:b/>
          <w:color w:val="auto"/>
          <w:sz w:val="24"/>
          <w:szCs w:val="24"/>
          <w:lang w:val="bg-BG" w:eastAsia="bg-BG"/>
        </w:rPr>
        <w:t>21 277 663 141лв</w:t>
      </w:r>
      <w:r w:rsidRPr="00BD7BB1">
        <w:rPr>
          <w:rFonts w:ascii="Times New Roman" w:eastAsia="Calibri" w:hAnsi="Times New Roman"/>
          <w:color w:val="auto"/>
          <w:sz w:val="24"/>
          <w:szCs w:val="24"/>
          <w:lang w:val="bg-BG" w:eastAsia="bg-BG"/>
        </w:rPr>
        <w:t xml:space="preserve">. Стойността на проектите регистрирани на територията на шестте планови района възлиза на </w:t>
      </w:r>
      <w:r w:rsidRPr="00BD7BB1">
        <w:rPr>
          <w:rFonts w:ascii="Times New Roman" w:eastAsia="Calibri" w:hAnsi="Times New Roman"/>
          <w:b/>
          <w:color w:val="auto"/>
          <w:sz w:val="24"/>
          <w:szCs w:val="24"/>
          <w:lang w:val="bg-BG" w:eastAsia="bg-BG"/>
        </w:rPr>
        <w:t xml:space="preserve">15 482 152 675лв., </w:t>
      </w:r>
      <w:r w:rsidRPr="00BD7BB1">
        <w:rPr>
          <w:rFonts w:ascii="Times New Roman" w:eastAsia="Calibri" w:hAnsi="Times New Roman"/>
          <w:color w:val="auto"/>
          <w:sz w:val="24"/>
          <w:szCs w:val="24"/>
          <w:lang w:val="bg-BG" w:eastAsia="bg-BG"/>
        </w:rPr>
        <w:t xml:space="preserve">а разликата в размер на </w:t>
      </w:r>
      <w:r w:rsidRPr="00BD7BB1">
        <w:rPr>
          <w:rFonts w:ascii="Times New Roman" w:eastAsia="Calibri" w:hAnsi="Times New Roman"/>
          <w:b/>
          <w:color w:val="auto"/>
          <w:sz w:val="24"/>
          <w:szCs w:val="24"/>
          <w:lang w:val="bg-BG" w:eastAsia="bg-BG"/>
        </w:rPr>
        <w:t xml:space="preserve"> 5 795 510 466лв. </w:t>
      </w:r>
      <w:r w:rsidRPr="00BD7BB1">
        <w:rPr>
          <w:rFonts w:ascii="Times New Roman" w:eastAsia="Calibri" w:hAnsi="Times New Roman"/>
          <w:color w:val="auto"/>
          <w:sz w:val="24"/>
          <w:szCs w:val="24"/>
          <w:lang w:val="bg-BG" w:eastAsia="bg-BG"/>
        </w:rPr>
        <w:t>касае  проекти с бенефициенти - сдружения, дружества, фондации на територията на цялата страна.</w:t>
      </w:r>
      <w:r w:rsidRPr="00BD7BB1">
        <w:rPr>
          <w:rFonts w:ascii="Times New Roman" w:eastAsia="Calibri" w:hAnsi="Times New Roman"/>
          <w:b/>
          <w:color w:val="auto"/>
          <w:sz w:val="24"/>
          <w:szCs w:val="24"/>
          <w:lang w:val="bg-BG" w:eastAsia="bg-BG"/>
        </w:rPr>
        <w:t xml:space="preserve"> </w:t>
      </w:r>
      <w:r w:rsidRPr="00BD7BB1">
        <w:rPr>
          <w:rFonts w:ascii="Times New Roman" w:eastAsia="Calibri" w:hAnsi="Times New Roman"/>
          <w:color w:val="auto"/>
          <w:sz w:val="24"/>
          <w:szCs w:val="24"/>
          <w:lang w:val="bg-BG" w:eastAsia="bg-BG"/>
        </w:rPr>
        <w:t xml:space="preserve">Регистрирани са 257 международни проекта на стойност </w:t>
      </w:r>
      <w:r w:rsidRPr="00BD7BB1">
        <w:rPr>
          <w:rFonts w:ascii="Times New Roman" w:eastAsia="Calibri" w:hAnsi="Times New Roman"/>
          <w:b/>
          <w:color w:val="auto"/>
          <w:sz w:val="24"/>
          <w:szCs w:val="24"/>
          <w:lang w:val="bg-BG" w:eastAsia="bg-BG"/>
        </w:rPr>
        <w:t>65 359 908 лв</w:t>
      </w:r>
      <w:r w:rsidRPr="00BD7BB1">
        <w:rPr>
          <w:rFonts w:ascii="Times New Roman" w:eastAsia="Calibri" w:hAnsi="Times New Roman"/>
          <w:color w:val="auto"/>
          <w:sz w:val="24"/>
          <w:szCs w:val="24"/>
          <w:lang w:val="bg-BG" w:eastAsia="bg-BG"/>
        </w:rPr>
        <w:t>.,от които 7 прекратени.</w:t>
      </w:r>
    </w:p>
    <w:p w:rsidR="00F25110" w:rsidRDefault="00F25110" w:rsidP="00F25110">
      <w:pPr>
        <w:autoSpaceDE w:val="0"/>
        <w:autoSpaceDN w:val="0"/>
        <w:adjustRightInd w:val="0"/>
        <w:spacing w:after="0" w:line="360" w:lineRule="auto"/>
        <w:ind w:firstLine="720"/>
        <w:jc w:val="both"/>
        <w:rPr>
          <w:rFonts w:ascii="Times New Roman" w:eastAsia="Calibri" w:hAnsi="Times New Roman"/>
          <w:color w:val="auto"/>
          <w:sz w:val="24"/>
          <w:szCs w:val="24"/>
          <w:lang w:val="bg-BG" w:eastAsia="bg-BG"/>
        </w:rPr>
      </w:pPr>
    </w:p>
    <w:p w:rsidR="002E5208" w:rsidRPr="00BD7BB1" w:rsidRDefault="002E5208" w:rsidP="00F25110">
      <w:pPr>
        <w:autoSpaceDE w:val="0"/>
        <w:autoSpaceDN w:val="0"/>
        <w:adjustRightInd w:val="0"/>
        <w:spacing w:after="0" w:line="360" w:lineRule="auto"/>
        <w:ind w:firstLine="720"/>
        <w:jc w:val="both"/>
        <w:rPr>
          <w:rFonts w:ascii="Times New Roman" w:eastAsia="Calibri" w:hAnsi="Times New Roman"/>
          <w:color w:val="auto"/>
          <w:sz w:val="24"/>
          <w:szCs w:val="24"/>
          <w:lang w:val="bg-BG" w:eastAsia="bg-BG"/>
        </w:rPr>
      </w:pPr>
    </w:p>
    <w:p w:rsidR="00F25110" w:rsidRPr="002E5208" w:rsidRDefault="00F25110" w:rsidP="002E5208">
      <w:pPr>
        <w:autoSpaceDE w:val="0"/>
        <w:autoSpaceDN w:val="0"/>
        <w:adjustRightInd w:val="0"/>
        <w:spacing w:after="0" w:line="360" w:lineRule="auto"/>
        <w:ind w:firstLine="708"/>
        <w:contextualSpacing/>
        <w:jc w:val="center"/>
        <w:rPr>
          <w:rFonts w:ascii="Times New Roman" w:eastAsia="Times New Roman" w:hAnsi="Times New Roman"/>
          <w:b/>
          <w:i/>
          <w:color w:val="9B2D1F" w:themeColor="accent2"/>
          <w:sz w:val="24"/>
          <w:szCs w:val="24"/>
          <w:lang w:val="bg-BG" w:eastAsia="bg-BG"/>
        </w:rPr>
      </w:pPr>
      <w:r w:rsidRPr="002E5208">
        <w:rPr>
          <w:rFonts w:ascii="Times New Roman" w:eastAsia="Times New Roman" w:hAnsi="Times New Roman"/>
          <w:b/>
          <w:i/>
          <w:color w:val="9B2D1F" w:themeColor="accent2"/>
          <w:sz w:val="24"/>
          <w:szCs w:val="24"/>
          <w:lang w:val="bg-BG" w:eastAsia="bg-BG"/>
        </w:rPr>
        <w:t>Фигура</w:t>
      </w:r>
      <w:r w:rsidR="002E5208" w:rsidRPr="002E5208">
        <w:rPr>
          <w:rFonts w:ascii="Times New Roman" w:eastAsia="Times New Roman" w:hAnsi="Times New Roman"/>
          <w:b/>
          <w:i/>
          <w:color w:val="9B2D1F" w:themeColor="accent2"/>
          <w:sz w:val="24"/>
          <w:szCs w:val="24"/>
          <w:lang w:val="bg-BG" w:eastAsia="bg-BG"/>
        </w:rPr>
        <w:t xml:space="preserve"> 5 </w:t>
      </w:r>
      <w:r w:rsidRPr="002E5208">
        <w:rPr>
          <w:rFonts w:ascii="Times New Roman" w:eastAsia="Times New Roman" w:hAnsi="Times New Roman"/>
          <w:b/>
          <w:i/>
          <w:color w:val="9B2D1F" w:themeColor="accent2"/>
          <w:sz w:val="24"/>
          <w:szCs w:val="24"/>
          <w:lang w:val="bg-BG" w:eastAsia="bg-BG"/>
        </w:rPr>
        <w:t>Стойност  на сключените договори по оперативните програми към 04.05.2015г. на ниво райони от ниво 2</w:t>
      </w:r>
    </w:p>
    <w:p w:rsidR="00F25110" w:rsidRPr="002E5208" w:rsidRDefault="00F25110" w:rsidP="002E5208">
      <w:pPr>
        <w:autoSpaceDE w:val="0"/>
        <w:autoSpaceDN w:val="0"/>
        <w:adjustRightInd w:val="0"/>
        <w:spacing w:after="0" w:line="360" w:lineRule="auto"/>
        <w:ind w:left="720"/>
        <w:jc w:val="center"/>
        <w:rPr>
          <w:rFonts w:ascii="Times New Roman" w:eastAsia="Times New Roman" w:hAnsi="Times New Roman"/>
          <w:color w:val="9B2D1F" w:themeColor="accent2"/>
          <w:sz w:val="24"/>
          <w:szCs w:val="24"/>
          <w:lang w:val="bg-BG" w:eastAsia="bg-BG"/>
        </w:rPr>
      </w:pPr>
      <w:r w:rsidRPr="00BD7BB1">
        <w:rPr>
          <w:rFonts w:ascii="Times New Roman" w:eastAsia="Times New Roman" w:hAnsi="Times New Roman"/>
          <w:noProof/>
          <w:color w:val="auto"/>
          <w:sz w:val="24"/>
          <w:szCs w:val="24"/>
          <w:lang w:val="bg-BG" w:eastAsia="bg-BG"/>
        </w:rPr>
        <w:drawing>
          <wp:inline distT="0" distB="0" distL="0" distR="0" wp14:anchorId="75D52C97" wp14:editId="0E1C82B0">
            <wp:extent cx="5186680" cy="38938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6680" cy="3893820"/>
                    </a:xfrm>
                    <a:prstGeom prst="rect">
                      <a:avLst/>
                    </a:prstGeom>
                    <a:noFill/>
                    <a:ln>
                      <a:noFill/>
                    </a:ln>
                  </pic:spPr>
                </pic:pic>
              </a:graphicData>
            </a:graphic>
          </wp:inline>
        </w:drawing>
      </w:r>
      <w:r w:rsidRPr="002E5208">
        <w:rPr>
          <w:rFonts w:ascii="Times New Roman" w:eastAsia="Times New Roman" w:hAnsi="Times New Roman"/>
          <w:b/>
          <w:i/>
          <w:color w:val="9B2D1F" w:themeColor="accent2"/>
          <w:sz w:val="24"/>
          <w:szCs w:val="24"/>
          <w:lang w:val="bg-BG" w:eastAsia="bg-BG"/>
        </w:rPr>
        <w:t>Източник:  ИСУН</w:t>
      </w:r>
    </w:p>
    <w:p w:rsidR="00F25110" w:rsidRPr="00BD7BB1" w:rsidRDefault="00F25110" w:rsidP="00F25110">
      <w:p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BD7BB1">
        <w:rPr>
          <w:rFonts w:ascii="Times New Roman" w:eastAsia="Calibri" w:hAnsi="Times New Roman"/>
          <w:color w:val="auto"/>
          <w:sz w:val="24"/>
          <w:szCs w:val="24"/>
          <w:lang w:val="bg-BG" w:eastAsia="bg-BG"/>
        </w:rPr>
        <w:t xml:space="preserve">В Югоизточен район са договорирани 1 054 проекта на обща стойност </w:t>
      </w:r>
      <w:r w:rsidRPr="00BD7BB1">
        <w:rPr>
          <w:rFonts w:ascii="Times New Roman" w:eastAsia="Calibri" w:hAnsi="Times New Roman"/>
          <w:b/>
          <w:color w:val="auto"/>
          <w:sz w:val="24"/>
          <w:szCs w:val="24"/>
          <w:lang w:val="bg-BG" w:eastAsia="bg-BG"/>
        </w:rPr>
        <w:t xml:space="preserve">2 702 589 231 </w:t>
      </w:r>
      <w:r w:rsidRPr="00BD7BB1">
        <w:rPr>
          <w:rFonts w:ascii="Times New Roman" w:eastAsia="Calibri" w:hAnsi="Times New Roman"/>
          <w:color w:val="auto"/>
          <w:sz w:val="24"/>
          <w:szCs w:val="24"/>
          <w:lang w:val="bg-BG" w:eastAsia="bg-BG"/>
        </w:rPr>
        <w:t>лв.</w:t>
      </w:r>
    </w:p>
    <w:p w:rsidR="00F25110" w:rsidRPr="002E5208" w:rsidRDefault="00F25110" w:rsidP="00F25110">
      <w:p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BD7BB1">
        <w:rPr>
          <w:rFonts w:ascii="Times New Roman" w:eastAsia="Calibri" w:hAnsi="Times New Roman"/>
          <w:color w:val="auto"/>
          <w:sz w:val="24"/>
          <w:szCs w:val="24"/>
          <w:lang w:val="bg-BG" w:eastAsia="bg-BG"/>
        </w:rPr>
        <w:t>От всички сключени договори в Югоизточен район 697 бр.</w:t>
      </w:r>
      <w:r w:rsidRPr="00BD7BB1">
        <w:rPr>
          <w:rFonts w:ascii="Times New Roman" w:eastAsia="Times New Roman"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(66%) са със статус „приключени”, 194 бр.</w:t>
      </w:r>
      <w:r w:rsidRPr="00BD7BB1">
        <w:rPr>
          <w:rFonts w:ascii="Times New Roman" w:eastAsia="Times New Roman"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(18%) са „в процес на изпълнение” 53 бр. ( 5 %) са „регистрирани”, 90 бр.</w:t>
      </w:r>
      <w:r w:rsidRPr="00BD7BB1">
        <w:rPr>
          <w:rFonts w:ascii="Times New Roman" w:eastAsia="Times New Roman"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(9%)  са „прекратени” и 20 бр. (2%) са „временно спрен</w:t>
      </w:r>
      <w:r w:rsidR="002E5208">
        <w:rPr>
          <w:rFonts w:ascii="Times New Roman" w:eastAsia="Calibri" w:hAnsi="Times New Roman"/>
          <w:color w:val="auto"/>
          <w:sz w:val="24"/>
          <w:szCs w:val="24"/>
          <w:lang w:val="bg-BG" w:eastAsia="bg-BG"/>
        </w:rPr>
        <w:t>и”.</w:t>
      </w:r>
    </w:p>
    <w:p w:rsidR="002E5208" w:rsidRDefault="00F25110" w:rsidP="00F25110">
      <w:pPr>
        <w:autoSpaceDE w:val="0"/>
        <w:autoSpaceDN w:val="0"/>
        <w:adjustRightInd w:val="0"/>
        <w:spacing w:after="0" w:line="360" w:lineRule="auto"/>
        <w:jc w:val="both"/>
        <w:rPr>
          <w:rFonts w:ascii="Times New Roman" w:eastAsia="Times New Roman" w:hAnsi="Times New Roman"/>
          <w:b/>
          <w:i/>
          <w:color w:val="auto"/>
          <w:sz w:val="24"/>
          <w:szCs w:val="24"/>
          <w:lang w:val="bg-BG" w:eastAsia="bg-BG"/>
        </w:rPr>
      </w:pPr>
      <w:r w:rsidRPr="00BD7BB1">
        <w:rPr>
          <w:rFonts w:ascii="Times New Roman" w:eastAsia="Times New Roman" w:hAnsi="Times New Roman"/>
          <w:b/>
          <w:i/>
          <w:color w:val="auto"/>
          <w:sz w:val="24"/>
          <w:szCs w:val="24"/>
          <w:lang w:val="bg-BG" w:eastAsia="bg-BG"/>
        </w:rPr>
        <w:t xml:space="preserve">         </w:t>
      </w:r>
    </w:p>
    <w:p w:rsidR="002E5208" w:rsidRDefault="002E5208" w:rsidP="00F25110">
      <w:pPr>
        <w:autoSpaceDE w:val="0"/>
        <w:autoSpaceDN w:val="0"/>
        <w:adjustRightInd w:val="0"/>
        <w:spacing w:after="0" w:line="360" w:lineRule="auto"/>
        <w:jc w:val="both"/>
        <w:rPr>
          <w:rFonts w:ascii="Times New Roman" w:eastAsia="Times New Roman" w:hAnsi="Times New Roman"/>
          <w:b/>
          <w:i/>
          <w:color w:val="auto"/>
          <w:sz w:val="24"/>
          <w:szCs w:val="24"/>
          <w:lang w:val="bg-BG" w:eastAsia="bg-BG"/>
        </w:rPr>
      </w:pPr>
    </w:p>
    <w:p w:rsidR="002E5208" w:rsidRDefault="002E5208" w:rsidP="00F25110">
      <w:pPr>
        <w:autoSpaceDE w:val="0"/>
        <w:autoSpaceDN w:val="0"/>
        <w:adjustRightInd w:val="0"/>
        <w:spacing w:after="0" w:line="360" w:lineRule="auto"/>
        <w:jc w:val="both"/>
        <w:rPr>
          <w:rFonts w:ascii="Times New Roman" w:eastAsia="Times New Roman" w:hAnsi="Times New Roman"/>
          <w:b/>
          <w:i/>
          <w:color w:val="auto"/>
          <w:sz w:val="24"/>
          <w:szCs w:val="24"/>
          <w:lang w:val="bg-BG" w:eastAsia="bg-BG"/>
        </w:rPr>
      </w:pPr>
    </w:p>
    <w:p w:rsidR="002E5208" w:rsidRDefault="002E5208" w:rsidP="00F25110">
      <w:pPr>
        <w:autoSpaceDE w:val="0"/>
        <w:autoSpaceDN w:val="0"/>
        <w:adjustRightInd w:val="0"/>
        <w:spacing w:after="0" w:line="360" w:lineRule="auto"/>
        <w:jc w:val="both"/>
        <w:rPr>
          <w:rFonts w:ascii="Times New Roman" w:eastAsia="Times New Roman" w:hAnsi="Times New Roman"/>
          <w:b/>
          <w:i/>
          <w:color w:val="auto"/>
          <w:sz w:val="24"/>
          <w:szCs w:val="24"/>
          <w:lang w:val="bg-BG" w:eastAsia="bg-BG"/>
        </w:rPr>
      </w:pPr>
    </w:p>
    <w:p w:rsidR="002E5208" w:rsidRDefault="002E5208" w:rsidP="00F25110">
      <w:pPr>
        <w:autoSpaceDE w:val="0"/>
        <w:autoSpaceDN w:val="0"/>
        <w:adjustRightInd w:val="0"/>
        <w:spacing w:after="0" w:line="360" w:lineRule="auto"/>
        <w:jc w:val="both"/>
        <w:rPr>
          <w:rFonts w:ascii="Times New Roman" w:eastAsia="Times New Roman" w:hAnsi="Times New Roman"/>
          <w:b/>
          <w:i/>
          <w:color w:val="auto"/>
          <w:sz w:val="24"/>
          <w:szCs w:val="24"/>
          <w:lang w:val="bg-BG" w:eastAsia="bg-BG"/>
        </w:rPr>
      </w:pPr>
    </w:p>
    <w:p w:rsidR="002E5208" w:rsidRDefault="002E5208" w:rsidP="00F25110">
      <w:pPr>
        <w:autoSpaceDE w:val="0"/>
        <w:autoSpaceDN w:val="0"/>
        <w:adjustRightInd w:val="0"/>
        <w:spacing w:after="0" w:line="360" w:lineRule="auto"/>
        <w:jc w:val="both"/>
        <w:rPr>
          <w:rFonts w:ascii="Times New Roman" w:eastAsia="Times New Roman" w:hAnsi="Times New Roman"/>
          <w:b/>
          <w:i/>
          <w:color w:val="auto"/>
          <w:sz w:val="24"/>
          <w:szCs w:val="24"/>
          <w:lang w:val="bg-BG" w:eastAsia="bg-BG"/>
        </w:rPr>
      </w:pPr>
    </w:p>
    <w:p w:rsidR="002E5208" w:rsidRDefault="002E5208" w:rsidP="00F25110">
      <w:pPr>
        <w:autoSpaceDE w:val="0"/>
        <w:autoSpaceDN w:val="0"/>
        <w:adjustRightInd w:val="0"/>
        <w:spacing w:after="0" w:line="360" w:lineRule="auto"/>
        <w:jc w:val="both"/>
        <w:rPr>
          <w:rFonts w:ascii="Times New Roman" w:eastAsia="Times New Roman" w:hAnsi="Times New Roman"/>
          <w:b/>
          <w:i/>
          <w:color w:val="auto"/>
          <w:sz w:val="24"/>
          <w:szCs w:val="24"/>
          <w:lang w:val="bg-BG" w:eastAsia="bg-BG"/>
        </w:rPr>
      </w:pPr>
    </w:p>
    <w:p w:rsidR="002E5208" w:rsidRDefault="002E5208" w:rsidP="00F25110">
      <w:pPr>
        <w:autoSpaceDE w:val="0"/>
        <w:autoSpaceDN w:val="0"/>
        <w:adjustRightInd w:val="0"/>
        <w:spacing w:after="0" w:line="360" w:lineRule="auto"/>
        <w:jc w:val="both"/>
        <w:rPr>
          <w:rFonts w:ascii="Times New Roman" w:eastAsia="Times New Roman" w:hAnsi="Times New Roman"/>
          <w:b/>
          <w:i/>
          <w:color w:val="auto"/>
          <w:sz w:val="24"/>
          <w:szCs w:val="24"/>
          <w:lang w:val="bg-BG" w:eastAsia="bg-BG"/>
        </w:rPr>
      </w:pPr>
    </w:p>
    <w:p w:rsidR="00F25110" w:rsidRPr="002E5208" w:rsidRDefault="00F25110" w:rsidP="002E5208">
      <w:pPr>
        <w:autoSpaceDE w:val="0"/>
        <w:autoSpaceDN w:val="0"/>
        <w:adjustRightInd w:val="0"/>
        <w:spacing w:after="0" w:line="360" w:lineRule="auto"/>
        <w:jc w:val="center"/>
        <w:rPr>
          <w:rFonts w:ascii="Times New Roman" w:eastAsia="Times New Roman" w:hAnsi="Times New Roman"/>
          <w:b/>
          <w:i/>
          <w:color w:val="9B2D1F" w:themeColor="accent2"/>
          <w:sz w:val="24"/>
          <w:szCs w:val="24"/>
          <w:lang w:val="bg-BG" w:eastAsia="bg-BG"/>
        </w:rPr>
      </w:pPr>
      <w:r w:rsidRPr="002E5208">
        <w:rPr>
          <w:rFonts w:ascii="Times New Roman" w:eastAsia="Times New Roman" w:hAnsi="Times New Roman"/>
          <w:b/>
          <w:i/>
          <w:color w:val="9B2D1F" w:themeColor="accent2"/>
          <w:sz w:val="24"/>
          <w:szCs w:val="24"/>
          <w:lang w:val="bg-BG" w:eastAsia="bg-BG"/>
        </w:rPr>
        <w:lastRenderedPageBreak/>
        <w:t>Фиг</w:t>
      </w:r>
      <w:r w:rsidR="002E5208" w:rsidRPr="002E5208">
        <w:rPr>
          <w:rFonts w:ascii="Times New Roman" w:eastAsia="Times New Roman" w:hAnsi="Times New Roman"/>
          <w:b/>
          <w:i/>
          <w:color w:val="9B2D1F" w:themeColor="accent2"/>
          <w:sz w:val="24"/>
          <w:szCs w:val="24"/>
          <w:lang w:val="bg-BG" w:eastAsia="bg-BG"/>
        </w:rPr>
        <w:t xml:space="preserve">ура 6 </w:t>
      </w:r>
      <w:r w:rsidRPr="002E5208">
        <w:rPr>
          <w:rFonts w:ascii="Times New Roman" w:eastAsia="Times New Roman" w:hAnsi="Times New Roman"/>
          <w:b/>
          <w:i/>
          <w:color w:val="9B2D1F" w:themeColor="accent2"/>
          <w:sz w:val="24"/>
          <w:szCs w:val="24"/>
          <w:lang w:val="bg-BG" w:eastAsia="bg-BG"/>
        </w:rPr>
        <w:t>Разпределение на сключените договори по оперативните програми в Югоизточен район към 04.05.2015г</w:t>
      </w:r>
      <w:r w:rsidRPr="002E5208">
        <w:rPr>
          <w:rFonts w:ascii="Times New Roman" w:eastAsia="Times New Roman" w:hAnsi="Times New Roman"/>
          <w:color w:val="9B2D1F" w:themeColor="accent2"/>
          <w:sz w:val="24"/>
          <w:szCs w:val="24"/>
          <w:lang w:val="bg-BG" w:eastAsia="bg-BG"/>
        </w:rPr>
        <w:t xml:space="preserve"> .</w:t>
      </w:r>
    </w:p>
    <w:p w:rsidR="00F25110" w:rsidRPr="00BD7BB1" w:rsidRDefault="002E5208" w:rsidP="002E5208">
      <w:pPr>
        <w:autoSpaceDE w:val="0"/>
        <w:autoSpaceDN w:val="0"/>
        <w:adjustRightInd w:val="0"/>
        <w:spacing w:after="0" w:line="360" w:lineRule="auto"/>
        <w:ind w:firstLine="480"/>
        <w:jc w:val="center"/>
        <w:rPr>
          <w:rFonts w:ascii="Times New Roman" w:eastAsia="Times New Roman" w:hAnsi="Times New Roman"/>
          <w:color w:val="auto"/>
          <w:sz w:val="24"/>
          <w:szCs w:val="24"/>
          <w:lang w:eastAsia="bg-BG"/>
        </w:rPr>
      </w:pPr>
      <w:r>
        <w:rPr>
          <w:rFonts w:ascii="Times New Roman" w:eastAsia="Times New Roman" w:hAnsi="Times New Roman"/>
          <w:noProof/>
          <w:color w:val="auto"/>
          <w:sz w:val="24"/>
          <w:szCs w:val="24"/>
          <w:lang w:val="bg-BG" w:eastAsia="bg-BG"/>
        </w:rPr>
        <w:drawing>
          <wp:inline distT="0" distB="0" distL="0" distR="0" wp14:anchorId="66AE0749" wp14:editId="3D5A5BA7">
            <wp:extent cx="5358765" cy="3042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8765" cy="3042285"/>
                    </a:xfrm>
                    <a:prstGeom prst="rect">
                      <a:avLst/>
                    </a:prstGeom>
                    <a:noFill/>
                  </pic:spPr>
                </pic:pic>
              </a:graphicData>
            </a:graphic>
          </wp:inline>
        </w:drawing>
      </w:r>
    </w:p>
    <w:p w:rsidR="00F25110" w:rsidRPr="002E5208" w:rsidRDefault="00F25110" w:rsidP="002E5208">
      <w:pPr>
        <w:autoSpaceDE w:val="0"/>
        <w:autoSpaceDN w:val="0"/>
        <w:adjustRightInd w:val="0"/>
        <w:spacing w:after="0" w:line="360" w:lineRule="auto"/>
        <w:jc w:val="center"/>
        <w:rPr>
          <w:rFonts w:ascii="Times New Roman" w:eastAsia="Calibri" w:hAnsi="Times New Roman"/>
          <w:b/>
          <w:i/>
          <w:color w:val="9B2D1F" w:themeColor="accent2"/>
          <w:sz w:val="24"/>
          <w:szCs w:val="24"/>
          <w:lang w:eastAsia="bg-BG"/>
        </w:rPr>
      </w:pPr>
      <w:r w:rsidRPr="002E5208">
        <w:rPr>
          <w:rFonts w:ascii="Times New Roman" w:eastAsia="Calibri" w:hAnsi="Times New Roman"/>
          <w:b/>
          <w:i/>
          <w:color w:val="9B2D1F" w:themeColor="accent2"/>
          <w:sz w:val="24"/>
          <w:szCs w:val="24"/>
          <w:lang w:eastAsia="bg-BG"/>
        </w:rPr>
        <w:t>Източник:  ИСУН</w:t>
      </w:r>
    </w:p>
    <w:p w:rsidR="00F25110" w:rsidRPr="00BD7BB1" w:rsidRDefault="00F25110" w:rsidP="00AB1733">
      <w:pPr>
        <w:autoSpaceDE w:val="0"/>
        <w:autoSpaceDN w:val="0"/>
        <w:adjustRightInd w:val="0"/>
        <w:spacing w:after="0" w:line="360" w:lineRule="auto"/>
        <w:ind w:firstLine="426"/>
        <w:jc w:val="both"/>
        <w:rPr>
          <w:rFonts w:ascii="Times New Roman" w:eastAsia="Calibri" w:hAnsi="Times New Roman"/>
          <w:color w:val="auto"/>
          <w:sz w:val="24"/>
          <w:szCs w:val="24"/>
          <w:lang w:val="bg-BG" w:eastAsia="bg-BG"/>
        </w:rPr>
      </w:pPr>
      <w:r w:rsidRPr="00BD7BB1">
        <w:rPr>
          <w:rFonts w:ascii="Times New Roman" w:eastAsia="Calibri" w:hAnsi="Times New Roman"/>
          <w:color w:val="auto"/>
          <w:sz w:val="24"/>
          <w:szCs w:val="24"/>
          <w:lang w:val="bg-BG" w:eastAsia="bg-BG"/>
        </w:rPr>
        <w:t>Сключените договори  по оперативните програми на територията на Югоизточен район към 04.05.2015г. са:</w:t>
      </w:r>
    </w:p>
    <w:p w:rsidR="00AB1733" w:rsidRDefault="00F25110" w:rsidP="00840654">
      <w:pPr>
        <w:numPr>
          <w:ilvl w:val="0"/>
          <w:numId w:val="58"/>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BD7BB1">
        <w:rPr>
          <w:rFonts w:ascii="Times New Roman" w:eastAsia="Calibri" w:hAnsi="Times New Roman"/>
          <w:color w:val="auto"/>
          <w:sz w:val="24"/>
          <w:szCs w:val="24"/>
          <w:lang w:val="bg-BG" w:eastAsia="bg-BG"/>
        </w:rPr>
        <w:t xml:space="preserve">ОП „Транспорт”- 4 броя одобрени проекти на стойност  </w:t>
      </w:r>
      <w:r w:rsidRPr="00BD7BB1">
        <w:rPr>
          <w:rFonts w:ascii="Times New Roman" w:eastAsia="Times New Roman" w:hAnsi="Times New Roman"/>
          <w:color w:val="auto"/>
          <w:sz w:val="24"/>
          <w:szCs w:val="24"/>
          <w:lang w:val="bg-BG" w:eastAsia="bg-BG"/>
        </w:rPr>
        <w:t xml:space="preserve">982 084 650 </w:t>
      </w:r>
      <w:r w:rsidRPr="00BD7BB1">
        <w:rPr>
          <w:rFonts w:ascii="Times New Roman" w:eastAsia="Calibri" w:hAnsi="Times New Roman"/>
          <w:color w:val="auto"/>
          <w:sz w:val="24"/>
          <w:szCs w:val="24"/>
          <w:lang w:val="bg-BG" w:eastAsia="bg-BG"/>
        </w:rPr>
        <w:t xml:space="preserve">лева,  при 116 проекта за страната, на стойност - 5 769 244 658 лева; </w:t>
      </w:r>
    </w:p>
    <w:p w:rsidR="00AB1733" w:rsidRDefault="00F25110" w:rsidP="00840654">
      <w:pPr>
        <w:numPr>
          <w:ilvl w:val="0"/>
          <w:numId w:val="58"/>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AB1733">
        <w:rPr>
          <w:rFonts w:ascii="Times New Roman" w:eastAsia="Calibri" w:hAnsi="Times New Roman"/>
          <w:color w:val="auto"/>
          <w:sz w:val="24"/>
          <w:szCs w:val="24"/>
          <w:lang w:val="bg-BG" w:eastAsia="bg-BG"/>
        </w:rPr>
        <w:t xml:space="preserve">ОП „Регионално развитие” - 141 броя одобрени проекти на стойност 440 886 893 лева, при 1193 проекта за страната, на стойност - 3 406 384 944 лева; </w:t>
      </w:r>
    </w:p>
    <w:p w:rsidR="00AB1733" w:rsidRDefault="00F25110" w:rsidP="00840654">
      <w:pPr>
        <w:numPr>
          <w:ilvl w:val="0"/>
          <w:numId w:val="58"/>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AB1733">
        <w:rPr>
          <w:rFonts w:ascii="Times New Roman" w:eastAsia="Calibri" w:hAnsi="Times New Roman"/>
          <w:color w:val="auto"/>
          <w:sz w:val="24"/>
          <w:szCs w:val="24"/>
          <w:lang w:val="bg-BG" w:eastAsia="bg-BG"/>
        </w:rPr>
        <w:t>ОП „Конкурентоспособност” - 315 броя одобрени проекти на стойност 358 441 860 лева, при 3152 проекта за страната, на стойност - 3 381 581 619лева;</w:t>
      </w:r>
    </w:p>
    <w:p w:rsidR="00AB1733" w:rsidRDefault="00F25110" w:rsidP="00840654">
      <w:pPr>
        <w:numPr>
          <w:ilvl w:val="0"/>
          <w:numId w:val="58"/>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AB1733">
        <w:rPr>
          <w:rFonts w:ascii="Times New Roman" w:eastAsia="Calibri" w:hAnsi="Times New Roman"/>
          <w:color w:val="auto"/>
          <w:sz w:val="24"/>
          <w:szCs w:val="24"/>
          <w:lang w:val="bg-BG" w:eastAsia="bg-BG"/>
        </w:rPr>
        <w:t>ОП „Околна среда” - 51 броя одобрени проекти на стойност 862 284 032 лева, при  при  517 проекта за страната, на стойност - 5 793 052 847лева;</w:t>
      </w:r>
    </w:p>
    <w:p w:rsidR="00AB1733" w:rsidRDefault="00F25110" w:rsidP="00840654">
      <w:pPr>
        <w:numPr>
          <w:ilvl w:val="0"/>
          <w:numId w:val="58"/>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AB1733">
        <w:rPr>
          <w:rFonts w:ascii="Times New Roman" w:eastAsia="Calibri" w:hAnsi="Times New Roman"/>
          <w:color w:val="auto"/>
          <w:sz w:val="24"/>
          <w:szCs w:val="24"/>
          <w:lang w:val="bg-BG" w:eastAsia="bg-BG"/>
        </w:rPr>
        <w:t>ОП „Човешки ресурси” - 481 броя одобрени проекти на стойност 49 063 108 лева, при  4 981 проекта за страната, на стойност - 2 427 971 951 лева;</w:t>
      </w:r>
    </w:p>
    <w:p w:rsidR="00AB1733" w:rsidRDefault="00F25110" w:rsidP="00840654">
      <w:pPr>
        <w:numPr>
          <w:ilvl w:val="0"/>
          <w:numId w:val="58"/>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AB1733">
        <w:rPr>
          <w:rFonts w:ascii="Times New Roman" w:eastAsia="Calibri" w:hAnsi="Times New Roman"/>
          <w:color w:val="auto"/>
          <w:sz w:val="24"/>
          <w:szCs w:val="24"/>
          <w:lang w:val="bg-BG" w:eastAsia="bg-BG"/>
        </w:rPr>
        <w:t>ОП „Административен капацитет” - 58 броя одобрени проекти на стойност 7 494 627 лева, при 1440 проекта за страната, на стойност -  383 181 490 лева</w:t>
      </w:r>
      <w:r w:rsidRPr="00AB1733">
        <w:rPr>
          <w:rFonts w:ascii="Times New Roman" w:eastAsia="Calibri" w:hAnsi="Times New Roman"/>
          <w:color w:val="auto"/>
          <w:sz w:val="24"/>
          <w:szCs w:val="24"/>
          <w:lang w:val="ru-RU" w:eastAsia="bg-BG"/>
        </w:rPr>
        <w:t>.</w:t>
      </w:r>
    </w:p>
    <w:p w:rsidR="00F25110" w:rsidRPr="00AB1733" w:rsidRDefault="00F25110" w:rsidP="00840654">
      <w:pPr>
        <w:numPr>
          <w:ilvl w:val="0"/>
          <w:numId w:val="58"/>
        </w:numPr>
        <w:autoSpaceDE w:val="0"/>
        <w:autoSpaceDN w:val="0"/>
        <w:adjustRightInd w:val="0"/>
        <w:spacing w:after="0" w:line="360" w:lineRule="auto"/>
        <w:jc w:val="both"/>
        <w:rPr>
          <w:rFonts w:ascii="Times New Roman" w:eastAsia="Calibri" w:hAnsi="Times New Roman"/>
          <w:color w:val="auto"/>
          <w:sz w:val="24"/>
          <w:szCs w:val="24"/>
          <w:lang w:val="bg-BG" w:eastAsia="bg-BG"/>
        </w:rPr>
      </w:pPr>
      <w:r w:rsidRPr="00AB1733">
        <w:rPr>
          <w:rFonts w:ascii="Times New Roman" w:eastAsia="Calibri" w:hAnsi="Times New Roman"/>
          <w:color w:val="auto"/>
          <w:sz w:val="24"/>
          <w:szCs w:val="24"/>
          <w:lang w:val="bg-BG" w:eastAsia="bg-BG"/>
        </w:rPr>
        <w:t xml:space="preserve">ОП „Техническа помощ” - 4 броя одобрени проекти на стойност </w:t>
      </w:r>
      <w:r w:rsidRPr="00AB1733">
        <w:rPr>
          <w:rFonts w:ascii="Times New Roman" w:eastAsia="Times New Roman" w:hAnsi="Times New Roman"/>
          <w:color w:val="auto"/>
          <w:sz w:val="24"/>
          <w:szCs w:val="24"/>
          <w:lang w:val="bg-BG" w:eastAsia="bg-BG"/>
        </w:rPr>
        <w:t xml:space="preserve">2 334 060 </w:t>
      </w:r>
      <w:r w:rsidRPr="00AB1733">
        <w:rPr>
          <w:rFonts w:ascii="Times New Roman" w:eastAsia="Calibri" w:hAnsi="Times New Roman"/>
          <w:color w:val="auto"/>
          <w:sz w:val="24"/>
          <w:szCs w:val="24"/>
          <w:lang w:val="bg-BG" w:eastAsia="bg-BG"/>
        </w:rPr>
        <w:t>лева, при 122 проекта за страната, на стойност  -  116 245 632 лева;</w:t>
      </w:r>
    </w:p>
    <w:p w:rsidR="00F25110" w:rsidRPr="00BD7BB1" w:rsidRDefault="00F25110" w:rsidP="00F25110">
      <w:pPr>
        <w:autoSpaceDE w:val="0"/>
        <w:autoSpaceDN w:val="0"/>
        <w:adjustRightInd w:val="0"/>
        <w:spacing w:after="0" w:line="360" w:lineRule="auto"/>
        <w:ind w:firstLine="480"/>
        <w:jc w:val="both"/>
        <w:rPr>
          <w:rFonts w:ascii="Times New Roman" w:eastAsia="Times New Roman" w:hAnsi="Times New Roman"/>
          <w:color w:val="auto"/>
          <w:sz w:val="24"/>
          <w:szCs w:val="24"/>
          <w:lang w:val="bg-BG" w:eastAsia="bg-BG"/>
        </w:rPr>
      </w:pPr>
      <w:r w:rsidRPr="00BD7BB1">
        <w:rPr>
          <w:rFonts w:ascii="Times New Roman" w:eastAsia="Calibri" w:hAnsi="Times New Roman"/>
          <w:color w:val="auto"/>
          <w:sz w:val="24"/>
          <w:szCs w:val="24"/>
          <w:lang w:val="bg-BG" w:eastAsia="bg-BG"/>
        </w:rPr>
        <w:lastRenderedPageBreak/>
        <w:t>С най-голям брой проекти  е ОП „Човешки ресурси” - 481 броя, а най-висок относителен дял от средствата реализирани по Оперативните програми на територията на ЮИР е този на ОП „Транспорт” с 36,3 %, ОП „Околна среда” - 31,9 %  и ОП „Регионално развитие” - 16,3 %.</w:t>
      </w:r>
      <w:r w:rsidRPr="00BD7BB1">
        <w:rPr>
          <w:rFonts w:ascii="Times New Roman" w:eastAsia="Times New Roman" w:hAnsi="Times New Roman"/>
          <w:color w:val="auto"/>
          <w:sz w:val="24"/>
          <w:szCs w:val="24"/>
          <w:lang w:val="bg-BG" w:eastAsia="bg-BG"/>
        </w:rPr>
        <w:t xml:space="preserve"> </w:t>
      </w:r>
    </w:p>
    <w:p w:rsidR="00F25110" w:rsidRPr="00BD7BB1" w:rsidRDefault="00F25110" w:rsidP="00F25110">
      <w:pPr>
        <w:autoSpaceDE w:val="0"/>
        <w:autoSpaceDN w:val="0"/>
        <w:adjustRightInd w:val="0"/>
        <w:spacing w:after="0" w:line="360" w:lineRule="auto"/>
        <w:ind w:firstLine="480"/>
        <w:jc w:val="both"/>
        <w:rPr>
          <w:rFonts w:ascii="Times New Roman" w:eastAsia="Calibri" w:hAnsi="Times New Roman"/>
          <w:color w:val="auto"/>
          <w:sz w:val="24"/>
          <w:szCs w:val="24"/>
          <w:lang w:val="bg-BG" w:eastAsia="bg-BG"/>
        </w:rPr>
      </w:pPr>
      <w:r w:rsidRPr="00BD7BB1">
        <w:rPr>
          <w:rFonts w:ascii="Times New Roman" w:eastAsia="Calibri" w:hAnsi="Times New Roman"/>
          <w:color w:val="auto"/>
          <w:sz w:val="24"/>
          <w:szCs w:val="24"/>
          <w:lang w:val="bg-BG" w:eastAsia="bg-BG"/>
        </w:rPr>
        <w:t>Разпределението  на сключените договори на областно ниво е следното:</w:t>
      </w:r>
    </w:p>
    <w:p w:rsidR="00F25110" w:rsidRPr="006B4D4E" w:rsidRDefault="006B4D4E" w:rsidP="006B4D4E">
      <w:pPr>
        <w:autoSpaceDE w:val="0"/>
        <w:autoSpaceDN w:val="0"/>
        <w:adjustRightInd w:val="0"/>
        <w:spacing w:after="0" w:line="360" w:lineRule="auto"/>
        <w:ind w:firstLine="480"/>
        <w:jc w:val="center"/>
        <w:rPr>
          <w:rFonts w:ascii="Times New Roman" w:eastAsia="Calibri" w:hAnsi="Times New Roman"/>
          <w:b/>
          <w:i/>
          <w:color w:val="9B2D1F" w:themeColor="accent2"/>
          <w:sz w:val="24"/>
          <w:szCs w:val="24"/>
          <w:lang w:val="bg-BG" w:eastAsia="bg-BG"/>
        </w:rPr>
      </w:pPr>
      <w:r w:rsidRPr="006B4D4E">
        <w:rPr>
          <w:rFonts w:ascii="Times New Roman" w:eastAsia="Calibri" w:hAnsi="Times New Roman"/>
          <w:b/>
          <w:i/>
          <w:color w:val="9B2D1F" w:themeColor="accent2"/>
          <w:sz w:val="24"/>
          <w:szCs w:val="24"/>
          <w:lang w:val="bg-BG" w:eastAsia="bg-BG"/>
        </w:rPr>
        <w:t>Фигура 7</w:t>
      </w:r>
      <w:r w:rsidR="00F25110" w:rsidRPr="006B4D4E">
        <w:rPr>
          <w:rFonts w:ascii="Times New Roman" w:eastAsia="Calibri" w:hAnsi="Times New Roman"/>
          <w:b/>
          <w:i/>
          <w:color w:val="9B2D1F" w:themeColor="accent2"/>
          <w:sz w:val="24"/>
          <w:szCs w:val="24"/>
          <w:lang w:val="bg-BG" w:eastAsia="bg-BG"/>
        </w:rPr>
        <w:t xml:space="preserve"> Брой сключени договори по области от Югоизточен район със средства от оперативните програми, съфинансирани от ЕФРР, ЕСФ и КФ към 04.05.2015 г.</w:t>
      </w:r>
    </w:p>
    <w:p w:rsidR="00F25110" w:rsidRPr="00BD7BB1" w:rsidRDefault="00F25110" w:rsidP="00F25110">
      <w:pPr>
        <w:autoSpaceDE w:val="0"/>
        <w:autoSpaceDN w:val="0"/>
        <w:adjustRightInd w:val="0"/>
        <w:spacing w:after="0" w:line="360" w:lineRule="auto"/>
        <w:ind w:firstLine="480"/>
        <w:jc w:val="both"/>
        <w:rPr>
          <w:rFonts w:ascii="Times New Roman" w:eastAsia="Times New Roman" w:hAnsi="Times New Roman"/>
          <w:color w:val="auto"/>
          <w:sz w:val="24"/>
          <w:szCs w:val="24"/>
          <w:lang w:val="bg-BG" w:eastAsia="bg-BG"/>
        </w:rPr>
      </w:pPr>
      <w:r w:rsidRPr="00BD7BB1">
        <w:rPr>
          <w:rFonts w:ascii="Times New Roman" w:eastAsia="Times New Roman" w:hAnsi="Times New Roman"/>
          <w:noProof/>
          <w:color w:val="auto"/>
          <w:sz w:val="24"/>
          <w:szCs w:val="24"/>
          <w:lang w:val="bg-BG" w:eastAsia="bg-BG"/>
        </w:rPr>
        <w:drawing>
          <wp:inline distT="0" distB="0" distL="0" distR="0" wp14:anchorId="46042190" wp14:editId="27886349">
            <wp:extent cx="5439410" cy="2459355"/>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9410" cy="2459355"/>
                    </a:xfrm>
                    <a:prstGeom prst="rect">
                      <a:avLst/>
                    </a:prstGeom>
                    <a:noFill/>
                    <a:ln>
                      <a:noFill/>
                    </a:ln>
                  </pic:spPr>
                </pic:pic>
              </a:graphicData>
            </a:graphic>
          </wp:inline>
        </w:drawing>
      </w:r>
    </w:p>
    <w:p w:rsidR="00F25110" w:rsidRPr="006B4D4E" w:rsidRDefault="00F25110" w:rsidP="006B4D4E">
      <w:pPr>
        <w:autoSpaceDE w:val="0"/>
        <w:autoSpaceDN w:val="0"/>
        <w:adjustRightInd w:val="0"/>
        <w:spacing w:after="0" w:line="360" w:lineRule="auto"/>
        <w:jc w:val="center"/>
        <w:rPr>
          <w:rFonts w:ascii="Times New Roman" w:eastAsia="Calibri" w:hAnsi="Times New Roman"/>
          <w:b/>
          <w:i/>
          <w:color w:val="9B2D1F" w:themeColor="accent2"/>
          <w:sz w:val="24"/>
          <w:szCs w:val="24"/>
          <w:lang w:eastAsia="bg-BG"/>
        </w:rPr>
      </w:pPr>
      <w:r w:rsidRPr="006B4D4E">
        <w:rPr>
          <w:rFonts w:ascii="Times New Roman" w:eastAsia="Calibri" w:hAnsi="Times New Roman"/>
          <w:b/>
          <w:i/>
          <w:color w:val="9B2D1F" w:themeColor="accent2"/>
          <w:sz w:val="24"/>
          <w:szCs w:val="24"/>
          <w:lang w:val="bg-BG" w:eastAsia="bg-BG"/>
        </w:rPr>
        <w:t>Източник:  ИСУН</w:t>
      </w:r>
    </w:p>
    <w:p w:rsidR="00F25110" w:rsidRDefault="00F25110" w:rsidP="00F25110">
      <w:pPr>
        <w:autoSpaceDE w:val="0"/>
        <w:autoSpaceDN w:val="0"/>
        <w:adjustRightInd w:val="0"/>
        <w:spacing w:after="0" w:line="360" w:lineRule="auto"/>
        <w:ind w:firstLine="480"/>
        <w:jc w:val="both"/>
        <w:rPr>
          <w:rFonts w:ascii="Times New Roman" w:eastAsia="Calibri" w:hAnsi="Times New Roman"/>
          <w:color w:val="auto"/>
          <w:sz w:val="24"/>
          <w:szCs w:val="24"/>
          <w:lang w:val="bg-BG" w:eastAsia="bg-BG"/>
        </w:rPr>
      </w:pPr>
      <w:r w:rsidRPr="00BD7BB1">
        <w:rPr>
          <w:rFonts w:ascii="Times New Roman" w:eastAsia="Calibri" w:hAnsi="Times New Roman"/>
          <w:color w:val="auto"/>
          <w:sz w:val="24"/>
          <w:szCs w:val="24"/>
          <w:lang w:val="bg-BG" w:eastAsia="bg-BG"/>
        </w:rPr>
        <w:t>Видно от фиг</w:t>
      </w:r>
      <w:r w:rsidR="00233655">
        <w:rPr>
          <w:rFonts w:ascii="Times New Roman" w:eastAsia="Calibri" w:hAnsi="Times New Roman"/>
          <w:color w:val="auto"/>
          <w:sz w:val="24"/>
          <w:szCs w:val="24"/>
          <w:lang w:val="bg-BG" w:eastAsia="bg-BG"/>
        </w:rPr>
        <w:t xml:space="preserve">ура 7 </w:t>
      </w:r>
      <w:r w:rsidRPr="00BD7BB1">
        <w:rPr>
          <w:rFonts w:ascii="Times New Roman" w:eastAsia="Calibri" w:hAnsi="Times New Roman"/>
          <w:color w:val="auto"/>
          <w:sz w:val="24"/>
          <w:szCs w:val="24"/>
          <w:lang w:val="bg-BG" w:eastAsia="bg-BG"/>
        </w:rPr>
        <w:t>общините в областите Бургас и Стара Загора са по-активни в усвояване на евросредствата, в сравнение с останалите две области на района - Сливен и Ямбол.</w:t>
      </w:r>
      <w:r w:rsidRPr="00BD7BB1">
        <w:rPr>
          <w:rFonts w:ascii="Times New Roman" w:eastAsia="Times New Roman" w:hAnsi="Times New Roman"/>
          <w:color w:val="auto"/>
          <w:sz w:val="24"/>
          <w:szCs w:val="24"/>
          <w:lang w:val="bg-BG" w:eastAsia="bg-BG"/>
        </w:rPr>
        <w:t xml:space="preserve"> На територията на област Бургас са сключени  н</w:t>
      </w:r>
      <w:r w:rsidRPr="00BD7BB1">
        <w:rPr>
          <w:rFonts w:ascii="Times New Roman" w:eastAsia="Calibri" w:hAnsi="Times New Roman"/>
          <w:color w:val="auto"/>
          <w:sz w:val="24"/>
          <w:szCs w:val="24"/>
          <w:lang w:val="bg-BG" w:eastAsia="bg-BG"/>
        </w:rPr>
        <w:t>ай- голям брой  договори по оперативните програми - 35%, а  с най-малко  проекти участва област Сливен - 14%. В стойностно изражение, разпределението на проектите по области в Югоизточен район е представено на фиг</w:t>
      </w:r>
      <w:r w:rsidR="00233655">
        <w:rPr>
          <w:rFonts w:ascii="Times New Roman" w:eastAsia="Calibri" w:hAnsi="Times New Roman"/>
          <w:color w:val="auto"/>
          <w:sz w:val="24"/>
          <w:szCs w:val="24"/>
          <w:lang w:val="bg-BG" w:eastAsia="bg-BG"/>
        </w:rPr>
        <w:t>ура 8</w:t>
      </w:r>
      <w:r w:rsidRPr="00BD7BB1">
        <w:rPr>
          <w:rFonts w:ascii="Times New Roman" w:eastAsia="Calibri" w:hAnsi="Times New Roman"/>
          <w:color w:val="auto"/>
          <w:sz w:val="24"/>
          <w:szCs w:val="24"/>
          <w:lang w:val="bg-BG" w:eastAsia="bg-BG"/>
        </w:rPr>
        <w:t>. От всички сключени договори, 37% са проектите с ефект върху целия ЮИР. На територията на област Бургас са привлечени 30% от договорените финансови средства за района, за област Стара Загора  делът е 18%, а за областите Ямбол и Сливен съответно -  9% и 6%.</w:t>
      </w:r>
    </w:p>
    <w:p w:rsidR="006B4D4E" w:rsidRDefault="006B4D4E" w:rsidP="00F25110">
      <w:pPr>
        <w:autoSpaceDE w:val="0"/>
        <w:autoSpaceDN w:val="0"/>
        <w:adjustRightInd w:val="0"/>
        <w:spacing w:after="0" w:line="360" w:lineRule="auto"/>
        <w:ind w:firstLine="480"/>
        <w:jc w:val="both"/>
        <w:rPr>
          <w:rFonts w:ascii="Times New Roman" w:eastAsia="Calibri" w:hAnsi="Times New Roman"/>
          <w:color w:val="auto"/>
          <w:sz w:val="24"/>
          <w:szCs w:val="24"/>
          <w:lang w:val="bg-BG" w:eastAsia="bg-BG"/>
        </w:rPr>
      </w:pPr>
    </w:p>
    <w:p w:rsidR="006B4D4E" w:rsidRPr="00BD7BB1" w:rsidRDefault="006B4D4E" w:rsidP="00F25110">
      <w:pPr>
        <w:autoSpaceDE w:val="0"/>
        <w:autoSpaceDN w:val="0"/>
        <w:adjustRightInd w:val="0"/>
        <w:spacing w:after="0" w:line="360" w:lineRule="auto"/>
        <w:ind w:firstLine="480"/>
        <w:jc w:val="both"/>
        <w:rPr>
          <w:rFonts w:ascii="Times New Roman" w:eastAsia="Calibri" w:hAnsi="Times New Roman"/>
          <w:color w:val="auto"/>
          <w:sz w:val="24"/>
          <w:szCs w:val="24"/>
          <w:lang w:val="bg-BG" w:eastAsia="bg-BG"/>
        </w:rPr>
      </w:pPr>
    </w:p>
    <w:p w:rsidR="00F25110" w:rsidRPr="006B4D4E" w:rsidRDefault="006B4D4E" w:rsidP="00F25110">
      <w:pPr>
        <w:autoSpaceDE w:val="0"/>
        <w:autoSpaceDN w:val="0"/>
        <w:adjustRightInd w:val="0"/>
        <w:spacing w:after="0" w:line="360" w:lineRule="auto"/>
        <w:ind w:firstLine="480"/>
        <w:jc w:val="both"/>
        <w:rPr>
          <w:rFonts w:ascii="Times New Roman" w:eastAsia="Calibri" w:hAnsi="Times New Roman"/>
          <w:b/>
          <w:i/>
          <w:color w:val="9B2D1F" w:themeColor="accent2"/>
          <w:sz w:val="24"/>
          <w:szCs w:val="24"/>
          <w:lang w:val="bg-BG" w:eastAsia="bg-BG"/>
        </w:rPr>
      </w:pPr>
      <w:r w:rsidRPr="006B4D4E">
        <w:rPr>
          <w:rFonts w:ascii="Times New Roman" w:eastAsia="Calibri" w:hAnsi="Times New Roman"/>
          <w:b/>
          <w:i/>
          <w:color w:val="9B2D1F" w:themeColor="accent2"/>
          <w:sz w:val="24"/>
          <w:szCs w:val="24"/>
          <w:lang w:val="bg-BG" w:eastAsia="bg-BG"/>
        </w:rPr>
        <w:lastRenderedPageBreak/>
        <w:t xml:space="preserve">Фигура 8 </w:t>
      </w:r>
      <w:r w:rsidR="00F25110" w:rsidRPr="006B4D4E">
        <w:rPr>
          <w:rFonts w:ascii="Times New Roman" w:eastAsia="Calibri" w:hAnsi="Times New Roman"/>
          <w:b/>
          <w:i/>
          <w:color w:val="9B2D1F" w:themeColor="accent2"/>
          <w:sz w:val="24"/>
          <w:szCs w:val="24"/>
          <w:lang w:val="bg-BG" w:eastAsia="bg-BG"/>
        </w:rPr>
        <w:t>Стойност на сключените  договори по области от Югоизточен район със средства от оперативните програми, съфинансирани от ЕФРР, ЕСФ и КФ към 04.05.2015 г.</w:t>
      </w:r>
    </w:p>
    <w:p w:rsidR="00F25110" w:rsidRPr="00BD7BB1" w:rsidRDefault="00F25110" w:rsidP="00F25110">
      <w:pPr>
        <w:autoSpaceDE w:val="0"/>
        <w:autoSpaceDN w:val="0"/>
        <w:adjustRightInd w:val="0"/>
        <w:spacing w:after="0" w:line="360" w:lineRule="auto"/>
        <w:ind w:firstLine="480"/>
        <w:jc w:val="both"/>
        <w:rPr>
          <w:rFonts w:ascii="Times New Roman" w:eastAsia="Calibri" w:hAnsi="Times New Roman"/>
          <w:color w:val="auto"/>
          <w:sz w:val="24"/>
          <w:szCs w:val="24"/>
          <w:lang w:val="bg-BG" w:eastAsia="bg-BG"/>
        </w:rPr>
      </w:pPr>
      <w:r w:rsidRPr="00BD7BB1">
        <w:rPr>
          <w:rFonts w:ascii="Times New Roman" w:eastAsia="Calibri" w:hAnsi="Times New Roman"/>
          <w:noProof/>
          <w:color w:val="auto"/>
          <w:sz w:val="24"/>
          <w:szCs w:val="24"/>
          <w:lang w:val="bg-BG" w:eastAsia="bg-BG"/>
        </w:rPr>
        <w:drawing>
          <wp:inline distT="0" distB="0" distL="0" distR="0" wp14:anchorId="7F72B3FD" wp14:editId="6E6FED5D">
            <wp:extent cx="5313045" cy="32162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3045" cy="3216275"/>
                    </a:xfrm>
                    <a:prstGeom prst="rect">
                      <a:avLst/>
                    </a:prstGeom>
                    <a:noFill/>
                    <a:ln>
                      <a:noFill/>
                    </a:ln>
                  </pic:spPr>
                </pic:pic>
              </a:graphicData>
            </a:graphic>
          </wp:inline>
        </w:drawing>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ОП „Развитие на човешките ресурси“ 2014-2020г. е първата оперативна програма, която беше одобрена от ЕК и стартира в България за новата финансова рамка 2014 – 2020 г. на Европейския съюз. Формалното одобрение на Програмата беше получено на 28.11.2014 г. През месец декември одобрение от ЕК получи и ОП „Транспорт и транспортна инфраструктура“ 2014-2020г. На 20.02.2015г. бяха одобрени оперативните програми „Наука и образование за интелигентен растеж“ 2014-2020г. и ОП „Добро управление“, която е наследник на ОП „Административен капацитет” и ОП „Техническа помощ” от програмен период 2007-2013г. Оперативна програма „Иновации и конкурентоспособност“  2014-2020г.  е одобрена от ЕК на 16 март 2015г. </w:t>
      </w:r>
      <w:r w:rsidR="000F4ED7" w:rsidRPr="000F4ED7">
        <w:rPr>
          <w:rFonts w:ascii="Times New Roman" w:eastAsia="Times New Roman" w:hAnsi="Times New Roman" w:hint="cs"/>
          <w:color w:val="auto"/>
          <w:sz w:val="24"/>
          <w:szCs w:val="24"/>
          <w:lang w:val="bg-BG" w:eastAsia="bg-BG"/>
        </w:rPr>
        <w:t>Окончателните</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варианти</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на</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ОП</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Околна</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среда</w:t>
      </w:r>
      <w:r w:rsidR="000F4ED7" w:rsidRPr="000F4ED7">
        <w:rPr>
          <w:rFonts w:ascii="Times New Roman" w:eastAsia="Times New Roman" w:hAnsi="Times New Roman"/>
          <w:color w:val="auto"/>
          <w:sz w:val="24"/>
          <w:szCs w:val="24"/>
          <w:lang w:val="bg-BG" w:eastAsia="bg-BG"/>
        </w:rPr>
        <w:t xml:space="preserve"> 2014-2020“ </w:t>
      </w:r>
      <w:r w:rsidR="000F4ED7" w:rsidRPr="000F4ED7">
        <w:rPr>
          <w:rFonts w:ascii="Times New Roman" w:eastAsia="Times New Roman" w:hAnsi="Times New Roman" w:hint="cs"/>
          <w:color w:val="auto"/>
          <w:sz w:val="24"/>
          <w:szCs w:val="24"/>
          <w:lang w:val="bg-BG" w:eastAsia="bg-BG"/>
        </w:rPr>
        <w:t>и</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Оперативна</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програма</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Региони</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в</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растеж</w:t>
      </w:r>
      <w:r w:rsidR="000F4ED7" w:rsidRPr="000F4ED7">
        <w:rPr>
          <w:rFonts w:ascii="Times New Roman" w:eastAsia="Times New Roman" w:hAnsi="Times New Roman" w:hint="eastAsia"/>
          <w:color w:val="auto"/>
          <w:sz w:val="24"/>
          <w:szCs w:val="24"/>
          <w:lang w:val="bg-BG" w:eastAsia="bg-BG"/>
        </w:rPr>
        <w:t>“</w:t>
      </w:r>
      <w:r w:rsidR="000F4ED7" w:rsidRPr="000F4ED7">
        <w:rPr>
          <w:rFonts w:ascii="Times New Roman" w:eastAsia="Times New Roman" w:hAnsi="Times New Roman"/>
          <w:color w:val="auto"/>
          <w:sz w:val="24"/>
          <w:szCs w:val="24"/>
          <w:lang w:val="bg-BG" w:eastAsia="bg-BG"/>
        </w:rPr>
        <w:t xml:space="preserve"> 2014-2020 </w:t>
      </w:r>
      <w:r w:rsidR="000F4ED7" w:rsidRPr="000F4ED7">
        <w:rPr>
          <w:rFonts w:ascii="Times New Roman" w:eastAsia="Times New Roman" w:hAnsi="Times New Roman" w:hint="cs"/>
          <w:color w:val="auto"/>
          <w:sz w:val="24"/>
          <w:szCs w:val="24"/>
          <w:lang w:val="bg-BG" w:eastAsia="bg-BG"/>
        </w:rPr>
        <w:t>г</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бяха</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одобрени</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от</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Министерски</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съвет</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и</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изпратени</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до</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ЕК</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Официално</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одобрение</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двете</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програми</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получиха</w:t>
      </w:r>
      <w:r w:rsidR="000F4ED7" w:rsidRPr="000F4ED7">
        <w:rPr>
          <w:rFonts w:ascii="Times New Roman" w:eastAsia="Times New Roman" w:hAnsi="Times New Roman"/>
          <w:color w:val="auto"/>
          <w:sz w:val="24"/>
          <w:szCs w:val="24"/>
          <w:lang w:val="bg-BG" w:eastAsia="bg-BG"/>
        </w:rPr>
        <w:t xml:space="preserve"> </w:t>
      </w:r>
      <w:r w:rsidR="000F4ED7" w:rsidRPr="000F4ED7">
        <w:rPr>
          <w:rFonts w:ascii="Times New Roman" w:eastAsia="Times New Roman" w:hAnsi="Times New Roman" w:hint="cs"/>
          <w:color w:val="auto"/>
          <w:sz w:val="24"/>
          <w:szCs w:val="24"/>
          <w:lang w:val="bg-BG" w:eastAsia="bg-BG"/>
        </w:rPr>
        <w:t>на</w:t>
      </w:r>
      <w:r w:rsidR="000F4ED7" w:rsidRPr="000F4ED7">
        <w:rPr>
          <w:rFonts w:ascii="Times New Roman" w:eastAsia="Times New Roman" w:hAnsi="Times New Roman"/>
          <w:color w:val="auto"/>
          <w:sz w:val="24"/>
          <w:szCs w:val="24"/>
          <w:lang w:val="bg-BG" w:eastAsia="bg-BG"/>
        </w:rPr>
        <w:t xml:space="preserve"> 16 </w:t>
      </w:r>
      <w:r w:rsidR="000F4ED7" w:rsidRPr="000F4ED7">
        <w:rPr>
          <w:rFonts w:ascii="Times New Roman" w:eastAsia="Times New Roman" w:hAnsi="Times New Roman" w:hint="cs"/>
          <w:color w:val="auto"/>
          <w:sz w:val="24"/>
          <w:szCs w:val="24"/>
          <w:lang w:val="bg-BG" w:eastAsia="bg-BG"/>
        </w:rPr>
        <w:t>юни</w:t>
      </w:r>
      <w:r w:rsidR="000F4ED7" w:rsidRPr="000F4ED7">
        <w:rPr>
          <w:rFonts w:ascii="Times New Roman" w:eastAsia="Times New Roman" w:hAnsi="Times New Roman"/>
          <w:color w:val="auto"/>
          <w:sz w:val="24"/>
          <w:szCs w:val="24"/>
          <w:lang w:val="bg-BG" w:eastAsia="bg-BG"/>
        </w:rPr>
        <w:t xml:space="preserve"> 2015 </w:t>
      </w:r>
      <w:r w:rsidR="000F4ED7" w:rsidRPr="000F4ED7">
        <w:rPr>
          <w:rFonts w:ascii="Times New Roman" w:eastAsia="Times New Roman" w:hAnsi="Times New Roman" w:hint="cs"/>
          <w:color w:val="auto"/>
          <w:sz w:val="24"/>
          <w:szCs w:val="24"/>
          <w:lang w:val="bg-BG" w:eastAsia="bg-BG"/>
        </w:rPr>
        <w:t>г</w:t>
      </w:r>
      <w:r w:rsidR="000F4ED7" w:rsidRPr="000F4ED7">
        <w:rPr>
          <w:rFonts w:ascii="Times New Roman" w:eastAsia="Times New Roman" w:hAnsi="Times New Roman"/>
          <w:color w:val="auto"/>
          <w:sz w:val="24"/>
          <w:szCs w:val="24"/>
          <w:lang w:val="bg-BG" w:eastAsia="bg-BG"/>
        </w:rPr>
        <w:t>.</w:t>
      </w:r>
      <w:r w:rsidR="000F4ED7">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Програмата за развитие на селските райони 2014-2020г. е изпратена официално на ЕК на 02.07.2014 г. На 06.10.2014 г. са получени официални коментари от ЕК.Проведени са 17 видеоконферентни срещи с ЕК за изясняване/изчистване на коментарите и сближаване на позициите. Програмата </w:t>
      </w:r>
      <w:r w:rsidRPr="00BD7BB1">
        <w:rPr>
          <w:rFonts w:ascii="Times New Roman" w:eastAsia="Times New Roman" w:hAnsi="Times New Roman"/>
          <w:color w:val="auto"/>
          <w:sz w:val="24"/>
          <w:szCs w:val="24"/>
          <w:lang w:val="bg-BG" w:eastAsia="bg-BG"/>
        </w:rPr>
        <w:lastRenderedPageBreak/>
        <w:t>получи официално одобрение от Европейската комисия след близо 2 години преговори. Авансово бе отворена Мярка 4.1 „Инвестиции в земеделски стопанства“. Предварителното пускане на мярката, преди окончателното одобрение на програма</w:t>
      </w:r>
      <w:r w:rsidR="006E4093">
        <w:rPr>
          <w:rFonts w:ascii="Times New Roman" w:eastAsia="Times New Roman" w:hAnsi="Times New Roman"/>
          <w:color w:val="auto"/>
          <w:sz w:val="24"/>
          <w:szCs w:val="24"/>
          <w:lang w:val="bg-BG" w:eastAsia="bg-BG"/>
        </w:rPr>
        <w:t>та, е на собствен финансов риск</w:t>
      </w:r>
      <w:r w:rsidRPr="00BD7BB1">
        <w:rPr>
          <w:rFonts w:ascii="Times New Roman" w:eastAsia="Times New Roman" w:hAnsi="Times New Roman"/>
          <w:color w:val="auto"/>
          <w:sz w:val="24"/>
          <w:szCs w:val="24"/>
          <w:lang w:val="bg-BG" w:eastAsia="bg-BG"/>
        </w:rPr>
        <w:t xml:space="preserve"> на страната, за да не се губи време. До края на годината ще бъде отворена и Мярка 4.2 „Инвестиции в преработка/маркетинг на селскостопански продукти“.</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Оперативна програма „Морско дело и рибарство 2014-2020 г.“ ще бъде изпратена за одобрение в Европейската комисия до края на месец юни, а официално одобрение на Програмата се очаква да се получи до края на 2015 г.</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Подготовката на програмата за трансгранично сътрудничество България – Турция 2014-2020 се осъществи в периода м.ноември 2013 – м.септември 2014, като процесът завърши с одобрение на финалният вариант на програмата от страна на правителствата на двете държави, чрез изразяване на писмено съгласие по обхвата, съдържанието и финансовия ангажимент за националното съфинансиране на програмата. Официални коментари на ЕК по програмата са получени на 6 февруари 2015 г. Основните забележки са насочени към проведената оценка на въздействието на програмата върху околната среда в партниращата държава, като Република Турция следва да спази изискванията на Директивата за оценка на въздействието върху околната среда 2001/42/EC. Директивата изисква провеждане на публични консултации на националния език на държавата, в която се провеждат. ЕК счита за непълна процедурата проведена на турска територия. В тази връзка, на 12 януари 2015 г. Република Турция стартира публични консултации по доклада за екологичната оценка на националния език на държавата /в случая на турски език/, с краен срок 12 февруари 2015 г.  След приключване на обществените консултации на турска територия ревизираната версия на програмата ще бъде изпратена на ЕК, като се очаква нейното одобрение през юни-юли 2015 г.</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Изготвянето на оперативна програма по Фонда за европейско подпомагане на най-нуждаещите се лица е официално одобрена от ЕК на 5 декември 2014 г. През м.декември беше създадена Междуведомствена работна група със задача подготвянето на проект на нормативен акт, който да регулира процесите по управление и предоставяне на помощта по ФЕПНЛ.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В периода от април 2013 година до януари 2015 година са проведени шест заседания на Съвместния програмен комитет (СПК), създаден за подготовка на програма </w:t>
      </w:r>
      <w:r w:rsidRPr="00BD7BB1">
        <w:rPr>
          <w:rFonts w:ascii="Times New Roman" w:eastAsia="Times New Roman" w:hAnsi="Times New Roman"/>
          <w:color w:val="auto"/>
          <w:sz w:val="24"/>
          <w:szCs w:val="24"/>
          <w:lang w:val="bg-BG" w:eastAsia="bg-BG"/>
        </w:rPr>
        <w:lastRenderedPageBreak/>
        <w:t>Съвместна оперативна програма за ТГС Черноморски басейн 2014 – 2020, с участието на представители на държавите - участнички.  Очаква се  програмите за ТГС по ЕИС да бъдат внесени за одобрение от ЕК до края на първото полугодие на 2015 година и да бъдат одобрени през есента на 2015 година.</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С Решение № 583 от 04 август 2014 г. Министерския съвет изрази съгласие със съдържанието на Програма за междурегионално сътрудничество „ИНТЕРРЕГ Европа“ 2014-2020 и одобри ангажиментите на Република България, като държава-участник в програмата. Очаква се програмата  да бъде одобрена от страна на ЕК през втората половина на 2015 г. С Решение № 494 от 10 юли 2014 г. Министерския съвет изрази съгласие със съдържанието на Програма за междурегионално сътрудничество „ЕСПОН“ 2014-2020 и одобри ангажиментите на Република България, като държава-участник в програмата.  Програмата бе одобрена през месец февруари 2015г. с бюджет от над 48.6 млн. евро. С Решение № 562 от 31 юли 2014 г. Министерския съвет изрази съгласие със съдържанието на Програма за междурегионално сътрудничество УРБАКТ III 2014-2020 и одобри ангажиментите на Република България, като държава-участник в програмата. Програмата беше официално одобрена от ЕК през месец декември 2014 г.</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Очаква се през 2015г. да бъдат одобрени и останалите програми,  да стартират  реалните възможности за кандидатсване с проектни предложения  и  да бъде усвоен съществен ресурс за настоящия период  2014-2020г.</w:t>
      </w:r>
    </w:p>
    <w:p w:rsidR="00F25110" w:rsidRPr="00BD7BB1" w:rsidRDefault="00F25110" w:rsidP="00F25110">
      <w:pPr>
        <w:spacing w:after="200"/>
        <w:rPr>
          <w:rFonts w:ascii="Times New Roman" w:eastAsia="Calibri" w:hAnsi="Times New Roman"/>
          <w:b/>
          <w:i/>
          <w:color w:val="auto"/>
          <w:sz w:val="24"/>
          <w:szCs w:val="24"/>
          <w:lang w:val="bg-BG"/>
        </w:rPr>
      </w:pPr>
    </w:p>
    <w:p w:rsidR="00F25110" w:rsidRPr="006B4D4E" w:rsidRDefault="006B4D4E" w:rsidP="00F25110">
      <w:pPr>
        <w:spacing w:after="200"/>
        <w:rPr>
          <w:rFonts w:ascii="Times New Roman" w:eastAsia="Calibri" w:hAnsi="Times New Roman"/>
          <w:b/>
          <w:color w:val="9B2D1F" w:themeColor="accent2"/>
          <w:sz w:val="24"/>
          <w:szCs w:val="24"/>
          <w:lang w:val="bg-BG"/>
        </w:rPr>
      </w:pPr>
      <w:r>
        <w:rPr>
          <w:rFonts w:ascii="Times New Roman" w:eastAsia="Calibri" w:hAnsi="Times New Roman"/>
          <w:b/>
          <w:color w:val="9B2D1F" w:themeColor="accent2"/>
          <w:sz w:val="24"/>
          <w:szCs w:val="24"/>
          <w:lang w:val="bg-BG"/>
        </w:rPr>
        <w:t>1.</w:t>
      </w:r>
      <w:r w:rsidR="003E5227">
        <w:rPr>
          <w:rFonts w:ascii="Times New Roman" w:eastAsia="Calibri" w:hAnsi="Times New Roman"/>
          <w:b/>
          <w:color w:val="9B2D1F" w:themeColor="accent2"/>
          <w:sz w:val="24"/>
          <w:szCs w:val="24"/>
          <w:lang w:val="bg-BG"/>
        </w:rPr>
        <w:t>3</w:t>
      </w:r>
      <w:r w:rsidR="00F25110" w:rsidRPr="006B4D4E">
        <w:rPr>
          <w:rFonts w:ascii="Times New Roman" w:eastAsia="Calibri" w:hAnsi="Times New Roman"/>
          <w:b/>
          <w:color w:val="9B2D1F" w:themeColor="accent2"/>
          <w:sz w:val="24"/>
          <w:szCs w:val="24"/>
          <w:lang w:val="bg-BG"/>
        </w:rPr>
        <w:t>.Анализ и тенденции в изменението на демографските  показатели</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Текущата демографска ситуация в страната и района се характеризира с продължаващо намаляване и застаряване на населението, намаляваща раждаемост и задържащо се високо равнище на общата смъртност.</w:t>
      </w:r>
      <w:r w:rsidRPr="00BD7BB1">
        <w:rPr>
          <w:rFonts w:ascii="Times New Roman" w:eastAsia="Times New Roman" w:hAnsi="Times New Roman"/>
          <w:color w:val="auto"/>
          <w:sz w:val="24"/>
          <w:szCs w:val="24"/>
          <w:lang w:val="bg-BG" w:eastAsia="bg-BG"/>
        </w:rPr>
        <w:t xml:space="preserve"> Като положителни тенденции през 2014 г. могат да се отбележат увеличаването  на броя на живородените  деца и нарастващата  средна продължителност   на живота на населението.</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Към 31 декември 2014 г. населението на България е 7 202 198 души,</w:t>
      </w:r>
      <w:r w:rsidRPr="00BD7BB1">
        <w:rPr>
          <w:rFonts w:ascii="Times New Roman" w:eastAsia="Times New Roman" w:hAnsi="Times New Roman"/>
          <w:color w:val="auto"/>
          <w:sz w:val="24"/>
          <w:szCs w:val="24"/>
          <w:lang w:val="bg-BG" w:eastAsia="bg-BG"/>
        </w:rPr>
        <w:t xml:space="preserve"> което представлява 1,4% от населението на Европейския съюз  и нарежда страната на 16</w:t>
      </w:r>
      <w:r w:rsidRPr="00BD7BB1">
        <w:rPr>
          <w:rFonts w:ascii="Times New Roman" w:eastAsia="Times New Roman" w:hAnsi="Times New Roman"/>
          <w:color w:val="auto"/>
          <w:sz w:val="24"/>
          <w:szCs w:val="24"/>
          <w:vertAlign w:val="superscript"/>
          <w:lang w:val="bg-BG" w:eastAsia="bg-BG"/>
        </w:rPr>
        <w:t>то</w:t>
      </w:r>
      <w:r w:rsidRPr="00BD7BB1">
        <w:rPr>
          <w:rFonts w:ascii="Times New Roman" w:eastAsia="Times New Roman" w:hAnsi="Times New Roman"/>
          <w:color w:val="auto"/>
          <w:sz w:val="24"/>
          <w:szCs w:val="24"/>
          <w:lang w:val="bg-BG" w:eastAsia="bg-BG"/>
        </w:rPr>
        <w:t xml:space="preserve">   място по брой на  населението непосредствено след Австрия (8 507 хил. души) и преди Дания (5 627 хил. души). В сравнение с 2013 г. населението на страната намалява с 43  479 души, или с 0,6%.</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lastRenderedPageBreak/>
        <w:t>Към 31 декември 2014 г. населението на ЮИР  е 1 085  515 души,</w:t>
      </w:r>
      <w:r w:rsidRPr="00BD7BB1">
        <w:rPr>
          <w:rFonts w:ascii="Times New Roman" w:eastAsia="Times New Roman" w:hAnsi="Times New Roman"/>
          <w:color w:val="auto"/>
          <w:sz w:val="24"/>
          <w:szCs w:val="24"/>
          <w:lang w:val="bg-BG" w:eastAsia="bg-BG"/>
        </w:rPr>
        <w:t xml:space="preserve"> което представлява  15 % от общото население на страната и нарежда района на </w:t>
      </w:r>
      <w:r w:rsidRPr="00BD7BB1">
        <w:rPr>
          <w:rFonts w:ascii="Times New Roman" w:eastAsia="Times New Roman" w:hAnsi="Times New Roman"/>
          <w:b/>
          <w:color w:val="auto"/>
          <w:sz w:val="24"/>
          <w:szCs w:val="24"/>
          <w:lang w:val="bg-BG" w:eastAsia="bg-BG"/>
        </w:rPr>
        <w:t>трето място</w:t>
      </w:r>
      <w:r w:rsidRPr="00BD7BB1">
        <w:rPr>
          <w:rFonts w:ascii="Times New Roman" w:eastAsia="Times New Roman" w:hAnsi="Times New Roman"/>
          <w:color w:val="auto"/>
          <w:sz w:val="24"/>
          <w:szCs w:val="24"/>
          <w:lang w:val="bg-BG" w:eastAsia="bg-BG"/>
        </w:rPr>
        <w:t xml:space="preserve"> след ЮЗР  ( 2 125 212 души ) и ЮЦР (  1 445 836 души ) и преди СИР ( 949 957 души) .  През 2014 г. и в шестте статистически района населението намалява спрямо 2013 г., като  за Югоизточен район то е с 0,5 %. Сред районите в страната най-голямо е намалението в СЗР с 1.6%, а най-малко - в ЮЗР  с 0.1%.</w:t>
      </w:r>
      <w:r w:rsidRPr="00BD7BB1">
        <w:rPr>
          <w:rFonts w:ascii="Calibri" w:eastAsia="Calibri" w:hAnsi="Calibri"/>
          <w:color w:val="auto"/>
          <w:sz w:val="24"/>
          <w:szCs w:val="24"/>
          <w:lang w:val="bg-BG"/>
        </w:rPr>
        <w:t xml:space="preserve"> П</w:t>
      </w:r>
      <w:r w:rsidRPr="00BD7BB1">
        <w:rPr>
          <w:rFonts w:ascii="Times New Roman" w:eastAsia="Times New Roman" w:hAnsi="Times New Roman"/>
          <w:color w:val="auto"/>
          <w:sz w:val="24"/>
          <w:szCs w:val="24"/>
          <w:lang w:val="bg-BG" w:eastAsia="bg-BG"/>
        </w:rPr>
        <w:t>оловината от населението на страната 49.6% живее в ЮЗР (29.5%) и ЮЦР  (20.1%).</w:t>
      </w:r>
    </w:p>
    <w:p w:rsidR="00F25110" w:rsidRPr="00310AFC" w:rsidRDefault="00F25110" w:rsidP="00F25110">
      <w:pPr>
        <w:spacing w:after="0" w:line="360" w:lineRule="auto"/>
        <w:ind w:firstLine="708"/>
        <w:jc w:val="both"/>
        <w:rPr>
          <w:rFonts w:ascii="Times New Roman" w:eastAsia="Times New Roman" w:hAnsi="Times New Roman"/>
          <w:b/>
          <w:i/>
          <w:color w:val="9B2D1F" w:themeColor="accent2"/>
          <w:sz w:val="24"/>
          <w:szCs w:val="24"/>
          <w:lang w:val="bg-BG" w:eastAsia="bg-BG"/>
        </w:rPr>
      </w:pPr>
      <w:r w:rsidRPr="00310AFC">
        <w:rPr>
          <w:rFonts w:ascii="Times New Roman" w:eastAsia="Times New Roman" w:hAnsi="Times New Roman"/>
          <w:b/>
          <w:i/>
          <w:color w:val="9B2D1F" w:themeColor="accent2"/>
          <w:sz w:val="24"/>
          <w:szCs w:val="24"/>
          <w:lang w:val="bg-BG" w:eastAsia="bg-BG"/>
        </w:rPr>
        <w:t>Фиг</w:t>
      </w:r>
      <w:r w:rsidR="006B4D4E" w:rsidRPr="00310AFC">
        <w:rPr>
          <w:rFonts w:ascii="Times New Roman" w:eastAsia="Times New Roman" w:hAnsi="Times New Roman"/>
          <w:b/>
          <w:i/>
          <w:color w:val="9B2D1F" w:themeColor="accent2"/>
          <w:sz w:val="24"/>
          <w:szCs w:val="24"/>
          <w:lang w:val="bg-BG" w:eastAsia="bg-BG"/>
        </w:rPr>
        <w:t xml:space="preserve">ура 9 </w:t>
      </w:r>
      <w:r w:rsidRPr="00310AFC">
        <w:rPr>
          <w:rFonts w:ascii="Times New Roman" w:eastAsia="Times New Roman" w:hAnsi="Times New Roman"/>
          <w:b/>
          <w:i/>
          <w:color w:val="9B2D1F" w:themeColor="accent2"/>
          <w:sz w:val="24"/>
          <w:szCs w:val="24"/>
          <w:lang w:val="bg-BG" w:eastAsia="bg-BG"/>
        </w:rPr>
        <w:t xml:space="preserve">Население в страната по райони през 2013 г. и 2014 г. </w:t>
      </w:r>
    </w:p>
    <w:p w:rsidR="00F25110" w:rsidRPr="00BD7BB1" w:rsidRDefault="00F25110" w:rsidP="006B4D4E">
      <w:pPr>
        <w:spacing w:after="0" w:line="360" w:lineRule="auto"/>
        <w:ind w:firstLine="708"/>
        <w:rPr>
          <w:rFonts w:ascii="Times New Roman" w:eastAsia="Times New Roman" w:hAnsi="Times New Roman"/>
          <w:color w:val="auto"/>
          <w:sz w:val="24"/>
          <w:szCs w:val="24"/>
          <w:lang w:val="bg-BG" w:eastAsia="bg-BG"/>
        </w:rPr>
      </w:pPr>
      <w:r w:rsidRPr="00BD7BB1">
        <w:rPr>
          <w:rFonts w:ascii="Times New Roman" w:eastAsia="Times New Roman" w:hAnsi="Times New Roman"/>
          <w:noProof/>
          <w:color w:val="auto"/>
          <w:sz w:val="24"/>
          <w:szCs w:val="24"/>
          <w:lang w:val="bg-BG" w:eastAsia="bg-BG"/>
        </w:rPr>
        <w:drawing>
          <wp:inline distT="0" distB="0" distL="0" distR="0" wp14:anchorId="5904AD9B" wp14:editId="2384FF48">
            <wp:extent cx="2790190" cy="1687195"/>
            <wp:effectExtent l="0" t="0" r="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190" cy="1687195"/>
                    </a:xfrm>
                    <a:prstGeom prst="rect">
                      <a:avLst/>
                    </a:prstGeom>
                    <a:noFill/>
                    <a:ln>
                      <a:noFill/>
                    </a:ln>
                  </pic:spPr>
                </pic:pic>
              </a:graphicData>
            </a:graphic>
          </wp:inline>
        </w:drawing>
      </w:r>
    </w:p>
    <w:p w:rsidR="00F25110" w:rsidRPr="00F6489D" w:rsidRDefault="00F25110" w:rsidP="00F6489D">
      <w:pPr>
        <w:spacing w:after="0" w:line="360" w:lineRule="auto"/>
        <w:ind w:firstLine="708"/>
        <w:rPr>
          <w:rFonts w:ascii="Times New Roman" w:eastAsia="Times New Roman" w:hAnsi="Times New Roman"/>
          <w:b/>
          <w:i/>
          <w:color w:val="9B2D1F" w:themeColor="accent2"/>
          <w:sz w:val="24"/>
          <w:szCs w:val="24"/>
          <w:lang w:val="bg-BG" w:eastAsia="bg-BG"/>
        </w:rPr>
      </w:pPr>
      <w:r w:rsidRPr="00F6489D">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Pr="00F6489D" w:rsidRDefault="00F25110" w:rsidP="00F25110">
      <w:pPr>
        <w:spacing w:after="0" w:line="360" w:lineRule="auto"/>
        <w:ind w:firstLine="708"/>
        <w:jc w:val="both"/>
        <w:rPr>
          <w:rFonts w:ascii="Times New Roman" w:eastAsia="Times New Roman" w:hAnsi="Times New Roman"/>
          <w:color w:val="9B2D1F" w:themeColor="accent2"/>
          <w:sz w:val="24"/>
          <w:szCs w:val="24"/>
          <w:lang w:val="bg-BG" w:eastAsia="bg-BG"/>
        </w:rPr>
      </w:pPr>
    </w:p>
    <w:p w:rsidR="00F25110" w:rsidRPr="00BD7BB1" w:rsidRDefault="00F25110" w:rsidP="00F25110">
      <w:pPr>
        <w:spacing w:after="0" w:line="360" w:lineRule="auto"/>
        <w:ind w:firstLine="708"/>
        <w:jc w:val="both"/>
        <w:rPr>
          <w:rFonts w:ascii="Times New Roman" w:eastAsia="Calibri" w:hAnsi="Times New Roman"/>
          <w:color w:val="auto"/>
          <w:sz w:val="24"/>
          <w:szCs w:val="24"/>
          <w:lang w:val="bg-BG"/>
        </w:rPr>
      </w:pPr>
      <w:r w:rsidRPr="00BD7BB1">
        <w:rPr>
          <w:rFonts w:ascii="Times New Roman" w:eastAsia="Times New Roman" w:hAnsi="Times New Roman"/>
          <w:b/>
          <w:color w:val="auto"/>
          <w:sz w:val="24"/>
          <w:szCs w:val="24"/>
          <w:lang w:val="bg-BG" w:eastAsia="bg-BG"/>
        </w:rPr>
        <w:t>Милионното население на Югоизточен район  живее в 4 области, 33 общини,  683 населени места (38 града и 645 села), или 12,9% от общия брой населени места в страната.</w:t>
      </w:r>
      <w:r w:rsidRPr="00BD7BB1">
        <w:rPr>
          <w:rFonts w:ascii="Times New Roman" w:eastAsia="Times New Roman" w:hAnsi="Times New Roman"/>
          <w:color w:val="auto"/>
          <w:sz w:val="24"/>
          <w:szCs w:val="24"/>
          <w:lang w:val="bg-BG" w:eastAsia="bg-BG"/>
        </w:rPr>
        <w:t xml:space="preserve">  От седемте  града в страната с </w:t>
      </w:r>
      <w:r w:rsidRPr="00BD7BB1">
        <w:rPr>
          <w:rFonts w:ascii="Times New Roman" w:eastAsia="Calibri" w:hAnsi="Times New Roman"/>
          <w:color w:val="auto"/>
          <w:sz w:val="24"/>
          <w:szCs w:val="24"/>
          <w:lang w:val="bg-BG"/>
        </w:rPr>
        <w:t>население над 100 хил. души, два  попадат в обхвата на Югоизточен район: Бургас (198 725 души ) и Стара Загора ( 137 729 ),  в които живеят 30,9% от населението на ЮИР. В сравнение с 2013 г. населението на двата града намалява  с 639 души  за гр.Бургас и с 105  души гр.Стара Загора.</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Calibri" w:hAnsi="Times New Roman"/>
          <w:b/>
          <w:color w:val="auto"/>
          <w:sz w:val="24"/>
          <w:szCs w:val="24"/>
          <w:lang w:val="bg-BG"/>
        </w:rPr>
        <w:t xml:space="preserve">Към 31 декември 2014 г. </w:t>
      </w:r>
      <w:r w:rsidRPr="00BD7BB1">
        <w:rPr>
          <w:rFonts w:ascii="Times New Roman" w:eastAsia="Times New Roman" w:hAnsi="Times New Roman"/>
          <w:b/>
          <w:color w:val="auto"/>
          <w:sz w:val="24"/>
          <w:szCs w:val="24"/>
          <w:lang w:val="bg-BG" w:eastAsia="bg-BG"/>
        </w:rPr>
        <w:t>най-малка по брой на население е област Ямбол,</w:t>
      </w:r>
      <w:r w:rsidRPr="00BD7BB1">
        <w:rPr>
          <w:rFonts w:ascii="Times New Roman" w:eastAsia="Times New Roman" w:hAnsi="Times New Roman"/>
          <w:color w:val="auto"/>
          <w:sz w:val="24"/>
          <w:szCs w:val="24"/>
          <w:lang w:val="bg-BG" w:eastAsia="bg-BG"/>
        </w:rPr>
        <w:t xml:space="preserve"> в която живеят 125 724  души, или 11,6% от населението на  ЮИР, а най-голяма е област Бургас – 414 184 души (38,1%), следвана от област Стара Загора – 325 963 души (30 %) и област Сливен – 192 644 души ( 17,7 % ). В сравнение с 2013 г. незначително намалява населението на област Бургас  с  0.07% , а най -значително в област Ямбол с 1,1%. Областите Сливен и Стара Загора отчитат намаление с по 0,6 %.</w:t>
      </w:r>
    </w:p>
    <w:p w:rsidR="00F25110" w:rsidRPr="00310AFC" w:rsidRDefault="00F25110" w:rsidP="00F25110">
      <w:pPr>
        <w:spacing w:after="0" w:line="360" w:lineRule="auto"/>
        <w:ind w:firstLine="708"/>
        <w:rPr>
          <w:rFonts w:ascii="Times New Roman" w:eastAsia="Times New Roman" w:hAnsi="Times New Roman"/>
          <w:b/>
          <w:i/>
          <w:color w:val="9B2D1F" w:themeColor="accent2"/>
          <w:sz w:val="24"/>
          <w:szCs w:val="24"/>
          <w:lang w:val="bg-BG" w:eastAsia="bg-BG"/>
        </w:rPr>
      </w:pPr>
      <w:r w:rsidRPr="00310AFC">
        <w:rPr>
          <w:rFonts w:ascii="Times New Roman" w:eastAsia="Times New Roman" w:hAnsi="Times New Roman"/>
          <w:b/>
          <w:i/>
          <w:color w:val="9B2D1F" w:themeColor="accent2"/>
          <w:sz w:val="24"/>
          <w:szCs w:val="24"/>
          <w:lang w:val="bg-BG" w:eastAsia="bg-BG"/>
        </w:rPr>
        <w:t>Фигура</w:t>
      </w:r>
      <w:r w:rsidR="00310AFC" w:rsidRPr="00310AFC">
        <w:rPr>
          <w:rFonts w:ascii="Times New Roman" w:eastAsia="Times New Roman" w:hAnsi="Times New Roman"/>
          <w:b/>
          <w:i/>
          <w:color w:val="9B2D1F" w:themeColor="accent2"/>
          <w:sz w:val="24"/>
          <w:szCs w:val="24"/>
          <w:lang w:val="bg-BG" w:eastAsia="bg-BG"/>
        </w:rPr>
        <w:t xml:space="preserve"> 10 </w:t>
      </w:r>
      <w:r w:rsidRPr="00310AFC">
        <w:rPr>
          <w:rFonts w:ascii="Times New Roman" w:eastAsia="Times New Roman" w:hAnsi="Times New Roman"/>
          <w:b/>
          <w:i/>
          <w:color w:val="9B2D1F" w:themeColor="accent2"/>
          <w:sz w:val="24"/>
          <w:szCs w:val="24"/>
          <w:lang w:val="bg-BG" w:eastAsia="bg-BG"/>
        </w:rPr>
        <w:t xml:space="preserve"> Брой на населението за 2013 г. и 2014 г.по области в ЮИР</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Calibri" w:eastAsia="Calibri" w:hAnsi="Calibri"/>
          <w:noProof/>
          <w:color w:val="auto"/>
          <w:sz w:val="24"/>
          <w:szCs w:val="24"/>
          <w:lang w:val="bg-BG" w:eastAsia="bg-BG"/>
        </w:rPr>
        <w:lastRenderedPageBreak/>
        <w:drawing>
          <wp:inline distT="0" distB="0" distL="0" distR="0" wp14:anchorId="0BF76E6B" wp14:editId="2E53BEA3">
            <wp:extent cx="4525010" cy="2159635"/>
            <wp:effectExtent l="0" t="0" r="0" b="0"/>
            <wp:docPr id="104"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25110" w:rsidRPr="00310AFC" w:rsidRDefault="00F25110" w:rsidP="00F25110">
      <w:pPr>
        <w:spacing w:after="0" w:line="360" w:lineRule="auto"/>
        <w:ind w:firstLine="708"/>
        <w:rPr>
          <w:rFonts w:ascii="Times New Roman" w:eastAsia="Times New Roman" w:hAnsi="Times New Roman"/>
          <w:b/>
          <w:i/>
          <w:color w:val="9B2D1F" w:themeColor="accent2"/>
          <w:sz w:val="24"/>
          <w:szCs w:val="24"/>
          <w:lang w:val="bg-BG" w:eastAsia="bg-BG"/>
        </w:rPr>
      </w:pPr>
      <w:r w:rsidRPr="00310AFC">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 xml:space="preserve">През 2014 г. намалява и гъстотата на населението в ЮИР - 53,4 д/км², при среден за страната 64,9  д/км².  </w:t>
      </w:r>
      <w:r w:rsidRPr="00BD7BB1">
        <w:rPr>
          <w:rFonts w:ascii="Times New Roman" w:eastAsia="Times New Roman" w:hAnsi="Times New Roman"/>
          <w:color w:val="auto"/>
          <w:sz w:val="24"/>
          <w:szCs w:val="24"/>
          <w:lang w:val="bg-BG" w:eastAsia="bg-BG"/>
        </w:rPr>
        <w:t>Най-висока е гъстотата на населението в област Стара Загора - 63,2 д/км², а най-ниска в област Ямбол 37,4 %. В област Сливен  гъстотата на населението е 54,3 д/км², а в област Бургас е 53,4 д/км. В сравнение с 2013 г. гъстотата на населението в ЮИР намалява с 0,3 пункта.</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Продължава процесът на остаряване на населението, както в страната, така и в ЮИР.</w:t>
      </w:r>
      <w:r w:rsidRPr="00BD7BB1">
        <w:rPr>
          <w:rFonts w:ascii="Times New Roman" w:eastAsia="Times New Roman" w:hAnsi="Times New Roman"/>
          <w:color w:val="auto"/>
          <w:sz w:val="24"/>
          <w:szCs w:val="24"/>
          <w:lang w:val="bg-BG" w:eastAsia="bg-BG"/>
        </w:rPr>
        <w:t xml:space="preserve"> В края на 2014 г. лицата на 65 и повече навършени години са 1 440 329, или 20,0% от населението на страната, а в ЮИР са 205 682 или 19,4 % . В сравнение с 2013 г. делът на населението в тази възрастова група нараства с 0.4 % както в страната, така и в ЮИР. Във вътрешно регионален аспект делът на лицата на 65 и повече навършени години е най-висок в областите Ямбол (22.5%) и  Стара Загора (21,0%).  Най-нисък е делът на възрастното население в областите Бургас и Сливен,  съответно 17,7% и 18,4 %.</w:t>
      </w:r>
    </w:p>
    <w:p w:rsidR="00F25110" w:rsidRPr="00BD7BB1" w:rsidRDefault="00310AFC" w:rsidP="00D922C6">
      <w:pPr>
        <w:spacing w:after="0" w:line="360" w:lineRule="auto"/>
        <w:ind w:firstLine="708"/>
        <w:jc w:val="center"/>
        <w:rPr>
          <w:rFonts w:ascii="Times New Roman" w:eastAsia="Times New Roman" w:hAnsi="Times New Roman"/>
          <w:color w:val="auto"/>
          <w:sz w:val="24"/>
          <w:szCs w:val="24"/>
          <w:lang w:val="bg-BG" w:eastAsia="bg-BG"/>
        </w:rPr>
      </w:pPr>
      <w:r w:rsidRPr="00310AFC">
        <w:rPr>
          <w:rFonts w:ascii="Times New Roman" w:eastAsia="Times New Roman" w:hAnsi="Times New Roman"/>
          <w:b/>
          <w:color w:val="9B2D1F" w:themeColor="accent2"/>
          <w:sz w:val="24"/>
          <w:szCs w:val="24"/>
          <w:lang w:val="bg-BG" w:eastAsia="bg-BG"/>
        </w:rPr>
        <w:lastRenderedPageBreak/>
        <w:t xml:space="preserve">Карта </w:t>
      </w:r>
      <w:r>
        <w:rPr>
          <w:rFonts w:ascii="Times New Roman" w:eastAsia="Times New Roman" w:hAnsi="Times New Roman"/>
          <w:b/>
          <w:color w:val="9B2D1F" w:themeColor="accent2"/>
          <w:sz w:val="24"/>
          <w:szCs w:val="24"/>
          <w:lang w:val="bg-BG" w:eastAsia="bg-BG"/>
        </w:rPr>
        <w:t xml:space="preserve">1 </w:t>
      </w:r>
      <w:r w:rsidR="00F25110" w:rsidRPr="00310AFC">
        <w:rPr>
          <w:rFonts w:ascii="Times New Roman" w:eastAsia="Times New Roman" w:hAnsi="Times New Roman"/>
          <w:b/>
          <w:color w:val="9B2D1F" w:themeColor="accent2"/>
          <w:sz w:val="24"/>
          <w:szCs w:val="24"/>
          <w:lang w:val="bg-BG" w:eastAsia="bg-BG"/>
        </w:rPr>
        <w:t xml:space="preserve"> Относителен дял на населението на 65 и повече навършени години към 31.12.2014 г. по области в страната.</w:t>
      </w:r>
      <w:r w:rsidR="00F25110" w:rsidRPr="00310AFC">
        <w:rPr>
          <w:rFonts w:ascii="Times New Roman" w:eastAsia="Times New Roman" w:hAnsi="Times New Roman"/>
          <w:noProof/>
          <w:color w:val="9B2D1F" w:themeColor="accent2"/>
          <w:sz w:val="24"/>
          <w:szCs w:val="24"/>
          <w:lang w:val="bg-BG" w:eastAsia="bg-BG"/>
        </w:rPr>
        <w:t xml:space="preserve"> </w:t>
      </w:r>
      <w:r w:rsidR="00F25110" w:rsidRPr="00BD7BB1">
        <w:rPr>
          <w:rFonts w:ascii="Times New Roman" w:eastAsia="Times New Roman" w:hAnsi="Times New Roman"/>
          <w:noProof/>
          <w:color w:val="auto"/>
          <w:sz w:val="24"/>
          <w:szCs w:val="24"/>
          <w:lang w:val="bg-BG" w:eastAsia="bg-BG"/>
        </w:rPr>
        <w:drawing>
          <wp:inline distT="0" distB="0" distL="0" distR="0" wp14:anchorId="7652B479" wp14:editId="5DE280FD">
            <wp:extent cx="5502275" cy="3799205"/>
            <wp:effectExtent l="0" t="0" r="317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2275" cy="3799205"/>
                    </a:xfrm>
                    <a:prstGeom prst="rect">
                      <a:avLst/>
                    </a:prstGeom>
                    <a:noFill/>
                    <a:ln>
                      <a:noFill/>
                    </a:ln>
                  </pic:spPr>
                </pic:pic>
              </a:graphicData>
            </a:graphic>
          </wp:inline>
        </w:drawing>
      </w:r>
    </w:p>
    <w:p w:rsidR="00F25110" w:rsidRPr="00D922C6" w:rsidRDefault="00F25110" w:rsidP="00F25110">
      <w:pPr>
        <w:spacing w:after="0" w:line="360" w:lineRule="auto"/>
        <w:ind w:firstLine="708"/>
        <w:rPr>
          <w:rFonts w:ascii="Times New Roman" w:eastAsia="Times New Roman" w:hAnsi="Times New Roman"/>
          <w:b/>
          <w:i/>
          <w:color w:val="9B2D1F" w:themeColor="accent2"/>
          <w:sz w:val="24"/>
          <w:szCs w:val="24"/>
          <w:lang w:val="bg-BG" w:eastAsia="bg-BG"/>
        </w:rPr>
      </w:pPr>
      <w:r w:rsidRPr="00D922C6">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Pr="00BD7BB1" w:rsidRDefault="00F25110" w:rsidP="00F25110">
      <w:pPr>
        <w:spacing w:after="0" w:line="360" w:lineRule="auto"/>
        <w:ind w:firstLine="708"/>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 xml:space="preserve">През 2014 г. в страната са регистрирани 68 083 родени деца, като от тях </w:t>
      </w:r>
      <w:r w:rsidRPr="00BD7BB1">
        <w:rPr>
          <w:rFonts w:ascii="Times New Roman" w:eastAsia="Calibri" w:hAnsi="Times New Roman"/>
          <w:b/>
          <w:bCs/>
          <w:color w:val="auto"/>
          <w:sz w:val="24"/>
          <w:szCs w:val="24"/>
          <w:lang w:val="bg-BG"/>
        </w:rPr>
        <w:t xml:space="preserve">67 585 (99.3%) са живородени. </w:t>
      </w:r>
      <w:r w:rsidRPr="00BD7BB1">
        <w:rPr>
          <w:rFonts w:ascii="Times New Roman" w:eastAsia="Calibri" w:hAnsi="Times New Roman"/>
          <w:color w:val="auto"/>
          <w:sz w:val="24"/>
          <w:szCs w:val="24"/>
          <w:lang w:val="bg-BG"/>
        </w:rPr>
        <w:t xml:space="preserve">В ЮИР са регистрирани 68 083 родени деца, като от тях </w:t>
      </w:r>
      <w:r w:rsidRPr="00BD7BB1">
        <w:rPr>
          <w:rFonts w:ascii="Times New Roman" w:eastAsia="Calibri" w:hAnsi="Times New Roman"/>
          <w:b/>
          <w:color w:val="auto"/>
          <w:sz w:val="24"/>
          <w:szCs w:val="24"/>
          <w:lang w:val="bg-BG"/>
        </w:rPr>
        <w:t>67 585 (99.2%)</w:t>
      </w:r>
      <w:r w:rsidRPr="00BD7BB1">
        <w:rPr>
          <w:rFonts w:ascii="Times New Roman" w:eastAsia="Calibri" w:hAnsi="Times New Roman"/>
          <w:color w:val="auto"/>
          <w:sz w:val="24"/>
          <w:szCs w:val="24"/>
          <w:lang w:val="bg-BG"/>
        </w:rPr>
        <w:t xml:space="preserve"> </w:t>
      </w:r>
      <w:r w:rsidRPr="00BD7BB1">
        <w:rPr>
          <w:rFonts w:ascii="Times New Roman" w:eastAsia="Calibri" w:hAnsi="Times New Roman"/>
          <w:b/>
          <w:color w:val="auto"/>
          <w:sz w:val="24"/>
          <w:szCs w:val="24"/>
          <w:lang w:val="bg-BG"/>
        </w:rPr>
        <w:t xml:space="preserve">са живородени , </w:t>
      </w:r>
      <w:r w:rsidRPr="00BD7BB1">
        <w:rPr>
          <w:rFonts w:ascii="Times New Roman" w:eastAsia="Calibri" w:hAnsi="Times New Roman"/>
          <w:color w:val="auto"/>
          <w:sz w:val="24"/>
          <w:szCs w:val="24"/>
          <w:lang w:val="bg-BG"/>
        </w:rPr>
        <w:t xml:space="preserve">от които за област Бургас 4 211 деца, за област Стара Загора 3 099, за област Сливен 2 395 и за област Ямбол 1 236 деца. В сравнение с предходната година броят на </w:t>
      </w:r>
      <w:r w:rsidRPr="00BD7BB1">
        <w:rPr>
          <w:rFonts w:ascii="Times New Roman" w:eastAsia="Calibri" w:hAnsi="Times New Roman"/>
          <w:b/>
          <w:color w:val="auto"/>
          <w:sz w:val="24"/>
          <w:szCs w:val="24"/>
          <w:lang w:val="bg-BG"/>
        </w:rPr>
        <w:t>живородените</w:t>
      </w:r>
      <w:r w:rsidRPr="00BD7BB1">
        <w:rPr>
          <w:rFonts w:ascii="Times New Roman" w:eastAsia="Calibri" w:hAnsi="Times New Roman"/>
          <w:color w:val="auto"/>
          <w:sz w:val="24"/>
          <w:szCs w:val="24"/>
          <w:lang w:val="bg-BG"/>
        </w:rPr>
        <w:t xml:space="preserve"> се увеличава за страната с 1 007 деца, а в ЮИР с 26 деца.</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Calibri" w:hAnsi="Times New Roman"/>
          <w:b/>
          <w:color w:val="auto"/>
          <w:sz w:val="24"/>
          <w:szCs w:val="24"/>
          <w:lang w:val="bg-BG"/>
        </w:rPr>
        <w:t xml:space="preserve">През 2014 г. </w:t>
      </w:r>
      <w:r w:rsidRPr="00BD7BB1">
        <w:rPr>
          <w:rFonts w:ascii="Times New Roman" w:eastAsia="Times New Roman" w:hAnsi="Times New Roman"/>
          <w:b/>
          <w:color w:val="auto"/>
          <w:sz w:val="24"/>
          <w:szCs w:val="24"/>
          <w:lang w:val="bg-BG" w:eastAsia="bg-BG"/>
        </w:rPr>
        <w:t xml:space="preserve"> коефициентът на раждаемост в ЮИР е 10,3 ‰  и  е по- висок с 0,9 % от този за страната ( 9,4 %). </w:t>
      </w:r>
      <w:r w:rsidRPr="00BD7BB1">
        <w:rPr>
          <w:rFonts w:ascii="Times New Roman" w:eastAsia="Times New Roman" w:hAnsi="Times New Roman"/>
          <w:color w:val="auto"/>
          <w:sz w:val="24"/>
          <w:szCs w:val="24"/>
          <w:lang w:val="bg-BG" w:eastAsia="bg-BG"/>
        </w:rPr>
        <w:t xml:space="preserve">През  предходните 2013 г. и 2012 г. той е бил съответно 10,2% и 10,3% за ЮИР, а за страната 9,2% и 9.5%.  По този показател районът заема </w:t>
      </w:r>
      <w:r w:rsidRPr="00BD7BB1">
        <w:rPr>
          <w:rFonts w:ascii="Times New Roman" w:eastAsia="Times New Roman" w:hAnsi="Times New Roman"/>
          <w:b/>
          <w:color w:val="auto"/>
          <w:sz w:val="24"/>
          <w:szCs w:val="24"/>
          <w:lang w:val="bg-BG" w:eastAsia="bg-BG"/>
        </w:rPr>
        <w:t>първо място</w:t>
      </w:r>
      <w:r w:rsidRPr="00BD7BB1">
        <w:rPr>
          <w:rFonts w:ascii="Times New Roman" w:eastAsia="Times New Roman" w:hAnsi="Times New Roman"/>
          <w:color w:val="auto"/>
          <w:sz w:val="24"/>
          <w:szCs w:val="24"/>
          <w:lang w:val="bg-BG" w:eastAsia="bg-BG"/>
        </w:rPr>
        <w:t xml:space="preserve"> следван от ЮЗР (9,8%) и СИР ( 9,4 %). Във вътрешно регионален аспект най-висока е отново раждаемостта в област Сливен  с 12.4 % (12.1 % за 2013 г.), следвана от област Бургас с 10,2 % ( 10,0 % за 2013 г.) и област Ямбол с 9,8% ( 9,9 % за 2013 г. ). Спрямо предходната година област  Стара Загора запазва същата стойност от 9,5 %.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p>
    <w:p w:rsidR="00F25110" w:rsidRPr="00761304" w:rsidRDefault="00761304" w:rsidP="00761304">
      <w:pPr>
        <w:spacing w:after="0" w:line="360" w:lineRule="auto"/>
        <w:ind w:firstLine="708"/>
        <w:jc w:val="center"/>
        <w:rPr>
          <w:rFonts w:ascii="Times New Roman" w:eastAsia="Times New Roman" w:hAnsi="Times New Roman"/>
          <w:b/>
          <w:i/>
          <w:color w:val="9B2D1F" w:themeColor="accent2"/>
          <w:sz w:val="24"/>
          <w:szCs w:val="24"/>
          <w:lang w:val="bg-BG" w:eastAsia="bg-BG"/>
        </w:rPr>
      </w:pPr>
      <w:r>
        <w:rPr>
          <w:rFonts w:ascii="Times New Roman" w:eastAsia="Times New Roman" w:hAnsi="Times New Roman"/>
          <w:b/>
          <w:i/>
          <w:color w:val="9B2D1F" w:themeColor="accent2"/>
          <w:sz w:val="24"/>
          <w:szCs w:val="24"/>
          <w:lang w:val="bg-BG" w:eastAsia="bg-BG"/>
        </w:rPr>
        <w:lastRenderedPageBreak/>
        <w:t xml:space="preserve">Фигура 11 </w:t>
      </w:r>
      <w:r w:rsidR="00F25110" w:rsidRPr="00761304">
        <w:rPr>
          <w:rFonts w:ascii="Times New Roman" w:eastAsia="Times New Roman" w:hAnsi="Times New Roman"/>
          <w:b/>
          <w:i/>
          <w:color w:val="9B2D1F" w:themeColor="accent2"/>
          <w:sz w:val="24"/>
          <w:szCs w:val="24"/>
          <w:lang w:val="bg-BG" w:eastAsia="bg-BG"/>
        </w:rPr>
        <w:t>Коефициент на раждаемост за 2013 г. и 2014 г. по райони и области в ЮИР</w:t>
      </w:r>
    </w:p>
    <w:p w:rsidR="00F25110" w:rsidRPr="00BD7BB1" w:rsidRDefault="00992151" w:rsidP="00F25110">
      <w:pPr>
        <w:spacing w:after="0" w:line="360" w:lineRule="auto"/>
        <w:ind w:firstLine="708"/>
        <w:jc w:val="both"/>
        <w:rPr>
          <w:rFonts w:ascii="Times New Roman" w:eastAsia="Times New Roman" w:hAnsi="Times New Roman"/>
          <w:color w:val="auto"/>
          <w:sz w:val="24"/>
          <w:szCs w:val="24"/>
          <w:lang w:val="bg-BG" w:eastAsia="bg-BG"/>
        </w:rPr>
      </w:pPr>
      <w:r>
        <w:rPr>
          <w:noProof/>
          <w:lang w:val="bg-BG" w:eastAsia="bg-BG"/>
        </w:rPr>
        <w:drawing>
          <wp:inline distT="0" distB="0" distL="0" distR="0" wp14:anchorId="182A68AB" wp14:editId="0BEDC64C">
            <wp:extent cx="5182049" cy="2773920"/>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5182049" cy="2773920"/>
                    </a:xfrm>
                    <a:prstGeom prst="rect">
                      <a:avLst/>
                    </a:prstGeom>
                  </pic:spPr>
                </pic:pic>
              </a:graphicData>
            </a:graphic>
          </wp:inline>
        </w:drawing>
      </w:r>
    </w:p>
    <w:p w:rsidR="00F25110" w:rsidRPr="00761304" w:rsidRDefault="00F25110" w:rsidP="00F25110">
      <w:pPr>
        <w:spacing w:after="0" w:line="360" w:lineRule="auto"/>
        <w:ind w:firstLine="708"/>
        <w:jc w:val="both"/>
        <w:rPr>
          <w:rFonts w:ascii="Times New Roman" w:eastAsia="Times New Roman" w:hAnsi="Times New Roman"/>
          <w:b/>
          <w:i/>
          <w:color w:val="auto"/>
          <w:sz w:val="24"/>
          <w:szCs w:val="24"/>
          <w:lang w:val="bg-BG" w:eastAsia="bg-BG"/>
        </w:rPr>
      </w:pPr>
      <w:r w:rsidRPr="00761304">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През 2014 г.  коефициентът на обща смъртност е 15,1% за страната и ЮИР.</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Спрямо предходната година коефициентът се покачва с 0,7 % за страната и 0,8 % за ЮИР. С най-висока  смъртност в ЮИР се отличава област Ямбол  - 17,4 %, а с най-ниска област Бургас - 13,04 %. За останалите области показателите са 16,5 % за област Стара Загора и 14,9 % за област Сливен. Спрямо предходната година най-високо е покачването за област Стара Загора с 1,2 %, следвано от област Ямбол с 1 %, област Сливен 0,5 % и област Бургас с 0,4 %. Спрямо останалите райони в страната ЮИР заема </w:t>
      </w:r>
      <w:r w:rsidRPr="00BD7BB1">
        <w:rPr>
          <w:rFonts w:ascii="Times New Roman" w:eastAsia="Times New Roman" w:hAnsi="Times New Roman"/>
          <w:b/>
          <w:color w:val="auto"/>
          <w:sz w:val="24"/>
          <w:szCs w:val="24"/>
          <w:lang w:val="bg-BG" w:eastAsia="bg-BG"/>
        </w:rPr>
        <w:t>4</w:t>
      </w:r>
      <w:r w:rsidRPr="00BD7BB1">
        <w:rPr>
          <w:rFonts w:ascii="Times New Roman" w:eastAsia="Times New Roman" w:hAnsi="Times New Roman"/>
          <w:b/>
          <w:color w:val="auto"/>
          <w:sz w:val="24"/>
          <w:szCs w:val="24"/>
          <w:vertAlign w:val="superscript"/>
          <w:lang w:val="bg-BG" w:eastAsia="bg-BG"/>
        </w:rPr>
        <w:t>-то</w:t>
      </w:r>
      <w:r w:rsidRPr="00BD7BB1">
        <w:rPr>
          <w:rFonts w:ascii="Times New Roman" w:eastAsia="Times New Roman" w:hAnsi="Times New Roman"/>
          <w:b/>
          <w:color w:val="auto"/>
          <w:sz w:val="24"/>
          <w:szCs w:val="24"/>
          <w:lang w:val="bg-BG" w:eastAsia="bg-BG"/>
        </w:rPr>
        <w:t xml:space="preserve"> място</w:t>
      </w:r>
      <w:r w:rsidRPr="00BD7BB1">
        <w:rPr>
          <w:rFonts w:ascii="Times New Roman" w:eastAsia="Times New Roman" w:hAnsi="Times New Roman"/>
          <w:color w:val="auto"/>
          <w:sz w:val="24"/>
          <w:szCs w:val="24"/>
          <w:lang w:val="bg-BG" w:eastAsia="bg-BG"/>
        </w:rPr>
        <w:t xml:space="preserve">, след него са СЦР ( 17,0%)  и СЗР ( 19,8 % ).  </w:t>
      </w:r>
    </w:p>
    <w:p w:rsidR="00BA09AC" w:rsidRDefault="00BA09AC" w:rsidP="00F25110">
      <w:pPr>
        <w:spacing w:after="0" w:line="360" w:lineRule="auto"/>
        <w:ind w:firstLine="708"/>
        <w:jc w:val="both"/>
        <w:rPr>
          <w:rFonts w:ascii="Times New Roman" w:eastAsia="Times New Roman" w:hAnsi="Times New Roman"/>
          <w:color w:val="auto"/>
          <w:sz w:val="24"/>
          <w:szCs w:val="24"/>
          <w:lang w:val="bg-BG" w:eastAsia="bg-BG"/>
        </w:rPr>
      </w:pPr>
    </w:p>
    <w:p w:rsidR="00BA09AC" w:rsidRDefault="00BA09AC" w:rsidP="00F25110">
      <w:pPr>
        <w:spacing w:after="0" w:line="360" w:lineRule="auto"/>
        <w:ind w:firstLine="708"/>
        <w:jc w:val="both"/>
        <w:rPr>
          <w:rFonts w:ascii="Times New Roman" w:eastAsia="Times New Roman" w:hAnsi="Times New Roman"/>
          <w:color w:val="auto"/>
          <w:sz w:val="24"/>
          <w:szCs w:val="24"/>
          <w:lang w:val="bg-BG" w:eastAsia="bg-BG"/>
        </w:rPr>
      </w:pPr>
    </w:p>
    <w:p w:rsidR="00BA09AC" w:rsidRDefault="00BA09AC" w:rsidP="00F25110">
      <w:pPr>
        <w:spacing w:after="0" w:line="360" w:lineRule="auto"/>
        <w:ind w:firstLine="708"/>
        <w:jc w:val="both"/>
        <w:rPr>
          <w:rFonts w:ascii="Times New Roman" w:eastAsia="Times New Roman" w:hAnsi="Times New Roman"/>
          <w:color w:val="auto"/>
          <w:sz w:val="24"/>
          <w:szCs w:val="24"/>
          <w:lang w:val="bg-BG" w:eastAsia="bg-BG"/>
        </w:rPr>
      </w:pPr>
    </w:p>
    <w:p w:rsidR="00BA09AC" w:rsidRDefault="00BA09AC" w:rsidP="00F25110">
      <w:pPr>
        <w:spacing w:after="0" w:line="360" w:lineRule="auto"/>
        <w:ind w:firstLine="708"/>
        <w:jc w:val="both"/>
        <w:rPr>
          <w:rFonts w:ascii="Times New Roman" w:eastAsia="Times New Roman" w:hAnsi="Times New Roman"/>
          <w:color w:val="auto"/>
          <w:sz w:val="24"/>
          <w:szCs w:val="24"/>
          <w:lang w:val="bg-BG" w:eastAsia="bg-BG"/>
        </w:rPr>
      </w:pPr>
    </w:p>
    <w:p w:rsidR="00BA09AC" w:rsidRDefault="00BA09AC" w:rsidP="00F25110">
      <w:pPr>
        <w:spacing w:after="0" w:line="360" w:lineRule="auto"/>
        <w:ind w:firstLine="708"/>
        <w:jc w:val="both"/>
        <w:rPr>
          <w:rFonts w:ascii="Times New Roman" w:eastAsia="Times New Roman" w:hAnsi="Times New Roman"/>
          <w:color w:val="auto"/>
          <w:sz w:val="24"/>
          <w:szCs w:val="24"/>
          <w:lang w:val="bg-BG" w:eastAsia="bg-BG"/>
        </w:rPr>
      </w:pPr>
    </w:p>
    <w:p w:rsidR="00BA09AC" w:rsidRDefault="00BA09AC" w:rsidP="00F25110">
      <w:pPr>
        <w:spacing w:after="0" w:line="360" w:lineRule="auto"/>
        <w:ind w:firstLine="708"/>
        <w:jc w:val="both"/>
        <w:rPr>
          <w:rFonts w:ascii="Times New Roman" w:eastAsia="Times New Roman" w:hAnsi="Times New Roman"/>
          <w:color w:val="auto"/>
          <w:sz w:val="24"/>
          <w:szCs w:val="24"/>
          <w:lang w:val="bg-BG" w:eastAsia="bg-BG"/>
        </w:rPr>
      </w:pPr>
    </w:p>
    <w:p w:rsidR="00BA09AC" w:rsidRDefault="00BA09AC" w:rsidP="00F25110">
      <w:pPr>
        <w:spacing w:after="0" w:line="360" w:lineRule="auto"/>
        <w:ind w:firstLine="708"/>
        <w:jc w:val="both"/>
        <w:rPr>
          <w:rFonts w:ascii="Times New Roman" w:eastAsia="Times New Roman" w:hAnsi="Times New Roman"/>
          <w:color w:val="auto"/>
          <w:sz w:val="24"/>
          <w:szCs w:val="24"/>
          <w:lang w:val="bg-BG" w:eastAsia="bg-BG"/>
        </w:rPr>
      </w:pPr>
    </w:p>
    <w:p w:rsidR="00BA09AC" w:rsidRDefault="00BA09AC" w:rsidP="00F25110">
      <w:pPr>
        <w:spacing w:after="0" w:line="360" w:lineRule="auto"/>
        <w:ind w:firstLine="708"/>
        <w:jc w:val="both"/>
        <w:rPr>
          <w:rFonts w:ascii="Times New Roman" w:eastAsia="Times New Roman" w:hAnsi="Times New Roman"/>
          <w:color w:val="auto"/>
          <w:sz w:val="24"/>
          <w:szCs w:val="24"/>
          <w:lang w:val="bg-BG" w:eastAsia="bg-BG"/>
        </w:rPr>
      </w:pPr>
    </w:p>
    <w:p w:rsidR="0024547D" w:rsidRDefault="0024547D" w:rsidP="00F25110">
      <w:pPr>
        <w:spacing w:after="0" w:line="360" w:lineRule="auto"/>
        <w:ind w:firstLine="708"/>
        <w:jc w:val="both"/>
        <w:rPr>
          <w:rFonts w:ascii="Times New Roman" w:eastAsia="Times New Roman" w:hAnsi="Times New Roman"/>
          <w:color w:val="auto"/>
          <w:sz w:val="24"/>
          <w:szCs w:val="24"/>
          <w:lang w:val="bg-BG" w:eastAsia="bg-BG"/>
        </w:rPr>
      </w:pPr>
    </w:p>
    <w:p w:rsidR="00F25110" w:rsidRPr="00BA09AC" w:rsidRDefault="00F25110" w:rsidP="0024547D">
      <w:pPr>
        <w:spacing w:after="0" w:line="360" w:lineRule="auto"/>
        <w:jc w:val="both"/>
        <w:rPr>
          <w:rFonts w:ascii="Times New Roman" w:eastAsia="Times New Roman" w:hAnsi="Times New Roman"/>
          <w:b/>
          <w:i/>
          <w:color w:val="9B2D1F" w:themeColor="accent2"/>
          <w:sz w:val="24"/>
          <w:szCs w:val="24"/>
          <w:lang w:val="bg-BG" w:eastAsia="bg-BG"/>
        </w:rPr>
      </w:pPr>
      <w:r w:rsidRPr="00BA09AC">
        <w:rPr>
          <w:rFonts w:ascii="Times New Roman" w:eastAsia="Times New Roman" w:hAnsi="Times New Roman"/>
          <w:b/>
          <w:i/>
          <w:color w:val="9B2D1F" w:themeColor="accent2"/>
          <w:sz w:val="24"/>
          <w:szCs w:val="24"/>
          <w:lang w:val="bg-BG" w:eastAsia="bg-BG"/>
        </w:rPr>
        <w:lastRenderedPageBreak/>
        <w:t xml:space="preserve">Фигура </w:t>
      </w:r>
      <w:r w:rsidR="00BA09AC" w:rsidRPr="00BA09AC">
        <w:rPr>
          <w:rFonts w:ascii="Times New Roman" w:eastAsia="Times New Roman" w:hAnsi="Times New Roman"/>
          <w:b/>
          <w:i/>
          <w:color w:val="9B2D1F" w:themeColor="accent2"/>
          <w:sz w:val="24"/>
          <w:szCs w:val="24"/>
          <w:lang w:val="bg-BG" w:eastAsia="bg-BG"/>
        </w:rPr>
        <w:t xml:space="preserve">12 </w:t>
      </w:r>
      <w:r w:rsidRPr="00BA09AC">
        <w:rPr>
          <w:rFonts w:ascii="Times New Roman" w:eastAsia="Times New Roman" w:hAnsi="Times New Roman"/>
          <w:b/>
          <w:i/>
          <w:color w:val="9B2D1F" w:themeColor="accent2"/>
          <w:sz w:val="24"/>
          <w:szCs w:val="24"/>
          <w:lang w:val="bg-BG" w:eastAsia="bg-BG"/>
        </w:rPr>
        <w:t>Коефициент на обща смъртност за 2013г. и 2014 г.</w:t>
      </w:r>
    </w:p>
    <w:p w:rsidR="00F25110" w:rsidRPr="00BD7BB1" w:rsidRDefault="00ED7C4B" w:rsidP="0024547D">
      <w:pPr>
        <w:spacing w:after="0" w:line="240" w:lineRule="auto"/>
        <w:ind w:firstLine="708"/>
        <w:jc w:val="both"/>
        <w:rPr>
          <w:rFonts w:ascii="Times New Roman" w:eastAsia="Times New Roman" w:hAnsi="Times New Roman"/>
          <w:color w:val="auto"/>
          <w:sz w:val="24"/>
          <w:szCs w:val="24"/>
          <w:lang w:val="bg-BG" w:eastAsia="bg-BG"/>
        </w:rPr>
      </w:pPr>
      <w:r>
        <w:rPr>
          <w:noProof/>
          <w:lang w:val="bg-BG" w:eastAsia="bg-BG"/>
        </w:rPr>
        <w:drawing>
          <wp:inline distT="0" distB="0" distL="0" distR="0" wp14:anchorId="55EFEA4E" wp14:editId="6FFCA340">
            <wp:extent cx="4848225" cy="276956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4848225" cy="2769565"/>
                    </a:xfrm>
                    <a:prstGeom prst="rect">
                      <a:avLst/>
                    </a:prstGeom>
                  </pic:spPr>
                </pic:pic>
              </a:graphicData>
            </a:graphic>
          </wp:inline>
        </w:drawing>
      </w:r>
    </w:p>
    <w:p w:rsidR="00F25110" w:rsidRPr="0024547D" w:rsidRDefault="00F25110" w:rsidP="00BA09AC">
      <w:pPr>
        <w:spacing w:after="0" w:line="360" w:lineRule="auto"/>
        <w:ind w:firstLine="708"/>
        <w:jc w:val="both"/>
        <w:rPr>
          <w:rFonts w:ascii="Times New Roman" w:eastAsia="Times New Roman" w:hAnsi="Times New Roman"/>
          <w:b/>
          <w:i/>
          <w:color w:val="9B2D1F" w:themeColor="accent2"/>
          <w:sz w:val="24"/>
          <w:szCs w:val="24"/>
          <w:lang w:val="bg-BG" w:eastAsia="bg-BG"/>
        </w:rPr>
      </w:pPr>
      <w:r w:rsidRPr="0024547D">
        <w:rPr>
          <w:rFonts w:ascii="Times New Roman" w:eastAsia="Times New Roman" w:hAnsi="Times New Roman"/>
          <w:b/>
          <w:i/>
          <w:color w:val="9B2D1F" w:themeColor="accent2"/>
          <w:sz w:val="24"/>
          <w:szCs w:val="24"/>
          <w:lang w:val="bg-BG" w:eastAsia="bg-BG"/>
        </w:rPr>
        <w:t>Източник: На</w:t>
      </w:r>
      <w:r w:rsidR="00BA09AC" w:rsidRPr="0024547D">
        <w:rPr>
          <w:rFonts w:ascii="Times New Roman" w:eastAsia="Times New Roman" w:hAnsi="Times New Roman"/>
          <w:b/>
          <w:i/>
          <w:color w:val="9B2D1F" w:themeColor="accent2"/>
          <w:sz w:val="24"/>
          <w:szCs w:val="24"/>
          <w:lang w:val="bg-BG" w:eastAsia="bg-BG"/>
        </w:rPr>
        <w:t>ционален статистически институт</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През 2014 г. Коефициентът на естествения прираст в страната е  -5,7%, а в ЮИР е -</w:t>
      </w:r>
      <w:r w:rsidRPr="00BD7BB1">
        <w:rPr>
          <w:rFonts w:ascii="Times New Roman" w:eastAsia="Times New Roman" w:hAnsi="Times New Roman"/>
          <w:b/>
          <w:i/>
          <w:color w:val="auto"/>
          <w:sz w:val="24"/>
          <w:szCs w:val="24"/>
          <w:lang w:val="bg-BG" w:eastAsia="bg-BG"/>
        </w:rPr>
        <w:t>2,4%</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В сравнение с 2013 г.</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отрицателният естествен прираст в страната се покачва с 0,5 %, а за ЮИР намалява с 1,7 %. С най-ниски стойности по  този показател  се открояват областите Бургас (-1,8 %) и Сливен (-1,9 %), а с  най-висока област Стара Загора (-3,7  %). В сравнение с 2013г. коефициентът за област Ямбол бележи разлика с 3,7% и през 2014 г. достига стойността от -2,8 %.</w:t>
      </w:r>
      <w:r w:rsidRPr="00BD7BB1">
        <w:rPr>
          <w:rFonts w:ascii="Calibri" w:eastAsia="Calibri" w:hAnsi="Calibri"/>
          <w:color w:val="auto"/>
          <w:sz w:val="24"/>
          <w:szCs w:val="24"/>
          <w:lang w:val="bg-BG"/>
        </w:rPr>
        <w:t xml:space="preserve"> </w:t>
      </w:r>
      <w:r w:rsidRPr="00BD7BB1">
        <w:rPr>
          <w:rFonts w:ascii="Times New Roman" w:eastAsia="Times New Roman" w:hAnsi="Times New Roman"/>
          <w:color w:val="auto"/>
          <w:sz w:val="24"/>
          <w:szCs w:val="24"/>
          <w:lang w:val="bg-BG" w:eastAsia="bg-BG"/>
        </w:rPr>
        <w:t xml:space="preserve">По този показател районът заема </w:t>
      </w:r>
      <w:r w:rsidRPr="00BD7BB1">
        <w:rPr>
          <w:rFonts w:ascii="Times New Roman" w:eastAsia="Times New Roman" w:hAnsi="Times New Roman"/>
          <w:b/>
          <w:color w:val="auto"/>
          <w:sz w:val="24"/>
          <w:szCs w:val="24"/>
          <w:lang w:val="bg-BG" w:eastAsia="bg-BG"/>
        </w:rPr>
        <w:t>второ място</w:t>
      </w:r>
      <w:r w:rsidRPr="00BD7BB1">
        <w:rPr>
          <w:rFonts w:ascii="Times New Roman" w:eastAsia="Times New Roman" w:hAnsi="Times New Roman"/>
          <w:color w:val="auto"/>
          <w:sz w:val="24"/>
          <w:szCs w:val="24"/>
          <w:lang w:val="bg-BG" w:eastAsia="bg-BG"/>
        </w:rPr>
        <w:t xml:space="preserve"> след ЮЗР (-1,9%).</w:t>
      </w:r>
    </w:p>
    <w:p w:rsidR="00F25110" w:rsidRPr="00BA09AC" w:rsidRDefault="0024547D" w:rsidP="0024547D">
      <w:pPr>
        <w:spacing w:after="0" w:line="240" w:lineRule="auto"/>
        <w:jc w:val="both"/>
        <w:rPr>
          <w:rFonts w:ascii="Times New Roman" w:eastAsia="Times New Roman" w:hAnsi="Times New Roman"/>
          <w:b/>
          <w:i/>
          <w:color w:val="9B2D1F" w:themeColor="accent2"/>
          <w:sz w:val="24"/>
          <w:szCs w:val="24"/>
          <w:lang w:val="bg-BG" w:eastAsia="bg-BG"/>
        </w:rPr>
      </w:pPr>
      <w:r>
        <w:rPr>
          <w:rFonts w:ascii="Times New Roman" w:eastAsia="Times New Roman" w:hAnsi="Times New Roman"/>
          <w:b/>
          <w:i/>
          <w:color w:val="9B2D1F" w:themeColor="accent2"/>
          <w:sz w:val="24"/>
          <w:szCs w:val="24"/>
          <w:lang w:val="bg-BG" w:eastAsia="bg-BG"/>
        </w:rPr>
        <w:t xml:space="preserve">Фигура 13 </w:t>
      </w:r>
      <w:r w:rsidR="00F25110" w:rsidRPr="00BA09AC">
        <w:rPr>
          <w:rFonts w:ascii="Times New Roman" w:eastAsia="Times New Roman" w:hAnsi="Times New Roman"/>
          <w:b/>
          <w:i/>
          <w:color w:val="9B2D1F" w:themeColor="accent2"/>
          <w:sz w:val="24"/>
          <w:szCs w:val="24"/>
          <w:lang w:val="bg-BG" w:eastAsia="bg-BG"/>
        </w:rPr>
        <w:t>Коефициент на естествен прира</w:t>
      </w:r>
      <w:r>
        <w:rPr>
          <w:rFonts w:ascii="Times New Roman" w:eastAsia="Times New Roman" w:hAnsi="Times New Roman"/>
          <w:b/>
          <w:i/>
          <w:color w:val="9B2D1F" w:themeColor="accent2"/>
          <w:sz w:val="24"/>
          <w:szCs w:val="24"/>
          <w:lang w:val="bg-BG" w:eastAsia="bg-BG"/>
        </w:rPr>
        <w:t xml:space="preserve">ст на  населението за 2013г и </w:t>
      </w:r>
      <w:r w:rsidR="00F25110" w:rsidRPr="00BA09AC">
        <w:rPr>
          <w:rFonts w:ascii="Times New Roman" w:eastAsia="Times New Roman" w:hAnsi="Times New Roman"/>
          <w:b/>
          <w:i/>
          <w:color w:val="9B2D1F" w:themeColor="accent2"/>
          <w:sz w:val="24"/>
          <w:szCs w:val="24"/>
          <w:lang w:val="bg-BG" w:eastAsia="bg-BG"/>
        </w:rPr>
        <w:t>2014 г.</w:t>
      </w:r>
    </w:p>
    <w:p w:rsidR="00F25110" w:rsidRPr="00BD7BB1" w:rsidRDefault="00ED7C4B" w:rsidP="00F25110">
      <w:pPr>
        <w:spacing w:after="0" w:line="360" w:lineRule="auto"/>
        <w:ind w:firstLine="708"/>
        <w:jc w:val="center"/>
        <w:rPr>
          <w:rFonts w:ascii="Times New Roman" w:eastAsia="Times New Roman" w:hAnsi="Times New Roman"/>
          <w:color w:val="auto"/>
          <w:sz w:val="24"/>
          <w:szCs w:val="24"/>
          <w:lang w:val="bg-BG" w:eastAsia="bg-BG"/>
        </w:rPr>
      </w:pPr>
      <w:r>
        <w:rPr>
          <w:noProof/>
          <w:lang w:val="bg-BG" w:eastAsia="bg-BG"/>
        </w:rPr>
        <w:drawing>
          <wp:inline distT="0" distB="0" distL="0" distR="0" wp14:anchorId="0C7144EE" wp14:editId="706E20EB">
            <wp:extent cx="4933950" cy="274506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a:stretch>
                      <a:fillRect/>
                    </a:stretch>
                  </pic:blipFill>
                  <pic:spPr>
                    <a:xfrm>
                      <a:off x="0" y="0"/>
                      <a:ext cx="4933950" cy="2745067"/>
                    </a:xfrm>
                    <a:prstGeom prst="rect">
                      <a:avLst/>
                    </a:prstGeom>
                  </pic:spPr>
                </pic:pic>
              </a:graphicData>
            </a:graphic>
          </wp:inline>
        </w:drawing>
      </w:r>
    </w:p>
    <w:p w:rsidR="00F25110" w:rsidRPr="0024547D" w:rsidRDefault="0024547D" w:rsidP="00F25110">
      <w:pPr>
        <w:spacing w:after="200"/>
        <w:rPr>
          <w:rFonts w:ascii="Times New Roman" w:eastAsia="Calibri" w:hAnsi="Times New Roman"/>
          <w:b/>
          <w:color w:val="9B2D1F" w:themeColor="accent2"/>
          <w:sz w:val="24"/>
          <w:szCs w:val="24"/>
          <w:lang w:val="bg-BG"/>
        </w:rPr>
      </w:pPr>
      <w:r>
        <w:rPr>
          <w:rFonts w:ascii="Times New Roman" w:eastAsia="Calibri" w:hAnsi="Times New Roman"/>
          <w:b/>
          <w:color w:val="9B2D1F" w:themeColor="accent2"/>
          <w:sz w:val="24"/>
          <w:szCs w:val="24"/>
          <w:lang w:val="bg-BG"/>
        </w:rPr>
        <w:lastRenderedPageBreak/>
        <w:t>1.</w:t>
      </w:r>
      <w:r w:rsidR="00F25110" w:rsidRPr="0024547D">
        <w:rPr>
          <w:rFonts w:ascii="Times New Roman" w:eastAsia="Calibri" w:hAnsi="Times New Roman"/>
          <w:b/>
          <w:color w:val="9B2D1F" w:themeColor="accent2"/>
          <w:sz w:val="24"/>
          <w:szCs w:val="24"/>
          <w:lang w:val="bg-BG"/>
        </w:rPr>
        <w:t>4. Анализ и тенденции в изменението на показателите, характеризиращи пазара на труда</w:t>
      </w:r>
      <w:r>
        <w:rPr>
          <w:rFonts w:ascii="Times New Roman" w:eastAsia="Calibri" w:hAnsi="Times New Roman"/>
          <w:b/>
          <w:color w:val="9B2D1F" w:themeColor="accent2"/>
          <w:sz w:val="24"/>
          <w:szCs w:val="24"/>
          <w:lang w:val="bg-BG"/>
        </w:rPr>
        <w:t>,</w:t>
      </w:r>
      <w:r w:rsidRPr="0024547D">
        <w:rPr>
          <w:rFonts w:ascii="Times New Roman" w:eastAsia="Calibri" w:hAnsi="Times New Roman" w:hint="cs"/>
          <w:b/>
          <w:color w:val="9B2D1F" w:themeColor="accent2"/>
          <w:sz w:val="24"/>
          <w:szCs w:val="24"/>
          <w:lang w:val="bg-BG"/>
        </w:rPr>
        <w:t>културата</w:t>
      </w:r>
      <w:r w:rsidRPr="0024547D">
        <w:rPr>
          <w:rFonts w:ascii="Times New Roman" w:eastAsia="Calibri" w:hAnsi="Times New Roman"/>
          <w:b/>
          <w:color w:val="9B2D1F" w:themeColor="accent2"/>
          <w:sz w:val="24"/>
          <w:szCs w:val="24"/>
          <w:lang w:val="bg-BG"/>
        </w:rPr>
        <w:t xml:space="preserve">, </w:t>
      </w:r>
      <w:r w:rsidRPr="0024547D">
        <w:rPr>
          <w:rFonts w:ascii="Times New Roman" w:eastAsia="Calibri" w:hAnsi="Times New Roman" w:hint="cs"/>
          <w:b/>
          <w:color w:val="9B2D1F" w:themeColor="accent2"/>
          <w:sz w:val="24"/>
          <w:szCs w:val="24"/>
          <w:lang w:val="bg-BG"/>
        </w:rPr>
        <w:t>образованието</w:t>
      </w:r>
      <w:r w:rsidRPr="0024547D">
        <w:rPr>
          <w:rFonts w:ascii="Times New Roman" w:eastAsia="Calibri" w:hAnsi="Times New Roman"/>
          <w:b/>
          <w:color w:val="9B2D1F" w:themeColor="accent2"/>
          <w:sz w:val="24"/>
          <w:szCs w:val="24"/>
          <w:lang w:val="bg-BG"/>
        </w:rPr>
        <w:t xml:space="preserve"> </w:t>
      </w:r>
      <w:r w:rsidRPr="0024547D">
        <w:rPr>
          <w:rFonts w:ascii="Times New Roman" w:eastAsia="Calibri" w:hAnsi="Times New Roman" w:hint="cs"/>
          <w:b/>
          <w:color w:val="9B2D1F" w:themeColor="accent2"/>
          <w:sz w:val="24"/>
          <w:szCs w:val="24"/>
          <w:lang w:val="bg-BG"/>
        </w:rPr>
        <w:t>и</w:t>
      </w:r>
      <w:r w:rsidRPr="0024547D">
        <w:rPr>
          <w:rFonts w:ascii="Times New Roman" w:eastAsia="Calibri" w:hAnsi="Times New Roman"/>
          <w:b/>
          <w:color w:val="9B2D1F" w:themeColor="accent2"/>
          <w:sz w:val="24"/>
          <w:szCs w:val="24"/>
          <w:lang w:val="bg-BG"/>
        </w:rPr>
        <w:t xml:space="preserve"> </w:t>
      </w:r>
      <w:r w:rsidRPr="0024547D">
        <w:rPr>
          <w:rFonts w:ascii="Times New Roman" w:eastAsia="Calibri" w:hAnsi="Times New Roman" w:hint="cs"/>
          <w:b/>
          <w:color w:val="9B2D1F" w:themeColor="accent2"/>
          <w:sz w:val="24"/>
          <w:szCs w:val="24"/>
          <w:lang w:val="bg-BG"/>
        </w:rPr>
        <w:t>здравеопазването</w:t>
      </w:r>
      <w:r>
        <w:rPr>
          <w:rFonts w:ascii="Times New Roman" w:eastAsia="Calibri" w:hAnsi="Times New Roman"/>
          <w:b/>
          <w:color w:val="9B2D1F" w:themeColor="accent2"/>
          <w:sz w:val="24"/>
          <w:szCs w:val="24"/>
          <w:lang w:val="bg-BG"/>
        </w:rPr>
        <w:t>.</w:t>
      </w:r>
    </w:p>
    <w:p w:rsidR="00F25110" w:rsidRPr="00BD7BB1" w:rsidRDefault="00F25110" w:rsidP="00F25110">
      <w:pPr>
        <w:widowControl w:val="0"/>
        <w:autoSpaceDE w:val="0"/>
        <w:autoSpaceDN w:val="0"/>
        <w:adjustRightInd w:val="0"/>
        <w:spacing w:after="0" w:line="360" w:lineRule="auto"/>
        <w:ind w:right="140"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Пазарът  на труда през 2014 г. се отличава с ръст на заетостта и намаление на безработицата в страната и района.</w:t>
      </w:r>
      <w:r w:rsidRPr="00BD7BB1">
        <w:rPr>
          <w:rFonts w:ascii="Times New Roman" w:eastAsia="Times New Roman" w:hAnsi="Times New Roman"/>
          <w:color w:val="auto"/>
          <w:sz w:val="24"/>
          <w:szCs w:val="24"/>
          <w:lang w:val="bg-BG" w:eastAsia="bg-BG"/>
        </w:rPr>
        <w:t xml:space="preserve">  През 2014 г. общият брой безработни лица на 15-64 г. в страната възлизат на 381,3 хил. и с 14,4 % по-малко от предходната година. В ЮИР безработни лица са </w:t>
      </w:r>
      <w:r w:rsidRPr="00BD7BB1">
        <w:rPr>
          <w:rFonts w:ascii="Times New Roman" w:eastAsia="Calibri" w:hAnsi="Times New Roman"/>
          <w:color w:val="auto"/>
          <w:sz w:val="24"/>
          <w:szCs w:val="24"/>
          <w:lang w:val="bg-BG"/>
        </w:rPr>
        <w:t xml:space="preserve">55,4 хил. или  14.4 % от общо за страната и с 10,6 % по-малко в сравнение с 2013 г. </w:t>
      </w:r>
      <w:r w:rsidRPr="00BD7BB1">
        <w:rPr>
          <w:rFonts w:ascii="Times New Roman" w:eastAsia="Times New Roman" w:hAnsi="Times New Roman"/>
          <w:color w:val="auto"/>
          <w:sz w:val="24"/>
          <w:szCs w:val="24"/>
          <w:lang w:val="bg-BG" w:eastAsia="bg-BG"/>
        </w:rPr>
        <w:t xml:space="preserve">Темпът на намаление е различен за отделните райони в страната, с изключение на СЗР, където се отчита ръст на безработните. Най-чувствително е намалението за СИР с 37,9 %, а най-малко за ЮЗР с 9,3%. За ЮЦР темпът еднакъв с този на ЮИР. </w:t>
      </w:r>
    </w:p>
    <w:p w:rsidR="00F25110" w:rsidRPr="0024547D" w:rsidRDefault="00F25110" w:rsidP="0024547D">
      <w:pPr>
        <w:widowControl w:val="0"/>
        <w:autoSpaceDE w:val="0"/>
        <w:autoSpaceDN w:val="0"/>
        <w:adjustRightInd w:val="0"/>
        <w:spacing w:after="0" w:line="360" w:lineRule="auto"/>
        <w:ind w:right="140" w:firstLine="708"/>
        <w:rPr>
          <w:rFonts w:ascii="Times New Roman" w:eastAsia="Times New Roman" w:hAnsi="Times New Roman"/>
          <w:b/>
          <w:i/>
          <w:color w:val="9B2D1F" w:themeColor="accent2"/>
          <w:sz w:val="24"/>
          <w:szCs w:val="24"/>
          <w:lang w:val="bg-BG" w:eastAsia="bg-BG"/>
        </w:rPr>
      </w:pPr>
      <w:r w:rsidRPr="0024547D">
        <w:rPr>
          <w:rFonts w:ascii="Times New Roman" w:eastAsia="Times New Roman" w:hAnsi="Times New Roman"/>
          <w:b/>
          <w:i/>
          <w:color w:val="9B2D1F" w:themeColor="accent2"/>
          <w:sz w:val="24"/>
          <w:szCs w:val="24"/>
          <w:lang w:val="bg-BG" w:eastAsia="bg-BG"/>
        </w:rPr>
        <w:t>Фигура</w:t>
      </w:r>
      <w:r w:rsidR="00F20BD0">
        <w:rPr>
          <w:rFonts w:ascii="Times New Roman" w:eastAsia="Times New Roman" w:hAnsi="Times New Roman"/>
          <w:b/>
          <w:i/>
          <w:color w:val="9B2D1F" w:themeColor="accent2"/>
          <w:sz w:val="24"/>
          <w:szCs w:val="24"/>
          <w:lang w:val="bg-BG" w:eastAsia="bg-BG"/>
        </w:rPr>
        <w:t xml:space="preserve"> </w:t>
      </w:r>
      <w:r w:rsidR="0024547D" w:rsidRPr="0024547D">
        <w:rPr>
          <w:rFonts w:ascii="Times New Roman" w:eastAsia="Times New Roman" w:hAnsi="Times New Roman"/>
          <w:b/>
          <w:i/>
          <w:color w:val="9B2D1F" w:themeColor="accent2"/>
          <w:sz w:val="24"/>
          <w:szCs w:val="24"/>
          <w:lang w:val="bg-BG" w:eastAsia="bg-BG"/>
        </w:rPr>
        <w:t xml:space="preserve">14 </w:t>
      </w:r>
      <w:r w:rsidRPr="0024547D">
        <w:rPr>
          <w:rFonts w:ascii="Times New Roman" w:eastAsia="Times New Roman" w:hAnsi="Times New Roman"/>
          <w:b/>
          <w:i/>
          <w:color w:val="9B2D1F" w:themeColor="accent2"/>
          <w:sz w:val="24"/>
          <w:szCs w:val="24"/>
          <w:lang w:val="bg-BG" w:eastAsia="bg-BG"/>
        </w:rPr>
        <w:t>Брой безработни лица на 15-64 г. по райони  в страната за 2013г. и 2014 г., в хил.безработни</w:t>
      </w:r>
    </w:p>
    <w:p w:rsidR="00F25110" w:rsidRPr="00BD7BB1" w:rsidRDefault="00F25110" w:rsidP="00F25110">
      <w:pPr>
        <w:widowControl w:val="0"/>
        <w:autoSpaceDE w:val="0"/>
        <w:autoSpaceDN w:val="0"/>
        <w:adjustRightInd w:val="0"/>
        <w:spacing w:after="0" w:line="360" w:lineRule="auto"/>
        <w:ind w:right="140" w:firstLine="708"/>
        <w:jc w:val="both"/>
        <w:rPr>
          <w:rFonts w:ascii="Times New Roman" w:eastAsia="Times New Roman" w:hAnsi="Times New Roman"/>
          <w:color w:val="auto"/>
          <w:sz w:val="24"/>
          <w:szCs w:val="24"/>
          <w:lang w:val="bg-BG" w:eastAsia="bg-BG"/>
        </w:rPr>
      </w:pPr>
      <w:r w:rsidRPr="00BD7BB1">
        <w:rPr>
          <w:rFonts w:ascii="Calibri" w:eastAsia="Calibri" w:hAnsi="Calibri"/>
          <w:noProof/>
          <w:color w:val="auto"/>
          <w:sz w:val="24"/>
          <w:szCs w:val="24"/>
          <w:lang w:val="bg-BG" w:eastAsia="bg-BG"/>
        </w:rPr>
        <w:drawing>
          <wp:inline distT="0" distB="0" distL="0" distR="0" wp14:anchorId="6A23EEEC" wp14:editId="7F91D31C">
            <wp:extent cx="4587875" cy="2759075"/>
            <wp:effectExtent l="0" t="0" r="0" b="0"/>
            <wp:docPr id="99" name="Chart 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25110" w:rsidRPr="0024547D" w:rsidRDefault="00F25110" w:rsidP="00F25110">
      <w:pPr>
        <w:widowControl w:val="0"/>
        <w:autoSpaceDE w:val="0"/>
        <w:autoSpaceDN w:val="0"/>
        <w:adjustRightInd w:val="0"/>
        <w:spacing w:after="0" w:line="360" w:lineRule="auto"/>
        <w:ind w:right="140" w:firstLine="708"/>
        <w:jc w:val="both"/>
        <w:rPr>
          <w:rFonts w:ascii="Times New Roman" w:eastAsia="Times New Roman" w:hAnsi="Times New Roman"/>
          <w:b/>
          <w:i/>
          <w:color w:val="9B2D1F" w:themeColor="accent2"/>
          <w:sz w:val="24"/>
          <w:szCs w:val="24"/>
          <w:lang w:val="bg-BG" w:eastAsia="bg-BG"/>
        </w:rPr>
      </w:pPr>
      <w:r w:rsidRPr="0024547D">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Pr="00BD7BB1" w:rsidRDefault="00F25110" w:rsidP="00F25110">
      <w:pPr>
        <w:widowControl w:val="0"/>
        <w:autoSpaceDE w:val="0"/>
        <w:autoSpaceDN w:val="0"/>
        <w:adjustRightInd w:val="0"/>
        <w:spacing w:after="0" w:line="360" w:lineRule="auto"/>
        <w:ind w:right="140"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В ЮИР пазарът на труда през 2014 г. се характеризира с намаляване на броя на безработните лица в областите: Бургас с 15,6%, Сливен с 19,2 % и Ямбол с 14,1 % и увеличаване за област Стара Загора с 3,3 % и през 2014 г. възлиза на 21,1 хил.безработни за област Бургас, 10,4 хил. безработни за област Сливен,  15,3 хил.безработни за област Стара Загора и 8,5 хил. безработни за област Ямбол.</w:t>
      </w:r>
    </w:p>
    <w:p w:rsidR="0024547D" w:rsidRDefault="0024547D" w:rsidP="00F25110">
      <w:pPr>
        <w:widowControl w:val="0"/>
        <w:autoSpaceDE w:val="0"/>
        <w:autoSpaceDN w:val="0"/>
        <w:adjustRightInd w:val="0"/>
        <w:spacing w:after="0" w:line="360" w:lineRule="auto"/>
        <w:ind w:right="140" w:firstLine="708"/>
        <w:jc w:val="both"/>
        <w:rPr>
          <w:rFonts w:ascii="Times New Roman" w:eastAsia="Times New Roman" w:hAnsi="Times New Roman"/>
          <w:b/>
          <w:color w:val="9B2D1F" w:themeColor="accent2"/>
          <w:sz w:val="24"/>
          <w:szCs w:val="24"/>
          <w:lang w:val="bg-BG" w:eastAsia="bg-BG"/>
        </w:rPr>
      </w:pPr>
    </w:p>
    <w:p w:rsidR="0024547D" w:rsidRDefault="0024547D" w:rsidP="00F25110">
      <w:pPr>
        <w:widowControl w:val="0"/>
        <w:autoSpaceDE w:val="0"/>
        <w:autoSpaceDN w:val="0"/>
        <w:adjustRightInd w:val="0"/>
        <w:spacing w:after="0" w:line="360" w:lineRule="auto"/>
        <w:ind w:right="140" w:firstLine="708"/>
        <w:jc w:val="both"/>
        <w:rPr>
          <w:rFonts w:ascii="Times New Roman" w:eastAsia="Times New Roman" w:hAnsi="Times New Roman"/>
          <w:b/>
          <w:color w:val="9B2D1F" w:themeColor="accent2"/>
          <w:sz w:val="24"/>
          <w:szCs w:val="24"/>
          <w:lang w:val="bg-BG" w:eastAsia="bg-BG"/>
        </w:rPr>
      </w:pPr>
    </w:p>
    <w:p w:rsidR="00F25110" w:rsidRPr="00955B7E" w:rsidRDefault="00F25110" w:rsidP="00955B7E">
      <w:pPr>
        <w:widowControl w:val="0"/>
        <w:autoSpaceDE w:val="0"/>
        <w:autoSpaceDN w:val="0"/>
        <w:adjustRightInd w:val="0"/>
        <w:spacing w:after="0" w:line="360" w:lineRule="auto"/>
        <w:ind w:right="140" w:firstLine="708"/>
        <w:jc w:val="both"/>
        <w:rPr>
          <w:rFonts w:ascii="Times New Roman" w:eastAsia="Times New Roman" w:hAnsi="Times New Roman"/>
          <w:b/>
          <w:i/>
          <w:color w:val="9B2D1F" w:themeColor="accent2"/>
          <w:sz w:val="24"/>
          <w:szCs w:val="24"/>
          <w:lang w:val="bg-BG" w:eastAsia="bg-BG"/>
        </w:rPr>
      </w:pPr>
      <w:r w:rsidRPr="0024547D">
        <w:rPr>
          <w:rFonts w:ascii="Times New Roman" w:eastAsia="Times New Roman" w:hAnsi="Times New Roman"/>
          <w:b/>
          <w:i/>
          <w:color w:val="9B2D1F" w:themeColor="accent2"/>
          <w:sz w:val="24"/>
          <w:szCs w:val="24"/>
          <w:lang w:val="bg-BG" w:eastAsia="bg-BG"/>
        </w:rPr>
        <w:lastRenderedPageBreak/>
        <w:t>Фигура</w:t>
      </w:r>
      <w:r w:rsidR="0024547D" w:rsidRPr="0024547D">
        <w:rPr>
          <w:rFonts w:ascii="Times New Roman" w:eastAsia="Times New Roman" w:hAnsi="Times New Roman"/>
          <w:b/>
          <w:i/>
          <w:color w:val="9B2D1F" w:themeColor="accent2"/>
          <w:sz w:val="24"/>
          <w:szCs w:val="24"/>
          <w:lang w:val="bg-BG" w:eastAsia="bg-BG"/>
        </w:rPr>
        <w:t xml:space="preserve"> 15 </w:t>
      </w:r>
      <w:r w:rsidRPr="0024547D">
        <w:rPr>
          <w:rFonts w:ascii="Times New Roman" w:eastAsia="Times New Roman" w:hAnsi="Times New Roman"/>
          <w:b/>
          <w:i/>
          <w:color w:val="9B2D1F" w:themeColor="accent2"/>
          <w:sz w:val="24"/>
          <w:szCs w:val="24"/>
          <w:lang w:val="bg-BG" w:eastAsia="bg-BG"/>
        </w:rPr>
        <w:t>Брой безработни лица на 15-64 г. по области  в ЮИР за 201</w:t>
      </w:r>
      <w:r w:rsidR="00955B7E">
        <w:rPr>
          <w:rFonts w:ascii="Times New Roman" w:eastAsia="Times New Roman" w:hAnsi="Times New Roman"/>
          <w:b/>
          <w:i/>
          <w:color w:val="9B2D1F" w:themeColor="accent2"/>
          <w:sz w:val="24"/>
          <w:szCs w:val="24"/>
          <w:lang w:val="bg-BG" w:eastAsia="bg-BG"/>
        </w:rPr>
        <w:t>3г. и 2014 г., в хил.безработни</w:t>
      </w:r>
    </w:p>
    <w:p w:rsidR="00F25110" w:rsidRPr="00BD7BB1" w:rsidRDefault="00F25110" w:rsidP="00F25110">
      <w:pPr>
        <w:widowControl w:val="0"/>
        <w:autoSpaceDE w:val="0"/>
        <w:autoSpaceDN w:val="0"/>
        <w:adjustRightInd w:val="0"/>
        <w:spacing w:after="0" w:line="360" w:lineRule="auto"/>
        <w:ind w:right="140" w:firstLine="708"/>
        <w:jc w:val="both"/>
        <w:rPr>
          <w:rFonts w:ascii="Times New Roman" w:eastAsia="Times New Roman" w:hAnsi="Times New Roman"/>
          <w:color w:val="auto"/>
          <w:sz w:val="24"/>
          <w:szCs w:val="24"/>
          <w:lang w:val="bg-BG" w:eastAsia="bg-BG"/>
        </w:rPr>
      </w:pPr>
    </w:p>
    <w:tbl>
      <w:tblPr>
        <w:tblW w:w="19920" w:type="dxa"/>
        <w:tblInd w:w="55" w:type="dxa"/>
        <w:tblCellMar>
          <w:left w:w="70" w:type="dxa"/>
          <w:right w:w="70" w:type="dxa"/>
        </w:tblCellMar>
        <w:tblLook w:val="04A0" w:firstRow="1" w:lastRow="0" w:firstColumn="1" w:lastColumn="0" w:noHBand="0" w:noVBand="1"/>
      </w:tblPr>
      <w:tblGrid>
        <w:gridCol w:w="13920"/>
        <w:gridCol w:w="1000"/>
        <w:gridCol w:w="1000"/>
        <w:gridCol w:w="1000"/>
        <w:gridCol w:w="1000"/>
        <w:gridCol w:w="1000"/>
        <w:gridCol w:w="1000"/>
      </w:tblGrid>
      <w:tr w:rsidR="00F25110" w:rsidRPr="00BD7BB1" w:rsidTr="006614F6">
        <w:trPr>
          <w:trHeight w:val="290"/>
        </w:trPr>
        <w:tc>
          <w:tcPr>
            <w:tcW w:w="13920" w:type="dxa"/>
            <w:tcBorders>
              <w:top w:val="nil"/>
              <w:left w:val="nil"/>
              <w:bottom w:val="nil"/>
              <w:right w:val="nil"/>
            </w:tcBorders>
            <w:shd w:val="clear" w:color="auto" w:fill="auto"/>
            <w:noWrap/>
            <w:vAlign w:val="bottom"/>
          </w:tcPr>
          <w:p w:rsidR="00F25110" w:rsidRPr="00BD7BB1" w:rsidRDefault="00F25110" w:rsidP="00777026">
            <w:pPr>
              <w:spacing w:after="0" w:line="240" w:lineRule="auto"/>
              <w:rPr>
                <w:rFonts w:ascii="Tahoma" w:eastAsia="Times New Roman" w:hAnsi="Tahoma" w:cs="Tahoma"/>
                <w:color w:val="auto"/>
                <w:sz w:val="24"/>
                <w:szCs w:val="24"/>
                <w:lang w:val="bg-BG" w:eastAsia="bg-BG"/>
              </w:rPr>
            </w:pPr>
            <w:r w:rsidRPr="00BD7BB1">
              <w:rPr>
                <w:rFonts w:ascii="Calibri" w:eastAsia="Calibri" w:hAnsi="Calibri"/>
                <w:noProof/>
                <w:color w:val="auto"/>
                <w:sz w:val="24"/>
                <w:szCs w:val="24"/>
                <w:lang w:val="bg-BG" w:eastAsia="bg-BG"/>
              </w:rPr>
              <w:drawing>
                <wp:inline distT="0" distB="0" distL="0" distR="0" wp14:anchorId="6E946B34" wp14:editId="4EE1AA64">
                  <wp:extent cx="4587875" cy="2759075"/>
                  <wp:effectExtent l="0" t="0" r="22225" b="22225"/>
                  <wp:docPr id="98" name="Chart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1000" w:type="dxa"/>
            <w:tcBorders>
              <w:top w:val="nil"/>
              <w:left w:val="nil"/>
              <w:bottom w:val="nil"/>
              <w:right w:val="nil"/>
            </w:tcBorders>
            <w:shd w:val="clear" w:color="auto" w:fill="auto"/>
            <w:noWrap/>
            <w:vAlign w:val="bottom"/>
          </w:tcPr>
          <w:p w:rsidR="00F25110" w:rsidRPr="00BD7BB1" w:rsidRDefault="00F25110" w:rsidP="00F25110">
            <w:pPr>
              <w:spacing w:after="0" w:line="240" w:lineRule="auto"/>
              <w:rPr>
                <w:rFonts w:ascii="Tahoma" w:eastAsia="Times New Roman" w:hAnsi="Tahoma" w:cs="Tahoma"/>
                <w:b/>
                <w:bCs/>
                <w:color w:val="auto"/>
                <w:sz w:val="24"/>
                <w:szCs w:val="24"/>
                <w:lang w:val="bg-BG" w:eastAsia="bg-BG"/>
              </w:rPr>
            </w:pPr>
          </w:p>
        </w:tc>
        <w:tc>
          <w:tcPr>
            <w:tcW w:w="1000" w:type="dxa"/>
            <w:tcBorders>
              <w:top w:val="nil"/>
              <w:left w:val="nil"/>
              <w:bottom w:val="nil"/>
              <w:right w:val="nil"/>
            </w:tcBorders>
            <w:shd w:val="clear" w:color="auto" w:fill="auto"/>
            <w:noWrap/>
            <w:vAlign w:val="bottom"/>
          </w:tcPr>
          <w:p w:rsidR="00F25110" w:rsidRPr="00BD7BB1" w:rsidRDefault="00F25110" w:rsidP="00F25110">
            <w:pPr>
              <w:spacing w:after="0" w:line="240" w:lineRule="auto"/>
              <w:rPr>
                <w:rFonts w:ascii="Calibri" w:eastAsia="Times New Roman" w:hAnsi="Calibri"/>
                <w:color w:val="auto"/>
                <w:sz w:val="24"/>
                <w:szCs w:val="24"/>
                <w:lang w:val="bg-BG" w:eastAsia="bg-BG"/>
              </w:rPr>
            </w:pPr>
          </w:p>
        </w:tc>
        <w:tc>
          <w:tcPr>
            <w:tcW w:w="1000" w:type="dxa"/>
            <w:tcBorders>
              <w:top w:val="nil"/>
              <w:left w:val="nil"/>
              <w:bottom w:val="nil"/>
              <w:right w:val="nil"/>
            </w:tcBorders>
            <w:shd w:val="clear" w:color="auto" w:fill="auto"/>
            <w:noWrap/>
            <w:vAlign w:val="bottom"/>
          </w:tcPr>
          <w:p w:rsidR="00F25110" w:rsidRPr="00BD7BB1" w:rsidRDefault="00F25110" w:rsidP="00F25110">
            <w:pPr>
              <w:spacing w:after="0" w:line="240" w:lineRule="auto"/>
              <w:rPr>
                <w:rFonts w:ascii="Calibri" w:eastAsia="Times New Roman" w:hAnsi="Calibri"/>
                <w:color w:val="auto"/>
                <w:sz w:val="24"/>
                <w:szCs w:val="24"/>
                <w:lang w:val="bg-BG" w:eastAsia="bg-BG"/>
              </w:rPr>
            </w:pPr>
          </w:p>
        </w:tc>
        <w:tc>
          <w:tcPr>
            <w:tcW w:w="1000" w:type="dxa"/>
            <w:tcBorders>
              <w:top w:val="nil"/>
              <w:left w:val="nil"/>
              <w:bottom w:val="nil"/>
              <w:right w:val="nil"/>
            </w:tcBorders>
            <w:shd w:val="clear" w:color="auto" w:fill="auto"/>
            <w:noWrap/>
            <w:vAlign w:val="bottom"/>
          </w:tcPr>
          <w:p w:rsidR="00F25110" w:rsidRPr="00BD7BB1" w:rsidRDefault="00F25110" w:rsidP="00F25110">
            <w:pPr>
              <w:spacing w:after="0" w:line="240" w:lineRule="auto"/>
              <w:rPr>
                <w:rFonts w:ascii="Calibri" w:eastAsia="Times New Roman" w:hAnsi="Calibri"/>
                <w:color w:val="auto"/>
                <w:sz w:val="24"/>
                <w:szCs w:val="24"/>
                <w:lang w:val="bg-BG" w:eastAsia="bg-BG"/>
              </w:rPr>
            </w:pPr>
          </w:p>
        </w:tc>
        <w:tc>
          <w:tcPr>
            <w:tcW w:w="1000" w:type="dxa"/>
            <w:tcBorders>
              <w:top w:val="nil"/>
              <w:left w:val="nil"/>
              <w:bottom w:val="nil"/>
              <w:right w:val="nil"/>
            </w:tcBorders>
            <w:shd w:val="clear" w:color="auto" w:fill="auto"/>
            <w:noWrap/>
            <w:vAlign w:val="bottom"/>
          </w:tcPr>
          <w:p w:rsidR="00F25110" w:rsidRPr="00BD7BB1" w:rsidRDefault="00F25110" w:rsidP="00F25110">
            <w:pPr>
              <w:spacing w:after="0" w:line="240" w:lineRule="auto"/>
              <w:rPr>
                <w:rFonts w:ascii="Calibri" w:eastAsia="Times New Roman" w:hAnsi="Calibri"/>
                <w:color w:val="auto"/>
                <w:sz w:val="24"/>
                <w:szCs w:val="24"/>
                <w:lang w:val="bg-BG" w:eastAsia="bg-BG"/>
              </w:rPr>
            </w:pPr>
          </w:p>
        </w:tc>
        <w:tc>
          <w:tcPr>
            <w:tcW w:w="1000" w:type="dxa"/>
            <w:tcBorders>
              <w:top w:val="nil"/>
              <w:left w:val="nil"/>
              <w:bottom w:val="nil"/>
              <w:right w:val="nil"/>
            </w:tcBorders>
            <w:shd w:val="clear" w:color="auto" w:fill="auto"/>
            <w:noWrap/>
            <w:vAlign w:val="bottom"/>
          </w:tcPr>
          <w:p w:rsidR="00F25110" w:rsidRPr="00BD7BB1" w:rsidRDefault="00F25110" w:rsidP="00F25110">
            <w:pPr>
              <w:spacing w:after="0" w:line="240" w:lineRule="auto"/>
              <w:rPr>
                <w:rFonts w:ascii="Calibri" w:eastAsia="Times New Roman" w:hAnsi="Calibri"/>
                <w:color w:val="auto"/>
                <w:sz w:val="24"/>
                <w:szCs w:val="24"/>
                <w:lang w:val="bg-BG" w:eastAsia="bg-BG"/>
              </w:rPr>
            </w:pPr>
          </w:p>
        </w:tc>
      </w:tr>
    </w:tbl>
    <w:p w:rsidR="00F25110" w:rsidRPr="0024547D" w:rsidRDefault="00F25110" w:rsidP="00F25110">
      <w:pPr>
        <w:widowControl w:val="0"/>
        <w:autoSpaceDE w:val="0"/>
        <w:autoSpaceDN w:val="0"/>
        <w:adjustRightInd w:val="0"/>
        <w:spacing w:after="0" w:line="360" w:lineRule="auto"/>
        <w:ind w:right="140" w:firstLine="708"/>
        <w:jc w:val="both"/>
        <w:rPr>
          <w:rFonts w:ascii="Times New Roman" w:eastAsia="Times New Roman" w:hAnsi="Times New Roman"/>
          <w:b/>
          <w:i/>
          <w:color w:val="9B2D1F" w:themeColor="accent2"/>
          <w:sz w:val="24"/>
          <w:szCs w:val="24"/>
          <w:lang w:val="bg-BG" w:eastAsia="bg-BG"/>
        </w:rPr>
      </w:pPr>
      <w:r w:rsidRPr="0024547D">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Default="00F25110" w:rsidP="00F25110">
      <w:pPr>
        <w:widowControl w:val="0"/>
        <w:autoSpaceDE w:val="0"/>
        <w:autoSpaceDN w:val="0"/>
        <w:adjustRightInd w:val="0"/>
        <w:spacing w:after="0" w:line="360" w:lineRule="auto"/>
        <w:ind w:right="140"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Коефициентът на безработица е един от основните показатели за устойчиво развитие. Високата безработица увеличава риска от бедност и социално изключване.</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 xml:space="preserve">През 2014 г. коефициентът на безработицата на населението на възраст 15-64 г. в Югоизточен район е 12 % </w:t>
      </w:r>
      <w:r w:rsidRPr="00BD7BB1">
        <w:rPr>
          <w:rFonts w:ascii="Times New Roman" w:eastAsia="Times New Roman" w:hAnsi="Times New Roman"/>
          <w:color w:val="auto"/>
          <w:sz w:val="24"/>
          <w:szCs w:val="24"/>
          <w:lang w:val="bg-BG" w:eastAsia="bg-BG"/>
        </w:rPr>
        <w:t xml:space="preserve">и е с 1,1 % по-нисък  в сравнение с 2013 г.,  същото намаление се отчита за областите Бургас и Ямбол и значително по-високо за област Сливен от 2,4 %. За област Стара Загора коефициентът отчита ръст с 0,5 процентни пункта. В сравнение с 2011 г. най – значително е покачването за област Стара Загора от 6,4% на 11,1% , а най значително е намалението за област Сливен от 16,8% на 13, 7 %. През 2014 г. ЮИР заема </w:t>
      </w:r>
      <w:r w:rsidRPr="00BD7BB1">
        <w:rPr>
          <w:rFonts w:ascii="Times New Roman" w:eastAsia="Times New Roman" w:hAnsi="Times New Roman"/>
          <w:b/>
          <w:color w:val="auto"/>
          <w:sz w:val="24"/>
          <w:szCs w:val="24"/>
          <w:lang w:val="bg-BG" w:eastAsia="bg-BG"/>
        </w:rPr>
        <w:t>първо място</w:t>
      </w:r>
      <w:r w:rsidRPr="00BD7BB1">
        <w:rPr>
          <w:rFonts w:ascii="Times New Roman" w:eastAsia="Times New Roman" w:hAnsi="Times New Roman"/>
          <w:color w:val="auto"/>
          <w:sz w:val="24"/>
          <w:szCs w:val="24"/>
          <w:lang w:val="bg-BG" w:eastAsia="bg-BG"/>
        </w:rPr>
        <w:t xml:space="preserve"> сред районите в страната, при среден показател за страната от 11,4 %  а през 2011 г. второ място след ЮЗР ( 7.5 % ) , при среден за страната   11,5 %.          </w:t>
      </w:r>
    </w:p>
    <w:p w:rsidR="00955B7E" w:rsidRDefault="00955B7E" w:rsidP="00F25110">
      <w:pPr>
        <w:widowControl w:val="0"/>
        <w:autoSpaceDE w:val="0"/>
        <w:autoSpaceDN w:val="0"/>
        <w:adjustRightInd w:val="0"/>
        <w:spacing w:after="0" w:line="360" w:lineRule="auto"/>
        <w:ind w:right="140" w:firstLine="708"/>
        <w:jc w:val="both"/>
        <w:rPr>
          <w:rFonts w:ascii="Times New Roman" w:eastAsia="Times New Roman" w:hAnsi="Times New Roman"/>
          <w:color w:val="auto"/>
          <w:sz w:val="24"/>
          <w:szCs w:val="24"/>
          <w:lang w:val="bg-BG" w:eastAsia="bg-BG"/>
        </w:rPr>
      </w:pPr>
    </w:p>
    <w:p w:rsidR="00955B7E" w:rsidRDefault="00955B7E" w:rsidP="00F25110">
      <w:pPr>
        <w:widowControl w:val="0"/>
        <w:autoSpaceDE w:val="0"/>
        <w:autoSpaceDN w:val="0"/>
        <w:adjustRightInd w:val="0"/>
        <w:spacing w:after="0" w:line="360" w:lineRule="auto"/>
        <w:ind w:right="140" w:firstLine="708"/>
        <w:jc w:val="both"/>
        <w:rPr>
          <w:rFonts w:ascii="Times New Roman" w:eastAsia="Times New Roman" w:hAnsi="Times New Roman"/>
          <w:color w:val="auto"/>
          <w:sz w:val="24"/>
          <w:szCs w:val="24"/>
          <w:lang w:val="bg-BG" w:eastAsia="bg-BG"/>
        </w:rPr>
      </w:pPr>
    </w:p>
    <w:p w:rsidR="00955B7E" w:rsidRDefault="00955B7E" w:rsidP="00F25110">
      <w:pPr>
        <w:widowControl w:val="0"/>
        <w:autoSpaceDE w:val="0"/>
        <w:autoSpaceDN w:val="0"/>
        <w:adjustRightInd w:val="0"/>
        <w:spacing w:after="0" w:line="360" w:lineRule="auto"/>
        <w:ind w:right="140" w:firstLine="708"/>
        <w:jc w:val="both"/>
        <w:rPr>
          <w:rFonts w:ascii="Times New Roman" w:eastAsia="Times New Roman" w:hAnsi="Times New Roman"/>
          <w:color w:val="auto"/>
          <w:sz w:val="24"/>
          <w:szCs w:val="24"/>
          <w:lang w:val="bg-BG" w:eastAsia="bg-BG"/>
        </w:rPr>
      </w:pPr>
    </w:p>
    <w:p w:rsidR="00955B7E" w:rsidRDefault="00955B7E" w:rsidP="00F25110">
      <w:pPr>
        <w:widowControl w:val="0"/>
        <w:autoSpaceDE w:val="0"/>
        <w:autoSpaceDN w:val="0"/>
        <w:adjustRightInd w:val="0"/>
        <w:spacing w:after="0" w:line="360" w:lineRule="auto"/>
        <w:ind w:right="140" w:firstLine="708"/>
        <w:jc w:val="both"/>
        <w:rPr>
          <w:rFonts w:ascii="Times New Roman" w:eastAsia="Times New Roman" w:hAnsi="Times New Roman"/>
          <w:color w:val="auto"/>
          <w:sz w:val="24"/>
          <w:szCs w:val="24"/>
          <w:lang w:val="bg-BG" w:eastAsia="bg-BG"/>
        </w:rPr>
      </w:pPr>
    </w:p>
    <w:p w:rsidR="00955B7E" w:rsidRDefault="00955B7E" w:rsidP="00F25110">
      <w:pPr>
        <w:widowControl w:val="0"/>
        <w:autoSpaceDE w:val="0"/>
        <w:autoSpaceDN w:val="0"/>
        <w:adjustRightInd w:val="0"/>
        <w:spacing w:after="0" w:line="360" w:lineRule="auto"/>
        <w:ind w:right="140" w:firstLine="708"/>
        <w:jc w:val="both"/>
        <w:rPr>
          <w:rFonts w:ascii="Times New Roman" w:eastAsia="Times New Roman" w:hAnsi="Times New Roman"/>
          <w:color w:val="auto"/>
          <w:sz w:val="24"/>
          <w:szCs w:val="24"/>
          <w:lang w:val="bg-BG" w:eastAsia="bg-BG"/>
        </w:rPr>
      </w:pPr>
    </w:p>
    <w:p w:rsidR="00955B7E" w:rsidRPr="00BD7BB1" w:rsidRDefault="00955B7E" w:rsidP="00F25110">
      <w:pPr>
        <w:widowControl w:val="0"/>
        <w:autoSpaceDE w:val="0"/>
        <w:autoSpaceDN w:val="0"/>
        <w:adjustRightInd w:val="0"/>
        <w:spacing w:after="0" w:line="360" w:lineRule="auto"/>
        <w:ind w:right="140" w:firstLine="708"/>
        <w:jc w:val="both"/>
        <w:rPr>
          <w:rFonts w:ascii="Times New Roman" w:eastAsia="Times New Roman" w:hAnsi="Times New Roman"/>
          <w:color w:val="auto"/>
          <w:sz w:val="24"/>
          <w:szCs w:val="24"/>
          <w:lang w:val="bg-BG" w:eastAsia="bg-BG"/>
        </w:rPr>
      </w:pPr>
    </w:p>
    <w:p w:rsidR="00F25110" w:rsidRPr="00955B7E" w:rsidRDefault="00F25110" w:rsidP="00F25110">
      <w:pPr>
        <w:widowControl w:val="0"/>
        <w:autoSpaceDE w:val="0"/>
        <w:autoSpaceDN w:val="0"/>
        <w:adjustRightInd w:val="0"/>
        <w:spacing w:after="0" w:line="360" w:lineRule="auto"/>
        <w:ind w:right="140" w:firstLine="720"/>
        <w:jc w:val="both"/>
        <w:rPr>
          <w:rFonts w:ascii="Times New Roman" w:eastAsia="Times New Roman" w:hAnsi="Times New Roman"/>
          <w:b/>
          <w:i/>
          <w:color w:val="9B2D1F" w:themeColor="accent2"/>
          <w:sz w:val="24"/>
          <w:szCs w:val="24"/>
          <w:lang w:val="bg-BG" w:eastAsia="bg-BG"/>
        </w:rPr>
      </w:pPr>
      <w:r w:rsidRPr="00955B7E">
        <w:rPr>
          <w:rFonts w:ascii="Times New Roman" w:eastAsia="Times New Roman" w:hAnsi="Times New Roman"/>
          <w:b/>
          <w:i/>
          <w:color w:val="9B2D1F" w:themeColor="accent2"/>
          <w:sz w:val="24"/>
          <w:szCs w:val="24"/>
          <w:lang w:val="bg-BG" w:eastAsia="bg-BG"/>
        </w:rPr>
        <w:lastRenderedPageBreak/>
        <w:t xml:space="preserve"> Фигура</w:t>
      </w:r>
      <w:r w:rsidR="00955B7E" w:rsidRPr="00955B7E">
        <w:rPr>
          <w:rFonts w:ascii="Times New Roman" w:eastAsia="Times New Roman" w:hAnsi="Times New Roman"/>
          <w:b/>
          <w:i/>
          <w:color w:val="9B2D1F" w:themeColor="accent2"/>
          <w:sz w:val="24"/>
          <w:szCs w:val="24"/>
          <w:lang w:val="bg-BG" w:eastAsia="bg-BG"/>
        </w:rPr>
        <w:t xml:space="preserve"> 16 </w:t>
      </w:r>
      <w:r w:rsidRPr="00955B7E">
        <w:rPr>
          <w:rFonts w:ascii="Times New Roman" w:eastAsia="Times New Roman" w:hAnsi="Times New Roman"/>
          <w:b/>
          <w:i/>
          <w:color w:val="9B2D1F" w:themeColor="accent2"/>
          <w:sz w:val="24"/>
          <w:szCs w:val="24"/>
          <w:lang w:val="bg-BG" w:eastAsia="bg-BG"/>
        </w:rPr>
        <w:t xml:space="preserve">Коефициент на безработицата на населението на възраст 15-64 г.   </w:t>
      </w:r>
    </w:p>
    <w:p w:rsidR="00F25110" w:rsidRPr="00955B7E" w:rsidRDefault="00F25110" w:rsidP="00955B7E">
      <w:pPr>
        <w:widowControl w:val="0"/>
        <w:autoSpaceDE w:val="0"/>
        <w:autoSpaceDN w:val="0"/>
        <w:adjustRightInd w:val="0"/>
        <w:spacing w:after="0" w:line="360" w:lineRule="auto"/>
        <w:ind w:right="140" w:firstLine="720"/>
        <w:jc w:val="center"/>
        <w:rPr>
          <w:rFonts w:ascii="Times New Roman" w:eastAsia="Times New Roman" w:hAnsi="Times New Roman"/>
          <w:b/>
          <w:i/>
          <w:color w:val="9B2D1F" w:themeColor="accent2"/>
          <w:sz w:val="24"/>
          <w:szCs w:val="24"/>
          <w:lang w:val="bg-BG" w:eastAsia="bg-BG"/>
        </w:rPr>
      </w:pPr>
      <w:r w:rsidRPr="00955B7E">
        <w:rPr>
          <w:rFonts w:ascii="Times New Roman" w:eastAsia="Times New Roman" w:hAnsi="Times New Roman"/>
          <w:b/>
          <w:i/>
          <w:color w:val="9B2D1F" w:themeColor="accent2"/>
          <w:sz w:val="24"/>
          <w:szCs w:val="24"/>
          <w:lang w:val="bg-BG" w:eastAsia="bg-BG"/>
        </w:rPr>
        <w:t xml:space="preserve">за </w:t>
      </w:r>
      <w:r w:rsidRPr="00955B7E">
        <w:rPr>
          <w:rFonts w:ascii="Times New Roman" w:eastAsia="Times New Roman" w:hAnsi="Times New Roman"/>
          <w:b/>
          <w:i/>
          <w:noProof/>
          <w:color w:val="9B2D1F" w:themeColor="accent2"/>
          <w:sz w:val="24"/>
          <w:szCs w:val="24"/>
          <w:lang w:val="bg-BG" w:eastAsia="bg-BG"/>
        </w:rPr>
        <w:t>периода 2011-2014 г.в странта, по райони и области в ЮИР, в %.</w:t>
      </w:r>
      <w:r w:rsidRPr="00955B7E">
        <w:rPr>
          <w:rFonts w:ascii="Times New Roman" w:eastAsia="Times New Roman" w:hAnsi="Times New Roman"/>
          <w:noProof/>
          <w:color w:val="9B2D1F" w:themeColor="accent2"/>
          <w:sz w:val="24"/>
          <w:szCs w:val="24"/>
          <w:lang w:val="bg-BG" w:eastAsia="bg-BG"/>
        </w:rPr>
        <w:t xml:space="preserve">                  </w:t>
      </w:r>
      <w:r w:rsidRPr="00BD7BB1">
        <w:rPr>
          <w:rFonts w:ascii="Times New Roman" w:eastAsia="Times New Roman" w:hAnsi="Times New Roman"/>
          <w:noProof/>
          <w:color w:val="auto"/>
          <w:sz w:val="24"/>
          <w:szCs w:val="24"/>
          <w:lang w:val="bg-BG" w:eastAsia="bg-BG"/>
        </w:rPr>
        <w:t xml:space="preserve">. </w:t>
      </w:r>
      <w:r w:rsidRPr="00BD7BB1">
        <w:rPr>
          <w:rFonts w:ascii="Times New Roman" w:eastAsia="Times New Roman" w:hAnsi="Times New Roman"/>
          <w:noProof/>
          <w:color w:val="auto"/>
          <w:sz w:val="24"/>
          <w:szCs w:val="24"/>
          <w:lang w:val="bg-BG" w:eastAsia="bg-BG"/>
        </w:rPr>
        <w:drawing>
          <wp:inline distT="0" distB="0" distL="0" distR="0" wp14:anchorId="694F8B5F" wp14:editId="2BA2B0C7">
            <wp:extent cx="5738495" cy="1970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8495" cy="1970405"/>
                    </a:xfrm>
                    <a:prstGeom prst="rect">
                      <a:avLst/>
                    </a:prstGeom>
                    <a:noFill/>
                    <a:ln>
                      <a:noFill/>
                    </a:ln>
                  </pic:spPr>
                </pic:pic>
              </a:graphicData>
            </a:graphic>
          </wp:inline>
        </w:drawing>
      </w:r>
      <w:r w:rsidRPr="00BD7BB1">
        <w:rPr>
          <w:rFonts w:ascii="Times New Roman" w:eastAsia="Times New Roman" w:hAnsi="Times New Roman"/>
          <w:i/>
          <w:color w:val="auto"/>
          <w:sz w:val="24"/>
          <w:szCs w:val="24"/>
          <w:lang w:val="bg-BG" w:eastAsia="bg-BG"/>
        </w:rPr>
        <w:t xml:space="preserve"> </w:t>
      </w:r>
      <w:r w:rsidRPr="00955B7E">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Pr="00BD7BB1" w:rsidRDefault="00F25110" w:rsidP="00F25110">
      <w:pPr>
        <w:spacing w:before="60" w:after="60" w:line="360" w:lineRule="auto"/>
        <w:ind w:firstLine="708"/>
        <w:jc w:val="both"/>
        <w:rPr>
          <w:rFonts w:ascii="Times New Roman" w:eastAsia="Times New Roman" w:hAnsi="Times New Roman"/>
          <w:b/>
          <w:color w:val="auto"/>
          <w:sz w:val="24"/>
          <w:szCs w:val="24"/>
          <w:lang w:val="bg-BG" w:eastAsia="bg-BG"/>
        </w:rPr>
      </w:pPr>
    </w:p>
    <w:p w:rsidR="00F25110" w:rsidRPr="00BD7BB1" w:rsidRDefault="00F25110" w:rsidP="00B35F3E">
      <w:pPr>
        <w:spacing w:before="60" w:after="6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Друг основни елементи на устойчивото развитие е заетостта, като важна предпоставка за икономическото развитие, качеството на живота и социалното включване.</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 xml:space="preserve">През 2014 г. коефициент на заетост на населението на лицата на възраст 15-64 г. в ЮИР е 58 % (за страната - 61 %), </w:t>
      </w:r>
      <w:r w:rsidRPr="00BD7BB1">
        <w:rPr>
          <w:rFonts w:ascii="Calibri" w:eastAsia="Calibri" w:hAnsi="Calibri"/>
          <w:color w:val="auto"/>
          <w:sz w:val="24"/>
          <w:szCs w:val="24"/>
          <w:lang w:val="bg-BG"/>
        </w:rPr>
        <w:t xml:space="preserve"> </w:t>
      </w:r>
      <w:r w:rsidRPr="00BD7BB1">
        <w:rPr>
          <w:rFonts w:ascii="Times New Roman" w:eastAsia="Times New Roman" w:hAnsi="Times New Roman"/>
          <w:color w:val="auto"/>
          <w:sz w:val="24"/>
          <w:szCs w:val="24"/>
          <w:lang w:val="bg-BG" w:eastAsia="bg-BG"/>
        </w:rPr>
        <w:t xml:space="preserve">с тенденция на покачване спрямо 2013 г. с 0.5 % и доближаване до стойността през 2011 г. – 57,7%. По този показател ЮИР заема </w:t>
      </w:r>
      <w:r w:rsidRPr="00BD7BB1">
        <w:rPr>
          <w:rFonts w:ascii="Times New Roman" w:eastAsia="Times New Roman" w:hAnsi="Times New Roman"/>
          <w:b/>
          <w:color w:val="auto"/>
          <w:sz w:val="24"/>
          <w:szCs w:val="24"/>
          <w:lang w:val="bg-BG" w:eastAsia="bg-BG"/>
        </w:rPr>
        <w:t>четвърто място</w:t>
      </w:r>
      <w:r w:rsidRPr="00BD7BB1">
        <w:rPr>
          <w:rFonts w:ascii="Times New Roman" w:eastAsia="Times New Roman" w:hAnsi="Times New Roman"/>
          <w:color w:val="auto"/>
          <w:sz w:val="24"/>
          <w:szCs w:val="24"/>
          <w:lang w:val="bg-BG" w:eastAsia="bg-BG"/>
        </w:rPr>
        <w:t xml:space="preserve"> през 2014 г. и губи заеманото второ място през 2011 г., заради по-високият  темп на ръст  на заетостта в СИР и ЮЦР. Сред статистическите райони най-висока е заетостта в ЮЗР с 66,1%. Във всички останали статистически райони коефициентът на заетост е под средния за страната (61,0%), като най-ниска е стойността му за СЗР– 55,0%. </w:t>
      </w:r>
    </w:p>
    <w:p w:rsidR="00F25110" w:rsidRPr="00BD7BB1" w:rsidRDefault="00F25110" w:rsidP="00B35F3E">
      <w:pPr>
        <w:spacing w:before="60" w:after="6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През 2014 г. в ЮИР най-висок е коефициента на заетост в област  Бургас ( 60,3% ), следвана от област Ямбол (58,8%) и  област Стара Загора (58%). С най-нисък коефициент е област  Сливен ( 52,4 % ). Темпът  на ръст  на заетостта в  област Бургас е 1,4% за 2014 г. спрямо 2013 г, и 5% спрямо 2011 г. За останалите области се наблюдава спад и лек ръст единствено за област Сливен с 0,6% спрямо 2013г., но спад с 1,3 % спрямо 2011г. За област Ямбол се отчита спад  с 1,1% спрямо 2013 г. и 1 % спрямо 2011 г.  Област  Стара Загора запазва еднакви стойности на коефициента  за последните две години и спад с 4,4 % спрямо 2011г. </w:t>
      </w:r>
    </w:p>
    <w:p w:rsidR="00F25110" w:rsidRPr="00955B7E" w:rsidRDefault="00F25110" w:rsidP="00F25110">
      <w:pPr>
        <w:spacing w:before="60" w:after="60" w:line="360" w:lineRule="auto"/>
        <w:jc w:val="both"/>
        <w:rPr>
          <w:rFonts w:ascii="Times New Roman" w:eastAsia="Times New Roman" w:hAnsi="Times New Roman"/>
          <w:b/>
          <w:i/>
          <w:color w:val="9B2D1F" w:themeColor="accent2"/>
          <w:sz w:val="24"/>
          <w:szCs w:val="24"/>
          <w:lang w:val="bg-BG" w:eastAsia="bg-BG"/>
        </w:rPr>
      </w:pPr>
      <w:r w:rsidRPr="00955B7E">
        <w:rPr>
          <w:rFonts w:ascii="Times New Roman" w:eastAsia="Times New Roman" w:hAnsi="Times New Roman"/>
          <w:b/>
          <w:i/>
          <w:color w:val="9B2D1F" w:themeColor="accent2"/>
          <w:sz w:val="24"/>
          <w:szCs w:val="24"/>
          <w:lang w:val="bg-BG" w:eastAsia="bg-BG"/>
        </w:rPr>
        <w:lastRenderedPageBreak/>
        <w:t>Фигура</w:t>
      </w:r>
      <w:r w:rsidR="00955B7E" w:rsidRPr="00955B7E">
        <w:rPr>
          <w:rFonts w:ascii="Times New Roman" w:eastAsia="Times New Roman" w:hAnsi="Times New Roman"/>
          <w:b/>
          <w:i/>
          <w:color w:val="9B2D1F" w:themeColor="accent2"/>
          <w:sz w:val="24"/>
          <w:szCs w:val="24"/>
          <w:lang w:val="bg-BG" w:eastAsia="bg-BG"/>
        </w:rPr>
        <w:t xml:space="preserve"> 17</w:t>
      </w:r>
      <w:r w:rsidRPr="00955B7E">
        <w:rPr>
          <w:rFonts w:ascii="Calibri" w:eastAsia="Calibri" w:hAnsi="Calibri"/>
          <w:b/>
          <w:i/>
          <w:color w:val="9B2D1F" w:themeColor="accent2"/>
          <w:szCs w:val="22"/>
          <w:lang w:val="bg-BG"/>
        </w:rPr>
        <w:t xml:space="preserve"> </w:t>
      </w:r>
      <w:r w:rsidRPr="00955B7E">
        <w:rPr>
          <w:rFonts w:ascii="Times New Roman" w:eastAsia="Times New Roman" w:hAnsi="Times New Roman"/>
          <w:b/>
          <w:i/>
          <w:color w:val="9B2D1F" w:themeColor="accent2"/>
          <w:sz w:val="24"/>
          <w:szCs w:val="24"/>
          <w:lang w:val="bg-BG" w:eastAsia="bg-BG"/>
        </w:rPr>
        <w:t>Коефициент на заетост на населението на лицата на възраст 15-64 г. в страната, по райони и области в ЮИР за периода 2011-2014 г., в %</w:t>
      </w:r>
    </w:p>
    <w:p w:rsidR="00F25110" w:rsidRPr="00BD7BB1" w:rsidRDefault="00F25110" w:rsidP="00F25110">
      <w:pPr>
        <w:widowControl w:val="0"/>
        <w:autoSpaceDE w:val="0"/>
        <w:autoSpaceDN w:val="0"/>
        <w:adjustRightInd w:val="0"/>
        <w:spacing w:after="0" w:line="360" w:lineRule="auto"/>
        <w:ind w:right="140" w:firstLine="720"/>
        <w:jc w:val="both"/>
        <w:rPr>
          <w:rFonts w:ascii="Times New Roman" w:eastAsia="Times New Roman" w:hAnsi="Times New Roman"/>
          <w:color w:val="auto"/>
          <w:sz w:val="24"/>
          <w:szCs w:val="24"/>
          <w:lang w:val="bg-BG" w:eastAsia="bg-BG"/>
        </w:rPr>
      </w:pPr>
    </w:p>
    <w:p w:rsidR="00F25110" w:rsidRPr="00BD7BB1" w:rsidRDefault="00F25110" w:rsidP="00F25110">
      <w:pPr>
        <w:widowControl w:val="0"/>
        <w:autoSpaceDE w:val="0"/>
        <w:autoSpaceDN w:val="0"/>
        <w:adjustRightInd w:val="0"/>
        <w:spacing w:after="0" w:line="360" w:lineRule="auto"/>
        <w:ind w:right="140"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noProof/>
          <w:color w:val="auto"/>
          <w:sz w:val="24"/>
          <w:szCs w:val="24"/>
          <w:lang w:val="bg-BG" w:eastAsia="bg-BG"/>
        </w:rPr>
        <w:drawing>
          <wp:inline distT="0" distB="0" distL="0" distR="0" wp14:anchorId="241E3150" wp14:editId="355695E4">
            <wp:extent cx="5770245" cy="1986280"/>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245" cy="1986280"/>
                    </a:xfrm>
                    <a:prstGeom prst="rect">
                      <a:avLst/>
                    </a:prstGeom>
                    <a:noFill/>
                    <a:ln>
                      <a:noFill/>
                    </a:ln>
                  </pic:spPr>
                </pic:pic>
              </a:graphicData>
            </a:graphic>
          </wp:inline>
        </w:drawing>
      </w:r>
    </w:p>
    <w:p w:rsidR="00F25110" w:rsidRPr="00955B7E" w:rsidRDefault="00F25110" w:rsidP="00F25110">
      <w:pPr>
        <w:widowControl w:val="0"/>
        <w:autoSpaceDE w:val="0"/>
        <w:autoSpaceDN w:val="0"/>
        <w:adjustRightInd w:val="0"/>
        <w:spacing w:after="0" w:line="360" w:lineRule="auto"/>
        <w:ind w:right="140" w:firstLine="708"/>
        <w:jc w:val="both"/>
        <w:rPr>
          <w:rFonts w:ascii="Times New Roman" w:eastAsia="Times New Roman" w:hAnsi="Times New Roman"/>
          <w:b/>
          <w:i/>
          <w:color w:val="9B2D1F" w:themeColor="accent2"/>
          <w:sz w:val="24"/>
          <w:szCs w:val="24"/>
          <w:lang w:val="bg-BG" w:eastAsia="bg-BG"/>
        </w:rPr>
      </w:pPr>
      <w:r w:rsidRPr="00955B7E">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Pr="00BD7BB1" w:rsidRDefault="00F25110" w:rsidP="00B35F3E">
      <w:pPr>
        <w:widowControl w:val="0"/>
        <w:autoSpaceDE w:val="0"/>
        <w:autoSpaceDN w:val="0"/>
        <w:adjustRightInd w:val="0"/>
        <w:spacing w:after="0" w:line="360" w:lineRule="auto"/>
        <w:ind w:right="140" w:firstLine="708"/>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b/>
          <w:color w:val="auto"/>
          <w:sz w:val="24"/>
          <w:szCs w:val="24"/>
          <w:lang w:val="bg-BG" w:eastAsia="bg-BG"/>
        </w:rPr>
        <w:t xml:space="preserve">Коефициентът на заетост (20 - 64 навършени години) е един от ключовите показатели, измерващи целите, поставени в стратегия „Европа 2020”.  През 2014 г. коефициент на заетост на населението на лицата на възраст 20-64 г. в ЮИР е 65,1%, а в  страната 62,2 %. </w:t>
      </w:r>
      <w:r w:rsidRPr="00BD7BB1">
        <w:rPr>
          <w:rFonts w:ascii="Times New Roman" w:eastAsia="Times New Roman" w:hAnsi="Times New Roman"/>
          <w:color w:val="auto"/>
          <w:sz w:val="24"/>
          <w:szCs w:val="24"/>
          <w:lang w:val="bg-BG" w:eastAsia="bg-BG"/>
        </w:rPr>
        <w:t>За периода 2008-2011 г. коефициентът</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в страната и ЮИР, непрекъснато намалява, а  за периода 2012-2014 г. нараства с 2,2 % за страната и 0,2 % за ЮИР.  По този показател ЮИР губи позицията от трето място през 2008 г. и заема </w:t>
      </w:r>
      <w:r w:rsidRPr="00BD7BB1">
        <w:rPr>
          <w:rFonts w:ascii="Times New Roman" w:eastAsia="Times New Roman" w:hAnsi="Times New Roman"/>
          <w:b/>
          <w:color w:val="auto"/>
          <w:sz w:val="24"/>
          <w:szCs w:val="24"/>
          <w:lang w:val="bg-BG" w:eastAsia="bg-BG"/>
        </w:rPr>
        <w:t>четвърто място</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през 2014 г.</w:t>
      </w:r>
      <w:r w:rsidRPr="00BD7BB1">
        <w:rPr>
          <w:rFonts w:ascii="Times New Roman" w:eastAsia="Times New Roman" w:hAnsi="Times New Roman"/>
          <w:color w:val="auto"/>
          <w:sz w:val="24"/>
          <w:szCs w:val="24"/>
          <w:lang w:val="bg-BG" w:eastAsia="bg-BG"/>
        </w:rPr>
        <w:t xml:space="preserve"> , следван от СЦР (61,8 %) и СЗР (58,9 %). </w:t>
      </w:r>
    </w:p>
    <w:p w:rsidR="00F25110" w:rsidRPr="00955B7E" w:rsidRDefault="00F25110" w:rsidP="00F25110">
      <w:pPr>
        <w:widowControl w:val="0"/>
        <w:autoSpaceDE w:val="0"/>
        <w:autoSpaceDN w:val="0"/>
        <w:adjustRightInd w:val="0"/>
        <w:spacing w:after="0" w:line="360" w:lineRule="auto"/>
        <w:ind w:right="140"/>
        <w:jc w:val="both"/>
        <w:rPr>
          <w:rFonts w:ascii="Times New Roman" w:eastAsia="Times New Roman" w:hAnsi="Times New Roman"/>
          <w:b/>
          <w:i/>
          <w:color w:val="9B2D1F" w:themeColor="accent2"/>
          <w:sz w:val="24"/>
          <w:szCs w:val="24"/>
          <w:lang w:val="bg-BG" w:eastAsia="bg-BG"/>
        </w:rPr>
      </w:pPr>
      <w:r w:rsidRPr="00955B7E">
        <w:rPr>
          <w:rFonts w:ascii="Times New Roman" w:eastAsia="Times New Roman" w:hAnsi="Times New Roman"/>
          <w:b/>
          <w:i/>
          <w:color w:val="9B2D1F" w:themeColor="accent2"/>
          <w:sz w:val="24"/>
          <w:szCs w:val="24"/>
          <w:lang w:val="bg-BG" w:eastAsia="bg-BG"/>
        </w:rPr>
        <w:t>Фигура</w:t>
      </w:r>
      <w:r w:rsidR="00955B7E" w:rsidRPr="00955B7E">
        <w:rPr>
          <w:rFonts w:ascii="Times New Roman" w:eastAsia="Times New Roman" w:hAnsi="Times New Roman"/>
          <w:b/>
          <w:i/>
          <w:color w:val="9B2D1F" w:themeColor="accent2"/>
          <w:sz w:val="24"/>
          <w:szCs w:val="24"/>
          <w:lang w:val="bg-BG" w:eastAsia="bg-BG"/>
        </w:rPr>
        <w:t>18</w:t>
      </w:r>
      <w:r w:rsidRPr="00955B7E">
        <w:rPr>
          <w:rFonts w:ascii="Times New Roman" w:eastAsia="Times New Roman" w:hAnsi="Times New Roman"/>
          <w:b/>
          <w:i/>
          <w:color w:val="9B2D1F" w:themeColor="accent2"/>
          <w:sz w:val="24"/>
          <w:szCs w:val="24"/>
          <w:lang w:val="bg-BG" w:eastAsia="bg-BG"/>
        </w:rPr>
        <w:t xml:space="preserve"> Коефициент на заетост на населението на лицата на възраст 20-64 г.</w:t>
      </w:r>
      <w:r w:rsidRPr="00955B7E">
        <w:rPr>
          <w:rFonts w:ascii="Calibri" w:eastAsia="Calibri" w:hAnsi="Calibri"/>
          <w:b/>
          <w:i/>
          <w:color w:val="9B2D1F" w:themeColor="accent2"/>
          <w:sz w:val="24"/>
          <w:szCs w:val="24"/>
          <w:lang w:val="bg-BG"/>
        </w:rPr>
        <w:t xml:space="preserve"> </w:t>
      </w:r>
      <w:r w:rsidRPr="00955B7E">
        <w:rPr>
          <w:rFonts w:ascii="Times New Roman" w:eastAsia="Times New Roman" w:hAnsi="Times New Roman"/>
          <w:b/>
          <w:i/>
          <w:color w:val="9B2D1F" w:themeColor="accent2"/>
          <w:sz w:val="24"/>
          <w:szCs w:val="24"/>
          <w:lang w:val="bg-BG" w:eastAsia="bg-BG"/>
        </w:rPr>
        <w:t xml:space="preserve">в ЮИР и страната за периода 2008-2014 г. </w:t>
      </w:r>
    </w:p>
    <w:p w:rsidR="00F25110" w:rsidRPr="00BD7BB1" w:rsidRDefault="00F25110" w:rsidP="00F25110">
      <w:pPr>
        <w:widowControl w:val="0"/>
        <w:autoSpaceDE w:val="0"/>
        <w:autoSpaceDN w:val="0"/>
        <w:adjustRightInd w:val="0"/>
        <w:spacing w:after="0" w:line="360" w:lineRule="auto"/>
        <w:ind w:right="140"/>
        <w:jc w:val="center"/>
        <w:rPr>
          <w:rFonts w:ascii="Times New Roman" w:eastAsia="Times New Roman" w:hAnsi="Times New Roman"/>
          <w:color w:val="auto"/>
          <w:sz w:val="24"/>
          <w:szCs w:val="24"/>
          <w:lang w:val="bg-BG" w:eastAsia="bg-BG"/>
        </w:rPr>
      </w:pPr>
      <w:r w:rsidRPr="00BD7BB1">
        <w:rPr>
          <w:rFonts w:ascii="Calibri" w:eastAsia="Calibri" w:hAnsi="Calibri"/>
          <w:noProof/>
          <w:color w:val="auto"/>
          <w:sz w:val="24"/>
          <w:szCs w:val="24"/>
          <w:lang w:val="bg-BG" w:eastAsia="bg-BG"/>
        </w:rPr>
        <w:drawing>
          <wp:inline distT="0" distB="0" distL="0" distR="0" wp14:anchorId="2C2AF2BB" wp14:editId="06AEB027">
            <wp:extent cx="3611245" cy="1125220"/>
            <wp:effectExtent l="0" t="0" r="27305" b="17780"/>
            <wp:docPr id="95" name="Chart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25110" w:rsidRPr="00955B7E" w:rsidRDefault="00F25110" w:rsidP="00F25110">
      <w:pPr>
        <w:widowControl w:val="0"/>
        <w:autoSpaceDE w:val="0"/>
        <w:autoSpaceDN w:val="0"/>
        <w:adjustRightInd w:val="0"/>
        <w:spacing w:after="0" w:line="360" w:lineRule="auto"/>
        <w:ind w:right="140"/>
        <w:jc w:val="center"/>
        <w:rPr>
          <w:rFonts w:ascii="Times New Roman" w:eastAsia="Times New Roman" w:hAnsi="Times New Roman"/>
          <w:b/>
          <w:i/>
          <w:color w:val="9B2D1F" w:themeColor="accent2"/>
          <w:sz w:val="24"/>
          <w:szCs w:val="24"/>
          <w:lang w:val="bg-BG" w:eastAsia="bg-BG"/>
        </w:rPr>
      </w:pPr>
      <w:r w:rsidRPr="00955B7E">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Pr="00BD7BB1" w:rsidRDefault="00F25110" w:rsidP="00F25110">
      <w:pPr>
        <w:widowControl w:val="0"/>
        <w:autoSpaceDE w:val="0"/>
        <w:autoSpaceDN w:val="0"/>
        <w:adjustRightInd w:val="0"/>
        <w:spacing w:after="0" w:line="360" w:lineRule="auto"/>
        <w:ind w:right="140"/>
        <w:jc w:val="both"/>
        <w:rPr>
          <w:rFonts w:ascii="Times New Roman" w:eastAsia="Times New Roman" w:hAnsi="Times New Roman"/>
          <w:b/>
          <w:color w:val="auto"/>
          <w:sz w:val="24"/>
          <w:szCs w:val="24"/>
          <w:lang w:val="bg-BG" w:eastAsia="bg-BG"/>
        </w:rPr>
      </w:pPr>
    </w:p>
    <w:p w:rsidR="00F25110" w:rsidRPr="00BD7BB1" w:rsidRDefault="00F25110" w:rsidP="00B35F3E">
      <w:pPr>
        <w:widowControl w:val="0"/>
        <w:autoSpaceDE w:val="0"/>
        <w:autoSpaceDN w:val="0"/>
        <w:adjustRightInd w:val="0"/>
        <w:spacing w:after="0" w:line="360" w:lineRule="auto"/>
        <w:ind w:right="140"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 xml:space="preserve">През 2014  г. коефициентът  на  икономическа  активност на 15 – 64 г.  единствено в ЮИР отчита спад с 0,2 % спрямо 2013 г. и през 2014 г. достига 66  %,  при среден за страната 69 %. </w:t>
      </w:r>
      <w:r w:rsidRPr="00BD7BB1">
        <w:rPr>
          <w:rFonts w:ascii="Times New Roman" w:eastAsia="Times New Roman" w:hAnsi="Times New Roman"/>
          <w:color w:val="auto"/>
          <w:sz w:val="24"/>
          <w:szCs w:val="24"/>
          <w:lang w:val="bg-BG" w:eastAsia="bg-BG"/>
        </w:rPr>
        <w:t xml:space="preserve">За  страната, СЦР, СИР и ЮЗР ръстът   е с 0,6 %,, за СЗР с </w:t>
      </w:r>
      <w:r w:rsidRPr="00BD7BB1">
        <w:rPr>
          <w:rFonts w:ascii="Times New Roman" w:eastAsia="Times New Roman" w:hAnsi="Times New Roman"/>
          <w:color w:val="auto"/>
          <w:sz w:val="24"/>
          <w:szCs w:val="24"/>
          <w:lang w:val="bg-BG" w:eastAsia="bg-BG"/>
        </w:rPr>
        <w:lastRenderedPageBreak/>
        <w:t>0,7 %,  а за ЮЦР  с 1,2 %. Причините за спада на коефициента за ЮИР е значителния спад за област Ямбол с 2,7 % и 1 % за област Сливен, както и слабото покачване за областите Бургас и Стара Загора с 0,3 %. През 2014 г. област  Ямбол отново заема първо място с 69,4 %, следвана от област Бургас с 67,8 %, област Стара Загора с 65,2% и област Сливен с 60,7 %.</w:t>
      </w:r>
    </w:p>
    <w:p w:rsidR="00F25110" w:rsidRPr="005D4015" w:rsidRDefault="00F25110" w:rsidP="00F25110">
      <w:pPr>
        <w:widowControl w:val="0"/>
        <w:autoSpaceDE w:val="0"/>
        <w:autoSpaceDN w:val="0"/>
        <w:adjustRightInd w:val="0"/>
        <w:spacing w:after="0" w:line="360" w:lineRule="auto"/>
        <w:ind w:right="140"/>
        <w:jc w:val="both"/>
        <w:rPr>
          <w:rFonts w:ascii="Times New Roman" w:eastAsia="Times New Roman" w:hAnsi="Times New Roman"/>
          <w:b/>
          <w:color w:val="9B2D1F" w:themeColor="accent2"/>
          <w:sz w:val="24"/>
          <w:szCs w:val="24"/>
          <w:lang w:val="bg-BG" w:eastAsia="bg-BG"/>
        </w:rPr>
      </w:pPr>
      <w:r w:rsidRPr="005D4015">
        <w:rPr>
          <w:rFonts w:ascii="Times New Roman" w:eastAsia="Times New Roman" w:hAnsi="Times New Roman"/>
          <w:b/>
          <w:color w:val="9B2D1F" w:themeColor="accent2"/>
          <w:sz w:val="24"/>
          <w:szCs w:val="24"/>
          <w:lang w:val="bg-BG" w:eastAsia="bg-BG"/>
        </w:rPr>
        <w:t>Фигура</w:t>
      </w:r>
      <w:r w:rsidR="005D4015" w:rsidRPr="005D4015">
        <w:rPr>
          <w:rFonts w:ascii="Times New Roman" w:eastAsia="Times New Roman" w:hAnsi="Times New Roman"/>
          <w:b/>
          <w:color w:val="9B2D1F" w:themeColor="accent2"/>
          <w:sz w:val="24"/>
          <w:szCs w:val="24"/>
          <w:lang w:val="bg-BG" w:eastAsia="bg-BG"/>
        </w:rPr>
        <w:t xml:space="preserve"> 19 К</w:t>
      </w:r>
      <w:r w:rsidRPr="005D4015">
        <w:rPr>
          <w:rFonts w:ascii="Times New Roman" w:eastAsia="Times New Roman" w:hAnsi="Times New Roman"/>
          <w:b/>
          <w:color w:val="9B2D1F" w:themeColor="accent2"/>
          <w:sz w:val="24"/>
          <w:szCs w:val="24"/>
          <w:lang w:val="bg-BG" w:eastAsia="bg-BG"/>
        </w:rPr>
        <w:t>оефициент  на  икономическа  активност на 15 – 64 г.  в страната, по райони и области в ЮИР за 2013-2014 г., в %</w:t>
      </w:r>
    </w:p>
    <w:p w:rsidR="00F25110" w:rsidRPr="00BD7BB1" w:rsidRDefault="00F25110" w:rsidP="00F25110">
      <w:pPr>
        <w:widowControl w:val="0"/>
        <w:autoSpaceDE w:val="0"/>
        <w:autoSpaceDN w:val="0"/>
        <w:adjustRightInd w:val="0"/>
        <w:spacing w:after="0" w:line="360" w:lineRule="auto"/>
        <w:ind w:right="140" w:firstLine="708"/>
        <w:jc w:val="both"/>
        <w:rPr>
          <w:rFonts w:ascii="Times New Roman" w:eastAsia="Times New Roman" w:hAnsi="Times New Roman"/>
          <w:b/>
          <w:color w:val="auto"/>
          <w:sz w:val="24"/>
          <w:szCs w:val="24"/>
          <w:lang w:val="bg-BG" w:eastAsia="bg-BG"/>
        </w:rPr>
      </w:pPr>
    </w:p>
    <w:p w:rsidR="00F25110" w:rsidRPr="00BD7BB1" w:rsidRDefault="00F25110" w:rsidP="00F25110">
      <w:pPr>
        <w:widowControl w:val="0"/>
        <w:autoSpaceDE w:val="0"/>
        <w:autoSpaceDN w:val="0"/>
        <w:adjustRightInd w:val="0"/>
        <w:spacing w:after="0" w:line="360" w:lineRule="auto"/>
        <w:ind w:right="140"/>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b/>
          <w:noProof/>
          <w:color w:val="auto"/>
          <w:sz w:val="24"/>
          <w:szCs w:val="24"/>
          <w:lang w:val="bg-BG" w:eastAsia="bg-BG"/>
        </w:rPr>
        <w:drawing>
          <wp:inline distT="0" distB="0" distL="0" distR="0" wp14:anchorId="577BBB3C" wp14:editId="40CAD446">
            <wp:extent cx="5581015" cy="2632710"/>
            <wp:effectExtent l="0" t="0" r="63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015" cy="2632710"/>
                    </a:xfrm>
                    <a:prstGeom prst="rect">
                      <a:avLst/>
                    </a:prstGeom>
                    <a:noFill/>
                    <a:ln>
                      <a:noFill/>
                    </a:ln>
                  </pic:spPr>
                </pic:pic>
              </a:graphicData>
            </a:graphic>
          </wp:inline>
        </w:drawing>
      </w:r>
    </w:p>
    <w:p w:rsidR="00F25110" w:rsidRPr="005D4015" w:rsidRDefault="00F25110" w:rsidP="00F25110">
      <w:pPr>
        <w:widowControl w:val="0"/>
        <w:autoSpaceDE w:val="0"/>
        <w:autoSpaceDN w:val="0"/>
        <w:adjustRightInd w:val="0"/>
        <w:spacing w:after="0" w:line="360" w:lineRule="auto"/>
        <w:ind w:right="140"/>
        <w:jc w:val="center"/>
        <w:rPr>
          <w:rFonts w:ascii="Times New Roman" w:eastAsia="Times New Roman" w:hAnsi="Times New Roman"/>
          <w:b/>
          <w:i/>
          <w:color w:val="9B2D1F" w:themeColor="accent2"/>
          <w:sz w:val="24"/>
          <w:szCs w:val="24"/>
          <w:lang w:val="bg-BG" w:eastAsia="bg-BG"/>
        </w:rPr>
      </w:pPr>
      <w:r w:rsidRPr="005D4015">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Pr="00BD7BB1" w:rsidRDefault="00F25110" w:rsidP="00F25110">
      <w:pPr>
        <w:spacing w:after="0" w:line="240" w:lineRule="auto"/>
        <w:rPr>
          <w:rFonts w:ascii="Times New Roman" w:eastAsia="Times New Roman" w:hAnsi="Times New Roman"/>
          <w:i/>
          <w:strike/>
          <w:color w:val="auto"/>
          <w:sz w:val="24"/>
          <w:szCs w:val="24"/>
          <w:lang w:val="bg-BG" w:eastAsia="bg-BG"/>
        </w:rPr>
      </w:pPr>
    </w:p>
    <w:p w:rsidR="00F25110" w:rsidRPr="00BD7BB1" w:rsidRDefault="00F25110" w:rsidP="005D4015">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Образованието е от решаващо значение, тъй като има съществена роля за насърчаване на социалния и икономическия напредък</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През учебната 2014/2015 година броят на детските градини е 288 или с 22 по-малко в сравнение с учебната 2013/2014 година.</w:t>
      </w:r>
      <w:r w:rsidRPr="00BD7BB1">
        <w:rPr>
          <w:rFonts w:ascii="Times New Roman" w:eastAsia="Times New Roman" w:hAnsi="Times New Roman"/>
          <w:color w:val="auto"/>
          <w:sz w:val="24"/>
          <w:szCs w:val="24"/>
          <w:lang w:val="bg-BG" w:eastAsia="bg-BG"/>
        </w:rPr>
        <w:t xml:space="preserve"> Броят на децата, настанени в детски градини през учебната 2014/2015 година, е 37 419 хил., което е със 30 хил., повече от броя им през учебната 2013/2014 година . В ЮИР са разположени 14,4% от общия брой детски градини в страната ( 1 991 хил.).</w:t>
      </w:r>
      <w:r w:rsidRPr="00BD7BB1">
        <w:rPr>
          <w:rFonts w:ascii="Times New Roman" w:eastAsia="Calibri" w:hAnsi="Times New Roman"/>
          <w:color w:val="auto"/>
          <w:sz w:val="24"/>
          <w:szCs w:val="24"/>
          <w:lang w:val="bg-BG"/>
        </w:rPr>
        <w:t xml:space="preserve"> </w:t>
      </w:r>
      <w:r w:rsidRPr="00BD7BB1">
        <w:rPr>
          <w:rFonts w:ascii="Times New Roman" w:eastAsia="Times New Roman" w:hAnsi="Times New Roman"/>
          <w:color w:val="auto"/>
          <w:sz w:val="24"/>
          <w:szCs w:val="24"/>
          <w:lang w:val="bg-BG" w:eastAsia="bg-BG"/>
        </w:rPr>
        <w:t>Най-много детски градини функционират на  територията на област Бургас (114), следвани област Стара Загора (93), област  Сливен (62) и област Ямбол (19).</w:t>
      </w:r>
    </w:p>
    <w:p w:rsidR="00F25110" w:rsidRPr="00BD7BB1" w:rsidRDefault="00F25110" w:rsidP="005D4015">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През учебната 2014/2015 година общият брой общо</w:t>
      </w:r>
      <w:r w:rsidR="00B7039E">
        <w:rPr>
          <w:rFonts w:ascii="Times New Roman" w:eastAsia="Times New Roman" w:hAnsi="Times New Roman"/>
          <w:b/>
          <w:color w:val="auto"/>
          <w:sz w:val="24"/>
          <w:szCs w:val="24"/>
          <w:lang w:val="bg-BG" w:eastAsia="bg-BG"/>
        </w:rPr>
        <w:t xml:space="preserve"> о</w:t>
      </w:r>
      <w:r w:rsidRPr="00BD7BB1">
        <w:rPr>
          <w:rFonts w:ascii="Times New Roman" w:eastAsia="Times New Roman" w:hAnsi="Times New Roman"/>
          <w:b/>
          <w:color w:val="auto"/>
          <w:sz w:val="24"/>
          <w:szCs w:val="24"/>
          <w:lang w:val="bg-BG" w:eastAsia="bg-BG"/>
        </w:rPr>
        <w:t>бразователни и специални училища в ЮИР е  325 или 15,5 % от общия брой в страната ( 2 087 ).</w:t>
      </w:r>
      <w:r w:rsidRPr="00BD7BB1">
        <w:rPr>
          <w:rFonts w:ascii="Times New Roman" w:eastAsia="Times New Roman" w:hAnsi="Times New Roman"/>
          <w:color w:val="auto"/>
          <w:sz w:val="24"/>
          <w:szCs w:val="24"/>
          <w:lang w:val="bg-BG" w:eastAsia="bg-BG"/>
        </w:rPr>
        <w:t xml:space="preserve"> В  сравнение с учебната 2013/2014 г. са намалели с 1 бр. Най-много общобразователни и специални </w:t>
      </w:r>
      <w:r w:rsidRPr="00BD7BB1">
        <w:rPr>
          <w:rFonts w:ascii="Times New Roman" w:eastAsia="Times New Roman" w:hAnsi="Times New Roman"/>
          <w:color w:val="auto"/>
          <w:sz w:val="24"/>
          <w:szCs w:val="24"/>
          <w:lang w:val="bg-BG" w:eastAsia="bg-BG"/>
        </w:rPr>
        <w:lastRenderedPageBreak/>
        <w:t>училища функционират на  територията на област Бургас (325), следвани област Стара Загора (104), област  Сливен (63) и област Ямбол (35). През учебната 2014/2015 г. общият брой завършили общобразователни и специални училища в ЮИР е  6 655 бр. или 14, 6 % от общия брой в страната ( 45 455 б р.) от които за област Бургас  2 524 бр., област Сливен  - 1 118 бр., област Стара Загора – 2 101 бр.  и за област Ямбол 912 бр.  В  сравнение с учебната 2013/2014 г. е увеличен броят на завършилите в ЮИР с 332.</w:t>
      </w:r>
    </w:p>
    <w:p w:rsidR="00F25110" w:rsidRPr="00BD7BB1" w:rsidRDefault="00F25110" w:rsidP="002338D6">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През учебната 2014/2015 г. общият брой училища по  програми за придобиване на III степен професионална квалификация  в ЮИР е  51 бр. или 13, 8 % от общия брой в страната ( 367 бр.).</w:t>
      </w:r>
      <w:r w:rsidRPr="00BD7BB1">
        <w:rPr>
          <w:rFonts w:ascii="Times New Roman" w:eastAsia="Times New Roman" w:hAnsi="Times New Roman"/>
          <w:color w:val="auto"/>
          <w:sz w:val="24"/>
          <w:szCs w:val="24"/>
          <w:lang w:val="bg-BG" w:eastAsia="bg-BG"/>
        </w:rPr>
        <w:t xml:space="preserve"> В  сравнение с учебната 2013/2014 г. са намалели с 1 бр. Най-много функционират на  територията на област</w:t>
      </w:r>
      <w:r w:rsidRPr="00BD7BB1">
        <w:rPr>
          <w:rFonts w:ascii="Times New Roman" w:eastAsia="Calibri" w:hAnsi="Times New Roman"/>
          <w:color w:val="auto"/>
          <w:sz w:val="24"/>
          <w:szCs w:val="24"/>
          <w:lang w:val="bg-BG"/>
        </w:rPr>
        <w:t xml:space="preserve"> </w:t>
      </w:r>
      <w:r w:rsidRPr="00BD7BB1">
        <w:rPr>
          <w:rFonts w:ascii="Times New Roman" w:eastAsia="Times New Roman" w:hAnsi="Times New Roman"/>
          <w:color w:val="auto"/>
          <w:sz w:val="24"/>
          <w:szCs w:val="24"/>
          <w:lang w:val="bg-BG" w:eastAsia="bg-BG"/>
        </w:rPr>
        <w:t>Стара Загора (18), следвани област Бургас (15), област  Сливен (11) и област Ямбол (7).</w:t>
      </w:r>
      <w:r w:rsidRPr="00BD7BB1">
        <w:rPr>
          <w:rFonts w:ascii="Calibri" w:eastAsia="Calibri" w:hAnsi="Calibri"/>
          <w:color w:val="auto"/>
          <w:sz w:val="24"/>
          <w:szCs w:val="24"/>
          <w:lang w:val="bg-BG"/>
        </w:rPr>
        <w:t xml:space="preserve"> </w:t>
      </w:r>
      <w:r w:rsidRPr="00BD7BB1">
        <w:rPr>
          <w:rFonts w:ascii="Times New Roman" w:eastAsia="Times New Roman" w:hAnsi="Times New Roman"/>
          <w:color w:val="auto"/>
          <w:sz w:val="24"/>
          <w:szCs w:val="24"/>
          <w:lang w:val="bg-BG" w:eastAsia="bg-BG"/>
        </w:rPr>
        <w:t>През учебната 2014/2015 г. общият брой завършили III степен професионална квалификация  в ЮИР е  3 321 бр. или 16, 2 % от общия брой в страната ( 20 407 б бр.), от които за област Бургас  1 203 бр., област Сливен  - 526  бр., област Стара Загора – 1 265 бр.  и за област Ямбол 327бр.  В  сравнение с учебната 2013/2014 г. е увеличен броят на завършилите в ЮИР с 32.</w:t>
      </w:r>
    </w:p>
    <w:p w:rsidR="00F25110" w:rsidRPr="00BD7BB1" w:rsidRDefault="00F25110" w:rsidP="002338D6">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През учебната 2014/2015 година общият брой училища по  програми за придобиване на II степен професионална квалификация  в ЮИР е  11 бр. или 14, 8 % от общия брой в страната (74 бр.).</w:t>
      </w:r>
      <w:r w:rsidRPr="00BD7BB1">
        <w:rPr>
          <w:rFonts w:ascii="Times New Roman" w:eastAsia="Times New Roman" w:hAnsi="Times New Roman"/>
          <w:color w:val="auto"/>
          <w:sz w:val="24"/>
          <w:szCs w:val="24"/>
          <w:lang w:val="bg-BG" w:eastAsia="bg-BG"/>
        </w:rPr>
        <w:t xml:space="preserve"> В  сравнение с учебната 2013/2014 година са намалели с 1 бр. Най-много функционират на  територията на област</w:t>
      </w:r>
      <w:r w:rsidRPr="00BD7BB1">
        <w:rPr>
          <w:rFonts w:ascii="Times New Roman" w:eastAsia="Calibri" w:hAnsi="Times New Roman"/>
          <w:color w:val="auto"/>
          <w:sz w:val="24"/>
          <w:szCs w:val="24"/>
          <w:lang w:val="bg-BG"/>
        </w:rPr>
        <w:t xml:space="preserve">  </w:t>
      </w:r>
      <w:r w:rsidRPr="00BD7BB1">
        <w:rPr>
          <w:rFonts w:ascii="Times New Roman" w:eastAsia="Times New Roman" w:hAnsi="Times New Roman"/>
          <w:color w:val="auto"/>
          <w:sz w:val="24"/>
          <w:szCs w:val="24"/>
          <w:lang w:val="bg-BG" w:eastAsia="bg-BG"/>
        </w:rPr>
        <w:t>Стара Загора (5), следвани област Бургас (3) и  област  Ямбол (3 ). На територията на  област Сливен  не функционират такива училища.  През учебната 2014/2015 г. общият брой завършили II степен професионална квалификация  в ЮИР е  753 бр. или 13 % от общия брой в страната ( 5 791 бр.) от които за област Бургас  285 бр., област Сливен  - 98  бр., област Стара Загора – 201 бр.  и за област Ямбол 169 бр.  В  сравнение с учебната 2013/2014 г. е намален броят на завършилите в ЮИР с 129 бр.</w:t>
      </w:r>
    </w:p>
    <w:p w:rsidR="00F25110" w:rsidRPr="00BD7BB1" w:rsidRDefault="00F25110" w:rsidP="002338D6">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Ранното напускане на образованието е пречка за икономическия растеж и заетостта. Недостатъчната квалификация и умения на младите хора, напускащи преждевременно образователната система, водят до намаляване на тяхната производителност и конкурентоспособност и създават сериозни проблеми на пазара на труда.</w:t>
      </w:r>
      <w:r w:rsidRPr="00BD7BB1">
        <w:rPr>
          <w:rFonts w:ascii="Times New Roman" w:eastAsia="Times New Roman" w:hAnsi="Times New Roman"/>
          <w:color w:val="auto"/>
          <w:sz w:val="24"/>
          <w:szCs w:val="24"/>
          <w:lang w:val="bg-BG" w:eastAsia="bg-BG"/>
        </w:rPr>
        <w:tab/>
      </w:r>
    </w:p>
    <w:p w:rsidR="00F25110" w:rsidRPr="00BD7BB1" w:rsidRDefault="00F25110" w:rsidP="002338D6">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lastRenderedPageBreak/>
        <w:t xml:space="preserve">През учебната 2013/2014 година общообразователните училища по различни причини са напуснали 13.8 хил. ученици, от които 11.8 хил. в основното образование. Общо за страната най-голям е относителният дял на учениците, които са напуснали по семейни причини - 5.9 хил., или 42.7% от общия брой на напусналите, следван от дела на заминалите в чужбина - 39.6%, и на напусналите поради нежелание да учат - 10.1%. Учащите I -VIII клас, </w:t>
      </w:r>
      <w:r w:rsidRPr="00BD7BB1">
        <w:rPr>
          <w:rFonts w:ascii="Times New Roman" w:eastAsia="Times New Roman" w:hAnsi="Times New Roman"/>
          <w:b/>
          <w:color w:val="auto"/>
          <w:sz w:val="24"/>
          <w:szCs w:val="24"/>
          <w:lang w:val="bg-BG" w:eastAsia="bg-BG"/>
        </w:rPr>
        <w:t>напуснали общообразователните и специални училища</w:t>
      </w:r>
      <w:r w:rsidRPr="00BD7BB1">
        <w:rPr>
          <w:rFonts w:ascii="Times New Roman" w:eastAsia="Times New Roman" w:hAnsi="Times New Roman"/>
          <w:color w:val="auto"/>
          <w:sz w:val="24"/>
          <w:szCs w:val="24"/>
          <w:lang w:val="bg-BG" w:eastAsia="bg-BG"/>
        </w:rPr>
        <w:t xml:space="preserve"> през учебната 2013/2014 г.  в ЮИР възлизат на 2 193 бр. или 18,3 % (11 962  бр.), от които 604 бр. за област Бургас, </w:t>
      </w:r>
      <w:r w:rsidRPr="00BD7BB1">
        <w:rPr>
          <w:rFonts w:ascii="Times New Roman" w:eastAsia="Times New Roman" w:hAnsi="Times New Roman"/>
          <w:color w:val="auto"/>
          <w:sz w:val="24"/>
          <w:szCs w:val="24"/>
          <w:lang w:val="bg-BG" w:eastAsia="bg-BG"/>
        </w:rPr>
        <w:tab/>
        <w:t>770  бр.за област Сливен,  657  бр.за област Стара Загора и  162 бр. за област Ямбол.  Броят им е намалял в сравнение с предходната учебна година с 258 на ниво ЮИР.</w:t>
      </w:r>
    </w:p>
    <w:p w:rsidR="00F25110" w:rsidRPr="00BD7BB1" w:rsidRDefault="00F25110" w:rsidP="002338D6">
      <w:pPr>
        <w:spacing w:after="0" w:line="360" w:lineRule="auto"/>
        <w:ind w:firstLine="720"/>
        <w:jc w:val="both"/>
        <w:rPr>
          <w:rFonts w:ascii="All Times New Roman" w:eastAsia="Times New Roman" w:hAnsi="All Times New Roman" w:cs="All Times New Roman"/>
          <w:color w:val="auto"/>
          <w:sz w:val="24"/>
          <w:szCs w:val="24"/>
          <w:lang w:val="bg-BG" w:eastAsia="bg-BG"/>
        </w:rPr>
      </w:pPr>
      <w:r w:rsidRPr="00BD7BB1">
        <w:rPr>
          <w:rFonts w:ascii="All Times New Roman" w:eastAsia="Times New Roman" w:hAnsi="All Times New Roman" w:cs="All Times New Roman"/>
          <w:b/>
          <w:color w:val="auto"/>
          <w:sz w:val="24"/>
          <w:szCs w:val="24"/>
          <w:lang w:val="bg-BG" w:eastAsia="bg-BG"/>
        </w:rPr>
        <w:t>Относителен дял на рано напусналите образование и обучение (18 - 24 г.)</w:t>
      </w:r>
      <w:r w:rsidRPr="00BD7BB1">
        <w:rPr>
          <w:rFonts w:ascii="All Times New Roman" w:eastAsia="Times New Roman" w:hAnsi="All Times New Roman" w:cs="All Times New Roman"/>
          <w:color w:val="auto"/>
          <w:sz w:val="24"/>
          <w:szCs w:val="24"/>
          <w:lang w:val="bg-BG" w:eastAsia="bg-BG"/>
        </w:rPr>
        <w:t xml:space="preserve"> </w:t>
      </w:r>
      <w:r w:rsidRPr="00BD7BB1">
        <w:rPr>
          <w:rFonts w:ascii="All Times New Roman" w:eastAsia="Times New Roman" w:hAnsi="All Times New Roman" w:cs="All Times New Roman"/>
          <w:b/>
          <w:color w:val="auto"/>
          <w:sz w:val="24"/>
          <w:szCs w:val="24"/>
          <w:lang w:val="bg-BG" w:eastAsia="bg-BG"/>
        </w:rPr>
        <w:t xml:space="preserve">за ЮИР през 2012г. е 21,1 %, </w:t>
      </w:r>
      <w:r w:rsidRPr="00BD7BB1">
        <w:rPr>
          <w:rFonts w:ascii="All Times New Roman" w:eastAsia="Times New Roman" w:hAnsi="All Times New Roman" w:cs="All Times New Roman"/>
          <w:color w:val="auto"/>
          <w:sz w:val="24"/>
          <w:szCs w:val="24"/>
          <w:lang w:val="bg-BG" w:eastAsia="bg-BG"/>
        </w:rPr>
        <w:t>в сравнение с предходната година се забелязва тенденция на покачване с 1,7%. По този показател ЮИР е на последно място сред  район</w:t>
      </w:r>
      <w:r w:rsidR="008740D8">
        <w:rPr>
          <w:rFonts w:ascii="All Times New Roman" w:eastAsia="Times New Roman" w:hAnsi="All Times New Roman" w:cs="All Times New Roman"/>
          <w:color w:val="auto"/>
          <w:sz w:val="24"/>
          <w:szCs w:val="24"/>
          <w:lang w:val="bg-BG" w:eastAsia="bg-BG"/>
        </w:rPr>
        <w:t>ите</w:t>
      </w:r>
      <w:r w:rsidRPr="00BD7BB1">
        <w:rPr>
          <w:rFonts w:ascii="All Times New Roman" w:eastAsia="Times New Roman" w:hAnsi="All Times New Roman" w:cs="All Times New Roman"/>
          <w:color w:val="auto"/>
          <w:sz w:val="24"/>
          <w:szCs w:val="24"/>
          <w:lang w:val="bg-BG" w:eastAsia="bg-BG"/>
        </w:rPr>
        <w:t xml:space="preserve"> в страната, а  на първо  ЮЗР с 4 %. Националната цел е относителният дял на рано напусналите образование и обучение (18 - 24 г. ) да достигне 11 % до 2020 година. Повечето млади хора преминават през формалната образователна система и осъществяват преход към по-нататъшно образование или към заетост. Резултатите от наблюдение през 2012 г. показват, че делът на преждевременно напусналите училище на възраст 18-24 години в България е 12.5% Това означава, че </w:t>
      </w:r>
      <w:r w:rsidRPr="00BD7BB1">
        <w:rPr>
          <w:rFonts w:ascii="All Times New Roman" w:eastAsia="Times New Roman" w:hAnsi="All Times New Roman" w:cs="All Times New Roman"/>
          <w:b/>
          <w:color w:val="auto"/>
          <w:sz w:val="24"/>
          <w:szCs w:val="24"/>
          <w:lang w:val="bg-BG" w:eastAsia="bg-BG"/>
        </w:rPr>
        <w:t xml:space="preserve">всеки седми/осми младеж в България </w:t>
      </w:r>
      <w:r w:rsidRPr="00BD7BB1">
        <w:rPr>
          <w:rFonts w:ascii="All Times New Roman" w:eastAsia="Times New Roman" w:hAnsi="All Times New Roman" w:cs="All Times New Roman"/>
          <w:color w:val="auto"/>
          <w:sz w:val="24"/>
          <w:szCs w:val="24"/>
          <w:lang w:val="bg-BG" w:eastAsia="bg-BG"/>
        </w:rPr>
        <w:t xml:space="preserve">е напуснал училище преди да завърши средното си образование. Тази стойност е близка до средноевропейските равнища. Според данни на ЕВРОСТАТ през 2012 г. пет от общо шестте района на икономическо планиране в България се характеризират със стойности на преждевременно напуснали училище (ПНУ), които са по-високи от средното за страната с между 1.1 и 8.3 %. Най-висок е делът на тази групата съответно в </w:t>
      </w:r>
      <w:r w:rsidRPr="00BD7BB1">
        <w:rPr>
          <w:rFonts w:ascii="All Times New Roman" w:eastAsia="Times New Roman" w:hAnsi="All Times New Roman" w:cs="All Times New Roman"/>
          <w:b/>
          <w:color w:val="auto"/>
          <w:sz w:val="24"/>
          <w:szCs w:val="24"/>
          <w:lang w:val="bg-BG" w:eastAsia="bg-BG"/>
        </w:rPr>
        <w:t>Югоизточен и Северозападен райони</w:t>
      </w:r>
      <w:r w:rsidRPr="00BD7BB1">
        <w:rPr>
          <w:rFonts w:ascii="All Times New Roman" w:eastAsia="Times New Roman" w:hAnsi="All Times New Roman" w:cs="All Times New Roman"/>
          <w:color w:val="auto"/>
          <w:sz w:val="24"/>
          <w:szCs w:val="24"/>
          <w:lang w:val="bg-BG" w:eastAsia="bg-BG"/>
        </w:rPr>
        <w:t xml:space="preserve"> на планиране, в които почти </w:t>
      </w:r>
      <w:r w:rsidRPr="00BD7BB1">
        <w:rPr>
          <w:rFonts w:ascii="All Times New Roman" w:eastAsia="Times New Roman" w:hAnsi="All Times New Roman" w:cs="All Times New Roman"/>
          <w:b/>
          <w:color w:val="auto"/>
          <w:sz w:val="24"/>
          <w:szCs w:val="24"/>
          <w:lang w:val="bg-BG" w:eastAsia="bg-BG"/>
        </w:rPr>
        <w:t xml:space="preserve">всеки пети/шести </w:t>
      </w:r>
      <w:r w:rsidRPr="00BD7BB1">
        <w:rPr>
          <w:rFonts w:ascii="All Times New Roman" w:eastAsia="Times New Roman" w:hAnsi="All Times New Roman" w:cs="All Times New Roman"/>
          <w:color w:val="auto"/>
          <w:sz w:val="24"/>
          <w:szCs w:val="24"/>
          <w:lang w:val="bg-BG" w:eastAsia="bg-BG"/>
        </w:rPr>
        <w:t xml:space="preserve">(21.1% и 20.8%) e без средно образование и не участва в никаква форма на образование или обучение. Следва да се отбележи, че тези драстични междурегионални различия, се дължат не толкова на нарастване на абсолютния брой на ПНУ, а по-скоро на  </w:t>
      </w:r>
      <w:r w:rsidRPr="00BD7BB1">
        <w:rPr>
          <w:rFonts w:ascii="All Times New Roman" w:eastAsia="Times New Roman" w:hAnsi="All Times New Roman" w:cs="All Times New Roman"/>
          <w:b/>
          <w:color w:val="auto"/>
          <w:sz w:val="24"/>
          <w:szCs w:val="24"/>
          <w:lang w:val="bg-BG" w:eastAsia="bg-BG"/>
        </w:rPr>
        <w:t>миграцията на хората с  висше образование към големите градски агломерации и  дори извън страната</w:t>
      </w:r>
      <w:r w:rsidRPr="00BD7BB1">
        <w:rPr>
          <w:rFonts w:ascii="All Times New Roman" w:eastAsia="Times New Roman" w:hAnsi="All Times New Roman" w:cs="All Times New Roman"/>
          <w:color w:val="auto"/>
          <w:sz w:val="24"/>
          <w:szCs w:val="24"/>
          <w:lang w:val="bg-BG" w:eastAsia="bg-BG"/>
        </w:rPr>
        <w:t xml:space="preserve">, което увеличава относителния дял на ПНУ  в по-слабо развитите райони и такива,в които са силно развити сезонните отрасли. </w:t>
      </w:r>
    </w:p>
    <w:p w:rsidR="00F25110" w:rsidRPr="00BD7BB1" w:rsidRDefault="00F25110" w:rsidP="002338D6">
      <w:pPr>
        <w:spacing w:after="0" w:line="360" w:lineRule="auto"/>
        <w:ind w:firstLine="720"/>
        <w:jc w:val="both"/>
        <w:rPr>
          <w:rFonts w:ascii="All Times New Roman" w:eastAsia="Times New Roman" w:hAnsi="All Times New Roman" w:cs="All Times New Roman"/>
          <w:color w:val="auto"/>
          <w:sz w:val="24"/>
          <w:szCs w:val="24"/>
          <w:lang w:val="bg-BG" w:eastAsia="bg-BG"/>
        </w:rPr>
      </w:pPr>
      <w:r w:rsidRPr="00BD7BB1">
        <w:rPr>
          <w:rFonts w:ascii="All Times New Roman" w:eastAsia="Times New Roman" w:hAnsi="All Times New Roman" w:cs="All Times New Roman"/>
          <w:b/>
          <w:color w:val="auto"/>
          <w:sz w:val="24"/>
          <w:szCs w:val="24"/>
          <w:lang w:val="bg-BG" w:eastAsia="bg-BG"/>
        </w:rPr>
        <w:lastRenderedPageBreak/>
        <w:t>Икономическият растеж трябва да бъде постигнат на базата на знания и иновации.</w:t>
      </w:r>
      <w:r w:rsidRPr="00BD7BB1">
        <w:rPr>
          <w:rFonts w:ascii="All Times New Roman" w:eastAsia="Times New Roman" w:hAnsi="All Times New Roman" w:cs="All Times New Roman"/>
          <w:color w:val="auto"/>
          <w:sz w:val="24"/>
          <w:szCs w:val="24"/>
          <w:lang w:val="bg-BG" w:eastAsia="bg-BG"/>
        </w:rPr>
        <w:t xml:space="preserve"> Водеща роля в това отношение има висшето образование (или равностойно на него), тъй като осигурява висококвалифицирана работна сила, необходима за реализирането на напр</w:t>
      </w:r>
      <w:r w:rsidR="00CC0F82">
        <w:rPr>
          <w:rFonts w:ascii="All Times New Roman" w:eastAsia="Times New Roman" w:hAnsi="All Times New Roman" w:cs="All Times New Roman"/>
          <w:color w:val="auto"/>
          <w:sz w:val="24"/>
          <w:szCs w:val="24"/>
          <w:lang w:val="bg-BG" w:eastAsia="bg-BG"/>
        </w:rPr>
        <w:t>едък в научноразвойната дейност</w:t>
      </w:r>
      <w:r w:rsidRPr="00BD7BB1">
        <w:rPr>
          <w:rFonts w:ascii="All Times New Roman" w:eastAsia="Times New Roman" w:hAnsi="All Times New Roman" w:cs="All Times New Roman"/>
          <w:color w:val="auto"/>
          <w:sz w:val="24"/>
          <w:szCs w:val="24"/>
          <w:lang w:val="bg-BG" w:eastAsia="bg-BG"/>
        </w:rPr>
        <w:t xml:space="preserve"> и предоставя на хората уменията и квалификациите. През учебната 2014/2015 година </w:t>
      </w:r>
      <w:r w:rsidRPr="00BD7BB1">
        <w:rPr>
          <w:rFonts w:ascii="All Times New Roman" w:eastAsia="Times New Roman" w:hAnsi="All Times New Roman" w:cs="All Times New Roman"/>
          <w:b/>
          <w:color w:val="auto"/>
          <w:sz w:val="24"/>
          <w:szCs w:val="24"/>
          <w:lang w:val="bg-BG" w:eastAsia="bg-BG"/>
        </w:rPr>
        <w:t xml:space="preserve">общият брой на студентите в България, включващ записаните в четирите образователно-квалификационни степени </w:t>
      </w:r>
      <w:r w:rsidRPr="00BD7BB1">
        <w:rPr>
          <w:rFonts w:ascii="All Times New Roman" w:eastAsia="Times New Roman" w:hAnsi="All Times New Roman" w:cs="All Times New Roman"/>
          <w:color w:val="auto"/>
          <w:sz w:val="24"/>
          <w:szCs w:val="24"/>
          <w:lang w:val="bg-BG" w:eastAsia="bg-BG"/>
        </w:rPr>
        <w:t>(„професионален бакалавър”, „бакалавър”, „магистър” и „доктор”), възлиза на 279.0 хил., което е с 6.3 хил., или с 2.2% по-малко в сравнение с учебната 2010/2011 година и с 1.5% по-малко в сравнение с предходната учебна година. От 2005 до 2009 г. относителният дял на населението на възраст 30 - 34 навършени години, завършил</w:t>
      </w:r>
      <w:r w:rsidR="000954A9">
        <w:rPr>
          <w:rFonts w:ascii="All Times New Roman" w:eastAsia="Times New Roman" w:hAnsi="All Times New Roman" w:cs="All Times New Roman"/>
          <w:color w:val="auto"/>
          <w:sz w:val="24"/>
          <w:szCs w:val="24"/>
          <w:lang w:val="bg-BG" w:eastAsia="bg-BG"/>
        </w:rPr>
        <w:t>и</w:t>
      </w:r>
      <w:r w:rsidRPr="00BD7BB1">
        <w:rPr>
          <w:rFonts w:ascii="All Times New Roman" w:eastAsia="Times New Roman" w:hAnsi="All Times New Roman" w:cs="All Times New Roman"/>
          <w:color w:val="auto"/>
          <w:sz w:val="24"/>
          <w:szCs w:val="24"/>
          <w:lang w:val="bg-BG" w:eastAsia="bg-BG"/>
        </w:rPr>
        <w:t xml:space="preserve"> висше образование в страната, плавно се увеличава - от 24.9 на 27.9%. През следващите три години следва лек спад, но по данните от 2013 г. се вижда, че този дял е достигнал 29.4%, като е по-висок при жените в сравнение с дела при мъжете - съответно 37.6 и 21.8%. </w:t>
      </w:r>
      <w:r w:rsidRPr="00BD7BB1">
        <w:rPr>
          <w:rFonts w:ascii="All Times New Roman" w:eastAsia="Times New Roman" w:hAnsi="All Times New Roman" w:cs="All Times New Roman"/>
          <w:b/>
          <w:color w:val="auto"/>
          <w:sz w:val="24"/>
          <w:szCs w:val="24"/>
          <w:lang w:val="bg-BG" w:eastAsia="bg-BG"/>
        </w:rPr>
        <w:t>През 2012 г. делът за ЮИР възлиза на 24,4 % и отрежда района на трето място.</w:t>
      </w:r>
      <w:r w:rsidRPr="00BD7BB1">
        <w:rPr>
          <w:rFonts w:ascii="All Times New Roman" w:eastAsia="Times New Roman" w:hAnsi="All Times New Roman" w:cs="All Times New Roman"/>
          <w:color w:val="auto"/>
          <w:sz w:val="24"/>
          <w:szCs w:val="24"/>
          <w:lang w:val="bg-BG" w:eastAsia="bg-BG"/>
        </w:rPr>
        <w:t xml:space="preserve"> Сред районите в страната с най-висок дял е ЮЗР ( 36,9 % ), надхвърлящ националната цел до 2020 г, а с най-нисъ</w:t>
      </w:r>
      <w:r w:rsidR="00387369">
        <w:rPr>
          <w:rFonts w:ascii="All Times New Roman" w:eastAsia="Times New Roman" w:hAnsi="All Times New Roman" w:cs="All Times New Roman"/>
          <w:color w:val="auto"/>
          <w:sz w:val="24"/>
          <w:szCs w:val="24"/>
          <w:lang w:val="bg-BG" w:eastAsia="bg-BG"/>
        </w:rPr>
        <w:t>к е ЮЦР.  с 17,6 , два пъти по-</w:t>
      </w:r>
      <w:r w:rsidRPr="00BD7BB1">
        <w:rPr>
          <w:rFonts w:ascii="All Times New Roman" w:eastAsia="Times New Roman" w:hAnsi="All Times New Roman" w:cs="All Times New Roman"/>
          <w:color w:val="auto"/>
          <w:sz w:val="24"/>
          <w:szCs w:val="24"/>
          <w:lang w:val="bg-BG" w:eastAsia="bg-BG"/>
        </w:rPr>
        <w:t>ниска от националната цел. Националната цел е относителният дял на населението на възраст 30 - 34 години със завършено висше образование да достигне 36.0% до 2020 година. Относителен дял на населениeто на възраст между 25 -64 г.  с висше образование през 2013 г. сред областите в ЮИР е най-висок в област Ямбол с 24,2 %, следвана от област Сливен с 20,5 %, област Бургас с 20,2 % и област Стара Загора с 19,5 %. В сравнение с предходната година единствено област Стара Загора отчита спад с 1 %, останалите области от ЮИР отчитат ръст от 1,6 до 1,8 %.</w:t>
      </w:r>
    </w:p>
    <w:p w:rsidR="00F25110" w:rsidRPr="00BD7BB1" w:rsidRDefault="00F25110" w:rsidP="002338D6">
      <w:pPr>
        <w:spacing w:after="0" w:line="360" w:lineRule="auto"/>
        <w:ind w:firstLine="720"/>
        <w:jc w:val="both"/>
        <w:rPr>
          <w:rFonts w:ascii="Times New Roman" w:eastAsia="Times New Roman" w:hAnsi="Times New Roman"/>
          <w:color w:val="auto"/>
          <w:sz w:val="24"/>
          <w:szCs w:val="24"/>
          <w:lang w:val="bg-BG" w:eastAsia="bg-BG"/>
        </w:rPr>
      </w:pPr>
      <w:r w:rsidRPr="00BD7BB1">
        <w:rPr>
          <w:rFonts w:ascii="All Times New Roman" w:eastAsia="Times New Roman" w:hAnsi="All Times New Roman" w:cs="All Times New Roman"/>
          <w:color w:val="auto"/>
          <w:sz w:val="24"/>
          <w:szCs w:val="24"/>
          <w:lang w:val="bg-BG" w:eastAsia="bg-BG"/>
        </w:rPr>
        <w:t>Общият брой у</w:t>
      </w:r>
      <w:r w:rsidRPr="00BD7BB1">
        <w:rPr>
          <w:rFonts w:ascii="All Times New Roman" w:eastAsia="Times New Roman" w:hAnsi="All Times New Roman" w:cs="All Times New Roman"/>
          <w:b/>
          <w:i/>
          <w:color w:val="auto"/>
          <w:sz w:val="24"/>
          <w:szCs w:val="24"/>
          <w:lang w:val="bg-BG" w:eastAsia="bg-BG"/>
        </w:rPr>
        <w:t>ниверситети и специализирани висши училища</w:t>
      </w:r>
      <w:r w:rsidRPr="00BD7BB1">
        <w:rPr>
          <w:rFonts w:ascii="All Times New Roman" w:eastAsia="Times New Roman" w:hAnsi="All Times New Roman" w:cs="All Times New Roman"/>
          <w:color w:val="auto"/>
          <w:sz w:val="24"/>
          <w:szCs w:val="24"/>
          <w:lang w:val="bg-BG" w:eastAsia="bg-BG"/>
        </w:rPr>
        <w:t xml:space="preserve"> през учебната 2013/2014 година в страната и района остава непроменен - 45 бр. за страната и 3 бр. за ЮИР . </w:t>
      </w:r>
    </w:p>
    <w:p w:rsidR="00F25110" w:rsidRPr="00BD7BB1" w:rsidRDefault="00F25110" w:rsidP="00D76B34">
      <w:pPr>
        <w:spacing w:after="0" w:line="360" w:lineRule="auto"/>
        <w:ind w:firstLine="720"/>
        <w:jc w:val="both"/>
        <w:rPr>
          <w:rFonts w:ascii="All Times New Roman" w:eastAsia="Times New Roman" w:hAnsi="All Times New Roman" w:cs="All Times New Roman"/>
          <w:color w:val="auto"/>
          <w:sz w:val="24"/>
          <w:szCs w:val="24"/>
          <w:lang w:val="bg-BG" w:eastAsia="bg-BG"/>
        </w:rPr>
      </w:pPr>
      <w:r w:rsidRPr="00BD7BB1">
        <w:rPr>
          <w:rFonts w:ascii="All Times New Roman" w:eastAsia="Times New Roman" w:hAnsi="All Times New Roman" w:cs="All Times New Roman"/>
          <w:b/>
          <w:color w:val="auto"/>
          <w:sz w:val="24"/>
          <w:szCs w:val="24"/>
          <w:lang w:val="bg-BG" w:eastAsia="bg-BG"/>
        </w:rPr>
        <w:t>През 2013 г. в Югоизточен район са разположени 49 бр. или 14,3 % от лечебните заведения за болнична помощ в страната  (342 бр.).</w:t>
      </w:r>
      <w:r w:rsidRPr="00BD7BB1">
        <w:rPr>
          <w:rFonts w:ascii="All Times New Roman" w:eastAsia="Times New Roman" w:hAnsi="All Times New Roman" w:cs="All Times New Roman"/>
          <w:color w:val="auto"/>
          <w:sz w:val="24"/>
          <w:szCs w:val="24"/>
          <w:lang w:val="bg-BG" w:eastAsia="bg-BG"/>
        </w:rPr>
        <w:t xml:space="preserve"> През последните три години</w:t>
      </w:r>
      <w:r w:rsidRPr="00BD7BB1">
        <w:rPr>
          <w:rFonts w:ascii="Times New Roman" w:eastAsia="Times New Roman" w:hAnsi="Times New Roman"/>
          <w:color w:val="auto"/>
          <w:sz w:val="24"/>
          <w:szCs w:val="24"/>
          <w:lang w:val="bg-BG" w:eastAsia="bg-BG"/>
        </w:rPr>
        <w:t xml:space="preserve"> б</w:t>
      </w:r>
      <w:r w:rsidRPr="00BD7BB1">
        <w:rPr>
          <w:rFonts w:ascii="All Times New Roman" w:eastAsia="Times New Roman" w:hAnsi="All Times New Roman" w:cs="All Times New Roman"/>
          <w:color w:val="auto"/>
          <w:sz w:val="24"/>
          <w:szCs w:val="24"/>
          <w:lang w:val="bg-BG" w:eastAsia="bg-BG"/>
        </w:rPr>
        <w:t xml:space="preserve">роят им остава непроменен за района. Лечебните заведения за извънболнична помощ в ЮИР са 261 бр. или 13, 9% от общо за страната ( 1 886) и с 12 бр. повече в сравнение с 2012 г.  Броят на др.лечебни и здравни заведения е 17 бр. или 11,7 % от </w:t>
      </w:r>
      <w:r w:rsidRPr="00BD7BB1">
        <w:rPr>
          <w:rFonts w:ascii="All Times New Roman" w:eastAsia="Times New Roman" w:hAnsi="All Times New Roman" w:cs="All Times New Roman"/>
          <w:color w:val="auto"/>
          <w:sz w:val="24"/>
          <w:szCs w:val="24"/>
          <w:lang w:val="bg-BG" w:eastAsia="bg-BG"/>
        </w:rPr>
        <w:lastRenderedPageBreak/>
        <w:t xml:space="preserve">общите за страната  (145) и с 1 повече в сравнение с 2012г.    </w:t>
      </w:r>
      <w:r w:rsidRPr="00BD7BB1">
        <w:rPr>
          <w:rFonts w:ascii="Times New Roman" w:eastAsia="Times New Roman" w:hAnsi="Times New Roman"/>
          <w:bCs/>
          <w:color w:val="auto"/>
          <w:sz w:val="24"/>
          <w:szCs w:val="24"/>
          <w:lang w:val="bg-BG"/>
        </w:rPr>
        <w:t xml:space="preserve">Във вътрешно - регионален план голяма част от здравната мрежа продължава да се концентрира в областите Бургас и Стара Загора  и по-малко в областите Сливен и Ямбол. </w:t>
      </w:r>
    </w:p>
    <w:p w:rsidR="00F25110" w:rsidRPr="00BD7BB1" w:rsidRDefault="00F25110" w:rsidP="00380072">
      <w:pPr>
        <w:spacing w:after="0" w:line="360" w:lineRule="auto"/>
        <w:ind w:firstLine="720"/>
        <w:jc w:val="both"/>
        <w:rPr>
          <w:rFonts w:ascii="Times New Roman" w:eastAsia="Times New Roman" w:hAnsi="Times New Roman"/>
          <w:bCs/>
          <w:color w:val="auto"/>
          <w:sz w:val="24"/>
          <w:szCs w:val="24"/>
          <w:lang w:val="bg-BG" w:eastAsia="bg-BG"/>
        </w:rPr>
      </w:pPr>
      <w:r w:rsidRPr="00BD7BB1">
        <w:rPr>
          <w:rFonts w:ascii="All Times New Roman" w:eastAsia="Times New Roman" w:hAnsi="All Times New Roman" w:cs="All Times New Roman"/>
          <w:b/>
          <w:color w:val="auto"/>
          <w:sz w:val="24"/>
          <w:szCs w:val="24"/>
          <w:lang w:val="bg-BG" w:eastAsia="bg-BG"/>
        </w:rPr>
        <w:t>Броят  на населението на един лекар</w:t>
      </w:r>
      <w:r w:rsidRPr="00BD7BB1">
        <w:rPr>
          <w:rFonts w:ascii="All Times New Roman" w:eastAsia="Times New Roman" w:hAnsi="All Times New Roman" w:cs="All Times New Roman"/>
          <w:color w:val="auto"/>
          <w:sz w:val="24"/>
          <w:szCs w:val="24"/>
          <w:lang w:val="bg-BG" w:eastAsia="bg-BG"/>
        </w:rPr>
        <w:t xml:space="preserve"> в района през последните 8 години намалява и в края на 2013 г.  възлиза на 295 души (250 души за страната ). Намалява и </w:t>
      </w:r>
      <w:r w:rsidRPr="00BD7BB1">
        <w:rPr>
          <w:rFonts w:ascii="All Times New Roman" w:eastAsia="Times New Roman" w:hAnsi="All Times New Roman" w:cs="All Times New Roman"/>
          <w:b/>
          <w:i/>
          <w:color w:val="auto"/>
          <w:sz w:val="24"/>
          <w:szCs w:val="24"/>
          <w:lang w:val="bg-BG" w:eastAsia="bg-BG"/>
        </w:rPr>
        <w:t>броят на населението на лекар по дентална медицина</w:t>
      </w:r>
      <w:r w:rsidRPr="00BD7BB1">
        <w:rPr>
          <w:rFonts w:ascii="All Times New Roman" w:eastAsia="Times New Roman" w:hAnsi="All Times New Roman" w:cs="All Times New Roman"/>
          <w:color w:val="auto"/>
          <w:sz w:val="24"/>
          <w:szCs w:val="24"/>
          <w:lang w:val="bg-BG" w:eastAsia="bg-BG"/>
        </w:rPr>
        <w:t xml:space="preserve"> и в края на 2012 г. възлиза на 1 198 души (1 000 души за страната ). Във вътрешно регионален аспект п</w:t>
      </w:r>
      <w:r w:rsidRPr="00BD7BB1">
        <w:rPr>
          <w:rFonts w:ascii="Times New Roman" w:eastAsia="Times New Roman" w:hAnsi="Times New Roman"/>
          <w:bCs/>
          <w:color w:val="auto"/>
          <w:sz w:val="24"/>
          <w:szCs w:val="24"/>
          <w:lang w:val="bg-BG" w:eastAsia="bg-BG"/>
        </w:rPr>
        <w:t>оказателите са най-ниски в област Стара Загора, поради по-големия брой лекари и лекари с дентална медицина обслужващи населението в областта. През 2013 г. броят  на населението на един лекар в област Бургас възлиза на 341 души, в област Сливен е 313 души, в област Ст.Загора е 235 души, а в област Ямбол е  326 души. Броят на населението на лекар по дентална медицина в област Бургас възлиза на  1 328 души, в област Сливен е 1 469 души, в област Ст.Загора е 1 010 души, а в област Ямбол е  1 069 души.</w:t>
      </w:r>
    </w:p>
    <w:p w:rsidR="00F25110" w:rsidRPr="00BB2F5B" w:rsidRDefault="00F25110" w:rsidP="00BB2F5B">
      <w:pPr>
        <w:spacing w:after="0" w:line="360" w:lineRule="auto"/>
        <w:ind w:firstLine="708"/>
        <w:jc w:val="both"/>
        <w:rPr>
          <w:rFonts w:ascii="Times New Roman" w:eastAsia="Times New Roman" w:hAnsi="Times New Roman"/>
          <w:b/>
          <w:bCs/>
          <w:color w:val="auto"/>
          <w:sz w:val="24"/>
          <w:szCs w:val="24"/>
          <w:lang w:val="bg-BG" w:eastAsia="bg-BG"/>
        </w:rPr>
      </w:pPr>
      <w:r w:rsidRPr="00BD7BB1">
        <w:rPr>
          <w:rFonts w:ascii="Times New Roman" w:eastAsia="Times New Roman" w:hAnsi="Times New Roman"/>
          <w:b/>
          <w:bCs/>
          <w:color w:val="auto"/>
          <w:sz w:val="24"/>
          <w:szCs w:val="24"/>
          <w:lang w:val="bg-BG" w:eastAsia="bg-BG"/>
        </w:rPr>
        <w:t>През 2013 г. общият  доход средно на лице от домакинството в ЮИР възлиза на  4 375  лв., при средно за страната 4 813 лв.</w:t>
      </w:r>
      <w:r w:rsidRPr="00BD7BB1">
        <w:rPr>
          <w:rFonts w:ascii="Calibri" w:eastAsia="Calibri" w:hAnsi="Calibri"/>
          <w:b/>
          <w:color w:val="auto"/>
          <w:sz w:val="24"/>
          <w:szCs w:val="24"/>
          <w:lang w:val="bg-BG"/>
        </w:rPr>
        <w:t xml:space="preserve"> </w:t>
      </w:r>
      <w:r w:rsidRPr="00BD7BB1">
        <w:rPr>
          <w:rFonts w:ascii="Times New Roman" w:eastAsia="Times New Roman" w:hAnsi="Times New Roman"/>
          <w:b/>
          <w:bCs/>
          <w:color w:val="auto"/>
          <w:sz w:val="24"/>
          <w:szCs w:val="24"/>
          <w:lang w:val="bg-BG" w:eastAsia="bg-BG"/>
        </w:rPr>
        <w:t>и повишен  в сравнение с 2013  г. с 96 лв. за района и почти непроменен за страната.</w:t>
      </w:r>
      <w:r w:rsidRPr="00BD7BB1">
        <w:rPr>
          <w:rFonts w:ascii="Times New Roman" w:eastAsia="Times New Roman" w:hAnsi="Times New Roman"/>
          <w:bCs/>
          <w:color w:val="auto"/>
          <w:sz w:val="24"/>
          <w:szCs w:val="24"/>
          <w:lang w:val="bg-BG" w:eastAsia="bg-BG"/>
        </w:rPr>
        <w:t xml:space="preserve"> Във вътрешно регионален план най-висок е показателят за област Стара Загора (4 957лв.), следван от област Бургас (4 182лв.) и област Ямбол (4 133 лв.). Най -нисък е показателят з</w:t>
      </w:r>
      <w:r w:rsidR="00EC6304">
        <w:rPr>
          <w:rFonts w:ascii="Times New Roman" w:eastAsia="Times New Roman" w:hAnsi="Times New Roman"/>
          <w:bCs/>
          <w:color w:val="auto"/>
          <w:sz w:val="24"/>
          <w:szCs w:val="24"/>
          <w:lang w:val="bg-BG" w:eastAsia="bg-BG"/>
        </w:rPr>
        <w:t xml:space="preserve">а област Сливен (4 017  лв.). В  сравнение </w:t>
      </w:r>
      <w:r w:rsidRPr="00BD7BB1">
        <w:rPr>
          <w:rFonts w:ascii="Times New Roman" w:eastAsia="Times New Roman" w:hAnsi="Times New Roman"/>
          <w:bCs/>
          <w:color w:val="auto"/>
          <w:sz w:val="24"/>
          <w:szCs w:val="24"/>
          <w:lang w:val="bg-BG" w:eastAsia="bg-BG"/>
        </w:rPr>
        <w:t>с 2013 г. само област Сливен отчита ръст с 1 003 лв., а останалите области се отчита  спад с 52 лв. за област Бургас и  80 лв. за област Стара Загора. Най-висок е спада на доходите за област Ямбол с  439 и поради това отстъпва заеманото второ място през 2013 г.  Въпреки нерегистрирания спад през  2014 г.,  ЮИР отстъпва заеманото второ място през 2013 г. на СИР (4 519 лв.) и СЗР (4 398  лв.), поради отчетеният ръст от   397 лв. за СИР и 277 лв. за СЗР. Сред районите в страната, въпреки отчетения спад с 254 лв. , продължава да заема първо място ЮЗР с 5 918 лв.</w:t>
      </w:r>
      <w:r w:rsidRPr="00BD7BB1">
        <w:rPr>
          <w:rFonts w:ascii="Times New Roman" w:eastAsia="Times New Roman" w:hAnsi="Times New Roman"/>
          <w:bCs/>
          <w:color w:val="auto"/>
          <w:sz w:val="24"/>
          <w:szCs w:val="24"/>
          <w:lang w:val="bg-BG" w:eastAsia="bg-BG"/>
        </w:rPr>
        <w:tab/>
      </w:r>
      <w:r w:rsidRPr="00BD7BB1">
        <w:rPr>
          <w:rFonts w:ascii="Times New Roman" w:eastAsia="Times New Roman" w:hAnsi="Times New Roman"/>
          <w:bCs/>
          <w:color w:val="auto"/>
          <w:sz w:val="24"/>
          <w:szCs w:val="24"/>
          <w:lang w:val="bg-BG" w:eastAsia="bg-BG"/>
        </w:rPr>
        <w:tab/>
      </w:r>
    </w:p>
    <w:p w:rsidR="002338D6" w:rsidRDefault="002338D6" w:rsidP="00F25110">
      <w:pPr>
        <w:spacing w:after="0" w:line="360" w:lineRule="auto"/>
        <w:ind w:firstLine="708"/>
        <w:jc w:val="both"/>
        <w:rPr>
          <w:rFonts w:ascii="Times New Roman" w:eastAsia="Times New Roman" w:hAnsi="Times New Roman"/>
          <w:bCs/>
          <w:color w:val="auto"/>
          <w:sz w:val="24"/>
          <w:szCs w:val="24"/>
          <w:lang w:val="bg-BG" w:eastAsia="bg-BG"/>
        </w:rPr>
      </w:pPr>
    </w:p>
    <w:p w:rsidR="002338D6" w:rsidRDefault="002338D6" w:rsidP="00F25110">
      <w:pPr>
        <w:spacing w:after="0" w:line="360" w:lineRule="auto"/>
        <w:ind w:firstLine="708"/>
        <w:jc w:val="both"/>
        <w:rPr>
          <w:rFonts w:ascii="Times New Roman" w:eastAsia="Times New Roman" w:hAnsi="Times New Roman"/>
          <w:bCs/>
          <w:color w:val="auto"/>
          <w:sz w:val="24"/>
          <w:szCs w:val="24"/>
          <w:lang w:val="bg-BG" w:eastAsia="bg-BG"/>
        </w:rPr>
      </w:pPr>
    </w:p>
    <w:p w:rsidR="002338D6" w:rsidRDefault="002338D6" w:rsidP="00F25110">
      <w:pPr>
        <w:spacing w:after="0" w:line="360" w:lineRule="auto"/>
        <w:ind w:firstLine="708"/>
        <w:jc w:val="both"/>
        <w:rPr>
          <w:rFonts w:ascii="Times New Roman" w:eastAsia="Times New Roman" w:hAnsi="Times New Roman"/>
          <w:bCs/>
          <w:color w:val="auto"/>
          <w:sz w:val="24"/>
          <w:szCs w:val="24"/>
          <w:lang w:val="bg-BG" w:eastAsia="bg-BG"/>
        </w:rPr>
      </w:pPr>
    </w:p>
    <w:p w:rsidR="002338D6" w:rsidRDefault="002338D6" w:rsidP="00F25110">
      <w:pPr>
        <w:spacing w:after="0" w:line="360" w:lineRule="auto"/>
        <w:ind w:firstLine="708"/>
        <w:jc w:val="both"/>
        <w:rPr>
          <w:rFonts w:ascii="Times New Roman" w:eastAsia="Times New Roman" w:hAnsi="Times New Roman"/>
          <w:bCs/>
          <w:color w:val="auto"/>
          <w:sz w:val="24"/>
          <w:szCs w:val="24"/>
          <w:lang w:val="bg-BG" w:eastAsia="bg-BG"/>
        </w:rPr>
      </w:pPr>
    </w:p>
    <w:p w:rsidR="001B0F5B" w:rsidRDefault="001B0F5B" w:rsidP="00F25110">
      <w:pPr>
        <w:spacing w:after="0" w:line="360" w:lineRule="auto"/>
        <w:ind w:firstLine="708"/>
        <w:jc w:val="both"/>
        <w:rPr>
          <w:rFonts w:ascii="Times New Roman" w:eastAsia="Times New Roman" w:hAnsi="Times New Roman"/>
          <w:bCs/>
          <w:color w:val="auto"/>
          <w:sz w:val="24"/>
          <w:szCs w:val="24"/>
          <w:lang w:val="bg-BG" w:eastAsia="bg-BG"/>
        </w:rPr>
      </w:pPr>
    </w:p>
    <w:p w:rsidR="002338D6" w:rsidRDefault="002338D6" w:rsidP="00F25110">
      <w:pPr>
        <w:spacing w:after="0" w:line="360" w:lineRule="auto"/>
        <w:ind w:firstLine="708"/>
        <w:jc w:val="both"/>
        <w:rPr>
          <w:rFonts w:ascii="Times New Roman" w:eastAsia="Times New Roman" w:hAnsi="Times New Roman"/>
          <w:bCs/>
          <w:color w:val="auto"/>
          <w:sz w:val="24"/>
          <w:szCs w:val="24"/>
          <w:lang w:val="bg-BG" w:eastAsia="bg-BG"/>
        </w:rPr>
      </w:pPr>
    </w:p>
    <w:p w:rsidR="00F25110" w:rsidRPr="002338D6" w:rsidRDefault="00F25110" w:rsidP="002338D6">
      <w:pPr>
        <w:spacing w:after="0" w:line="360" w:lineRule="auto"/>
        <w:ind w:firstLine="708"/>
        <w:jc w:val="center"/>
        <w:rPr>
          <w:rFonts w:ascii="Times New Roman" w:eastAsia="Times New Roman" w:hAnsi="Times New Roman"/>
          <w:b/>
          <w:bCs/>
          <w:i/>
          <w:color w:val="9B2D1F" w:themeColor="accent2"/>
          <w:sz w:val="24"/>
          <w:szCs w:val="24"/>
          <w:lang w:val="bg-BG" w:eastAsia="bg-BG"/>
        </w:rPr>
      </w:pPr>
      <w:r w:rsidRPr="002338D6">
        <w:rPr>
          <w:rFonts w:ascii="Times New Roman" w:eastAsia="Times New Roman" w:hAnsi="Times New Roman"/>
          <w:b/>
          <w:bCs/>
          <w:i/>
          <w:color w:val="9B2D1F" w:themeColor="accent2"/>
          <w:sz w:val="24"/>
          <w:szCs w:val="24"/>
          <w:lang w:val="bg-BG" w:eastAsia="bg-BG"/>
        </w:rPr>
        <w:lastRenderedPageBreak/>
        <w:t>Фигура</w:t>
      </w:r>
      <w:r w:rsidR="002338D6" w:rsidRPr="002338D6">
        <w:rPr>
          <w:rFonts w:ascii="Times New Roman" w:eastAsia="Times New Roman" w:hAnsi="Times New Roman"/>
          <w:b/>
          <w:bCs/>
          <w:i/>
          <w:color w:val="9B2D1F" w:themeColor="accent2"/>
          <w:sz w:val="24"/>
          <w:szCs w:val="24"/>
          <w:lang w:val="bg-BG" w:eastAsia="bg-BG"/>
        </w:rPr>
        <w:t xml:space="preserve"> 20</w:t>
      </w:r>
      <w:r w:rsidR="002338D6">
        <w:rPr>
          <w:rFonts w:ascii="Times New Roman" w:eastAsia="Times New Roman" w:hAnsi="Times New Roman"/>
          <w:b/>
          <w:bCs/>
          <w:i/>
          <w:color w:val="9B2D1F" w:themeColor="accent2"/>
          <w:sz w:val="24"/>
          <w:szCs w:val="24"/>
          <w:lang w:val="bg-BG" w:eastAsia="bg-BG"/>
        </w:rPr>
        <w:t xml:space="preserve"> </w:t>
      </w:r>
      <w:r w:rsidRPr="002338D6">
        <w:rPr>
          <w:rFonts w:ascii="Times New Roman" w:eastAsia="Times New Roman" w:hAnsi="Times New Roman"/>
          <w:b/>
          <w:bCs/>
          <w:i/>
          <w:color w:val="9B2D1F" w:themeColor="accent2"/>
          <w:sz w:val="24"/>
          <w:szCs w:val="24"/>
          <w:lang w:val="bg-BG" w:eastAsia="bg-BG"/>
        </w:rPr>
        <w:t>Общ  доход средно на домакинство през 2013г. и 2014 г.</w:t>
      </w:r>
    </w:p>
    <w:p w:rsidR="00F25110" w:rsidRPr="00BD7BB1" w:rsidRDefault="00F25110" w:rsidP="00F25110">
      <w:pPr>
        <w:spacing w:after="0" w:line="360" w:lineRule="auto"/>
        <w:ind w:firstLine="708"/>
        <w:jc w:val="center"/>
        <w:rPr>
          <w:rFonts w:ascii="Times New Roman" w:eastAsia="Times New Roman" w:hAnsi="Times New Roman"/>
          <w:bCs/>
          <w:color w:val="auto"/>
          <w:sz w:val="24"/>
          <w:szCs w:val="24"/>
          <w:lang w:val="bg-BG" w:eastAsia="bg-BG"/>
        </w:rPr>
      </w:pPr>
    </w:p>
    <w:p w:rsidR="00F25110" w:rsidRPr="00BD7BB1" w:rsidRDefault="00F25110" w:rsidP="00F25110">
      <w:pPr>
        <w:spacing w:after="0" w:line="360" w:lineRule="auto"/>
        <w:ind w:firstLine="708"/>
        <w:jc w:val="center"/>
        <w:rPr>
          <w:rFonts w:ascii="Times New Roman" w:eastAsia="Times New Roman" w:hAnsi="Times New Roman"/>
          <w:bCs/>
          <w:color w:val="auto"/>
          <w:sz w:val="24"/>
          <w:szCs w:val="24"/>
          <w:lang w:val="bg-BG" w:eastAsia="bg-BG"/>
        </w:rPr>
      </w:pPr>
      <w:r w:rsidRPr="00BD7BB1">
        <w:rPr>
          <w:rFonts w:ascii="Times New Roman" w:eastAsia="Times New Roman" w:hAnsi="Times New Roman"/>
          <w:noProof/>
          <w:color w:val="auto"/>
          <w:sz w:val="24"/>
          <w:szCs w:val="24"/>
          <w:lang w:val="bg-BG" w:eastAsia="bg-BG"/>
        </w:rPr>
        <w:drawing>
          <wp:inline distT="0" distB="0" distL="0" distR="0" wp14:anchorId="70BAE829" wp14:editId="4D696946">
            <wp:extent cx="4587875" cy="2759075"/>
            <wp:effectExtent l="0" t="0" r="3175"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7875" cy="2759075"/>
                    </a:xfrm>
                    <a:prstGeom prst="rect">
                      <a:avLst/>
                    </a:prstGeom>
                    <a:noFill/>
                    <a:ln>
                      <a:noFill/>
                    </a:ln>
                  </pic:spPr>
                </pic:pic>
              </a:graphicData>
            </a:graphic>
          </wp:inline>
        </w:drawing>
      </w:r>
    </w:p>
    <w:p w:rsidR="00F25110" w:rsidRPr="002338D6" w:rsidRDefault="00F25110" w:rsidP="00F25110">
      <w:pPr>
        <w:spacing w:after="0" w:line="360" w:lineRule="auto"/>
        <w:ind w:firstLine="708"/>
        <w:jc w:val="center"/>
        <w:rPr>
          <w:rFonts w:ascii="Times New Roman" w:eastAsia="Times New Roman" w:hAnsi="Times New Roman"/>
          <w:b/>
          <w:bCs/>
          <w:color w:val="9B2D1F" w:themeColor="accent2"/>
          <w:sz w:val="24"/>
          <w:szCs w:val="24"/>
          <w:lang w:val="bg-BG" w:eastAsia="bg-BG"/>
        </w:rPr>
      </w:pPr>
      <w:r w:rsidRPr="002338D6">
        <w:rPr>
          <w:rFonts w:ascii="Times New Roman" w:eastAsia="Times New Roman" w:hAnsi="Times New Roman"/>
          <w:b/>
          <w:bCs/>
          <w:color w:val="9B2D1F" w:themeColor="accent2"/>
          <w:sz w:val="24"/>
          <w:szCs w:val="24"/>
          <w:lang w:val="bg-BG" w:eastAsia="bg-BG"/>
        </w:rPr>
        <w:t>Източник : НСИ</w:t>
      </w:r>
    </w:p>
    <w:p w:rsidR="00F25110" w:rsidRPr="00BD7BB1" w:rsidRDefault="00F25110" w:rsidP="00F25110">
      <w:pPr>
        <w:spacing w:after="200"/>
        <w:rPr>
          <w:rFonts w:ascii="Times New Roman" w:eastAsia="Calibri" w:hAnsi="Times New Roman"/>
          <w:color w:val="auto"/>
          <w:sz w:val="24"/>
          <w:szCs w:val="24"/>
          <w:lang w:val="bg-BG"/>
        </w:rPr>
      </w:pPr>
    </w:p>
    <w:p w:rsidR="00F25110" w:rsidRPr="00BD7BB1" w:rsidRDefault="00F25110" w:rsidP="002338D6">
      <w:pPr>
        <w:spacing w:after="200" w:line="360" w:lineRule="auto"/>
        <w:ind w:firstLine="708"/>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 xml:space="preserve">Индикаторите за бедност и социално включване са част от общите показатели на Европейската общност за проследяване на напредъка на страните в борбата с бедността и социалната изолация. През 2013 г. относителен дял на бедните спрямо линията на бедност в ЮИР възлиза на 23,2% с 1,2 % по висок от предходната година и отрежда района на последно място в страната.  </w:t>
      </w:r>
      <w:r w:rsidRPr="00BD7BB1">
        <w:rPr>
          <w:rFonts w:ascii="Times New Roman" w:eastAsia="Calibri" w:hAnsi="Times New Roman"/>
          <w:color w:val="auto"/>
          <w:sz w:val="24"/>
          <w:szCs w:val="24"/>
          <w:lang w:val="bg-BG"/>
        </w:rPr>
        <w:t xml:space="preserve">През 2013 г. линията под прага на бедност са 21.0% от населението на страната,  с 0,2 % по-нисък спрямо 2012г.  През 2013 г. най-ниската линия на бедност се наблюдава в област  Ямбол - 15,3 %, следвана от област Бургас с дял от 19,3% и значително по-висока за област Стара Загора с дял от 26,5 %. Най-висок е относителният дял на бедните в област  Сливен с </w:t>
      </w:r>
      <w:r w:rsidR="00F03E53">
        <w:rPr>
          <w:rFonts w:ascii="Times New Roman" w:eastAsia="Calibri" w:hAnsi="Times New Roman"/>
          <w:color w:val="auto"/>
          <w:sz w:val="24"/>
          <w:szCs w:val="24"/>
          <w:lang w:val="bg-BG"/>
        </w:rPr>
        <w:t>д</w:t>
      </w:r>
      <w:r w:rsidRPr="00BD7BB1">
        <w:rPr>
          <w:rFonts w:ascii="Times New Roman" w:eastAsia="Calibri" w:hAnsi="Times New Roman"/>
          <w:color w:val="auto"/>
          <w:sz w:val="24"/>
          <w:szCs w:val="24"/>
          <w:lang w:val="bg-BG"/>
        </w:rPr>
        <w:t>ял от 31.6%.</w:t>
      </w:r>
    </w:p>
    <w:p w:rsidR="002338D6" w:rsidRDefault="002338D6" w:rsidP="00F25110">
      <w:pPr>
        <w:spacing w:after="200" w:line="360" w:lineRule="auto"/>
        <w:rPr>
          <w:rFonts w:ascii="Times New Roman" w:eastAsia="Calibri" w:hAnsi="Times New Roman"/>
          <w:b/>
          <w:color w:val="auto"/>
          <w:sz w:val="24"/>
          <w:szCs w:val="24"/>
          <w:lang w:val="bg-BG"/>
        </w:rPr>
      </w:pPr>
    </w:p>
    <w:p w:rsidR="002338D6" w:rsidRDefault="002338D6" w:rsidP="00F25110">
      <w:pPr>
        <w:spacing w:after="200" w:line="360" w:lineRule="auto"/>
        <w:rPr>
          <w:rFonts w:ascii="Times New Roman" w:eastAsia="Calibri" w:hAnsi="Times New Roman"/>
          <w:b/>
          <w:color w:val="auto"/>
          <w:sz w:val="24"/>
          <w:szCs w:val="24"/>
          <w:lang w:val="bg-BG"/>
        </w:rPr>
      </w:pPr>
    </w:p>
    <w:p w:rsidR="002338D6" w:rsidRDefault="002338D6" w:rsidP="00F25110">
      <w:pPr>
        <w:spacing w:after="200" w:line="360" w:lineRule="auto"/>
        <w:rPr>
          <w:rFonts w:ascii="Times New Roman" w:eastAsia="Calibri" w:hAnsi="Times New Roman"/>
          <w:b/>
          <w:color w:val="auto"/>
          <w:sz w:val="24"/>
          <w:szCs w:val="24"/>
          <w:lang w:val="bg-BG"/>
        </w:rPr>
      </w:pPr>
    </w:p>
    <w:p w:rsidR="002338D6" w:rsidRDefault="002338D6" w:rsidP="00F25110">
      <w:pPr>
        <w:spacing w:after="200" w:line="360" w:lineRule="auto"/>
        <w:rPr>
          <w:rFonts w:ascii="Times New Roman" w:eastAsia="Calibri" w:hAnsi="Times New Roman"/>
          <w:b/>
          <w:color w:val="auto"/>
          <w:sz w:val="24"/>
          <w:szCs w:val="24"/>
          <w:lang w:val="bg-BG"/>
        </w:rPr>
      </w:pPr>
    </w:p>
    <w:p w:rsidR="002338D6" w:rsidRDefault="002338D6" w:rsidP="00F25110">
      <w:pPr>
        <w:spacing w:after="200" w:line="360" w:lineRule="auto"/>
        <w:rPr>
          <w:rFonts w:ascii="Times New Roman" w:eastAsia="Calibri" w:hAnsi="Times New Roman"/>
          <w:b/>
          <w:color w:val="auto"/>
          <w:sz w:val="24"/>
          <w:szCs w:val="24"/>
          <w:lang w:val="bg-BG"/>
        </w:rPr>
      </w:pPr>
    </w:p>
    <w:p w:rsidR="00F25110" w:rsidRPr="002338D6" w:rsidRDefault="00F25110" w:rsidP="002338D6">
      <w:pPr>
        <w:spacing w:after="200" w:line="360" w:lineRule="auto"/>
        <w:jc w:val="center"/>
        <w:rPr>
          <w:rFonts w:ascii="Times New Roman" w:eastAsia="Calibri" w:hAnsi="Times New Roman"/>
          <w:b/>
          <w:i/>
          <w:color w:val="9B2D1F" w:themeColor="accent2"/>
          <w:sz w:val="24"/>
          <w:szCs w:val="24"/>
          <w:lang w:val="bg-BG"/>
        </w:rPr>
      </w:pPr>
      <w:r w:rsidRPr="002338D6">
        <w:rPr>
          <w:rFonts w:ascii="Times New Roman" w:eastAsia="Calibri" w:hAnsi="Times New Roman"/>
          <w:b/>
          <w:i/>
          <w:color w:val="9B2D1F" w:themeColor="accent2"/>
          <w:sz w:val="24"/>
          <w:szCs w:val="24"/>
          <w:lang w:val="bg-BG"/>
        </w:rPr>
        <w:lastRenderedPageBreak/>
        <w:t>Карта</w:t>
      </w:r>
      <w:r w:rsidR="002338D6" w:rsidRPr="002338D6">
        <w:rPr>
          <w:rFonts w:ascii="Times New Roman" w:eastAsia="Calibri" w:hAnsi="Times New Roman"/>
          <w:b/>
          <w:i/>
          <w:color w:val="9B2D1F" w:themeColor="accent2"/>
          <w:sz w:val="24"/>
          <w:szCs w:val="24"/>
          <w:lang w:val="bg-BG"/>
        </w:rPr>
        <w:t xml:space="preserve"> 2 </w:t>
      </w:r>
      <w:r w:rsidRPr="002338D6">
        <w:rPr>
          <w:rFonts w:ascii="Times New Roman" w:eastAsia="Calibri" w:hAnsi="Times New Roman"/>
          <w:b/>
          <w:i/>
          <w:color w:val="9B2D1F" w:themeColor="accent2"/>
          <w:sz w:val="24"/>
          <w:szCs w:val="24"/>
          <w:lang w:val="bg-BG"/>
        </w:rPr>
        <w:t>Линия на бедност по пол в страната за 2013 г. , в %</w:t>
      </w:r>
    </w:p>
    <w:p w:rsidR="00F25110" w:rsidRPr="00BD7BB1" w:rsidRDefault="00F25110" w:rsidP="00F25110">
      <w:pPr>
        <w:spacing w:after="200" w:line="360" w:lineRule="auto"/>
        <w:jc w:val="both"/>
        <w:rPr>
          <w:rFonts w:ascii="Times New Roman" w:eastAsia="Calibri" w:hAnsi="Times New Roman"/>
          <w:color w:val="auto"/>
          <w:sz w:val="24"/>
          <w:szCs w:val="24"/>
          <w:lang w:val="bg-BG"/>
        </w:rPr>
      </w:pPr>
      <w:r w:rsidRPr="00BD7BB1">
        <w:rPr>
          <w:rFonts w:ascii="Times New Roman" w:eastAsia="Calibri" w:hAnsi="Times New Roman"/>
          <w:noProof/>
          <w:color w:val="auto"/>
          <w:sz w:val="24"/>
          <w:szCs w:val="24"/>
          <w:lang w:val="bg-BG" w:eastAsia="bg-BG"/>
        </w:rPr>
        <w:drawing>
          <wp:inline distT="0" distB="0" distL="0" distR="0" wp14:anchorId="052E3577" wp14:editId="58C5C369">
            <wp:extent cx="5770245" cy="4461510"/>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0245" cy="4461510"/>
                    </a:xfrm>
                    <a:prstGeom prst="rect">
                      <a:avLst/>
                    </a:prstGeom>
                    <a:noFill/>
                    <a:ln>
                      <a:noFill/>
                    </a:ln>
                  </pic:spPr>
                </pic:pic>
              </a:graphicData>
            </a:graphic>
          </wp:inline>
        </w:drawing>
      </w:r>
      <w:r w:rsidRPr="00BD7BB1">
        <w:rPr>
          <w:rFonts w:ascii="Times New Roman" w:eastAsia="Calibri" w:hAnsi="Times New Roman"/>
          <w:color w:val="auto"/>
          <w:sz w:val="24"/>
          <w:szCs w:val="24"/>
          <w:lang w:val="bg-BG"/>
        </w:rPr>
        <w:tab/>
      </w:r>
      <w:r w:rsidRPr="00BD7BB1">
        <w:rPr>
          <w:rFonts w:ascii="Times New Roman" w:eastAsia="Calibri" w:hAnsi="Times New Roman"/>
          <w:color w:val="auto"/>
          <w:sz w:val="24"/>
          <w:szCs w:val="24"/>
          <w:lang w:val="bg-BG"/>
        </w:rPr>
        <w:tab/>
      </w:r>
      <w:r w:rsidRPr="00BD7BB1">
        <w:rPr>
          <w:rFonts w:ascii="Times New Roman" w:eastAsia="Calibri" w:hAnsi="Times New Roman"/>
          <w:color w:val="auto"/>
          <w:sz w:val="24"/>
          <w:szCs w:val="24"/>
          <w:lang w:val="bg-BG"/>
        </w:rPr>
        <w:tab/>
      </w:r>
      <w:r w:rsidRPr="00BD7BB1">
        <w:rPr>
          <w:rFonts w:ascii="Times New Roman" w:eastAsia="Calibri" w:hAnsi="Times New Roman"/>
          <w:color w:val="auto"/>
          <w:sz w:val="24"/>
          <w:szCs w:val="24"/>
          <w:lang w:val="bg-BG"/>
        </w:rPr>
        <w:tab/>
      </w:r>
      <w:r w:rsidRPr="00BD7BB1">
        <w:rPr>
          <w:rFonts w:ascii="Times New Roman" w:eastAsia="Calibri" w:hAnsi="Times New Roman"/>
          <w:color w:val="auto"/>
          <w:sz w:val="24"/>
          <w:szCs w:val="24"/>
          <w:lang w:val="bg-BG"/>
        </w:rPr>
        <w:tab/>
      </w:r>
      <w:r w:rsidRPr="00BD7BB1">
        <w:rPr>
          <w:rFonts w:ascii="Times New Roman" w:eastAsia="Calibri" w:hAnsi="Times New Roman"/>
          <w:color w:val="auto"/>
          <w:sz w:val="24"/>
          <w:szCs w:val="24"/>
          <w:lang w:val="bg-BG"/>
        </w:rPr>
        <w:tab/>
      </w:r>
      <w:r w:rsidRPr="00BD7BB1">
        <w:rPr>
          <w:rFonts w:ascii="Times New Roman" w:eastAsia="Calibri" w:hAnsi="Times New Roman"/>
          <w:color w:val="auto"/>
          <w:sz w:val="24"/>
          <w:szCs w:val="24"/>
          <w:lang w:val="bg-BG"/>
        </w:rPr>
        <w:tab/>
      </w:r>
      <w:r w:rsidRPr="00BD7BB1">
        <w:rPr>
          <w:rFonts w:ascii="Times New Roman" w:eastAsia="Calibri" w:hAnsi="Times New Roman"/>
          <w:color w:val="auto"/>
          <w:sz w:val="24"/>
          <w:szCs w:val="24"/>
          <w:lang w:val="bg-BG"/>
        </w:rPr>
        <w:tab/>
      </w:r>
      <w:r w:rsidRPr="00BD7BB1">
        <w:rPr>
          <w:rFonts w:ascii="Times New Roman" w:eastAsia="Calibri" w:hAnsi="Times New Roman"/>
          <w:color w:val="auto"/>
          <w:sz w:val="24"/>
          <w:szCs w:val="24"/>
          <w:lang w:val="bg-BG"/>
        </w:rPr>
        <w:tab/>
      </w:r>
      <w:r w:rsidRPr="00BD7BB1">
        <w:rPr>
          <w:rFonts w:ascii="Times New Roman" w:eastAsia="Calibri" w:hAnsi="Times New Roman"/>
          <w:color w:val="auto"/>
          <w:sz w:val="24"/>
          <w:szCs w:val="24"/>
          <w:lang w:val="bg-BG"/>
        </w:rPr>
        <w:tab/>
      </w:r>
      <w:r w:rsidRPr="00BD7BB1">
        <w:rPr>
          <w:rFonts w:ascii="Times New Roman" w:eastAsia="Calibri" w:hAnsi="Times New Roman"/>
          <w:color w:val="auto"/>
          <w:sz w:val="24"/>
          <w:szCs w:val="24"/>
          <w:lang w:val="bg-BG"/>
        </w:rPr>
        <w:tab/>
      </w:r>
      <w:r w:rsidRPr="00BD7BB1">
        <w:rPr>
          <w:rFonts w:ascii="Times New Roman" w:eastAsia="Calibri" w:hAnsi="Times New Roman"/>
          <w:color w:val="auto"/>
          <w:sz w:val="24"/>
          <w:szCs w:val="24"/>
          <w:lang w:val="bg-BG"/>
        </w:rPr>
        <w:tab/>
      </w:r>
    </w:p>
    <w:p w:rsidR="00676F70" w:rsidRDefault="00F25110" w:rsidP="00676F70">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Население в риск от бедност или социално изключване (включва три показателя: риск от бедност; нисък интензитет на икономическа активност и  материални лишения.) през 2013 г. е  50,7 %</w:t>
      </w:r>
      <w:r w:rsidRPr="00BD7BB1">
        <w:rPr>
          <w:rFonts w:ascii="Calibri" w:eastAsia="Calibri" w:hAnsi="Calibri"/>
          <w:b/>
          <w:color w:val="auto"/>
          <w:sz w:val="24"/>
          <w:szCs w:val="24"/>
          <w:lang w:val="bg-BG"/>
        </w:rPr>
        <w:t xml:space="preserve"> </w:t>
      </w:r>
      <w:r w:rsidRPr="00BD7BB1">
        <w:rPr>
          <w:rFonts w:ascii="Times New Roman" w:eastAsia="Calibri" w:hAnsi="Times New Roman"/>
          <w:b/>
          <w:color w:val="auto"/>
          <w:sz w:val="24"/>
          <w:szCs w:val="24"/>
          <w:lang w:val="bg-BG"/>
        </w:rPr>
        <w:t>от населението в ЮИР или 542,3 хил лица,</w:t>
      </w:r>
      <w:r w:rsidRPr="00BD7BB1">
        <w:rPr>
          <w:rFonts w:ascii="Times New Roman" w:eastAsia="Calibri" w:hAnsi="Times New Roman"/>
          <w:color w:val="auto"/>
          <w:sz w:val="24"/>
          <w:szCs w:val="24"/>
          <w:lang w:val="bg-BG"/>
        </w:rPr>
        <w:t xml:space="preserve"> </w:t>
      </w:r>
      <w:r w:rsidRPr="00BD7BB1">
        <w:rPr>
          <w:rFonts w:ascii="Times New Roman" w:eastAsia="Calibri" w:hAnsi="Times New Roman"/>
          <w:b/>
          <w:color w:val="auto"/>
          <w:sz w:val="24"/>
          <w:szCs w:val="24"/>
          <w:lang w:val="bg-BG"/>
        </w:rPr>
        <w:t xml:space="preserve">а в страната  48.0% или 3 493.4 хил. лица се нуждаят от специални грижи за преодоляване на бедността, социалното неравенство и изключването от активна трудова дейност. </w:t>
      </w:r>
      <w:r w:rsidRPr="00BD7BB1">
        <w:rPr>
          <w:rFonts w:ascii="Times New Roman" w:eastAsia="Calibri" w:hAnsi="Times New Roman"/>
          <w:color w:val="auto"/>
          <w:sz w:val="24"/>
          <w:szCs w:val="24"/>
          <w:lang w:val="bg-BG"/>
        </w:rPr>
        <w:t>Стойността на показателя намалява с 5,6 % за ЮИР и 1.3 % за страната спрямо 2013 г., достигайки най-ниското ниво от 3 години насам. Този спад се дължи най-вече на намаляването на относителния дял на хората с материални лишения.Сред районите в страната най-нисък е показателят за ЮЗР (40,1%)</w:t>
      </w:r>
      <w:r w:rsidR="00676F70">
        <w:rPr>
          <w:rFonts w:ascii="Times New Roman" w:eastAsia="Calibri" w:hAnsi="Times New Roman"/>
          <w:color w:val="auto"/>
          <w:sz w:val="24"/>
          <w:szCs w:val="24"/>
          <w:lang w:val="bg-BG"/>
        </w:rPr>
        <w:t>, а най-висок за СИР ( 54,2%).</w:t>
      </w:r>
    </w:p>
    <w:p w:rsidR="00F25110" w:rsidRPr="00BD7BB1" w:rsidRDefault="00F25110" w:rsidP="00676F70">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lastRenderedPageBreak/>
        <w:t>В сравнение с 2013 г. е регистриран спад на показателя за СЦР ( - 6,2 % ),  ЮИР ( -5,6 %)  и ЮЗР ( - 1,2 %) и  ръст в СЗР (+1,8%) , СИР (+3,3%) и ЮЦР (+10,6%), с най-висок спад  е СЦР,а   най-висок ръст е ЮЦР.</w:t>
      </w:r>
    </w:p>
    <w:p w:rsidR="00F25110" w:rsidRPr="00BD7BB1" w:rsidRDefault="00F25110" w:rsidP="00F25110">
      <w:pPr>
        <w:spacing w:after="200" w:line="360" w:lineRule="auto"/>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2013 г. най-малко население в риск от бедност или социално изключване се наблюдава в област Ямбол с 43,3% или 55,7 хил. лица, а най-много в област Стара Загора с 56,7 % или  187,5 хил лица. За област Бургас показателят възлиза на 47,7 % или 198,3 хил.лица , а за област Сливен  - 52,9 % или 103,5 хил. лица. В сравнение с 2012 г. във всички области от ЮИР е отчетен спад на населението в риск от бедност, като най-висок е за област Ямбол с 22,7 %, а за а останалите области : 7,2 % за област Сливен, 3,9% за област Стара Загора и 1,5% за област Бургас. </w:t>
      </w:r>
    </w:p>
    <w:p w:rsidR="00991DA6" w:rsidRDefault="00F25110" w:rsidP="00991DA6">
      <w:pPr>
        <w:spacing w:after="200"/>
        <w:jc w:val="center"/>
        <w:rPr>
          <w:rFonts w:ascii="Times New Roman" w:eastAsia="Calibri" w:hAnsi="Times New Roman"/>
          <w:b/>
          <w:color w:val="9B2D1F" w:themeColor="accent2"/>
          <w:sz w:val="24"/>
          <w:szCs w:val="24"/>
          <w:lang w:val="bg-BG"/>
        </w:rPr>
      </w:pPr>
      <w:r w:rsidRPr="00991DA6">
        <w:rPr>
          <w:rFonts w:ascii="Times New Roman" w:eastAsia="Calibri" w:hAnsi="Times New Roman"/>
          <w:b/>
          <w:color w:val="9B2D1F" w:themeColor="accent2"/>
          <w:sz w:val="24"/>
          <w:szCs w:val="24"/>
          <w:lang w:val="bg-BG"/>
        </w:rPr>
        <w:t>Фигура</w:t>
      </w:r>
      <w:r w:rsidR="00991DA6" w:rsidRPr="00991DA6">
        <w:rPr>
          <w:rFonts w:ascii="Times New Roman" w:eastAsia="Calibri" w:hAnsi="Times New Roman"/>
          <w:b/>
          <w:color w:val="9B2D1F" w:themeColor="accent2"/>
          <w:sz w:val="24"/>
          <w:szCs w:val="24"/>
          <w:lang w:val="bg-BG"/>
        </w:rPr>
        <w:t xml:space="preserve"> 21 </w:t>
      </w:r>
      <w:r w:rsidRPr="00991DA6">
        <w:rPr>
          <w:rFonts w:ascii="Times New Roman" w:eastAsia="Calibri" w:hAnsi="Times New Roman"/>
          <w:b/>
          <w:color w:val="9B2D1F" w:themeColor="accent2"/>
          <w:sz w:val="24"/>
          <w:szCs w:val="24"/>
          <w:lang w:val="bg-BG"/>
        </w:rPr>
        <w:t xml:space="preserve"> Население в риск от бедност или социално изключване </w:t>
      </w:r>
    </w:p>
    <w:p w:rsidR="00F25110" w:rsidRPr="00991DA6" w:rsidRDefault="00F25110" w:rsidP="00991DA6">
      <w:pPr>
        <w:spacing w:after="200"/>
        <w:jc w:val="center"/>
        <w:rPr>
          <w:rFonts w:ascii="Times New Roman" w:eastAsia="Calibri" w:hAnsi="Times New Roman"/>
          <w:b/>
          <w:color w:val="9B2D1F" w:themeColor="accent2"/>
          <w:sz w:val="24"/>
          <w:szCs w:val="24"/>
          <w:lang w:val="bg-BG"/>
        </w:rPr>
      </w:pPr>
      <w:r w:rsidRPr="00991DA6">
        <w:rPr>
          <w:rFonts w:ascii="Times New Roman" w:eastAsia="Calibri" w:hAnsi="Times New Roman"/>
          <w:b/>
          <w:color w:val="9B2D1F" w:themeColor="accent2"/>
          <w:sz w:val="24"/>
          <w:szCs w:val="24"/>
          <w:lang w:val="bg-BG"/>
        </w:rPr>
        <w:t>през 2012 г. и 2013г., в %</w:t>
      </w:r>
    </w:p>
    <w:p w:rsidR="00F25110" w:rsidRPr="00BD7BB1" w:rsidRDefault="00F25110" w:rsidP="00F25110">
      <w:pPr>
        <w:spacing w:after="200"/>
        <w:jc w:val="center"/>
        <w:rPr>
          <w:rFonts w:ascii="Times New Roman" w:eastAsia="Calibri" w:hAnsi="Times New Roman"/>
          <w:color w:val="auto"/>
          <w:sz w:val="24"/>
          <w:szCs w:val="24"/>
          <w:lang w:val="bg-BG"/>
        </w:rPr>
      </w:pPr>
      <w:r w:rsidRPr="00BD7BB1">
        <w:rPr>
          <w:rFonts w:ascii="Times New Roman" w:eastAsia="Calibri" w:hAnsi="Times New Roman"/>
          <w:noProof/>
          <w:color w:val="auto"/>
          <w:sz w:val="24"/>
          <w:szCs w:val="24"/>
          <w:lang w:val="bg-BG" w:eastAsia="bg-BG"/>
        </w:rPr>
        <w:drawing>
          <wp:inline distT="0" distB="0" distL="0" distR="0" wp14:anchorId="1A573D1E" wp14:editId="1FD070E2">
            <wp:extent cx="4587875" cy="2759075"/>
            <wp:effectExtent l="0" t="0" r="3175"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7875" cy="2759075"/>
                    </a:xfrm>
                    <a:prstGeom prst="rect">
                      <a:avLst/>
                    </a:prstGeom>
                    <a:noFill/>
                    <a:ln>
                      <a:noFill/>
                    </a:ln>
                  </pic:spPr>
                </pic:pic>
              </a:graphicData>
            </a:graphic>
          </wp:inline>
        </w:drawing>
      </w:r>
    </w:p>
    <w:p w:rsidR="00F25110" w:rsidRPr="00991DA6" w:rsidRDefault="00F25110" w:rsidP="00F25110">
      <w:pPr>
        <w:spacing w:after="200"/>
        <w:jc w:val="center"/>
        <w:rPr>
          <w:rFonts w:ascii="Times New Roman" w:eastAsia="Calibri" w:hAnsi="Times New Roman"/>
          <w:b/>
          <w:i/>
          <w:color w:val="9B2D1F" w:themeColor="accent2"/>
          <w:sz w:val="24"/>
          <w:szCs w:val="24"/>
          <w:lang w:val="bg-BG"/>
        </w:rPr>
      </w:pPr>
      <w:r w:rsidRPr="00991DA6">
        <w:rPr>
          <w:rFonts w:ascii="Times New Roman" w:eastAsia="Calibri" w:hAnsi="Times New Roman"/>
          <w:b/>
          <w:i/>
          <w:color w:val="9B2D1F" w:themeColor="accent2"/>
          <w:sz w:val="24"/>
          <w:szCs w:val="24"/>
          <w:lang w:val="bg-BG"/>
        </w:rPr>
        <w:t xml:space="preserve">Източник :НСИ </w:t>
      </w:r>
    </w:p>
    <w:p w:rsidR="00F25110" w:rsidRPr="00BD7BB1" w:rsidRDefault="00F25110" w:rsidP="00F25110">
      <w:pPr>
        <w:spacing w:after="200"/>
        <w:rPr>
          <w:rFonts w:ascii="Times New Roman" w:eastAsia="Calibri" w:hAnsi="Times New Roman"/>
          <w:color w:val="auto"/>
          <w:sz w:val="24"/>
          <w:szCs w:val="24"/>
          <w:lang w:val="bg-BG"/>
        </w:rPr>
      </w:pPr>
    </w:p>
    <w:p w:rsidR="00F25110" w:rsidRDefault="00F25110" w:rsidP="00F25110">
      <w:pPr>
        <w:autoSpaceDE w:val="0"/>
        <w:autoSpaceDN w:val="0"/>
        <w:adjustRightInd w:val="0"/>
        <w:spacing w:after="0" w:line="360" w:lineRule="auto"/>
        <w:jc w:val="both"/>
        <w:rPr>
          <w:rFonts w:ascii="Times New Roman" w:eastAsia="Calibri" w:hAnsi="Times New Roman"/>
          <w:color w:val="auto"/>
          <w:sz w:val="24"/>
          <w:szCs w:val="24"/>
          <w:lang w:val="bg-BG" w:eastAsia="bg-BG"/>
        </w:rPr>
      </w:pPr>
    </w:p>
    <w:p w:rsidR="00991DA6" w:rsidRPr="00BD7BB1" w:rsidRDefault="00991DA6" w:rsidP="00F25110">
      <w:pPr>
        <w:autoSpaceDE w:val="0"/>
        <w:autoSpaceDN w:val="0"/>
        <w:adjustRightInd w:val="0"/>
        <w:spacing w:after="0" w:line="360" w:lineRule="auto"/>
        <w:jc w:val="both"/>
        <w:rPr>
          <w:rFonts w:ascii="Times New Roman" w:eastAsia="Calibri" w:hAnsi="Times New Roman"/>
          <w:color w:val="auto"/>
          <w:sz w:val="24"/>
          <w:szCs w:val="24"/>
          <w:lang w:val="bg-BG" w:eastAsia="bg-BG"/>
        </w:rPr>
      </w:pPr>
    </w:p>
    <w:p w:rsidR="00F25110" w:rsidRPr="00BD7BB1" w:rsidRDefault="00F25110" w:rsidP="00F25110">
      <w:pPr>
        <w:spacing w:after="0" w:line="240" w:lineRule="auto"/>
        <w:rPr>
          <w:rFonts w:ascii="Times New Roman" w:eastAsia="Times New Roman" w:hAnsi="Times New Roman"/>
          <w:color w:val="auto"/>
          <w:sz w:val="24"/>
          <w:szCs w:val="24"/>
          <w:lang w:val="bg-BG" w:eastAsia="bg-BG"/>
        </w:rPr>
      </w:pPr>
    </w:p>
    <w:p w:rsidR="00F25110" w:rsidRPr="00BD7BB1" w:rsidRDefault="00F25110" w:rsidP="00F25110">
      <w:pPr>
        <w:spacing w:after="0" w:line="240" w:lineRule="auto"/>
        <w:rPr>
          <w:rFonts w:ascii="Times New Roman" w:eastAsia="Times New Roman" w:hAnsi="Times New Roman"/>
          <w:color w:val="auto"/>
          <w:sz w:val="24"/>
          <w:szCs w:val="24"/>
          <w:lang w:val="bg-BG" w:eastAsia="bg-BG"/>
        </w:rPr>
      </w:pPr>
    </w:p>
    <w:p w:rsidR="00F25110" w:rsidRPr="00BD7BB1" w:rsidRDefault="00F25110" w:rsidP="00676F70">
      <w:pPr>
        <w:spacing w:after="0" w:line="360" w:lineRule="auto"/>
        <w:jc w:val="both"/>
        <w:rPr>
          <w:rFonts w:ascii="Times New Roman" w:eastAsia="Times New Roman" w:hAnsi="Times New Roman"/>
          <w:bCs/>
          <w:color w:val="auto"/>
          <w:sz w:val="24"/>
          <w:szCs w:val="24"/>
          <w:lang w:val="bg-BG" w:eastAsia="bg-BG"/>
        </w:rPr>
      </w:pPr>
    </w:p>
    <w:p w:rsidR="00F25110" w:rsidRPr="007764CE" w:rsidRDefault="00991DA6" w:rsidP="00F25110">
      <w:pPr>
        <w:widowControl w:val="0"/>
        <w:autoSpaceDE w:val="0"/>
        <w:autoSpaceDN w:val="0"/>
        <w:adjustRightInd w:val="0"/>
        <w:spacing w:after="0" w:line="360" w:lineRule="auto"/>
        <w:ind w:right="140" w:firstLine="360"/>
        <w:jc w:val="both"/>
        <w:rPr>
          <w:rFonts w:ascii="Times New Roman" w:eastAsia="Times New Roman" w:hAnsi="Times New Roman"/>
          <w:b/>
          <w:color w:val="9B2D1F" w:themeColor="accent2"/>
          <w:sz w:val="24"/>
          <w:szCs w:val="24"/>
          <w:lang w:val="bg-BG" w:eastAsia="bg-BG"/>
        </w:rPr>
      </w:pPr>
      <w:r w:rsidRPr="007764CE">
        <w:rPr>
          <w:rFonts w:ascii="Times New Roman" w:eastAsia="Calibri" w:hAnsi="Times New Roman"/>
          <w:b/>
          <w:color w:val="9B2D1F" w:themeColor="accent2"/>
          <w:sz w:val="24"/>
          <w:szCs w:val="24"/>
          <w:lang w:val="bg-BG"/>
        </w:rPr>
        <w:lastRenderedPageBreak/>
        <w:t>1.</w:t>
      </w:r>
      <w:r w:rsidR="00F25110" w:rsidRPr="007764CE">
        <w:rPr>
          <w:rFonts w:ascii="Times New Roman" w:eastAsia="Calibri" w:hAnsi="Times New Roman"/>
          <w:b/>
          <w:color w:val="9B2D1F" w:themeColor="accent2"/>
          <w:sz w:val="24"/>
          <w:szCs w:val="24"/>
          <w:lang w:val="bg-BG"/>
        </w:rPr>
        <w:t>5. Анализ и тенденции в изменението на о</w:t>
      </w:r>
      <w:r w:rsidR="00F25110" w:rsidRPr="007764CE">
        <w:rPr>
          <w:rFonts w:ascii="Times New Roman" w:eastAsia="Times New Roman" w:hAnsi="Times New Roman"/>
          <w:b/>
          <w:color w:val="9B2D1F" w:themeColor="accent2"/>
          <w:sz w:val="24"/>
          <w:szCs w:val="24"/>
          <w:lang w:val="bg-BG" w:eastAsia="bg-BG"/>
        </w:rPr>
        <w:t xml:space="preserve">сновни инфраструктурни и екологични показатели </w:t>
      </w:r>
    </w:p>
    <w:p w:rsidR="00F25110" w:rsidRPr="00BD7BB1" w:rsidRDefault="00F25110" w:rsidP="00F25110">
      <w:pPr>
        <w:widowControl w:val="0"/>
        <w:autoSpaceDE w:val="0"/>
        <w:autoSpaceDN w:val="0"/>
        <w:adjustRightInd w:val="0"/>
        <w:spacing w:after="0" w:line="360" w:lineRule="auto"/>
        <w:ind w:right="140" w:firstLine="708"/>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ЮИР  има най-ниска гъстота на </w:t>
      </w:r>
      <w:r w:rsidRPr="00BD7BB1">
        <w:rPr>
          <w:rFonts w:ascii="Times New Roman" w:eastAsia="Calibri" w:hAnsi="Times New Roman"/>
          <w:b/>
          <w:bCs/>
          <w:i/>
          <w:color w:val="auto"/>
          <w:sz w:val="24"/>
          <w:szCs w:val="24"/>
          <w:lang w:val="bg-BG"/>
        </w:rPr>
        <w:t>републиканската пътна мрежа</w:t>
      </w:r>
      <w:r w:rsidRPr="00BD7BB1">
        <w:rPr>
          <w:rFonts w:ascii="Times New Roman,Bold" w:eastAsia="Calibri" w:hAnsi="Times New Roman,Bold" w:cs="Times New Roman,Bold"/>
          <w:b/>
          <w:bCs/>
          <w:color w:val="auto"/>
          <w:sz w:val="24"/>
          <w:szCs w:val="24"/>
          <w:lang w:val="bg-BG"/>
        </w:rPr>
        <w:t xml:space="preserve"> </w:t>
      </w:r>
      <w:r w:rsidRPr="00BD7BB1">
        <w:rPr>
          <w:rFonts w:ascii="Times New Roman" w:eastAsia="Calibri" w:hAnsi="Times New Roman"/>
          <w:color w:val="auto"/>
          <w:sz w:val="24"/>
          <w:szCs w:val="24"/>
          <w:lang w:val="bg-BG"/>
        </w:rPr>
        <w:t xml:space="preserve">от всички райони. Въпреки че гъстотата на пътната мрежа от висок клас (0,039 км/км²) е по-висока от средната за страната (0,032 км/ км²), регионалната пътна мрежа от ІІ и ІІІ клас е с гъстота 0,125 км/ км², което е най-ниската стойност от всички райони.  Общата дължина на републиканската пътна мрежа в ЮИР е 3 292 км. По данни на НСИ </w:t>
      </w:r>
      <w:r w:rsidRPr="00BD7BB1">
        <w:rPr>
          <w:rFonts w:ascii="Times New Roman" w:eastAsia="Calibri" w:hAnsi="Times New Roman"/>
          <w:b/>
          <w:i/>
          <w:color w:val="auto"/>
          <w:sz w:val="24"/>
          <w:szCs w:val="24"/>
          <w:lang w:val="bg-BG"/>
        </w:rPr>
        <w:t>общата дължина на пътищата</w:t>
      </w:r>
      <w:r w:rsidRPr="00BD7BB1">
        <w:rPr>
          <w:rFonts w:ascii="Times New Roman" w:eastAsia="Calibri" w:hAnsi="Times New Roman"/>
          <w:color w:val="auto"/>
          <w:sz w:val="24"/>
          <w:szCs w:val="24"/>
          <w:lang w:val="bg-BG"/>
        </w:rPr>
        <w:t xml:space="preserve"> през 2014 г. за България е 19</w:t>
      </w:r>
      <w:r w:rsidRPr="00BD7BB1">
        <w:rPr>
          <w:rFonts w:ascii="Times New Roman" w:eastAsia="Calibri" w:hAnsi="Times New Roman"/>
          <w:color w:val="auto"/>
          <w:sz w:val="24"/>
          <w:szCs w:val="24"/>
        </w:rPr>
        <w:t> </w:t>
      </w:r>
      <w:r w:rsidRPr="00BD7BB1">
        <w:rPr>
          <w:rFonts w:ascii="Times New Roman" w:eastAsia="Calibri" w:hAnsi="Times New Roman"/>
          <w:color w:val="auto"/>
          <w:sz w:val="24"/>
          <w:szCs w:val="24"/>
          <w:lang w:val="bg-BG"/>
        </w:rPr>
        <w:t xml:space="preserve">728 км, от които за Бургаска област са 1186 км, област Сливен - 586 км, област Ст.Загора - 888 км, а за  област Ямбол - 636 км.  Анализът за 2014 г. показва, че </w:t>
      </w:r>
      <w:r w:rsidRPr="00BD7BB1">
        <w:rPr>
          <w:rFonts w:ascii="Times New Roman" w:eastAsia="Calibri" w:hAnsi="Times New Roman"/>
          <w:b/>
          <w:i/>
          <w:color w:val="auto"/>
          <w:sz w:val="24"/>
          <w:szCs w:val="24"/>
          <w:lang w:val="bg-BG"/>
        </w:rPr>
        <w:t>общата дължина на пътищата</w:t>
      </w:r>
      <w:r w:rsidRPr="00BD7BB1">
        <w:rPr>
          <w:rFonts w:ascii="Times New Roman" w:eastAsia="Calibri" w:hAnsi="Times New Roman"/>
          <w:color w:val="auto"/>
          <w:sz w:val="24"/>
          <w:szCs w:val="24"/>
          <w:lang w:val="bg-BG"/>
        </w:rPr>
        <w:t xml:space="preserve"> в района възлиза на 16,7 % от тази за страната. Дължината на автомагистралите е 52 км в област Бургас, дължината на първокласните пътища е 249 км, на второкласните - 261 км,  третокласните пътища - 624 км. По показател </w:t>
      </w:r>
      <w:r w:rsidRPr="00BD7BB1">
        <w:rPr>
          <w:rFonts w:ascii="Times New Roman" w:eastAsia="Calibri" w:hAnsi="Times New Roman"/>
          <w:b/>
          <w:i/>
          <w:color w:val="auto"/>
          <w:sz w:val="24"/>
          <w:szCs w:val="24"/>
          <w:lang w:val="bg-BG"/>
        </w:rPr>
        <w:t>обща дължина на пътищата</w:t>
      </w:r>
      <w:r w:rsidRPr="00BD7BB1">
        <w:rPr>
          <w:rFonts w:ascii="Times New Roman" w:eastAsia="Calibri" w:hAnsi="Times New Roman"/>
          <w:color w:val="auto"/>
          <w:sz w:val="24"/>
          <w:szCs w:val="24"/>
          <w:lang w:val="bg-BG"/>
        </w:rPr>
        <w:t xml:space="preserve">  Бургаска област е на второ място по големина след Софийска област. Дължината на автомагистралите в област Стара Загора е 73 км, дължината на първокласните пътища е 167 км, на второкласните - 215 км,  третокласните пътища - 433 км.  За областите Сливен и Ямбол дължината на първокласните пътища е съответно 85 км и 97 км, на второкласните - 201 км и 88 км ,  третокласните пътища - 256 км. и 416 км. На територията на област Сливен са налице участъци от автомагистрала - 44 км. , а за област Ямбол -35 км.</w:t>
      </w:r>
    </w:p>
    <w:p w:rsidR="00F25110" w:rsidRPr="00BD7BB1" w:rsidRDefault="00F25110" w:rsidP="00F25110">
      <w:pPr>
        <w:autoSpaceDE w:val="0"/>
        <w:autoSpaceDN w:val="0"/>
        <w:adjustRightInd w:val="0"/>
        <w:spacing w:after="0" w:line="360" w:lineRule="auto"/>
        <w:ind w:firstLine="708"/>
        <w:jc w:val="both"/>
        <w:rPr>
          <w:rFonts w:ascii="Times New Roman" w:eastAsia="Calibri" w:hAnsi="Times New Roman"/>
          <w:color w:val="auto"/>
          <w:sz w:val="24"/>
          <w:szCs w:val="24"/>
          <w:lang w:val="bg-BG"/>
        </w:rPr>
      </w:pPr>
      <w:r w:rsidRPr="00BD7BB1">
        <w:rPr>
          <w:rFonts w:ascii="Times New Roman" w:eastAsia="Times New Roman" w:hAnsi="Times New Roman"/>
          <w:color w:val="auto"/>
          <w:sz w:val="24"/>
          <w:szCs w:val="24"/>
          <w:lang w:val="bg-BG" w:eastAsia="bg-BG"/>
        </w:rPr>
        <w:t xml:space="preserve">Общата дължина на изградените и функциониращи </w:t>
      </w:r>
      <w:r w:rsidRPr="00BD7BB1">
        <w:rPr>
          <w:rFonts w:ascii="Times New Roman" w:eastAsia="Times New Roman" w:hAnsi="Times New Roman"/>
          <w:b/>
          <w:color w:val="auto"/>
          <w:sz w:val="24"/>
          <w:szCs w:val="24"/>
          <w:lang w:val="bg-BG" w:eastAsia="bg-BG"/>
        </w:rPr>
        <w:t>жп линии</w:t>
      </w:r>
      <w:r w:rsidRPr="00BD7BB1">
        <w:rPr>
          <w:rFonts w:ascii="Times New Roman" w:eastAsia="Times New Roman" w:hAnsi="Times New Roman"/>
          <w:color w:val="auto"/>
          <w:sz w:val="24"/>
          <w:szCs w:val="24"/>
          <w:lang w:val="bg-BG" w:eastAsia="bg-BG"/>
        </w:rPr>
        <w:t xml:space="preserve"> на територията на района към 31.12.2014 г. е 624 км., които съставляват 15,5 % от жп мрежата на страната (4023 км.) </w:t>
      </w:r>
      <w:r w:rsidRPr="00BD7BB1">
        <w:rPr>
          <w:rFonts w:ascii="Times New Roman" w:eastAsia="Calibri" w:hAnsi="Times New Roman"/>
          <w:color w:val="auto"/>
          <w:sz w:val="24"/>
          <w:szCs w:val="24"/>
          <w:lang w:val="bg-BG"/>
        </w:rPr>
        <w:t xml:space="preserve">като с най-голяма дължина е мрежата в област  Стара Загора -  262 км., следвана от област Бургас с 175 км., Сливен -129 км и Ямбол - 58 км. </w:t>
      </w:r>
      <w:r w:rsidRPr="00BD7BB1">
        <w:rPr>
          <w:rFonts w:ascii="Times New Roman" w:eastAsia="Times New Roman" w:hAnsi="Times New Roman"/>
          <w:color w:val="auto"/>
          <w:sz w:val="24"/>
          <w:szCs w:val="24"/>
          <w:lang w:val="bg-BG" w:eastAsia="bg-BG"/>
        </w:rPr>
        <w:t xml:space="preserve">Общата дължина на двойните жп линии е 179 км, съответстващи на 28,7% от всички жп линии в района. </w:t>
      </w:r>
      <w:r w:rsidRPr="00BD7BB1">
        <w:rPr>
          <w:rFonts w:ascii="Times New Roman" w:eastAsia="Calibri" w:hAnsi="Times New Roman"/>
          <w:color w:val="auto"/>
          <w:sz w:val="24"/>
          <w:szCs w:val="24"/>
          <w:lang w:val="bg-BG"/>
        </w:rPr>
        <w:t xml:space="preserve"> </w:t>
      </w:r>
    </w:p>
    <w:p w:rsidR="00F25110" w:rsidRPr="00BD7BB1" w:rsidRDefault="00F25110" w:rsidP="00F25110">
      <w:pPr>
        <w:autoSpaceDE w:val="0"/>
        <w:autoSpaceDN w:val="0"/>
        <w:adjustRightInd w:val="0"/>
        <w:spacing w:after="0" w:line="360" w:lineRule="auto"/>
        <w:ind w:firstLine="708"/>
        <w:jc w:val="both"/>
        <w:rPr>
          <w:rFonts w:ascii="All Times New Roman" w:eastAsia="Times New Roman" w:hAnsi="All Times New Roman" w:cs="All Times New Roman"/>
          <w:color w:val="auto"/>
          <w:sz w:val="24"/>
          <w:szCs w:val="24"/>
          <w:lang w:val="bg-BG" w:eastAsia="bg-BG"/>
        </w:rPr>
      </w:pPr>
      <w:r w:rsidRPr="00BD7BB1">
        <w:rPr>
          <w:rFonts w:ascii="Times New Roman" w:eastAsia="Calibri" w:hAnsi="Times New Roman"/>
          <w:color w:val="auto"/>
          <w:sz w:val="24"/>
          <w:szCs w:val="24"/>
          <w:lang w:val="bg-BG"/>
        </w:rPr>
        <w:t xml:space="preserve">Гъстотата на изградената </w:t>
      </w:r>
      <w:r w:rsidRPr="00BD7BB1">
        <w:rPr>
          <w:rFonts w:ascii="Times New Roman" w:eastAsia="Calibri" w:hAnsi="Times New Roman"/>
          <w:b/>
          <w:bCs/>
          <w:i/>
          <w:color w:val="auto"/>
          <w:sz w:val="24"/>
          <w:szCs w:val="24"/>
          <w:lang w:val="bg-BG"/>
        </w:rPr>
        <w:t>железопътна мрежа</w:t>
      </w:r>
      <w:r w:rsidRPr="00BD7BB1">
        <w:rPr>
          <w:rFonts w:ascii="Times New Roman,Bold" w:eastAsia="Calibri" w:hAnsi="Times New Roman,Bold" w:cs="Times New Roman,Bold"/>
          <w:b/>
          <w:bCs/>
          <w:color w:val="auto"/>
          <w:sz w:val="24"/>
          <w:szCs w:val="24"/>
          <w:lang w:val="bg-BG"/>
        </w:rPr>
        <w:t xml:space="preserve"> </w:t>
      </w:r>
      <w:r w:rsidRPr="00BD7BB1">
        <w:rPr>
          <w:rFonts w:ascii="Times New Roman" w:eastAsia="Calibri" w:hAnsi="Times New Roman"/>
          <w:color w:val="auto"/>
          <w:sz w:val="24"/>
          <w:szCs w:val="24"/>
          <w:lang w:val="bg-BG"/>
        </w:rPr>
        <w:t>в Югоизточен район -</w:t>
      </w:r>
      <w:r w:rsidRPr="00BD7BB1">
        <w:rPr>
          <w:rFonts w:ascii="Times New Roman" w:eastAsia="Times New Roman" w:hAnsi="Times New Roman"/>
          <w:color w:val="auto"/>
          <w:sz w:val="24"/>
          <w:szCs w:val="24"/>
          <w:lang w:val="bg-BG" w:eastAsia="bg-BG"/>
        </w:rPr>
        <w:t xml:space="preserve"> 33,4 км/1000 кв.км  е по-ниска от средната за страната (36,7 км/1000 кв.км)</w:t>
      </w:r>
      <w:r w:rsidRPr="00BD7BB1">
        <w:rPr>
          <w:rFonts w:ascii="Times New Roman" w:eastAsia="Times New Roman" w:hAnsi="Times New Roman"/>
          <w:color w:val="auto"/>
          <w:sz w:val="24"/>
          <w:szCs w:val="24"/>
          <w:lang w:val="ru-RU" w:eastAsia="bg-BG"/>
        </w:rPr>
        <w:t xml:space="preserve"> </w:t>
      </w:r>
      <w:r w:rsidRPr="00BD7BB1">
        <w:rPr>
          <w:rFonts w:ascii="Times New Roman" w:eastAsia="Times New Roman" w:hAnsi="Times New Roman"/>
          <w:color w:val="auto"/>
          <w:sz w:val="24"/>
          <w:szCs w:val="24"/>
          <w:lang w:val="bg-BG" w:eastAsia="bg-BG"/>
        </w:rPr>
        <w:t>и по-висока в сравнение със средната гъстота в някои периферно разположени страни от ЕС като Естония, Гърция, Испания, Ирландия, Латвия.</w:t>
      </w:r>
      <w:r w:rsidRPr="00BD7BB1">
        <w:rPr>
          <w:rFonts w:ascii="Times New Roman" w:eastAsia="Calibri" w:hAnsi="Times New Roman"/>
          <w:color w:val="auto"/>
          <w:sz w:val="24"/>
          <w:szCs w:val="24"/>
          <w:lang w:val="bg-BG"/>
        </w:rPr>
        <w:t xml:space="preserve"> </w:t>
      </w:r>
      <w:r w:rsidRPr="00BD7BB1">
        <w:rPr>
          <w:rFonts w:ascii="All Times New Roman" w:eastAsia="Times New Roman" w:hAnsi="All Times New Roman" w:cs="All Times New Roman"/>
          <w:color w:val="auto"/>
          <w:sz w:val="24"/>
          <w:szCs w:val="24"/>
          <w:lang w:val="bg-BG" w:eastAsia="bg-BG"/>
        </w:rPr>
        <w:t xml:space="preserve">Най-добре обслужена с жп транспорт е област Стара Загора </w:t>
      </w:r>
      <w:r w:rsidRPr="00BD7BB1">
        <w:rPr>
          <w:rFonts w:ascii="Times New Roman" w:eastAsia="Times New Roman" w:hAnsi="Times New Roman"/>
          <w:color w:val="auto"/>
          <w:sz w:val="24"/>
          <w:szCs w:val="24"/>
          <w:lang w:val="bg-BG" w:eastAsia="bg-BG"/>
        </w:rPr>
        <w:t>с гъстота на жп мрежата 50,9 км/1000 кв.км</w:t>
      </w:r>
      <w:r w:rsidRPr="00BD7BB1">
        <w:rPr>
          <w:rFonts w:ascii="All Times New Roman" w:eastAsia="Times New Roman" w:hAnsi="All Times New Roman" w:cs="All Times New Roman"/>
          <w:color w:val="auto"/>
          <w:sz w:val="24"/>
          <w:szCs w:val="24"/>
          <w:lang w:val="bg-BG" w:eastAsia="bg-BG"/>
        </w:rPr>
        <w:t>.</w:t>
      </w:r>
      <w:r w:rsidRPr="00BD7BB1">
        <w:rPr>
          <w:rFonts w:ascii="Times New Roman" w:eastAsia="Times New Roman" w:hAnsi="Times New Roman"/>
          <w:color w:val="auto"/>
          <w:sz w:val="24"/>
          <w:szCs w:val="24"/>
          <w:lang w:val="bg-BG" w:eastAsia="bg-BG"/>
        </w:rPr>
        <w:t xml:space="preserve"> </w:t>
      </w:r>
      <w:r w:rsidRPr="00BD7BB1">
        <w:rPr>
          <w:rFonts w:ascii="All Times New Roman" w:eastAsia="Times New Roman" w:hAnsi="All Times New Roman" w:cs="All Times New Roman"/>
          <w:color w:val="auto"/>
          <w:sz w:val="24"/>
          <w:szCs w:val="24"/>
          <w:lang w:val="bg-BG" w:eastAsia="bg-BG"/>
        </w:rPr>
        <w:t>Най-ниска е гъстотата на жп мрежата в област Бургас (22,6 км/1000 кв.км),  където се  наблюдават територии, обслужвани единствено от автомобилен транспорт.</w:t>
      </w:r>
      <w:r w:rsidRPr="00BD7BB1">
        <w:rPr>
          <w:rFonts w:ascii="Times New Roman" w:eastAsia="Times New Roman" w:hAnsi="Times New Roman"/>
          <w:color w:val="auto"/>
          <w:sz w:val="24"/>
          <w:szCs w:val="24"/>
          <w:lang w:val="bg-BG" w:eastAsia="bg-BG"/>
        </w:rPr>
        <w:t xml:space="preserve">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All Times New Roman" w:eastAsia="Times New Roman" w:hAnsi="All Times New Roman" w:cs="All Times New Roman"/>
          <w:color w:val="auto"/>
          <w:sz w:val="24"/>
          <w:szCs w:val="24"/>
          <w:lang w:val="bg-BG" w:eastAsia="bg-BG"/>
        </w:rPr>
        <w:lastRenderedPageBreak/>
        <w:t xml:space="preserve">По данни на ДП </w:t>
      </w:r>
      <w:r w:rsidRPr="00BD7BB1">
        <w:rPr>
          <w:rFonts w:ascii="All Times New Roman" w:eastAsia="Times New Roman" w:hAnsi="All Times New Roman" w:cs="All Times New Roman"/>
          <w:b/>
          <w:bCs/>
          <w:color w:val="auto"/>
          <w:sz w:val="24"/>
          <w:szCs w:val="24"/>
          <w:lang w:val="bg-BG" w:eastAsia="bg-BG"/>
        </w:rPr>
        <w:t>„</w:t>
      </w:r>
      <w:r w:rsidRPr="00BD7BB1">
        <w:rPr>
          <w:rFonts w:ascii="All Times New Roman" w:eastAsia="Times New Roman" w:hAnsi="All Times New Roman" w:cs="All Times New Roman"/>
          <w:bCs/>
          <w:color w:val="auto"/>
          <w:sz w:val="24"/>
          <w:szCs w:val="24"/>
          <w:lang w:val="bg-BG" w:eastAsia="bg-BG"/>
        </w:rPr>
        <w:t>Национална компания Железопътна Инфраструктура“</w:t>
      </w:r>
      <w:r w:rsidRPr="00BD7BB1">
        <w:rPr>
          <w:rFonts w:ascii="Times New Roman" w:eastAsia="Calibri" w:hAnsi="Times New Roman"/>
          <w:color w:val="auto"/>
          <w:szCs w:val="22"/>
          <w:lang w:val="bg-BG" w:eastAsia="bg-BG"/>
        </w:rPr>
        <w:t xml:space="preserve"> </w:t>
      </w:r>
      <w:r w:rsidRPr="00BD7BB1">
        <w:rPr>
          <w:rFonts w:ascii="All Times New Roman" w:eastAsia="Times New Roman" w:hAnsi="All Times New Roman" w:cs="All Times New Roman"/>
          <w:bCs/>
          <w:color w:val="auto"/>
          <w:sz w:val="24"/>
          <w:szCs w:val="24"/>
          <w:lang w:val="bg-BG" w:eastAsia="bg-BG"/>
        </w:rPr>
        <w:t xml:space="preserve">за 2014 г. на територията на областите Стара Загора, Сливен, Бургас и Ямбол са </w:t>
      </w:r>
      <w:r w:rsidRPr="00BD7BB1">
        <w:rPr>
          <w:rFonts w:ascii="Times New Roman" w:eastAsia="Times New Roman" w:hAnsi="Times New Roman"/>
          <w:color w:val="auto"/>
          <w:sz w:val="24"/>
          <w:szCs w:val="24"/>
          <w:lang w:val="bg-BG" w:eastAsia="bg-BG"/>
        </w:rPr>
        <w:t>извършени следните ремонтни дейности и рехабилитация по железния път :</w:t>
      </w:r>
    </w:p>
    <w:p w:rsidR="00F25110" w:rsidRPr="00BD7BB1" w:rsidRDefault="00F25110" w:rsidP="00957FF6">
      <w:pPr>
        <w:numPr>
          <w:ilvl w:val="0"/>
          <w:numId w:val="21"/>
        </w:numPr>
        <w:autoSpaceDE w:val="0"/>
        <w:autoSpaceDN w:val="0"/>
        <w:adjustRightInd w:val="0"/>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Извършено е </w:t>
      </w:r>
      <w:r w:rsidRPr="00BD7BB1">
        <w:rPr>
          <w:rFonts w:ascii="Times New Roman" w:eastAsia="Times New Roman" w:hAnsi="Times New Roman"/>
          <w:b/>
          <w:color w:val="auto"/>
          <w:sz w:val="24"/>
          <w:szCs w:val="24"/>
          <w:lang w:val="bg-BG" w:eastAsia="bg-BG"/>
        </w:rPr>
        <w:t>подновяване на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8905 м. железен път</w:t>
      </w:r>
      <w:r w:rsidRPr="00BD7BB1">
        <w:rPr>
          <w:rFonts w:ascii="Times New Roman" w:eastAsia="Times New Roman" w:hAnsi="Times New Roman"/>
          <w:color w:val="auto"/>
          <w:sz w:val="24"/>
          <w:szCs w:val="24"/>
          <w:lang w:val="bg-BG" w:eastAsia="bg-BG"/>
        </w:rPr>
        <w:t xml:space="preserve"> в междугарието Кръстец -Радунци и в района на гара Гурково. </w:t>
      </w:r>
    </w:p>
    <w:p w:rsidR="00F25110" w:rsidRPr="00BD7BB1" w:rsidRDefault="00F25110" w:rsidP="00957FF6">
      <w:pPr>
        <w:numPr>
          <w:ilvl w:val="0"/>
          <w:numId w:val="21"/>
        </w:numPr>
        <w:autoSpaceDE w:val="0"/>
        <w:autoSpaceDN w:val="0"/>
        <w:adjustRightInd w:val="0"/>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Шест железопътни прелези</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са изцяло рехабилитирани</w:t>
      </w:r>
      <w:r w:rsidRPr="00BD7BB1">
        <w:rPr>
          <w:rFonts w:ascii="Times New Roman" w:eastAsia="Times New Roman" w:hAnsi="Times New Roman"/>
          <w:color w:val="auto"/>
          <w:sz w:val="24"/>
          <w:szCs w:val="24"/>
          <w:lang w:val="bg-BG" w:eastAsia="bg-BG"/>
        </w:rPr>
        <w:t>, при което старата дървена настилка е подменена с еластична гумена настилка, която осигурява както комфорт при преминаване през железния път, така и по-високо ниво на безопасност.</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На територията на региона се реализират обекти по проект: „</w:t>
      </w:r>
      <w:r w:rsidRPr="00BD7BB1">
        <w:rPr>
          <w:rFonts w:ascii="Times New Roman" w:eastAsia="Times New Roman" w:hAnsi="Times New Roman"/>
          <w:i/>
          <w:color w:val="auto"/>
          <w:sz w:val="24"/>
          <w:szCs w:val="24"/>
          <w:lang w:val="bg-BG" w:eastAsia="bg-BG"/>
        </w:rPr>
        <w:t>Рехабилитация на железопътната инфраструктура по участъци на железопътната линия Пловдив – Бургас“.</w:t>
      </w:r>
      <w:r w:rsidRPr="00BD7BB1">
        <w:rPr>
          <w:rFonts w:ascii="Times New Roman" w:eastAsia="Times New Roman" w:hAnsi="Times New Roman"/>
          <w:color w:val="auto"/>
          <w:sz w:val="24"/>
          <w:szCs w:val="24"/>
          <w:lang w:val="bg-BG" w:eastAsia="bg-BG"/>
        </w:rPr>
        <w:t xml:space="preserve"> По позиция 2 („</w:t>
      </w:r>
      <w:r w:rsidRPr="00BD7BB1">
        <w:rPr>
          <w:rFonts w:ascii="Times New Roman" w:eastAsia="Times New Roman" w:hAnsi="Times New Roman"/>
          <w:i/>
          <w:color w:val="auto"/>
          <w:sz w:val="24"/>
          <w:szCs w:val="24"/>
          <w:lang w:val="bg-BG" w:eastAsia="bg-BG"/>
        </w:rPr>
        <w:t>Рехабилитация на жп отсечките Стара Загора - Завой и Завой – Зимница“</w:t>
      </w:r>
      <w:r w:rsidRPr="00BD7BB1">
        <w:rPr>
          <w:rFonts w:ascii="Times New Roman" w:eastAsia="Times New Roman" w:hAnsi="Times New Roman"/>
          <w:color w:val="auto"/>
          <w:sz w:val="24"/>
          <w:szCs w:val="24"/>
          <w:lang w:val="bg-BG" w:eastAsia="bg-BG"/>
        </w:rPr>
        <w:t>) през 2014 г. са положени 55,6 км. нов железен път, или 46.4% от залегналите в проекта 120 км. По позиция 3 („</w:t>
      </w:r>
      <w:r w:rsidRPr="00BD7BB1">
        <w:rPr>
          <w:rFonts w:ascii="Times New Roman" w:eastAsia="Times New Roman" w:hAnsi="Times New Roman"/>
          <w:i/>
          <w:color w:val="auto"/>
          <w:sz w:val="24"/>
          <w:szCs w:val="24"/>
          <w:lang w:val="bg-BG" w:eastAsia="bg-BG"/>
        </w:rPr>
        <w:t>Рехабилитация на жп отсечката Церковски – Карнобат</w:t>
      </w:r>
      <w:r w:rsidRPr="00BD7BB1">
        <w:rPr>
          <w:rFonts w:ascii="Times New Roman" w:eastAsia="Times New Roman" w:hAnsi="Times New Roman"/>
          <w:color w:val="auto"/>
          <w:sz w:val="24"/>
          <w:szCs w:val="24"/>
          <w:lang w:val="bg-BG" w:eastAsia="bg-BG"/>
        </w:rPr>
        <w:t>“) са положени 11 км. нов железен път, или 7,3% от общата проектна дължина, която е 120 км. Към настоящия момент окончателно приемане с държавна приемателна комисия има само на обект: „</w:t>
      </w:r>
      <w:r w:rsidRPr="00BD7BB1">
        <w:rPr>
          <w:rFonts w:ascii="Times New Roman" w:eastAsia="Times New Roman" w:hAnsi="Times New Roman"/>
          <w:i/>
          <w:color w:val="auto"/>
          <w:sz w:val="24"/>
          <w:szCs w:val="24"/>
          <w:lang w:val="bg-BG" w:eastAsia="bg-BG"/>
        </w:rPr>
        <w:t>Рехабилитация на железопътната отсечка Михайлово - Калояновец с дължина 21 км“.</w:t>
      </w:r>
      <w:r w:rsidRPr="00BD7BB1">
        <w:rPr>
          <w:rFonts w:ascii="Times New Roman" w:eastAsia="Times New Roman" w:hAnsi="Times New Roman"/>
          <w:color w:val="auto"/>
          <w:sz w:val="24"/>
          <w:szCs w:val="24"/>
          <w:lang w:val="bg-BG" w:eastAsia="bg-BG"/>
        </w:rPr>
        <w:t xml:space="preserve"> По линия на поддържането с тежка пътна механизация е подобрено техническото състояние на 308 км. железен път, което е 28,8% от общата дължина на железния път в Югоизточния регион и 96 броя железопътни стрелки.</w:t>
      </w:r>
    </w:p>
    <w:p w:rsidR="00F25110" w:rsidRPr="00BD7BB1" w:rsidRDefault="00F25110" w:rsidP="00F25110">
      <w:pPr>
        <w:autoSpaceDE w:val="0"/>
        <w:autoSpaceDN w:val="0"/>
        <w:adjustRightInd w:val="0"/>
        <w:spacing w:after="0" w:line="360" w:lineRule="auto"/>
        <w:ind w:firstLine="708"/>
        <w:jc w:val="both"/>
        <w:rPr>
          <w:rFonts w:ascii="All Times New Roman" w:eastAsia="Times New Roman" w:hAnsi="All Times New Roman" w:cs="All Times New Roman"/>
          <w:bCs/>
          <w:color w:val="auto"/>
          <w:sz w:val="24"/>
          <w:szCs w:val="24"/>
          <w:lang w:val="bg-BG" w:eastAsia="bg-BG"/>
        </w:rPr>
      </w:pPr>
      <w:r w:rsidRPr="00BD7BB1">
        <w:rPr>
          <w:rFonts w:ascii="All Times New Roman" w:eastAsia="Times New Roman" w:hAnsi="All Times New Roman" w:cs="All Times New Roman"/>
          <w:bCs/>
          <w:color w:val="auto"/>
          <w:sz w:val="24"/>
          <w:szCs w:val="24"/>
          <w:lang w:val="bg-BG" w:eastAsia="bg-BG"/>
        </w:rPr>
        <w:t>През месец февруари 2015 г. стартира един от големите проекти, важен за развитието на Югоизточен район – „</w:t>
      </w:r>
      <w:r w:rsidRPr="00BD7BB1">
        <w:rPr>
          <w:rFonts w:ascii="All Times New Roman" w:eastAsia="Times New Roman" w:hAnsi="All Times New Roman" w:cs="All Times New Roman"/>
          <w:bCs/>
          <w:i/>
          <w:color w:val="auto"/>
          <w:sz w:val="24"/>
          <w:szCs w:val="24"/>
          <w:lang w:val="bg-BG" w:eastAsia="bg-BG"/>
        </w:rPr>
        <w:t>Модернизация и</w:t>
      </w:r>
      <w:r w:rsidRPr="00BD7BB1">
        <w:rPr>
          <w:rFonts w:ascii="All Times New Roman" w:eastAsia="Times New Roman" w:hAnsi="All Times New Roman" w:cs="All Times New Roman"/>
          <w:b/>
          <w:bCs/>
          <w:i/>
          <w:color w:val="auto"/>
          <w:sz w:val="24"/>
          <w:szCs w:val="24"/>
          <w:lang w:val="bg-BG" w:eastAsia="bg-BG"/>
        </w:rPr>
        <w:t xml:space="preserve"> </w:t>
      </w:r>
      <w:r w:rsidRPr="00BD7BB1">
        <w:rPr>
          <w:rFonts w:ascii="All Times New Roman" w:eastAsia="Times New Roman" w:hAnsi="All Times New Roman" w:cs="All Times New Roman"/>
          <w:bCs/>
          <w:i/>
          <w:color w:val="auto"/>
          <w:sz w:val="24"/>
          <w:szCs w:val="24"/>
          <w:lang w:val="bg-BG" w:eastAsia="bg-BG"/>
        </w:rPr>
        <w:t>рехабилитацията на жп гара Бургас</w:t>
      </w:r>
      <w:r w:rsidRPr="00BD7BB1">
        <w:rPr>
          <w:rFonts w:ascii="All Times New Roman" w:eastAsia="Times New Roman" w:hAnsi="All Times New Roman" w:cs="All Times New Roman"/>
          <w:bCs/>
          <w:color w:val="auto"/>
          <w:sz w:val="24"/>
          <w:szCs w:val="24"/>
          <w:lang w:val="bg-BG" w:eastAsia="bg-BG"/>
        </w:rPr>
        <w:t xml:space="preserve">“ </w:t>
      </w:r>
      <w:r w:rsidR="00B95792">
        <w:rPr>
          <w:rFonts w:ascii="All Times New Roman" w:eastAsia="Times New Roman" w:hAnsi="All Times New Roman" w:cs="All Times New Roman"/>
          <w:bCs/>
          <w:color w:val="auto"/>
          <w:sz w:val="24"/>
          <w:szCs w:val="24"/>
          <w:lang w:val="bg-BG" w:eastAsia="bg-BG"/>
        </w:rPr>
        <w:t>.</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Calibri" w:hAnsi="Times New Roman"/>
          <w:b/>
          <w:i/>
          <w:color w:val="auto"/>
          <w:sz w:val="24"/>
          <w:szCs w:val="24"/>
          <w:lang w:val="bg-BG"/>
        </w:rPr>
        <w:t>Морският транспорт</w:t>
      </w:r>
      <w:r w:rsidRPr="00BD7BB1">
        <w:rPr>
          <w:rFonts w:ascii="Times New Roman" w:eastAsia="Calibri" w:hAnsi="Times New Roman"/>
          <w:color w:val="auto"/>
          <w:sz w:val="24"/>
          <w:szCs w:val="24"/>
          <w:lang w:val="bg-BG"/>
        </w:rPr>
        <w:t xml:space="preserve"> в Югоизточния район е добре развит. Международното пристанище Бургас е важен център на транспортната система на страната, през което преминава </w:t>
      </w:r>
      <w:r w:rsidRPr="00BD7BB1">
        <w:rPr>
          <w:rFonts w:ascii="Times New Roman" w:eastAsia="Times New Roman" w:hAnsi="Times New Roman"/>
          <w:color w:val="auto"/>
          <w:sz w:val="24"/>
          <w:szCs w:val="24"/>
          <w:lang w:val="bg-BG" w:eastAsia="bg-BG"/>
        </w:rPr>
        <w:t xml:space="preserve">голяма част от вноса и износа ни. През последните години се наблюдава непрекъсната тенденция за нарастване на товарооборота на пристанището. Пристанището има важна роля за цялостното развитие на икономиката на страната и региона и отварянето й в глобален план.  Новоткритата </w:t>
      </w:r>
      <w:r w:rsidRPr="00BD7BB1">
        <w:rPr>
          <w:rFonts w:ascii="Times New Roman" w:eastAsia="Times New Roman" w:hAnsi="Times New Roman"/>
          <w:b/>
          <w:color w:val="auto"/>
          <w:sz w:val="24"/>
          <w:szCs w:val="24"/>
          <w:lang w:val="bg-BG" w:eastAsia="bg-BG"/>
        </w:rPr>
        <w:t>Морска гара</w:t>
      </w:r>
      <w:r w:rsidRPr="00BD7BB1">
        <w:rPr>
          <w:rFonts w:ascii="Times New Roman" w:eastAsia="Times New Roman" w:hAnsi="Times New Roman"/>
          <w:color w:val="auto"/>
          <w:sz w:val="24"/>
          <w:szCs w:val="24"/>
          <w:lang w:val="bg-BG" w:eastAsia="bg-BG"/>
        </w:rPr>
        <w:t xml:space="preserve">   на пристанище Бургас е част от проекта „Супер Бургас - Зона за обществен достъп“. Пътническият терминал  заема 2700 кв.м. застроена площ и има капацитет да приема и най-големите круизни кораби, </w:t>
      </w:r>
      <w:r w:rsidRPr="00BD7BB1">
        <w:rPr>
          <w:rFonts w:ascii="Times New Roman" w:eastAsia="Times New Roman" w:hAnsi="Times New Roman"/>
          <w:color w:val="auto"/>
          <w:sz w:val="24"/>
          <w:szCs w:val="24"/>
          <w:lang w:val="bg-BG" w:eastAsia="bg-BG"/>
        </w:rPr>
        <w:lastRenderedPageBreak/>
        <w:t>пътуващи в Черно море. Основното предимство на круизния туризъм е добрата платежоспособност на туристите и подчертаният им интерес към културно-историческото наследство на страните, които посещават. Пристанище Бургас е една от атрактивните и бързоразвиващи се круизни точки. Основните предимства на новата Морската гара Бургас е дълбочината и дължината на корабните места, позволяващи  безопасно  акостиране на най-големите пътнически кораби. Прилежащата инфраструктура също създава условия за бързо и качествено обслужване на пасажерите. През миналия круизен сезон 2014 безпроблемно  в Бургас  са обслужени 27 пътнически лайнера с 42 000 туристи. Пристанище Бургас, заедно с другите ангажирани страни, които предоставят услугите – пилотски, маневрени, влекачни, швартови, агентийски и туристически, обединиха усилията си за намаляване на  цените на всеки един от участниците в обслужването на круизните кораби. Първата стъпка бе направена от „Пристанище Бургас” ЕАД, което намали таксата за обслужване на пасажер и тя вече е 5 евро вместо 6 евро. Останалите частни компании също оптимизираха своите тарифи.  Това ясно показва, че визията за развитие на круизния бизнес в България е с ясна и дългосрочна перспектива. Само през 2014 г. 46 луксозни плавателни съда са пристигнали в Бургас, като 7 от тях хвърлят котва -в Бургас, а 39 край Несебър.</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С изграждането на Морската гара се създава възможност за реализиране на концепцията за отваряне на града към морето, изнасяне на промишлените дейности,  преструктуриране на крайбрежните промишлени зони и определяне на нови терени за обществено обслужване. </w:t>
      </w:r>
    </w:p>
    <w:p w:rsidR="00F25110" w:rsidRPr="00BD7BB1" w:rsidRDefault="00F25110" w:rsidP="00F25110">
      <w:pPr>
        <w:autoSpaceDE w:val="0"/>
        <w:autoSpaceDN w:val="0"/>
        <w:adjustRightInd w:val="0"/>
        <w:spacing w:after="0" w:line="360" w:lineRule="auto"/>
        <w:ind w:firstLine="708"/>
        <w:jc w:val="both"/>
        <w:rPr>
          <w:rFonts w:ascii="All Times New Roman" w:eastAsia="Times New Roman" w:hAnsi="All Times New Roman" w:cs="All 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На </w:t>
      </w:r>
      <w:r w:rsidRPr="00BD7BB1">
        <w:rPr>
          <w:rFonts w:ascii="All Times New Roman" w:eastAsia="Times New Roman" w:hAnsi="All Times New Roman" w:cs="All Times New Roman"/>
          <w:color w:val="auto"/>
          <w:sz w:val="24"/>
          <w:szCs w:val="24"/>
          <w:lang w:val="bg-BG" w:eastAsia="bg-BG"/>
        </w:rPr>
        <w:t xml:space="preserve">16.04.2014 г. стартира проект  </w:t>
      </w:r>
      <w:r w:rsidRPr="00BD7BB1">
        <w:rPr>
          <w:rFonts w:ascii="All Times New Roman" w:eastAsia="Times New Roman" w:hAnsi="All Times New Roman" w:cs="All Times New Roman"/>
          <w:i/>
          <w:color w:val="auto"/>
          <w:sz w:val="24"/>
          <w:szCs w:val="24"/>
          <w:lang w:val="bg-BG" w:eastAsia="bg-BG"/>
        </w:rPr>
        <w:t>Изграждане на брегови център управление и информационно обслужване на корабоплаването в гр. Бургас</w:t>
      </w:r>
      <w:r w:rsidRPr="00BD7BB1">
        <w:rPr>
          <w:rFonts w:ascii="All Times New Roman" w:eastAsia="Times New Roman" w:hAnsi="All Times New Roman" w:cs="All Times New Roman"/>
          <w:color w:val="auto"/>
          <w:sz w:val="24"/>
          <w:szCs w:val="24"/>
          <w:lang w:val="bg-BG" w:eastAsia="bg-BG"/>
        </w:rPr>
        <w:t xml:space="preserve"> (от фаза 3 на проект „</w:t>
      </w:r>
      <w:r w:rsidRPr="00BD7BB1">
        <w:rPr>
          <w:rFonts w:ascii="All Times New Roman" w:eastAsia="Times New Roman" w:hAnsi="All Times New Roman" w:cs="All Times New Roman"/>
          <w:i/>
          <w:color w:val="auto"/>
          <w:sz w:val="24"/>
          <w:szCs w:val="24"/>
          <w:lang w:val="bg-BG" w:eastAsia="bg-BG"/>
        </w:rPr>
        <w:t>Информационна система за управление на трафика на плавателни съдове (VTMIS)</w:t>
      </w:r>
      <w:r w:rsidRPr="00BD7BB1">
        <w:rPr>
          <w:rFonts w:ascii="All Times New Roman" w:eastAsia="Times New Roman" w:hAnsi="All Times New Roman" w:cs="All Times New Roman"/>
          <w:color w:val="auto"/>
          <w:sz w:val="24"/>
          <w:szCs w:val="24"/>
          <w:lang w:val="bg-BG" w:eastAsia="bg-BG"/>
        </w:rPr>
        <w:t>” с инвестиция около 2 млн.лв, като общия вложен ресурс е над 30 млн.лв.</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по  Оперативна програма „Транспорт“. Проектът допринася за подобряване на безопасността на корабоплаването и изпълнението на задължението на България като страна-член на Европейския съюз.</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eastAsia="bg-BG"/>
        </w:rPr>
      </w:pPr>
      <w:r w:rsidRPr="00BD7BB1">
        <w:rPr>
          <w:rFonts w:ascii="Times New Roman" w:eastAsia="Times New Roman" w:hAnsi="Times New Roman"/>
          <w:color w:val="auto"/>
          <w:sz w:val="24"/>
          <w:szCs w:val="24"/>
          <w:lang w:val="bg-BG" w:eastAsia="bg-BG"/>
        </w:rPr>
        <w:t xml:space="preserve">В резултат на изпълнението на третата фаза на проекта ще бъде разширена функциониращата й част, така че да обхваща цялата брегова ивица и да даде възможност за интегриране на всички комуникационни подсистеми в единна национална морска </w:t>
      </w:r>
      <w:r w:rsidRPr="00BD7BB1">
        <w:rPr>
          <w:rFonts w:ascii="Times New Roman" w:eastAsia="Times New Roman" w:hAnsi="Times New Roman"/>
          <w:color w:val="auto"/>
          <w:sz w:val="24"/>
          <w:szCs w:val="24"/>
          <w:lang w:val="bg-BG" w:eastAsia="bg-BG"/>
        </w:rPr>
        <w:lastRenderedPageBreak/>
        <w:t>информационна система.  Също така ще бъде създаден „Национален център за електронен документооборот за морския транспорт („едно гише”).</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eastAsia="bg-BG"/>
        </w:rPr>
      </w:pPr>
      <w:r w:rsidRPr="00BD7BB1">
        <w:rPr>
          <w:rFonts w:ascii="Times New Roman" w:eastAsia="Times New Roman" w:hAnsi="Times New Roman"/>
          <w:color w:val="auto"/>
          <w:sz w:val="24"/>
          <w:szCs w:val="24"/>
          <w:lang w:val="bg-BG" w:eastAsia="bg-BG"/>
        </w:rPr>
        <w:t>Изграждането на бреговия център в Бургас е част от един от лотовете от проекта. Архитектурата му е съобразена с облика на новата морска гара, която се намира в непосредствена близост до него. Действащият в момента брегови център е разположен в сграда, построена през 1997 г. като рейдови пост на Пристанище Бургас. Следствие на дългогодишната експлоатация е достигнато максимално натоварване на основната му конструкция и това не позволява никакви бъдещи разширения. Това налага изграждането на нов брегови център, който да отговаря на най-новите изисквания.</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eastAsia="bg-BG"/>
        </w:rPr>
      </w:pPr>
      <w:r w:rsidRPr="00BD7BB1">
        <w:rPr>
          <w:rFonts w:ascii="Times New Roman" w:eastAsia="Times New Roman" w:hAnsi="Times New Roman"/>
          <w:color w:val="auto"/>
          <w:sz w:val="24"/>
          <w:szCs w:val="24"/>
          <w:lang w:eastAsia="bg-BG"/>
        </w:rPr>
        <w:t>От 23.10.2014</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 xml:space="preserve">г. Държавно предприятие </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eastAsia="bg-BG"/>
        </w:rPr>
        <w:t>Пристанищна инфраструктура</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eastAsia="bg-BG"/>
        </w:rPr>
        <w:t xml:space="preserve"> въвежда нова електронна услуга за достъп до данните на Географската информационна система на пристанищната инфраструктура. Системата поддържа актуални данни за състоянието на инфраструктура, площи, сгради, съоръжения, пътни и железопътни терминали, складове, прилежаща акватория и други обекти на територията на пристанищата за обществен транспорт с национално значение на Република България. ДППИ въведе в експлоатация системата в края на месец август 2014 г. Географска информационна система на пристанищната инфраструктура е изградена в рамките на проект, финансиран от Оперативна програма „Транспорт” 2007 – 2013 г., на стойност над 4,5 млн. лева.</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eastAsia="bg-BG"/>
        </w:rPr>
      </w:pPr>
      <w:r w:rsidRPr="00BD7BB1">
        <w:rPr>
          <w:rFonts w:ascii="Times New Roman" w:eastAsia="Times New Roman" w:hAnsi="Times New Roman"/>
          <w:color w:val="auto"/>
          <w:sz w:val="24"/>
          <w:szCs w:val="24"/>
          <w:lang w:eastAsia="bg-BG"/>
        </w:rPr>
        <w:t>ГИС технологията дава възможност натрупаните данни и информация да бъдат използвани за специфични изследвания, управление на ресурси, регионално и териториално планиране, както и за икономическо моделиране на процеси. Предвижда се след създаването на Националния портал за пространствени данни, ГИС-системата на пристанищната инфраструктура да поддържа обмен на данни с геопортала на инфраструктурата за пространствена информация в ЕС (INSPIRE).</w:t>
      </w:r>
    </w:p>
    <w:p w:rsidR="00F25110" w:rsidRPr="00BD7BB1" w:rsidRDefault="00F25110" w:rsidP="00F25110">
      <w:pPr>
        <w:autoSpaceDE w:val="0"/>
        <w:autoSpaceDN w:val="0"/>
        <w:adjustRightInd w:val="0"/>
        <w:spacing w:after="0" w:line="360" w:lineRule="auto"/>
        <w:ind w:firstLine="708"/>
        <w:jc w:val="both"/>
        <w:rPr>
          <w:rFonts w:ascii="Times New Roman" w:eastAsia="Calibri" w:hAnsi="Times New Roman"/>
          <w:color w:val="auto"/>
          <w:sz w:val="24"/>
          <w:szCs w:val="24"/>
          <w:lang w:val="bg-BG"/>
        </w:rPr>
      </w:pPr>
      <w:r w:rsidRPr="00BD7BB1">
        <w:rPr>
          <w:rFonts w:ascii="Times New Roman" w:eastAsia="Calibri" w:hAnsi="Times New Roman"/>
          <w:b/>
          <w:i/>
          <w:color w:val="auto"/>
          <w:sz w:val="24"/>
          <w:szCs w:val="24"/>
          <w:lang w:val="bg-BG"/>
        </w:rPr>
        <w:t>Въздушният транспорт</w:t>
      </w:r>
      <w:r w:rsidRPr="00BD7BB1">
        <w:rPr>
          <w:rFonts w:ascii="Times New Roman" w:eastAsia="Calibri" w:hAnsi="Times New Roman"/>
          <w:color w:val="auto"/>
          <w:sz w:val="24"/>
          <w:szCs w:val="24"/>
          <w:lang w:val="bg-BG"/>
        </w:rPr>
        <w:t xml:space="preserve"> е представен от международното летище в Бургас, както и от летището за малки самолети в гр. Приморско за полети с туристическа цел. Бургаското летище има стратегическо значение поради специфичното му географско положение – на границата между Европа и Азия. Сред най-големите му предимства е възможността за интермодален транспорт по въздух, море и суша.</w:t>
      </w:r>
      <w:r w:rsidRPr="00BD7BB1">
        <w:rPr>
          <w:rFonts w:ascii="Times New Roman" w:eastAsia="Times New Roman" w:hAnsi="Times New Roman"/>
          <w:color w:val="auto"/>
          <w:sz w:val="24"/>
          <w:szCs w:val="24"/>
          <w:lang w:val="bg-BG" w:eastAsia="bg-BG"/>
        </w:rPr>
        <w:t xml:space="preserve"> Летище Бургас има най-голям относителен дял в превозените пасажери след летище София.</w:t>
      </w:r>
      <w:r w:rsidRPr="00BD7BB1">
        <w:rPr>
          <w:rFonts w:ascii="Times New Roman" w:eastAsia="Calibri" w:hAnsi="Times New Roman"/>
          <w:color w:val="auto"/>
          <w:sz w:val="24"/>
          <w:szCs w:val="24"/>
          <w:lang w:val="bg-BG"/>
        </w:rPr>
        <w:t xml:space="preserve"> По данни на „Фрапорт“, </w:t>
      </w:r>
      <w:r w:rsidRPr="00BD7BB1">
        <w:rPr>
          <w:rFonts w:ascii="Times New Roman" w:eastAsia="Calibri" w:hAnsi="Times New Roman"/>
          <w:b/>
          <w:color w:val="auto"/>
          <w:sz w:val="24"/>
          <w:szCs w:val="24"/>
          <w:lang w:val="bg-BG"/>
        </w:rPr>
        <w:t>летище Бургас</w:t>
      </w:r>
      <w:r w:rsidRPr="00BD7BB1">
        <w:rPr>
          <w:rFonts w:ascii="Times New Roman" w:eastAsia="Times New Roman" w:hAnsi="Times New Roman"/>
          <w:color w:val="auto"/>
          <w:sz w:val="24"/>
          <w:szCs w:val="24"/>
          <w:lang w:val="bg-BG" w:eastAsia="bg-BG"/>
        </w:rPr>
        <w:t xml:space="preserve"> е по-натоварено от летище Варна. През бургаската аерогара за </w:t>
      </w:r>
      <w:r w:rsidRPr="00BD7BB1">
        <w:rPr>
          <w:rFonts w:ascii="Times New Roman" w:eastAsia="Times New Roman" w:hAnsi="Times New Roman"/>
          <w:color w:val="auto"/>
          <w:sz w:val="24"/>
          <w:szCs w:val="24"/>
          <w:lang w:val="bg-BG" w:eastAsia="bg-BG"/>
        </w:rPr>
        <w:lastRenderedPageBreak/>
        <w:t>201</w:t>
      </w:r>
      <w:r w:rsidRPr="00BD7BB1">
        <w:rPr>
          <w:rFonts w:ascii="Times New Roman" w:eastAsia="Times New Roman" w:hAnsi="Times New Roman"/>
          <w:color w:val="auto"/>
          <w:sz w:val="24"/>
          <w:szCs w:val="24"/>
          <w:lang w:eastAsia="bg-BG"/>
        </w:rPr>
        <w:t>4</w:t>
      </w:r>
      <w:r w:rsidRPr="00BD7BB1">
        <w:rPr>
          <w:rFonts w:ascii="Times New Roman" w:eastAsia="Times New Roman" w:hAnsi="Times New Roman"/>
          <w:color w:val="auto"/>
          <w:sz w:val="24"/>
          <w:szCs w:val="24"/>
          <w:lang w:val="bg-BG" w:eastAsia="bg-BG"/>
        </w:rPr>
        <w:t xml:space="preserve"> г. са преминали над 2,5 милиона пътници, докато през варненската – близо 1,4 милиона. Летището в Бургас </w:t>
      </w:r>
      <w:r w:rsidRPr="00BD7BB1">
        <w:rPr>
          <w:rFonts w:ascii="Times New Roman" w:eastAsia="Times New Roman" w:hAnsi="Times New Roman"/>
          <w:color w:val="auto"/>
          <w:sz w:val="24"/>
          <w:szCs w:val="24"/>
          <w:lang w:eastAsia="bg-BG"/>
        </w:rPr>
        <w:t>бележи нов рекорд в историята на летището</w:t>
      </w:r>
      <w:r w:rsidRPr="00BD7BB1">
        <w:rPr>
          <w:rFonts w:ascii="Times New Roman" w:eastAsia="Times New Roman" w:hAnsi="Times New Roman"/>
          <w:color w:val="auto"/>
          <w:sz w:val="24"/>
          <w:szCs w:val="24"/>
          <w:lang w:val="bg-BG" w:eastAsia="bg-BG"/>
        </w:rPr>
        <w:t xml:space="preserve"> с ръст на обслужените пътници с 2% спрямо предходната. </w:t>
      </w:r>
      <w:r w:rsidRPr="00BD7BB1">
        <w:rPr>
          <w:rFonts w:ascii="Times New Roman" w:eastAsia="Times New Roman" w:hAnsi="Times New Roman"/>
          <w:color w:val="auto"/>
          <w:sz w:val="24"/>
          <w:szCs w:val="24"/>
          <w:lang w:eastAsia="bg-BG"/>
        </w:rPr>
        <w:t>Най-</w:t>
      </w:r>
      <w:r w:rsidRPr="00BD7BB1">
        <w:rPr>
          <w:rFonts w:ascii="Times New Roman" w:eastAsia="Times New Roman" w:hAnsi="Times New Roman"/>
          <w:color w:val="auto"/>
          <w:sz w:val="24"/>
          <w:szCs w:val="24"/>
          <w:lang w:val="bg-BG" w:eastAsia="bg-BG"/>
        </w:rPr>
        <w:t xml:space="preserve">голямо увеличение се наблюдава на </w:t>
      </w:r>
      <w:r w:rsidRPr="00BD7BB1">
        <w:rPr>
          <w:rFonts w:ascii="Times New Roman" w:eastAsia="Times New Roman" w:hAnsi="Times New Roman"/>
          <w:color w:val="auto"/>
          <w:sz w:val="24"/>
          <w:szCs w:val="24"/>
          <w:lang w:eastAsia="bg-BG"/>
        </w:rPr>
        <w:t xml:space="preserve">пътуващите </w:t>
      </w:r>
      <w:r w:rsidRPr="00BD7BB1">
        <w:rPr>
          <w:rFonts w:ascii="Times New Roman" w:eastAsia="Times New Roman" w:hAnsi="Times New Roman"/>
          <w:color w:val="auto"/>
          <w:sz w:val="24"/>
          <w:szCs w:val="24"/>
          <w:lang w:val="bg-BG" w:eastAsia="bg-BG"/>
        </w:rPr>
        <w:t xml:space="preserve">туристи </w:t>
      </w:r>
      <w:r w:rsidRPr="00BD7BB1">
        <w:rPr>
          <w:rFonts w:ascii="Times New Roman" w:eastAsia="Times New Roman" w:hAnsi="Times New Roman"/>
          <w:color w:val="auto"/>
          <w:sz w:val="24"/>
          <w:szCs w:val="24"/>
          <w:lang w:eastAsia="bg-BG"/>
        </w:rPr>
        <w:t xml:space="preserve">от Русия, като техният брой достига 680 746, което е ръст от 7% спрямо 2013 година. </w:t>
      </w:r>
      <w:r w:rsidRPr="00BD7BB1">
        <w:rPr>
          <w:rFonts w:ascii="Times New Roman" w:eastAsia="Times New Roman" w:hAnsi="Times New Roman"/>
          <w:color w:val="auto"/>
          <w:sz w:val="24"/>
          <w:szCs w:val="24"/>
          <w:lang w:val="bg-BG" w:eastAsia="bg-BG"/>
        </w:rPr>
        <w:t>Н</w:t>
      </w:r>
      <w:r w:rsidRPr="00BD7BB1">
        <w:rPr>
          <w:rFonts w:ascii="Times New Roman" w:eastAsia="Times New Roman" w:hAnsi="Times New Roman"/>
          <w:color w:val="auto"/>
          <w:sz w:val="24"/>
          <w:szCs w:val="24"/>
          <w:lang w:eastAsia="bg-BG"/>
        </w:rPr>
        <w:t>ай-популярните дестинации</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на летището през 2014</w:t>
      </w:r>
      <w:r w:rsidRPr="00BD7BB1">
        <w:rPr>
          <w:rFonts w:ascii="Times New Roman" w:eastAsia="Times New Roman" w:hAnsi="Times New Roman"/>
          <w:color w:val="auto"/>
          <w:sz w:val="24"/>
          <w:szCs w:val="24"/>
          <w:lang w:val="bg-BG" w:eastAsia="bg-BG"/>
        </w:rPr>
        <w:t xml:space="preserve"> г. са </w:t>
      </w:r>
      <w:r w:rsidRPr="00BD7BB1">
        <w:rPr>
          <w:rFonts w:ascii="Times New Roman" w:eastAsia="Times New Roman" w:hAnsi="Times New Roman"/>
          <w:color w:val="auto"/>
          <w:sz w:val="24"/>
          <w:szCs w:val="24"/>
          <w:lang w:eastAsia="bg-BG"/>
        </w:rPr>
        <w:t>Москва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(Русия),</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Минск</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(Беларус)</w:t>
      </w:r>
      <w:r w:rsidRPr="00BD7BB1">
        <w:rPr>
          <w:rFonts w:ascii="Times New Roman" w:eastAsia="Times New Roman" w:hAnsi="Times New Roman"/>
          <w:color w:val="auto"/>
          <w:sz w:val="24"/>
          <w:szCs w:val="24"/>
          <w:lang w:val="bg-BG" w:eastAsia="bg-BG"/>
        </w:rPr>
        <w:t xml:space="preserve"> и </w:t>
      </w:r>
      <w:r w:rsidRPr="00BD7BB1">
        <w:rPr>
          <w:rFonts w:ascii="Times New Roman" w:eastAsia="Times New Roman" w:hAnsi="Times New Roman"/>
          <w:color w:val="auto"/>
          <w:sz w:val="24"/>
          <w:szCs w:val="24"/>
          <w:lang w:eastAsia="bg-BG"/>
        </w:rPr>
        <w:t>Лондон</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(Великобритания)</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 xml:space="preserve">През най-натоварения ден - 25 юли 2014 г., в рамките на 24 часа </w:t>
      </w:r>
      <w:r w:rsidRPr="00BD7BB1">
        <w:rPr>
          <w:rFonts w:ascii="Times New Roman" w:eastAsia="Times New Roman" w:hAnsi="Times New Roman"/>
          <w:color w:val="auto"/>
          <w:sz w:val="24"/>
          <w:szCs w:val="24"/>
          <w:lang w:val="bg-BG" w:eastAsia="bg-BG"/>
        </w:rPr>
        <w:t>са</w:t>
      </w:r>
      <w:r w:rsidRPr="00BD7BB1">
        <w:rPr>
          <w:rFonts w:ascii="Times New Roman" w:eastAsia="Times New Roman" w:hAnsi="Times New Roman"/>
          <w:color w:val="auto"/>
          <w:sz w:val="24"/>
          <w:szCs w:val="24"/>
          <w:lang w:eastAsia="bg-BG"/>
        </w:rPr>
        <w:t xml:space="preserve"> обслужени 37 693 пътници и 232 излитания и кацания</w:t>
      </w:r>
      <w:r w:rsidRPr="00BD7BB1">
        <w:rPr>
          <w:rFonts w:ascii="Times New Roman" w:eastAsia="Times New Roman" w:hAnsi="Times New Roman"/>
          <w:color w:val="auto"/>
          <w:sz w:val="24"/>
          <w:szCs w:val="24"/>
          <w:lang w:val="bg-BG" w:eastAsia="bg-BG"/>
        </w:rPr>
        <w:t xml:space="preserve"> на самолети.</w:t>
      </w:r>
      <w:r w:rsidRPr="00BD7BB1">
        <w:rPr>
          <w:rFonts w:ascii="Times New Roman" w:eastAsia="Times New Roman" w:hAnsi="Times New Roman"/>
          <w:color w:val="auto"/>
          <w:sz w:val="24"/>
          <w:szCs w:val="24"/>
          <w:lang w:eastAsia="bg-BG"/>
        </w:rPr>
        <w:t xml:space="preserve"> През изминалата година на летище Бургас бяха открити нови направления от Австрия, Беларус, Полша, Русия, Норвегия, Молдова. </w:t>
      </w:r>
      <w:r w:rsidRPr="00BD7BB1">
        <w:rPr>
          <w:rFonts w:ascii="Times New Roman" w:eastAsia="Times New Roman" w:hAnsi="Times New Roman"/>
          <w:color w:val="auto"/>
          <w:sz w:val="24"/>
          <w:szCs w:val="24"/>
          <w:lang w:val="bg-BG" w:eastAsia="bg-BG"/>
        </w:rPr>
        <w:t>Данните на компанията оператор сочат, че 2014 година е първата пълна оперативна година за новите пътнически терминали на летище Варна и летище Бургас. Благодарение на новите съоръжения, летищата предоставиха висококачествени услуги, съизмерими с високите световни стандарти в бизнеса. В допълнение към модерните сгради, „Фрапорт Туин Стар Еърпорт Мениджмънт“ АД въведе нова програма - „We Care“, която акцентира върху грижата за всеки клиент и значително повишаване удовлетвореността на пътниците по време на престоя им на летищата. Те могат да се насладят на престоя си в изключителните ВИП зали, както и да опитат богатото разнообразие от висококачествени български продукти, които Българският базар в новите терминали предлага на клиентите. През миналата година компанията продължи да инвестира в обновяване на техниката, инфраструктурата и съоръженията. И н</w:t>
      </w:r>
      <w:r w:rsidRPr="00BD7BB1">
        <w:rPr>
          <w:rFonts w:ascii="Times New Roman" w:eastAsia="Times New Roman" w:hAnsi="Times New Roman"/>
          <w:color w:val="auto"/>
          <w:sz w:val="24"/>
          <w:szCs w:val="24"/>
          <w:lang w:eastAsia="bg-BG"/>
        </w:rPr>
        <w:t xml:space="preserve">а двете летища бяха изградени нови автоматични паркинг системи. В допълнение, частична рехабилитация на перона и нов канализационен колектор на </w:t>
      </w:r>
      <w:r w:rsidRPr="00BD7BB1">
        <w:rPr>
          <w:rFonts w:ascii="Times New Roman" w:eastAsia="Times New Roman" w:hAnsi="Times New Roman"/>
          <w:b/>
          <w:color w:val="auto"/>
          <w:sz w:val="24"/>
          <w:szCs w:val="24"/>
          <w:lang w:eastAsia="bg-BG"/>
        </w:rPr>
        <w:t>летище Бургас</w:t>
      </w:r>
      <w:r w:rsidRPr="00BD7BB1">
        <w:rPr>
          <w:rFonts w:ascii="Times New Roman" w:eastAsia="Times New Roman" w:hAnsi="Times New Roman"/>
          <w:color w:val="auto"/>
          <w:sz w:val="24"/>
          <w:szCs w:val="24"/>
          <w:lang w:eastAsia="bg-BG"/>
        </w:rPr>
        <w:t xml:space="preserve"> са друга част от инвестициите на компанията през 2014 година.</w:t>
      </w:r>
    </w:p>
    <w:p w:rsidR="00F25110" w:rsidRPr="00BD7BB1" w:rsidRDefault="00F25110" w:rsidP="00F25110">
      <w:pPr>
        <w:autoSpaceDE w:val="0"/>
        <w:autoSpaceDN w:val="0"/>
        <w:adjustRightInd w:val="0"/>
        <w:spacing w:after="0" w:line="360" w:lineRule="auto"/>
        <w:ind w:firstLine="708"/>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По </w:t>
      </w:r>
      <w:r w:rsidRPr="00BD7BB1">
        <w:rPr>
          <w:rFonts w:ascii="Times New Roman" w:eastAsia="Calibri" w:hAnsi="Times New Roman"/>
          <w:b/>
          <w:i/>
          <w:color w:val="auto"/>
          <w:sz w:val="24"/>
          <w:szCs w:val="24"/>
          <w:lang w:val="bg-BG"/>
        </w:rPr>
        <w:t>относителен дял на домакинствата</w:t>
      </w:r>
      <w:r w:rsidRPr="00BD7BB1">
        <w:rPr>
          <w:rFonts w:ascii="Times New Roman" w:eastAsia="Calibri" w:hAnsi="Times New Roman"/>
          <w:color w:val="auto"/>
          <w:sz w:val="24"/>
          <w:szCs w:val="24"/>
          <w:lang w:val="bg-BG"/>
        </w:rPr>
        <w:t xml:space="preserve"> с достъп до интернет ЮИР в сравнение с останалите райони в страната е с по-нисък дял и през 2014 г. отбелязва стойност - 52,7 %, при средна за страната - 56,7 %. Единствено в Северозападен район (43,8%) делът на домакинствата с достъп до интернет е най-нисък.  От всички домакинства имащи достъп до интернет  в страната - 1 480 722 бр., 166 246 са на територията  на  ЮИР. Делът на </w:t>
      </w:r>
      <w:r w:rsidRPr="00BD7BB1">
        <w:rPr>
          <w:rFonts w:ascii="Times New Roman" w:eastAsia="Calibri" w:hAnsi="Times New Roman"/>
          <w:b/>
          <w:i/>
          <w:color w:val="auto"/>
          <w:sz w:val="24"/>
          <w:szCs w:val="24"/>
          <w:lang w:val="bg-BG"/>
        </w:rPr>
        <w:t>домакинствата</w:t>
      </w:r>
      <w:r w:rsidRPr="00BD7BB1">
        <w:rPr>
          <w:rFonts w:ascii="Times New Roman" w:eastAsia="Calibri" w:hAnsi="Times New Roman"/>
          <w:color w:val="auto"/>
          <w:sz w:val="24"/>
          <w:szCs w:val="24"/>
          <w:lang w:val="bg-BG"/>
        </w:rPr>
        <w:t xml:space="preserve"> с достъп до интернет във всички райони на страната плавно се покачва в последните години. В ЮИР тенденцията е различна – докато през 2013 г. е регистрирано намаление на показателя с 3,1 процентни пункта спрямо 2012г. за 2014 г. показателят бележи  увеличение с 6,2 процентни пункта спрямо 2013 г. </w:t>
      </w:r>
    </w:p>
    <w:p w:rsidR="00F25110" w:rsidRPr="00BD7BB1" w:rsidRDefault="00F25110" w:rsidP="00F25110">
      <w:pPr>
        <w:autoSpaceDE w:val="0"/>
        <w:autoSpaceDN w:val="0"/>
        <w:adjustRightInd w:val="0"/>
        <w:spacing w:after="0" w:line="360" w:lineRule="auto"/>
        <w:ind w:firstLine="708"/>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lastRenderedPageBreak/>
        <w:t>Лицата  между 16 и 74 години, които никога не са използвали интернет в ЮИР за 2014 г. са 43,5% при среден показател за страната – 37,1% . С  тези стойности  районът остава на по-ниско ниво на развитие</w:t>
      </w:r>
      <w:r w:rsidRPr="00BD7BB1">
        <w:rPr>
          <w:rFonts w:ascii="Times New Roman" w:eastAsia="Times New Roman" w:hAnsi="Times New Roman"/>
          <w:color w:val="auto"/>
          <w:sz w:val="24"/>
          <w:szCs w:val="24"/>
          <w:lang w:val="bg-BG" w:eastAsia="bg-BG"/>
        </w:rPr>
        <w:t xml:space="preserve"> </w:t>
      </w:r>
      <w:r w:rsidRPr="00BD7BB1">
        <w:rPr>
          <w:rFonts w:ascii="Times New Roman" w:eastAsia="Calibri" w:hAnsi="Times New Roman"/>
          <w:color w:val="auto"/>
          <w:sz w:val="24"/>
          <w:szCs w:val="24"/>
          <w:lang w:val="bg-BG"/>
        </w:rPr>
        <w:t>на информационно-комуникационните технологии  в сравнение със средното за ЕС.</w:t>
      </w:r>
    </w:p>
    <w:p w:rsidR="00F25110" w:rsidRPr="00BD7BB1" w:rsidRDefault="00F25110" w:rsidP="00F25110">
      <w:pPr>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8"/>
          <w:szCs w:val="24"/>
          <w:lang w:val="bg-BG" w:eastAsia="bg-BG"/>
        </w:rPr>
        <w:t xml:space="preserve">          </w:t>
      </w:r>
      <w:r w:rsidRPr="00BD7BB1">
        <w:rPr>
          <w:rFonts w:ascii="Times New Roman" w:eastAsia="Times New Roman" w:hAnsi="Times New Roman"/>
          <w:color w:val="auto"/>
          <w:sz w:val="24"/>
          <w:szCs w:val="24"/>
          <w:lang w:val="bg-BG" w:eastAsia="bg-BG"/>
        </w:rPr>
        <w:t xml:space="preserve">Югоизточен </w:t>
      </w:r>
      <w:r w:rsidRPr="00BD7BB1">
        <w:rPr>
          <w:rFonts w:ascii="Times New Roman" w:eastAsia="Times New Roman" w:hAnsi="Times New Roman"/>
          <w:color w:val="auto"/>
          <w:sz w:val="24"/>
          <w:szCs w:val="24"/>
          <w:lang w:val="ru-RU" w:eastAsia="bg-BG"/>
        </w:rPr>
        <w:t xml:space="preserve"> район </w:t>
      </w:r>
      <w:r w:rsidRPr="00BD7BB1">
        <w:rPr>
          <w:rFonts w:ascii="Times New Roman" w:eastAsia="Times New Roman" w:hAnsi="Times New Roman"/>
          <w:color w:val="auto"/>
          <w:sz w:val="24"/>
          <w:szCs w:val="24"/>
          <w:lang w:val="bg-BG" w:eastAsia="bg-BG"/>
        </w:rPr>
        <w:t xml:space="preserve">заедно със Североизточен район е на първо място  по водоснабденост в края на 2013 г. </w:t>
      </w:r>
      <w:r w:rsidRPr="00BD7BB1">
        <w:rPr>
          <w:rFonts w:ascii="Times New Roman" w:eastAsia="Times New Roman" w:hAnsi="Times New Roman"/>
          <w:b/>
          <w:i/>
          <w:color w:val="auto"/>
          <w:sz w:val="24"/>
          <w:szCs w:val="24"/>
          <w:lang w:val="bg-BG" w:eastAsia="bg-BG"/>
        </w:rPr>
        <w:t>Делът на населението, свързано с обществено водоснабдяване</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ru-RU" w:eastAsia="bg-BG"/>
        </w:rPr>
        <w:t xml:space="preserve">в ЮИР </w:t>
      </w:r>
      <w:r w:rsidRPr="00BD7BB1">
        <w:rPr>
          <w:rFonts w:ascii="Times New Roman" w:eastAsia="Times New Roman" w:hAnsi="Times New Roman"/>
          <w:color w:val="auto"/>
          <w:sz w:val="24"/>
          <w:szCs w:val="24"/>
          <w:lang w:val="bg-BG" w:eastAsia="bg-BG"/>
        </w:rPr>
        <w:t>е 99,</w:t>
      </w:r>
      <w:r w:rsidRPr="00BD7BB1">
        <w:rPr>
          <w:rFonts w:ascii="Times New Roman" w:eastAsia="Times New Roman" w:hAnsi="Times New Roman"/>
          <w:color w:val="auto"/>
          <w:sz w:val="24"/>
          <w:szCs w:val="24"/>
          <w:lang w:val="ru-RU" w:eastAsia="bg-BG"/>
        </w:rPr>
        <w:t>9</w:t>
      </w:r>
      <w:r w:rsidRPr="00BD7BB1">
        <w:rPr>
          <w:rFonts w:ascii="Times New Roman" w:eastAsia="Times New Roman" w:hAnsi="Times New Roman"/>
          <w:color w:val="auto"/>
          <w:sz w:val="24"/>
          <w:szCs w:val="24"/>
          <w:lang w:val="bg-BG" w:eastAsia="bg-BG"/>
        </w:rPr>
        <w:t xml:space="preserve">% (за 2008 г. 99,7% ), при среден показател за страната 99,3% (за 2008 г. 99,0% ).  Във вътрешно регионален аспект с  най – висок максимален дял от 100% е област Ямбол.  Делът на областите Бургас и Сливен е еднакъв с този за района от 99,9%, следвани от област Стара Загора с дял от 99,7%. По  </w:t>
      </w:r>
      <w:r w:rsidRPr="00BD7BB1">
        <w:rPr>
          <w:rFonts w:ascii="Times New Roman" w:eastAsia="Times New Roman" w:hAnsi="Times New Roman"/>
          <w:b/>
          <w:i/>
          <w:color w:val="auto"/>
          <w:sz w:val="24"/>
          <w:szCs w:val="24"/>
          <w:lang w:val="bg-BG" w:eastAsia="bg-BG"/>
        </w:rPr>
        <w:t>дял на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i/>
          <w:color w:val="auto"/>
          <w:sz w:val="24"/>
          <w:szCs w:val="24"/>
          <w:lang w:val="bg-BG" w:eastAsia="bg-BG"/>
        </w:rPr>
        <w:t xml:space="preserve">населението с режим на водоснабдяване </w:t>
      </w:r>
      <w:r w:rsidRPr="00BD7BB1">
        <w:rPr>
          <w:rFonts w:ascii="Times New Roman" w:eastAsia="Times New Roman" w:hAnsi="Times New Roman"/>
          <w:color w:val="auto"/>
          <w:sz w:val="24"/>
          <w:szCs w:val="24"/>
          <w:lang w:val="bg-BG" w:eastAsia="bg-BG"/>
        </w:rPr>
        <w:t>ЮИР (1%)</w:t>
      </w:r>
      <w:r w:rsidRPr="00BD7BB1">
        <w:rPr>
          <w:rFonts w:ascii="Times New Roman" w:eastAsia="Times New Roman" w:hAnsi="Times New Roman"/>
          <w:b/>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заема </w:t>
      </w:r>
      <w:r w:rsidR="00FF68FA">
        <w:rPr>
          <w:rFonts w:ascii="Times New Roman" w:eastAsia="Times New Roman" w:hAnsi="Times New Roman"/>
          <w:color w:val="auto"/>
          <w:sz w:val="24"/>
          <w:szCs w:val="24"/>
          <w:lang w:val="bg-BG" w:eastAsia="bg-BG"/>
        </w:rPr>
        <w:t>първо</w:t>
      </w:r>
      <w:r w:rsidRPr="00BD7BB1">
        <w:rPr>
          <w:rFonts w:ascii="Times New Roman" w:eastAsia="Times New Roman" w:hAnsi="Times New Roman"/>
          <w:color w:val="auto"/>
          <w:sz w:val="24"/>
          <w:szCs w:val="24"/>
          <w:lang w:val="bg-BG" w:eastAsia="bg-BG"/>
        </w:rPr>
        <w:t xml:space="preserve">  място, </w:t>
      </w:r>
      <w:r w:rsidR="00FF68FA">
        <w:rPr>
          <w:rFonts w:ascii="Times New Roman" w:eastAsia="Times New Roman" w:hAnsi="Times New Roman"/>
          <w:color w:val="auto"/>
          <w:sz w:val="24"/>
          <w:szCs w:val="24"/>
          <w:lang w:val="bg-BG" w:eastAsia="bg-BG"/>
        </w:rPr>
        <w:t>следван</w:t>
      </w:r>
      <w:r w:rsidRPr="00BD7BB1">
        <w:rPr>
          <w:rFonts w:ascii="Times New Roman" w:eastAsia="Times New Roman" w:hAnsi="Times New Roman"/>
          <w:color w:val="auto"/>
          <w:sz w:val="24"/>
          <w:szCs w:val="24"/>
          <w:lang w:val="bg-BG" w:eastAsia="bg-BG"/>
        </w:rPr>
        <w:t xml:space="preserve"> от ЮЗР и ЮЦР с (1,4%), при средно за страната 2,9 %. С най-висок дял по този показател е СЗР с равнище от 10,2 %. За периода 2008 г.-2012 г.  делът на населението с режим на водоснабдяване в ЮИР намалява с 2,5% (от 3,5 % на 1 %), като изпреварва средния темп за страната (от 4,6 на 2,9%). През 2013г. четирите области в ЮИР са без режим на водоснабдяване.  Тази положителна тенденция се наблюдава от 2011г. насам. Значителен напредък е постигнала област Бургас по този показател,  отчитайки факта, че през 2008 г. има дял от  6,1% , а областите Стара Загора и Ямбол -4,4 % и 1,2 %. Единствено област Сливен отчита дял от 5,6 % през 2013г., който в сравнение с 2012 г. се увеличава с 2, 3 </w:t>
      </w:r>
      <w:r w:rsidRPr="00BD7BB1">
        <w:rPr>
          <w:rFonts w:ascii="Times New Roman" w:eastAsia="Calibri" w:hAnsi="Times New Roman"/>
          <w:color w:val="auto"/>
          <w:sz w:val="24"/>
          <w:szCs w:val="24"/>
          <w:lang w:val="bg-BG"/>
        </w:rPr>
        <w:t>процентни пункта</w:t>
      </w:r>
      <w:r w:rsidRPr="00BD7BB1">
        <w:rPr>
          <w:rFonts w:ascii="Times New Roman" w:eastAsia="Times New Roman" w:hAnsi="Times New Roman"/>
          <w:color w:val="auto"/>
          <w:sz w:val="24"/>
          <w:szCs w:val="24"/>
          <w:lang w:val="bg-BG" w:eastAsia="bg-BG"/>
        </w:rPr>
        <w:t xml:space="preserve">. </w:t>
      </w: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Развитието на к</w:t>
      </w:r>
      <w:r w:rsidRPr="00BD7BB1">
        <w:rPr>
          <w:rFonts w:ascii="Times New Roman" w:eastAsia="Times New Roman" w:hAnsi="Times New Roman"/>
          <w:b/>
          <w:i/>
          <w:color w:val="auto"/>
          <w:sz w:val="24"/>
          <w:szCs w:val="24"/>
          <w:lang w:val="bg-BG" w:eastAsia="bg-BG"/>
        </w:rPr>
        <w:t>анализационната мрежа</w:t>
      </w:r>
      <w:r w:rsidRPr="00BD7BB1">
        <w:rPr>
          <w:rFonts w:ascii="Times New Roman" w:eastAsia="Times New Roman" w:hAnsi="Times New Roman"/>
          <w:color w:val="auto"/>
          <w:sz w:val="24"/>
          <w:szCs w:val="24"/>
          <w:lang w:val="bg-BG" w:eastAsia="bg-BG"/>
        </w:rPr>
        <w:t xml:space="preserve"> в Югоизточен район се доближава до средно национално ниво. В  сравнение с други райони в страната заема </w:t>
      </w:r>
      <w:r w:rsidR="0029729D">
        <w:rPr>
          <w:rFonts w:ascii="Times New Roman" w:eastAsia="Times New Roman" w:hAnsi="Times New Roman"/>
          <w:color w:val="auto"/>
          <w:sz w:val="24"/>
          <w:szCs w:val="24"/>
          <w:lang w:val="bg-BG" w:eastAsia="bg-BG"/>
        </w:rPr>
        <w:t>четвърто</w:t>
      </w:r>
      <w:r w:rsidRPr="00BD7BB1">
        <w:rPr>
          <w:rFonts w:ascii="Times New Roman" w:eastAsia="Times New Roman" w:hAnsi="Times New Roman"/>
          <w:color w:val="auto"/>
          <w:sz w:val="24"/>
          <w:szCs w:val="24"/>
          <w:lang w:val="bg-BG" w:eastAsia="bg-BG"/>
        </w:rPr>
        <w:t xml:space="preserve"> място по </w:t>
      </w:r>
      <w:r w:rsidRPr="00BD7BB1">
        <w:rPr>
          <w:rFonts w:ascii="Times New Roman" w:eastAsia="Times New Roman" w:hAnsi="Times New Roman"/>
          <w:b/>
          <w:i/>
          <w:color w:val="auto"/>
          <w:sz w:val="24"/>
          <w:szCs w:val="24"/>
          <w:lang w:val="bg-BG" w:eastAsia="bg-BG"/>
        </w:rPr>
        <w:t>дял на населението свързан</w:t>
      </w:r>
      <w:r w:rsidR="00735741">
        <w:rPr>
          <w:rFonts w:ascii="Times New Roman" w:eastAsia="Times New Roman" w:hAnsi="Times New Roman"/>
          <w:b/>
          <w:i/>
          <w:color w:val="auto"/>
          <w:sz w:val="24"/>
          <w:szCs w:val="24"/>
          <w:lang w:val="bg-BG" w:eastAsia="bg-BG"/>
        </w:rPr>
        <w:t>о</w:t>
      </w:r>
      <w:r w:rsidRPr="00BD7BB1">
        <w:rPr>
          <w:rFonts w:ascii="Times New Roman" w:eastAsia="Times New Roman" w:hAnsi="Times New Roman"/>
          <w:b/>
          <w:i/>
          <w:color w:val="auto"/>
          <w:sz w:val="24"/>
          <w:szCs w:val="24"/>
          <w:lang w:val="bg-BG" w:eastAsia="bg-BG"/>
        </w:rPr>
        <w:t xml:space="preserve"> с обществена канализация, </w:t>
      </w:r>
      <w:r w:rsidRPr="00BD7BB1">
        <w:rPr>
          <w:rFonts w:ascii="Times New Roman" w:eastAsia="Times New Roman" w:hAnsi="Times New Roman"/>
          <w:color w:val="auto"/>
          <w:sz w:val="24"/>
          <w:szCs w:val="24"/>
          <w:lang w:val="bg-BG" w:eastAsia="bg-BG"/>
        </w:rPr>
        <w:t xml:space="preserve">изпреварван от </w:t>
      </w:r>
      <w:r w:rsidR="00D95DC3" w:rsidRPr="00BD7BB1">
        <w:rPr>
          <w:rFonts w:ascii="Times New Roman" w:eastAsia="Times New Roman" w:hAnsi="Times New Roman"/>
          <w:color w:val="auto"/>
          <w:sz w:val="24"/>
          <w:szCs w:val="24"/>
          <w:lang w:val="bg-BG" w:eastAsia="bg-BG"/>
        </w:rPr>
        <w:t>ЮЗР (88,</w:t>
      </w:r>
      <w:r w:rsidR="00D95DC3">
        <w:rPr>
          <w:rFonts w:ascii="Times New Roman" w:eastAsia="Times New Roman" w:hAnsi="Times New Roman"/>
          <w:color w:val="auto"/>
          <w:sz w:val="24"/>
          <w:szCs w:val="24"/>
          <w:lang w:val="bg-BG" w:eastAsia="bg-BG"/>
        </w:rPr>
        <w:t>7</w:t>
      </w:r>
      <w:r w:rsidR="00D95DC3" w:rsidRPr="00BD7BB1">
        <w:rPr>
          <w:rFonts w:ascii="Times New Roman" w:eastAsia="Times New Roman" w:hAnsi="Times New Roman"/>
          <w:color w:val="auto"/>
          <w:sz w:val="24"/>
          <w:szCs w:val="24"/>
          <w:lang w:val="bg-BG" w:eastAsia="bg-BG"/>
        </w:rPr>
        <w:t>%)</w:t>
      </w:r>
      <w:r w:rsidR="00D95DC3">
        <w:rPr>
          <w:rFonts w:ascii="Times New Roman" w:eastAsia="Times New Roman" w:hAnsi="Times New Roman"/>
          <w:color w:val="auto"/>
          <w:sz w:val="24"/>
          <w:szCs w:val="24"/>
          <w:lang w:val="bg-BG" w:eastAsia="bg-BG"/>
        </w:rPr>
        <w:t>,СИР</w:t>
      </w:r>
      <w:r w:rsidR="00D95DC3" w:rsidRPr="00BD7BB1">
        <w:rPr>
          <w:rFonts w:ascii="Times New Roman" w:eastAsia="Times New Roman" w:hAnsi="Times New Roman"/>
          <w:color w:val="auto"/>
          <w:sz w:val="24"/>
          <w:szCs w:val="24"/>
          <w:lang w:val="bg-BG" w:eastAsia="bg-BG"/>
        </w:rPr>
        <w:t>(</w:t>
      </w:r>
      <w:r w:rsidR="00D95DC3">
        <w:rPr>
          <w:rFonts w:ascii="Times New Roman" w:eastAsia="Times New Roman" w:hAnsi="Times New Roman"/>
          <w:color w:val="auto"/>
          <w:sz w:val="24"/>
          <w:szCs w:val="24"/>
          <w:lang w:val="bg-BG" w:eastAsia="bg-BG"/>
        </w:rPr>
        <w:t>74,5%</w:t>
      </w:r>
      <w:r w:rsidR="00D95DC3" w:rsidRPr="00BD7BB1">
        <w:rPr>
          <w:rFonts w:ascii="Times New Roman" w:eastAsia="Times New Roman" w:hAnsi="Times New Roman"/>
          <w:color w:val="auto"/>
          <w:sz w:val="24"/>
          <w:szCs w:val="24"/>
          <w:lang w:val="bg-BG" w:eastAsia="bg-BG"/>
        </w:rPr>
        <w:t>)</w:t>
      </w:r>
      <w:r w:rsidR="00D95DC3">
        <w:rPr>
          <w:rFonts w:ascii="Times New Roman" w:eastAsia="Times New Roman" w:hAnsi="Times New Roman"/>
          <w:color w:val="auto"/>
          <w:sz w:val="24"/>
          <w:szCs w:val="24"/>
          <w:lang w:val="bg-BG" w:eastAsia="bg-BG"/>
        </w:rPr>
        <w:t xml:space="preserve"> и </w:t>
      </w:r>
      <w:r w:rsidRPr="00BD7BB1">
        <w:rPr>
          <w:rFonts w:ascii="Times New Roman" w:eastAsia="Times New Roman" w:hAnsi="Times New Roman"/>
          <w:color w:val="auto"/>
          <w:sz w:val="24"/>
          <w:szCs w:val="24"/>
          <w:lang w:val="bg-BG" w:eastAsia="bg-BG"/>
        </w:rPr>
        <w:t>ЮЦР (7</w:t>
      </w:r>
      <w:r w:rsidR="0029729D">
        <w:rPr>
          <w:rFonts w:ascii="Times New Roman" w:eastAsia="Times New Roman" w:hAnsi="Times New Roman"/>
          <w:color w:val="auto"/>
          <w:sz w:val="24"/>
          <w:szCs w:val="24"/>
          <w:lang w:val="bg-BG" w:eastAsia="bg-BG"/>
        </w:rPr>
        <w:t>2</w:t>
      </w:r>
      <w:r w:rsidR="00D95DC3">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bg-BG" w:eastAsia="bg-BG"/>
        </w:rPr>
        <w:t xml:space="preserve">  През 2013 г. делът за ЮИР е 71,9 %, при </w:t>
      </w:r>
      <w:r w:rsidR="00CF709E">
        <w:rPr>
          <w:rFonts w:ascii="Times New Roman" w:eastAsia="Times New Roman" w:hAnsi="Times New Roman"/>
          <w:color w:val="auto"/>
          <w:sz w:val="24"/>
          <w:szCs w:val="24"/>
          <w:lang w:val="bg-BG" w:eastAsia="bg-BG"/>
        </w:rPr>
        <w:t>средно</w:t>
      </w:r>
      <w:r w:rsidRPr="00BD7BB1">
        <w:rPr>
          <w:rFonts w:ascii="Times New Roman" w:eastAsia="Times New Roman" w:hAnsi="Times New Roman"/>
          <w:color w:val="auto"/>
          <w:sz w:val="24"/>
          <w:szCs w:val="24"/>
          <w:lang w:val="bg-BG" w:eastAsia="bg-BG"/>
        </w:rPr>
        <w:t xml:space="preserve"> за страната 74,7 %. За периода 2008 г. - 2012 г. показателят бележи ръст от 5,4% за ЮИР и 4,7 % за страната. Най-висок е делът за област Бургас (76%), следван от област Стара Загора (71,3%) и област Ямбол (70,3%), а най-нисък е за област Сливен (65,2%).</w:t>
      </w:r>
    </w:p>
    <w:p w:rsidR="00F25110" w:rsidRPr="00BD7BB1" w:rsidRDefault="00F25110" w:rsidP="00F25110">
      <w:pPr>
        <w:spacing w:after="0" w:line="360" w:lineRule="auto"/>
        <w:jc w:val="both"/>
        <w:rPr>
          <w:rFonts w:ascii="Times New Roman" w:eastAsia="Times New Roman" w:hAnsi="Times New Roman"/>
          <w:color w:val="auto"/>
          <w:sz w:val="24"/>
          <w:szCs w:val="24"/>
          <w:lang w:eastAsia="bg-BG"/>
        </w:rPr>
      </w:pPr>
      <w:r w:rsidRPr="00BD7BB1">
        <w:rPr>
          <w:rFonts w:ascii="Times New Roman" w:eastAsia="Times New Roman" w:hAnsi="Times New Roman"/>
          <w:color w:val="auto"/>
          <w:sz w:val="24"/>
          <w:szCs w:val="24"/>
          <w:lang w:val="bg-BG" w:eastAsia="bg-BG"/>
        </w:rPr>
        <w:t xml:space="preserve">През 2013 г. се запазва тенденцията за заустване на непречистени отпадъчни води в повърхностни водни обекти от селищни канализационни системи без изградена ПСОВ.  В много от населените места под 2000 е. ж. канализационната мрежа не е изградена или е изградена частично и отпадъчните води се отвеждат в попивни септични ями. </w:t>
      </w:r>
      <w:r w:rsidRPr="00BD7BB1">
        <w:rPr>
          <w:rFonts w:ascii="Times New Roman" w:eastAsia="Times New Roman" w:hAnsi="Times New Roman"/>
          <w:color w:val="auto"/>
          <w:sz w:val="24"/>
          <w:szCs w:val="24"/>
          <w:lang w:eastAsia="bg-BG"/>
        </w:rPr>
        <w:t>Около 66</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 xml:space="preserve">% от образуваните битови и индустриални отпадъчни води са третирани в собствени или </w:t>
      </w:r>
      <w:r w:rsidRPr="00BD7BB1">
        <w:rPr>
          <w:rFonts w:ascii="Times New Roman" w:eastAsia="Times New Roman" w:hAnsi="Times New Roman"/>
          <w:color w:val="auto"/>
          <w:sz w:val="24"/>
          <w:szCs w:val="24"/>
          <w:lang w:eastAsia="bg-BG"/>
        </w:rPr>
        <w:lastRenderedPageBreak/>
        <w:t>селищни пречиствателни станции.</w:t>
      </w:r>
      <w:r w:rsidRPr="00BD7BB1">
        <w:rPr>
          <w:rFonts w:ascii="Times New Roman" w:eastAsia="Times New Roman" w:hAnsi="Times New Roman"/>
          <w:color w:val="auto"/>
          <w:sz w:val="24"/>
          <w:szCs w:val="24"/>
          <w:lang w:val="bg-BG" w:eastAsia="bg-BG"/>
        </w:rPr>
        <w:t xml:space="preserve">  </w:t>
      </w:r>
      <w:r w:rsidRPr="00BD7BB1">
        <w:rPr>
          <w:rFonts w:ascii="MinionPro-Regular" w:eastAsia="Calibri" w:hAnsi="MinionPro-Regular" w:cs="MinionPro-Regular"/>
          <w:color w:val="auto"/>
          <w:sz w:val="24"/>
          <w:szCs w:val="24"/>
        </w:rPr>
        <w:t>В периода 2009 - 2013 г. са въведени в</w:t>
      </w:r>
      <w:r w:rsidRPr="00BD7BB1">
        <w:rPr>
          <w:rFonts w:ascii="Times New Roman" w:eastAsia="Times New Roman" w:hAnsi="Times New Roman"/>
          <w:color w:val="auto"/>
          <w:sz w:val="24"/>
          <w:szCs w:val="24"/>
          <w:lang w:val="bg-BG" w:eastAsia="bg-BG"/>
        </w:rPr>
        <w:t xml:space="preserve"> </w:t>
      </w:r>
      <w:r w:rsidRPr="00BD7BB1">
        <w:rPr>
          <w:rFonts w:ascii="MinionPro-Regular" w:eastAsia="Calibri" w:hAnsi="MinionPro-Regular" w:cs="MinionPro-Regular"/>
          <w:color w:val="auto"/>
          <w:sz w:val="24"/>
          <w:szCs w:val="24"/>
        </w:rPr>
        <w:t>действие 26 нови и модернизирани селищни</w:t>
      </w:r>
      <w:r w:rsidRPr="00BD7BB1">
        <w:rPr>
          <w:rFonts w:ascii="Times New Roman" w:eastAsia="Times New Roman" w:hAnsi="Times New Roman"/>
          <w:color w:val="auto"/>
          <w:sz w:val="24"/>
          <w:szCs w:val="24"/>
          <w:lang w:val="bg-BG" w:eastAsia="bg-BG"/>
        </w:rPr>
        <w:t xml:space="preserve"> </w:t>
      </w:r>
      <w:r w:rsidRPr="00BD7BB1">
        <w:rPr>
          <w:rFonts w:ascii="MinionPro-Regular" w:eastAsia="Calibri" w:hAnsi="MinionPro-Regular" w:cs="MinionPro-Regular"/>
          <w:color w:val="auto"/>
          <w:sz w:val="24"/>
          <w:szCs w:val="24"/>
        </w:rPr>
        <w:t>пречиствателни станции за отпадъчни води с</w:t>
      </w:r>
      <w:r w:rsidRPr="00BD7BB1">
        <w:rPr>
          <w:rFonts w:ascii="Times New Roman" w:eastAsia="Times New Roman" w:hAnsi="Times New Roman"/>
          <w:color w:val="auto"/>
          <w:sz w:val="24"/>
          <w:szCs w:val="24"/>
          <w:lang w:val="bg-BG" w:eastAsia="bg-BG"/>
        </w:rPr>
        <w:t xml:space="preserve"> </w:t>
      </w:r>
      <w:r w:rsidRPr="00BD7BB1">
        <w:rPr>
          <w:rFonts w:ascii="MinionPro-Regular" w:eastAsia="Calibri" w:hAnsi="MinionPro-Regular" w:cs="MinionPro-Regular"/>
          <w:color w:val="auto"/>
          <w:sz w:val="24"/>
          <w:szCs w:val="24"/>
        </w:rPr>
        <w:t>общ капацитет 1 241 хил. еквивалент жители.</w:t>
      </w:r>
      <w:r w:rsidRPr="00BD7BB1">
        <w:rPr>
          <w:rFonts w:ascii="Times New Roman" w:eastAsia="Times New Roman" w:hAnsi="Times New Roman"/>
          <w:b/>
          <w:i/>
          <w:color w:val="auto"/>
          <w:sz w:val="24"/>
          <w:szCs w:val="24"/>
          <w:lang w:val="bg-BG" w:eastAsia="bg-BG"/>
        </w:rPr>
        <w:t xml:space="preserve"> Относителният дял на населението обслужено от пречиствателни станции за отпадни води</w:t>
      </w:r>
      <w:r w:rsidRPr="00BD7BB1">
        <w:rPr>
          <w:rFonts w:ascii="Times New Roman" w:eastAsia="Times New Roman" w:hAnsi="Times New Roman"/>
          <w:color w:val="auto"/>
          <w:sz w:val="24"/>
          <w:szCs w:val="24"/>
          <w:lang w:val="bg-BG" w:eastAsia="bg-BG"/>
        </w:rPr>
        <w:t xml:space="preserve"> в Югоизточния район  през 2013 г. е  53.6 %,  при общо за страната 56,4 %. Относителният дял на населението обслужено от пречиствателни станции за отпадни води през последните години в страната и района нараства. За периода 2008 г. -2012 г. се отчита ръст от 12,5% за страната и 15,6 % за ЮИР, като ръстът за област Стара Загора е значителен (42,4%).  Във вътрешно регионален аспект през 2013 г. тенденциите спрямо предходната година се запазват и с най-нисък дял отново е област Ямбол </w:t>
      </w:r>
      <w:r w:rsidRPr="00BD7BB1">
        <w:rPr>
          <w:rFonts w:ascii="Times New Roman" w:eastAsia="Times New Roman" w:hAnsi="Times New Roman"/>
          <w:color w:val="auto"/>
          <w:sz w:val="24"/>
          <w:szCs w:val="24"/>
          <w:lang w:val="ru-RU" w:eastAsia="bg-BG"/>
        </w:rPr>
        <w:t>(</w:t>
      </w:r>
      <w:r w:rsidRPr="00BD7BB1">
        <w:rPr>
          <w:rFonts w:ascii="Times New Roman" w:eastAsia="Times New Roman" w:hAnsi="Times New Roman"/>
          <w:color w:val="auto"/>
          <w:sz w:val="24"/>
          <w:szCs w:val="24"/>
          <w:lang w:val="bg-BG" w:eastAsia="bg-BG"/>
        </w:rPr>
        <w:t>3.6 %</w:t>
      </w:r>
      <w:r w:rsidRPr="00BD7BB1">
        <w:rPr>
          <w:rFonts w:ascii="Times New Roman" w:eastAsia="Times New Roman" w:hAnsi="Times New Roman"/>
          <w:color w:val="auto"/>
          <w:sz w:val="24"/>
          <w:szCs w:val="24"/>
          <w:lang w:val="ru-RU" w:eastAsia="bg-BG"/>
        </w:rPr>
        <w:t>)</w:t>
      </w:r>
      <w:r w:rsidRPr="00BD7BB1">
        <w:rPr>
          <w:rFonts w:ascii="Times New Roman" w:eastAsia="Times New Roman" w:hAnsi="Times New Roman"/>
          <w:color w:val="auto"/>
          <w:sz w:val="24"/>
          <w:szCs w:val="24"/>
          <w:lang w:val="bg-BG" w:eastAsia="bg-BG"/>
        </w:rPr>
        <w:t xml:space="preserve">, с еднакво високи дялове са областите Бургас и Стара Загора </w:t>
      </w:r>
      <w:r w:rsidRPr="00BD7BB1">
        <w:rPr>
          <w:rFonts w:ascii="Times New Roman" w:eastAsia="Times New Roman" w:hAnsi="Times New Roman"/>
          <w:color w:val="auto"/>
          <w:sz w:val="24"/>
          <w:szCs w:val="24"/>
          <w:lang w:val="ru-RU" w:eastAsia="bg-BG"/>
        </w:rPr>
        <w:t>(</w:t>
      </w:r>
      <w:r w:rsidRPr="00BD7BB1">
        <w:rPr>
          <w:rFonts w:ascii="Times New Roman" w:eastAsia="Times New Roman" w:hAnsi="Times New Roman"/>
          <w:color w:val="auto"/>
          <w:sz w:val="24"/>
          <w:szCs w:val="24"/>
          <w:lang w:val="bg-BG" w:eastAsia="bg-BG"/>
        </w:rPr>
        <w:t>61,2 %</w:t>
      </w:r>
      <w:r w:rsidRPr="00BD7BB1">
        <w:rPr>
          <w:rFonts w:ascii="Times New Roman" w:eastAsia="Times New Roman" w:hAnsi="Times New Roman"/>
          <w:color w:val="auto"/>
          <w:sz w:val="24"/>
          <w:szCs w:val="24"/>
          <w:lang w:val="ru-RU" w:eastAsia="bg-BG"/>
        </w:rPr>
        <w:t>)</w:t>
      </w:r>
      <w:r w:rsidRPr="00BD7BB1">
        <w:rPr>
          <w:rFonts w:ascii="Times New Roman" w:eastAsia="Times New Roman" w:hAnsi="Times New Roman"/>
          <w:color w:val="auto"/>
          <w:sz w:val="24"/>
          <w:szCs w:val="24"/>
          <w:lang w:val="bg-BG" w:eastAsia="bg-BG"/>
        </w:rPr>
        <w:t xml:space="preserve">, следвани от област Сливен </w:t>
      </w:r>
      <w:r w:rsidRPr="00BD7BB1">
        <w:rPr>
          <w:rFonts w:ascii="Times New Roman" w:eastAsia="Times New Roman" w:hAnsi="Times New Roman"/>
          <w:color w:val="auto"/>
          <w:sz w:val="24"/>
          <w:szCs w:val="24"/>
          <w:lang w:val="ru-RU" w:eastAsia="bg-BG"/>
        </w:rPr>
        <w:t>(</w:t>
      </w:r>
      <w:r w:rsidRPr="00BD7BB1">
        <w:rPr>
          <w:rFonts w:ascii="Times New Roman" w:eastAsia="Times New Roman" w:hAnsi="Times New Roman"/>
          <w:color w:val="auto"/>
          <w:sz w:val="24"/>
          <w:szCs w:val="24"/>
          <w:lang w:val="bg-BG" w:eastAsia="bg-BG"/>
        </w:rPr>
        <w:t>57,6%</w:t>
      </w:r>
      <w:r w:rsidRPr="00BD7BB1">
        <w:rPr>
          <w:rFonts w:ascii="Times New Roman" w:eastAsia="Times New Roman" w:hAnsi="Times New Roman"/>
          <w:color w:val="auto"/>
          <w:sz w:val="24"/>
          <w:szCs w:val="24"/>
          <w:lang w:val="ru-RU" w:eastAsia="bg-BG"/>
        </w:rPr>
        <w:t>)</w:t>
      </w:r>
      <w:r w:rsidRPr="00BD7BB1">
        <w:rPr>
          <w:rFonts w:ascii="Times New Roman" w:eastAsia="Times New Roman" w:hAnsi="Times New Roman"/>
          <w:color w:val="auto"/>
          <w:sz w:val="24"/>
          <w:szCs w:val="24"/>
          <w:lang w:val="bg-BG" w:eastAsia="bg-BG"/>
        </w:rPr>
        <w:t>.  В междурегионален аспект през 2013 г. ЮИР отново заема трето място в страната изпреварван от СИР (70,3 %) и ЮЗР ( 74,5% ) . За периода 2010г.-2013 г.  броят на д</w:t>
      </w:r>
      <w:r w:rsidRPr="00BD7BB1">
        <w:rPr>
          <w:rFonts w:ascii="Times New Roman" w:eastAsia="Times New Roman" w:hAnsi="Times New Roman"/>
          <w:b/>
          <w:i/>
          <w:color w:val="auto"/>
          <w:sz w:val="24"/>
          <w:szCs w:val="24"/>
          <w:lang w:val="bg-BG" w:eastAsia="bg-BG"/>
        </w:rPr>
        <w:t>ействащите селищни пречиствателни станции за отпадъчни води (СПСОВ)</w:t>
      </w:r>
      <w:r w:rsidRPr="00BD7BB1">
        <w:rPr>
          <w:rFonts w:ascii="Times New Roman" w:eastAsia="Times New Roman" w:hAnsi="Times New Roman"/>
          <w:color w:val="auto"/>
          <w:sz w:val="24"/>
          <w:szCs w:val="24"/>
          <w:lang w:val="bg-BG" w:eastAsia="bg-BG"/>
        </w:rPr>
        <w:t xml:space="preserve">  в  ЮИР се увеличава с 3 и през 2013 г. са 22 бр, при общо за  страната 90 бр. По този показател  районът заема първо място, следван от ЮЗР и СИР с равен брой -18. </w:t>
      </w:r>
    </w:p>
    <w:p w:rsidR="00F25110" w:rsidRPr="00BD7BB1" w:rsidRDefault="00F25110" w:rsidP="003C3DB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През последните десет години средните количества образувани битови отпадъци на човек от населението за България са по-ниски от тези за ЕС. Продължава да нараства делът на населението, обхванато от системите за организирано сметосъбиране и транспортиране на битовите отпадъци. </w:t>
      </w: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През 2013 г. </w:t>
      </w:r>
      <w:r w:rsidRPr="00BD7BB1">
        <w:rPr>
          <w:rFonts w:ascii="Times New Roman" w:eastAsia="Times New Roman" w:hAnsi="Times New Roman"/>
          <w:b/>
          <w:i/>
          <w:color w:val="auto"/>
          <w:sz w:val="24"/>
          <w:szCs w:val="24"/>
          <w:lang w:val="bg-BG" w:eastAsia="bg-BG"/>
        </w:rPr>
        <w:t>делът на обслужваното население от системи за организирано сметосъбиране</w:t>
      </w:r>
      <w:r w:rsidRPr="00BD7BB1">
        <w:rPr>
          <w:rFonts w:ascii="Times New Roman" w:eastAsia="Times New Roman" w:hAnsi="Times New Roman"/>
          <w:color w:val="auto"/>
          <w:sz w:val="24"/>
          <w:szCs w:val="24"/>
          <w:lang w:val="bg-BG" w:eastAsia="bg-BG"/>
        </w:rPr>
        <w:t xml:space="preserve"> общо за страната е 99,5% ( 98,2 % за 2010 г.) , а за ЮИР е 99,7 % ( 97.4%  за 2010 г.).За периода 2010-201</w:t>
      </w:r>
      <w:r w:rsidR="00CF79E8">
        <w:rPr>
          <w:rFonts w:ascii="Times New Roman" w:eastAsia="Times New Roman" w:hAnsi="Times New Roman"/>
          <w:color w:val="auto"/>
          <w:sz w:val="24"/>
          <w:szCs w:val="24"/>
          <w:lang w:val="bg-BG" w:eastAsia="bg-BG"/>
        </w:rPr>
        <w:t>2</w:t>
      </w:r>
      <w:r w:rsidRPr="00BD7BB1">
        <w:rPr>
          <w:rFonts w:ascii="Times New Roman" w:eastAsia="Times New Roman" w:hAnsi="Times New Roman"/>
          <w:color w:val="auto"/>
          <w:sz w:val="24"/>
          <w:szCs w:val="24"/>
          <w:lang w:val="bg-BG" w:eastAsia="bg-BG"/>
        </w:rPr>
        <w:t xml:space="preserve"> г. делът за района нараства с бавни темпове и продължава да отрежда района на последно място сред районите в страната. </w:t>
      </w:r>
      <w:r w:rsidR="00CF79E8">
        <w:rPr>
          <w:rFonts w:ascii="Times New Roman" w:eastAsia="Times New Roman" w:hAnsi="Times New Roman"/>
          <w:color w:val="auto"/>
          <w:sz w:val="24"/>
          <w:szCs w:val="24"/>
          <w:lang w:val="bg-BG" w:eastAsia="bg-BG"/>
        </w:rPr>
        <w:t>За 2013</w:t>
      </w:r>
      <w:r w:rsidR="009219DB">
        <w:rPr>
          <w:rFonts w:ascii="Times New Roman" w:eastAsia="Times New Roman" w:hAnsi="Times New Roman"/>
          <w:color w:val="auto"/>
          <w:sz w:val="24"/>
          <w:szCs w:val="24"/>
          <w:lang w:val="bg-BG" w:eastAsia="bg-BG"/>
        </w:rPr>
        <w:t xml:space="preserve"> </w:t>
      </w:r>
      <w:r w:rsidR="00CF79E8">
        <w:rPr>
          <w:rFonts w:ascii="Times New Roman" w:eastAsia="Times New Roman" w:hAnsi="Times New Roman"/>
          <w:color w:val="auto"/>
          <w:sz w:val="24"/>
          <w:szCs w:val="24"/>
          <w:lang w:val="bg-BG" w:eastAsia="bg-BG"/>
        </w:rPr>
        <w:t xml:space="preserve">г. с </w:t>
      </w:r>
      <w:r w:rsidRPr="00BD7BB1">
        <w:rPr>
          <w:rFonts w:ascii="Times New Roman" w:eastAsia="Times New Roman" w:hAnsi="Times New Roman"/>
          <w:color w:val="auto"/>
          <w:sz w:val="24"/>
          <w:szCs w:val="24"/>
          <w:lang w:val="bg-BG" w:eastAsia="bg-BG"/>
        </w:rPr>
        <w:t>най – висок  дял на обслужваното население от системи за организирано сметосъбиране се открояват  ЮИР и СЦР с еднакъв дял от 99,7 %, следвани от ЮЗР с дял от 99,6 %.  В  района  максимален е делът, формиран в областите Сливен и Ямбол ( 100 %), следвани  от област Бургас (99,9%), и за област Стара Загора   (99,3 %).</w:t>
      </w: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Преминаването към обработка на битовите отпадъци в регионални депа ще намали броя на функциониращите сметища в някои от областите. Системата за сметосъбиране не функционира ефективно в селата, което е причина за наличие на нерегламентирани </w:t>
      </w:r>
      <w:r w:rsidRPr="00BD7BB1">
        <w:rPr>
          <w:rFonts w:ascii="Times New Roman" w:eastAsia="Times New Roman" w:hAnsi="Times New Roman"/>
          <w:color w:val="auto"/>
          <w:sz w:val="24"/>
          <w:szCs w:val="24"/>
          <w:lang w:val="bg-BG" w:eastAsia="bg-BG"/>
        </w:rPr>
        <w:lastRenderedPageBreak/>
        <w:t>сметища. Подобряването на системата за сметосъбиране и  въвеждане на по-ефективна система за управление на отпадъците е важна задача  в района. В ЮИР към 2013 г. са  налице  26 бр. регионални депа за битови отпадъци с депонирани отпадъци в размер на 408 хил.т.  Събраните битови отпадъци на човек от обслужваното население за ЮИР през 2013 г. са 473 кг на човек при средно за страната 434 кг., което нарежда района на второ място след СИР с 487 кг на човек. Предвид потенциал</w:t>
      </w:r>
      <w:r w:rsidRPr="00BD7BB1">
        <w:rPr>
          <w:rFonts w:ascii="Times New Roman" w:eastAsia="Times New Roman" w:hAnsi="Times New Roman"/>
          <w:color w:val="auto"/>
          <w:sz w:val="24"/>
          <w:szCs w:val="24"/>
          <w:lang w:eastAsia="bg-BG"/>
        </w:rPr>
        <w:t>a</w:t>
      </w:r>
      <w:r w:rsidRPr="00BD7BB1">
        <w:rPr>
          <w:rFonts w:ascii="Times New Roman" w:eastAsia="Times New Roman" w:hAnsi="Times New Roman"/>
          <w:color w:val="auto"/>
          <w:sz w:val="24"/>
          <w:szCs w:val="24"/>
          <w:lang w:val="bg-BG" w:eastAsia="bg-BG"/>
        </w:rPr>
        <w:t xml:space="preserve"> за развитие на туризма както по крайбрежието, така и във вътрешната част на района, подобряването на  управлението на отпадъците ще се отрази изключително благоприятно на развитието на  туризма, в т. ч. в малките населени места, тъй като ще се подобри качеството на средата и те ще станат по-привлекателни.  </w:t>
      </w:r>
    </w:p>
    <w:p w:rsidR="00F25110" w:rsidRPr="007764CE" w:rsidRDefault="00F25110" w:rsidP="00F25110">
      <w:pPr>
        <w:spacing w:after="0" w:line="360" w:lineRule="auto"/>
        <w:jc w:val="both"/>
        <w:rPr>
          <w:rFonts w:ascii="Times New Roman" w:eastAsia="Times New Roman" w:hAnsi="Times New Roman"/>
          <w:b/>
          <w:i/>
          <w:color w:val="9B2D1F" w:themeColor="accent2"/>
          <w:sz w:val="24"/>
          <w:szCs w:val="24"/>
          <w:lang w:val="bg-BG" w:eastAsia="bg-BG"/>
        </w:rPr>
      </w:pPr>
      <w:r w:rsidRPr="007764CE">
        <w:rPr>
          <w:rFonts w:ascii="Times New Roman" w:eastAsia="Times New Roman" w:hAnsi="Times New Roman"/>
          <w:b/>
          <w:i/>
          <w:color w:val="9B2D1F" w:themeColor="accent2"/>
          <w:sz w:val="24"/>
          <w:szCs w:val="24"/>
          <w:lang w:val="bg-BG" w:eastAsia="bg-BG"/>
        </w:rPr>
        <w:t>Таблица 1</w:t>
      </w:r>
      <w:r w:rsidR="007764CE" w:rsidRPr="007764CE">
        <w:rPr>
          <w:rFonts w:ascii="Times New Roman" w:eastAsia="Times New Roman" w:hAnsi="Times New Roman"/>
          <w:b/>
          <w:i/>
          <w:color w:val="9B2D1F" w:themeColor="accent2"/>
          <w:sz w:val="24"/>
          <w:szCs w:val="24"/>
          <w:lang w:val="bg-BG" w:eastAsia="bg-BG"/>
        </w:rPr>
        <w:t>0</w:t>
      </w:r>
      <w:r w:rsidRPr="007764CE">
        <w:rPr>
          <w:rFonts w:ascii="Times New Roman" w:eastAsia="Times New Roman" w:hAnsi="Times New Roman"/>
          <w:b/>
          <w:i/>
          <w:color w:val="9B2D1F" w:themeColor="accent2"/>
          <w:sz w:val="24"/>
          <w:szCs w:val="24"/>
          <w:lang w:val="bg-BG" w:eastAsia="bg-BG"/>
        </w:rPr>
        <w:t>.</w:t>
      </w:r>
      <w:r w:rsidRPr="007764CE">
        <w:rPr>
          <w:rFonts w:ascii="Times New Roman" w:eastAsia="Times New Roman" w:hAnsi="Times New Roman"/>
          <w:b/>
          <w:color w:val="9B2D1F" w:themeColor="accent2"/>
          <w:sz w:val="24"/>
          <w:szCs w:val="24"/>
          <w:lang w:val="bg-BG" w:eastAsia="bg-BG"/>
        </w:rPr>
        <w:t xml:space="preserve"> </w:t>
      </w:r>
      <w:r w:rsidRPr="007764CE">
        <w:rPr>
          <w:rFonts w:ascii="Times New Roman" w:eastAsia="Times New Roman" w:hAnsi="Times New Roman"/>
          <w:b/>
          <w:i/>
          <w:color w:val="9B2D1F" w:themeColor="accent2"/>
          <w:sz w:val="24"/>
          <w:szCs w:val="24"/>
          <w:lang w:val="bg-BG" w:eastAsia="bg-BG"/>
        </w:rPr>
        <w:t xml:space="preserve">Обслуженост на населението от екологична инфраструктура към 31.12.2013г. </w:t>
      </w:r>
    </w:p>
    <w:tbl>
      <w:tblPr>
        <w:tblW w:w="11199" w:type="dxa"/>
        <w:tblInd w:w="-743" w:type="dxa"/>
        <w:tblLayout w:type="fixed"/>
        <w:tblLook w:val="01E0" w:firstRow="1" w:lastRow="1" w:firstColumn="1" w:lastColumn="1" w:noHBand="0" w:noVBand="0"/>
      </w:tblPr>
      <w:tblGrid>
        <w:gridCol w:w="1844"/>
        <w:gridCol w:w="1842"/>
        <w:gridCol w:w="2127"/>
        <w:gridCol w:w="850"/>
        <w:gridCol w:w="1418"/>
        <w:gridCol w:w="1701"/>
        <w:gridCol w:w="1417"/>
      </w:tblGrid>
      <w:tr w:rsidR="007764CE" w:rsidRPr="00BD7BB1" w:rsidTr="006614F6">
        <w:trPr>
          <w:trHeight w:val="1252"/>
        </w:trPr>
        <w:tc>
          <w:tcPr>
            <w:tcW w:w="1844" w:type="dxa"/>
            <w:tcBorders>
              <w:top w:val="thinThickThinSmallGap" w:sz="24" w:space="0" w:color="auto"/>
              <w:left w:val="thinThickThinSmallGap" w:sz="24" w:space="0" w:color="auto"/>
              <w:bottom w:val="single" w:sz="12" w:space="0" w:color="auto"/>
              <w:right w:val="single" w:sz="12" w:space="0" w:color="auto"/>
            </w:tcBorders>
            <w:shd w:val="clear" w:color="auto" w:fill="auto"/>
          </w:tcPr>
          <w:p w:rsidR="00F25110" w:rsidRPr="00BD7BB1" w:rsidRDefault="00F25110" w:rsidP="007764CE">
            <w:pPr>
              <w:spacing w:after="0" w:line="240" w:lineRule="auto"/>
              <w:jc w:val="both"/>
              <w:rPr>
                <w:rFonts w:ascii="Times New Roman" w:eastAsia="Times New Roman" w:hAnsi="Times New Roman"/>
                <w:b/>
                <w:iCs/>
                <w:color w:val="auto"/>
                <w:szCs w:val="22"/>
                <w:lang w:val="bg-BG" w:eastAsia="bg-BG"/>
              </w:rPr>
            </w:pPr>
          </w:p>
        </w:tc>
        <w:tc>
          <w:tcPr>
            <w:tcW w:w="1842" w:type="dxa"/>
            <w:tcBorders>
              <w:top w:val="thinThickThinSmallGap" w:sz="24" w:space="0" w:color="auto"/>
              <w:left w:val="single" w:sz="12" w:space="0" w:color="auto"/>
              <w:bottom w:val="single" w:sz="12" w:space="0" w:color="auto"/>
              <w:right w:val="single" w:sz="12" w:space="0" w:color="auto"/>
            </w:tcBorders>
            <w:shd w:val="clear" w:color="auto" w:fill="auto"/>
          </w:tcPr>
          <w:p w:rsidR="00F25110" w:rsidRPr="00BD7BB1" w:rsidRDefault="00F25110" w:rsidP="007764CE">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Дял на населението,</w:t>
            </w:r>
          </w:p>
          <w:p w:rsidR="00F25110" w:rsidRPr="00BD7BB1" w:rsidRDefault="00F25110" w:rsidP="007764CE">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обслужвано от</w:t>
            </w:r>
          </w:p>
          <w:p w:rsidR="00F25110" w:rsidRPr="00BD7BB1" w:rsidRDefault="00F25110" w:rsidP="007764CE">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водоснабдителна</w:t>
            </w:r>
          </w:p>
          <w:p w:rsidR="00F25110" w:rsidRPr="00BD7BB1" w:rsidRDefault="00F25110" w:rsidP="007764CE">
            <w:pPr>
              <w:spacing w:after="0" w:line="240" w:lineRule="auto"/>
              <w:jc w:val="center"/>
              <w:rPr>
                <w:rFonts w:ascii="Times New Roman" w:eastAsia="Times New Roman" w:hAnsi="Times New Roman"/>
                <w:b/>
                <w:iCs/>
                <w:color w:val="auto"/>
                <w:sz w:val="20"/>
                <w:lang w:val="bg-BG" w:eastAsia="bg-BG"/>
              </w:rPr>
            </w:pPr>
            <w:r w:rsidRPr="00BD7BB1">
              <w:rPr>
                <w:rFonts w:ascii="Times New Roman" w:eastAsia="Times New Roman" w:hAnsi="Times New Roman"/>
                <w:b/>
                <w:bCs/>
                <w:color w:val="auto"/>
                <w:sz w:val="20"/>
                <w:lang w:val="bg-BG" w:eastAsia="bg-BG"/>
              </w:rPr>
              <w:t>мрежа  (%)</w:t>
            </w:r>
          </w:p>
        </w:tc>
        <w:tc>
          <w:tcPr>
            <w:tcW w:w="2127" w:type="dxa"/>
            <w:tcBorders>
              <w:top w:val="thinThickThinSmallGap" w:sz="24" w:space="0" w:color="auto"/>
              <w:left w:val="single" w:sz="12" w:space="0" w:color="auto"/>
              <w:bottom w:val="single" w:sz="12" w:space="0" w:color="auto"/>
              <w:right w:val="single" w:sz="12" w:space="0" w:color="auto"/>
            </w:tcBorders>
            <w:shd w:val="clear" w:color="auto" w:fill="auto"/>
          </w:tcPr>
          <w:p w:rsidR="00F25110" w:rsidRPr="00BD7BB1" w:rsidRDefault="00F25110" w:rsidP="007764CE">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Дял на населението,</w:t>
            </w:r>
          </w:p>
          <w:p w:rsidR="00F25110" w:rsidRPr="00BD7BB1" w:rsidRDefault="00F25110" w:rsidP="007764CE">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обслужвано от</w:t>
            </w:r>
          </w:p>
          <w:p w:rsidR="00F25110" w:rsidRPr="00BD7BB1" w:rsidRDefault="00F25110" w:rsidP="007764CE">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канализационна</w:t>
            </w:r>
          </w:p>
          <w:p w:rsidR="00F25110" w:rsidRPr="00BD7BB1" w:rsidRDefault="00F25110" w:rsidP="007764CE">
            <w:pPr>
              <w:spacing w:after="0" w:line="240" w:lineRule="auto"/>
              <w:jc w:val="center"/>
              <w:rPr>
                <w:rFonts w:ascii="Times New Roman" w:eastAsia="Times New Roman" w:hAnsi="Times New Roman"/>
                <w:b/>
                <w:iCs/>
                <w:color w:val="auto"/>
                <w:sz w:val="20"/>
                <w:lang w:val="bg-BG" w:eastAsia="bg-BG"/>
              </w:rPr>
            </w:pPr>
            <w:r w:rsidRPr="00BD7BB1">
              <w:rPr>
                <w:rFonts w:ascii="Times New Roman" w:eastAsia="Times New Roman" w:hAnsi="Times New Roman"/>
                <w:b/>
                <w:bCs/>
                <w:color w:val="auto"/>
                <w:sz w:val="20"/>
                <w:lang w:val="bg-BG" w:eastAsia="bg-BG"/>
              </w:rPr>
              <w:t>мрежа (%)</w:t>
            </w:r>
          </w:p>
        </w:tc>
        <w:tc>
          <w:tcPr>
            <w:tcW w:w="2268" w:type="dxa"/>
            <w:gridSpan w:val="2"/>
            <w:tcBorders>
              <w:top w:val="thinThickThinSmallGap" w:sz="24" w:space="0" w:color="auto"/>
              <w:left w:val="single" w:sz="12" w:space="0" w:color="auto"/>
              <w:bottom w:val="single" w:sz="12" w:space="0" w:color="auto"/>
              <w:right w:val="single" w:sz="12" w:space="0" w:color="auto"/>
            </w:tcBorders>
            <w:shd w:val="clear" w:color="auto" w:fill="auto"/>
          </w:tcPr>
          <w:p w:rsidR="00F25110" w:rsidRPr="00BD7BB1" w:rsidRDefault="00F25110" w:rsidP="007764CE">
            <w:pPr>
              <w:spacing w:after="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Дял на обслужваното население от СПСОВ</w:t>
            </w:r>
          </w:p>
          <w:p w:rsidR="00F25110" w:rsidRPr="00BD7BB1" w:rsidRDefault="00F25110" w:rsidP="007764CE">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color w:val="auto"/>
                <w:sz w:val="20"/>
                <w:lang w:val="bg-BG" w:eastAsia="bg-BG"/>
              </w:rPr>
              <w:t>(%)</w:t>
            </w:r>
          </w:p>
        </w:tc>
        <w:tc>
          <w:tcPr>
            <w:tcW w:w="1701" w:type="dxa"/>
            <w:tcBorders>
              <w:top w:val="thinThickThinSmallGap" w:sz="24" w:space="0" w:color="auto"/>
              <w:left w:val="single" w:sz="12" w:space="0" w:color="auto"/>
              <w:bottom w:val="single" w:sz="12" w:space="0" w:color="auto"/>
              <w:right w:val="single" w:sz="12" w:space="0" w:color="auto"/>
            </w:tcBorders>
          </w:tcPr>
          <w:p w:rsidR="00F25110" w:rsidRPr="00BD7BB1" w:rsidRDefault="00F25110" w:rsidP="007764CE">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Дял на обсл.население от системи за сметосъбиране (%)</w:t>
            </w:r>
          </w:p>
        </w:tc>
        <w:tc>
          <w:tcPr>
            <w:tcW w:w="1417" w:type="dxa"/>
            <w:tcBorders>
              <w:top w:val="thinThickThinSmallGap" w:sz="24" w:space="0" w:color="auto"/>
              <w:left w:val="single" w:sz="12" w:space="0" w:color="auto"/>
              <w:bottom w:val="single" w:sz="12" w:space="0" w:color="auto"/>
              <w:right w:val="thinThickThinSmallGap" w:sz="24" w:space="0" w:color="auto"/>
            </w:tcBorders>
            <w:shd w:val="clear" w:color="auto" w:fill="auto"/>
          </w:tcPr>
          <w:p w:rsidR="00F25110" w:rsidRPr="00BD7BB1" w:rsidRDefault="00F25110" w:rsidP="007764CE">
            <w:pPr>
              <w:spacing w:after="0" w:line="240" w:lineRule="auto"/>
              <w:jc w:val="center"/>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Действащи</w:t>
            </w:r>
            <w:r w:rsidRPr="00BD7BB1">
              <w:rPr>
                <w:rFonts w:ascii="Times New Roman" w:eastAsia="Times New Roman" w:hAnsi="Times New Roman"/>
                <w:color w:val="auto"/>
                <w:sz w:val="20"/>
                <w:lang w:val="bg-BG" w:eastAsia="bg-BG"/>
              </w:rPr>
              <w:t xml:space="preserve"> </w:t>
            </w:r>
            <w:r w:rsidRPr="00BD7BB1">
              <w:rPr>
                <w:rFonts w:ascii="Times New Roman" w:eastAsia="Times New Roman" w:hAnsi="Times New Roman"/>
                <w:b/>
                <w:bCs/>
                <w:color w:val="auto"/>
                <w:sz w:val="20"/>
                <w:lang w:val="bg-BG" w:eastAsia="bg-BG"/>
              </w:rPr>
              <w:t xml:space="preserve">СПСОВ </w:t>
            </w:r>
            <w:r w:rsidRPr="00BD7BB1">
              <w:rPr>
                <w:rFonts w:ascii="Times New Roman" w:eastAsia="Times New Roman" w:hAnsi="Times New Roman"/>
                <w:b/>
                <w:bCs/>
                <w:color w:val="auto"/>
                <w:sz w:val="20"/>
                <w:lang w:val="ru-RU" w:eastAsia="bg-BG"/>
              </w:rPr>
              <w:t>(</w:t>
            </w:r>
            <w:r w:rsidRPr="00BD7BB1">
              <w:rPr>
                <w:rFonts w:ascii="Times New Roman" w:eastAsia="Times New Roman" w:hAnsi="Times New Roman"/>
                <w:b/>
                <w:bCs/>
                <w:color w:val="auto"/>
                <w:sz w:val="20"/>
                <w:lang w:val="bg-BG" w:eastAsia="bg-BG"/>
              </w:rPr>
              <w:t>бр.</w:t>
            </w:r>
            <w:r w:rsidRPr="00BD7BB1">
              <w:rPr>
                <w:rFonts w:ascii="Times New Roman" w:eastAsia="Times New Roman" w:hAnsi="Times New Roman"/>
                <w:b/>
                <w:bCs/>
                <w:color w:val="auto"/>
                <w:sz w:val="20"/>
                <w:lang w:val="ru-RU" w:eastAsia="bg-BG"/>
              </w:rPr>
              <w:t>)</w:t>
            </w:r>
          </w:p>
          <w:p w:rsidR="00F25110" w:rsidRPr="00BD7BB1" w:rsidRDefault="00F25110" w:rsidP="007764CE">
            <w:pPr>
              <w:spacing w:after="0" w:line="240" w:lineRule="auto"/>
              <w:jc w:val="center"/>
              <w:rPr>
                <w:rFonts w:ascii="Times New Roman" w:eastAsia="Times New Roman" w:hAnsi="Times New Roman"/>
                <w:b/>
                <w:bCs/>
                <w:color w:val="auto"/>
                <w:sz w:val="20"/>
                <w:lang w:val="bg-BG" w:eastAsia="bg-BG"/>
              </w:rPr>
            </w:pPr>
          </w:p>
        </w:tc>
      </w:tr>
      <w:tr w:rsidR="007764CE" w:rsidRPr="00BD7BB1" w:rsidTr="006614F6">
        <w:trPr>
          <w:trHeight w:val="631"/>
        </w:trPr>
        <w:tc>
          <w:tcPr>
            <w:tcW w:w="1844" w:type="dxa"/>
            <w:tcBorders>
              <w:top w:val="single" w:sz="12" w:space="0" w:color="auto"/>
              <w:left w:val="thinThickThinSmallGap" w:sz="24" w:space="0" w:color="auto"/>
              <w:bottom w:val="double" w:sz="4" w:space="0" w:color="auto"/>
              <w:right w:val="single" w:sz="12" w:space="0" w:color="auto"/>
            </w:tcBorders>
            <w:shd w:val="clear" w:color="auto" w:fill="auto"/>
          </w:tcPr>
          <w:p w:rsidR="00F25110" w:rsidRPr="00BD7BB1" w:rsidRDefault="00F25110" w:rsidP="007764CE">
            <w:pPr>
              <w:spacing w:after="0" w:line="240" w:lineRule="auto"/>
              <w:jc w:val="both"/>
              <w:rPr>
                <w:rFonts w:ascii="Times New Roman" w:eastAsia="Times New Roman" w:hAnsi="Times New Roman"/>
                <w:b/>
                <w:iCs/>
                <w:color w:val="auto"/>
                <w:szCs w:val="22"/>
                <w:lang w:val="bg-BG" w:eastAsia="bg-BG"/>
              </w:rPr>
            </w:pPr>
          </w:p>
        </w:tc>
        <w:tc>
          <w:tcPr>
            <w:tcW w:w="1842" w:type="dxa"/>
            <w:tcBorders>
              <w:top w:val="single" w:sz="12" w:space="0" w:color="auto"/>
              <w:left w:val="single" w:sz="12" w:space="0" w:color="auto"/>
              <w:bottom w:val="double" w:sz="4" w:space="0" w:color="auto"/>
              <w:right w:val="single" w:sz="12" w:space="0" w:color="auto"/>
            </w:tcBorders>
            <w:shd w:val="clear" w:color="auto" w:fill="auto"/>
          </w:tcPr>
          <w:p w:rsidR="00F25110" w:rsidRPr="00BD7BB1" w:rsidRDefault="00F25110" w:rsidP="007764CE">
            <w:pPr>
              <w:spacing w:after="0" w:line="240" w:lineRule="auto"/>
              <w:jc w:val="both"/>
              <w:rPr>
                <w:rFonts w:ascii="Times New Roman" w:eastAsia="Times New Roman" w:hAnsi="Times New Roman"/>
                <w:b/>
                <w:iCs/>
                <w:color w:val="auto"/>
                <w:sz w:val="20"/>
                <w:lang w:val="bg-BG" w:eastAsia="bg-BG"/>
              </w:rPr>
            </w:pPr>
          </w:p>
        </w:tc>
        <w:tc>
          <w:tcPr>
            <w:tcW w:w="2127" w:type="dxa"/>
            <w:tcBorders>
              <w:top w:val="single" w:sz="12" w:space="0" w:color="auto"/>
              <w:left w:val="single" w:sz="12" w:space="0" w:color="auto"/>
              <w:bottom w:val="double" w:sz="4" w:space="0" w:color="auto"/>
              <w:right w:val="single" w:sz="12" w:space="0" w:color="auto"/>
            </w:tcBorders>
            <w:shd w:val="clear" w:color="auto" w:fill="auto"/>
          </w:tcPr>
          <w:p w:rsidR="00F25110" w:rsidRPr="00BD7BB1" w:rsidRDefault="00F25110" w:rsidP="007764CE">
            <w:pPr>
              <w:spacing w:after="0" w:line="240" w:lineRule="auto"/>
              <w:jc w:val="both"/>
              <w:rPr>
                <w:rFonts w:ascii="Times New Roman" w:eastAsia="Times New Roman" w:hAnsi="Times New Roman"/>
                <w:b/>
                <w:iCs/>
                <w:color w:val="auto"/>
                <w:sz w:val="20"/>
                <w:lang w:val="bg-BG" w:eastAsia="bg-BG"/>
              </w:rPr>
            </w:pPr>
          </w:p>
        </w:tc>
        <w:tc>
          <w:tcPr>
            <w:tcW w:w="850" w:type="dxa"/>
            <w:tcBorders>
              <w:top w:val="single" w:sz="12" w:space="0" w:color="auto"/>
              <w:left w:val="single" w:sz="12" w:space="0" w:color="auto"/>
              <w:bottom w:val="double" w:sz="4" w:space="0" w:color="auto"/>
              <w:right w:val="single" w:sz="12" w:space="0" w:color="auto"/>
            </w:tcBorders>
            <w:shd w:val="clear" w:color="auto" w:fill="auto"/>
          </w:tcPr>
          <w:p w:rsidR="00F25110" w:rsidRPr="00BD7BB1" w:rsidRDefault="00F25110" w:rsidP="007764CE">
            <w:pPr>
              <w:spacing w:after="0" w:line="240" w:lineRule="auto"/>
              <w:jc w:val="both"/>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общо</w:t>
            </w:r>
          </w:p>
        </w:tc>
        <w:tc>
          <w:tcPr>
            <w:tcW w:w="1418" w:type="dxa"/>
            <w:tcBorders>
              <w:top w:val="single" w:sz="12" w:space="0" w:color="auto"/>
              <w:left w:val="single" w:sz="12" w:space="0" w:color="auto"/>
              <w:bottom w:val="double" w:sz="4" w:space="0" w:color="auto"/>
              <w:right w:val="single" w:sz="12" w:space="0" w:color="auto"/>
            </w:tcBorders>
            <w:shd w:val="clear" w:color="auto" w:fill="auto"/>
          </w:tcPr>
          <w:p w:rsidR="00F25110" w:rsidRPr="00BD7BB1" w:rsidRDefault="00F25110" w:rsidP="007764CE">
            <w:pPr>
              <w:spacing w:after="0" w:line="240" w:lineRule="auto"/>
              <w:jc w:val="both"/>
              <w:rPr>
                <w:rFonts w:ascii="Times New Roman" w:eastAsia="Times New Roman" w:hAnsi="Times New Roman"/>
                <w:b/>
                <w:iCs/>
                <w:color w:val="auto"/>
                <w:sz w:val="20"/>
                <w:lang w:val="bg-BG" w:eastAsia="bg-BG"/>
              </w:rPr>
            </w:pPr>
            <w:r w:rsidRPr="00BD7BB1">
              <w:rPr>
                <w:rFonts w:ascii="Times New Roman" w:eastAsia="Times New Roman" w:hAnsi="Times New Roman"/>
                <w:b/>
                <w:color w:val="auto"/>
                <w:sz w:val="20"/>
                <w:lang w:val="bg-BG" w:eastAsia="bg-BG"/>
              </w:rPr>
              <w:t>в т. ч. поне с вторично пречистване</w:t>
            </w:r>
          </w:p>
        </w:tc>
        <w:tc>
          <w:tcPr>
            <w:tcW w:w="1701" w:type="dxa"/>
            <w:tcBorders>
              <w:top w:val="single" w:sz="12" w:space="0" w:color="auto"/>
              <w:left w:val="single" w:sz="12" w:space="0" w:color="auto"/>
              <w:bottom w:val="double" w:sz="4" w:space="0" w:color="auto"/>
              <w:right w:val="single" w:sz="12" w:space="0" w:color="auto"/>
            </w:tcBorders>
          </w:tcPr>
          <w:p w:rsidR="00F25110" w:rsidRPr="00BD7BB1" w:rsidRDefault="00F25110" w:rsidP="007764CE">
            <w:pPr>
              <w:spacing w:after="0" w:line="240" w:lineRule="auto"/>
              <w:jc w:val="both"/>
              <w:rPr>
                <w:rFonts w:ascii="Times New Roman" w:eastAsia="Times New Roman" w:hAnsi="Times New Roman"/>
                <w:b/>
                <w:bCs/>
                <w:color w:val="auto"/>
                <w:sz w:val="36"/>
                <w:szCs w:val="36"/>
                <w:lang w:val="bg-BG" w:eastAsia="bg-BG"/>
              </w:rPr>
            </w:pPr>
          </w:p>
        </w:tc>
        <w:tc>
          <w:tcPr>
            <w:tcW w:w="1417" w:type="dxa"/>
            <w:tcBorders>
              <w:top w:val="single" w:sz="12" w:space="0" w:color="auto"/>
              <w:left w:val="single" w:sz="12" w:space="0" w:color="auto"/>
              <w:bottom w:val="double" w:sz="4" w:space="0" w:color="auto"/>
              <w:right w:val="thinThickThinSmallGap" w:sz="24" w:space="0" w:color="auto"/>
            </w:tcBorders>
            <w:shd w:val="clear" w:color="auto" w:fill="auto"/>
          </w:tcPr>
          <w:p w:rsidR="00F25110" w:rsidRPr="00BD7BB1" w:rsidRDefault="00F25110" w:rsidP="007764CE">
            <w:pPr>
              <w:spacing w:after="0" w:line="240" w:lineRule="auto"/>
              <w:jc w:val="both"/>
              <w:rPr>
                <w:rFonts w:ascii="Times New Roman" w:eastAsia="Times New Roman" w:hAnsi="Times New Roman"/>
                <w:b/>
                <w:bCs/>
                <w:color w:val="auto"/>
                <w:sz w:val="20"/>
                <w:lang w:val="bg-BG" w:eastAsia="bg-BG"/>
              </w:rPr>
            </w:pPr>
          </w:p>
        </w:tc>
      </w:tr>
      <w:tr w:rsidR="007764CE" w:rsidRPr="00BD7BB1" w:rsidTr="007764CE">
        <w:tc>
          <w:tcPr>
            <w:tcW w:w="1844" w:type="dxa"/>
            <w:tcBorders>
              <w:top w:val="single" w:sz="12" w:space="0" w:color="auto"/>
              <w:left w:val="thinThickThinSmallGap" w:sz="24" w:space="0" w:color="auto"/>
              <w:bottom w:val="double" w:sz="4" w:space="0" w:color="auto"/>
              <w:right w:val="single" w:sz="12" w:space="0" w:color="auto"/>
            </w:tcBorders>
            <w:shd w:val="clear" w:color="auto" w:fill="F4B29B" w:themeFill="accent1" w:themeFillTint="66"/>
            <w:vAlign w:val="center"/>
          </w:tcPr>
          <w:p w:rsidR="00F25110" w:rsidRPr="007764CE" w:rsidRDefault="00F25110" w:rsidP="007764CE">
            <w:pPr>
              <w:spacing w:after="0" w:line="240" w:lineRule="auto"/>
              <w:jc w:val="both"/>
              <w:rPr>
                <w:rFonts w:ascii="Times New Roman" w:eastAsia="Times New Roman" w:hAnsi="Times New Roman"/>
                <w:b/>
                <w:iCs/>
                <w:color w:val="9B2D1F" w:themeColor="accent2"/>
                <w:sz w:val="20"/>
                <w:lang w:val="bg-BG" w:eastAsia="bg-BG"/>
              </w:rPr>
            </w:pPr>
            <w:r w:rsidRPr="007764CE">
              <w:rPr>
                <w:rFonts w:ascii="Times New Roman" w:eastAsia="Times New Roman" w:hAnsi="Times New Roman"/>
                <w:b/>
                <w:iCs/>
                <w:color w:val="9B2D1F" w:themeColor="accent2"/>
                <w:sz w:val="20"/>
                <w:lang w:val="bg-BG" w:eastAsia="bg-BG"/>
              </w:rPr>
              <w:t>БЪЛГАРИЯ</w:t>
            </w:r>
          </w:p>
        </w:tc>
        <w:tc>
          <w:tcPr>
            <w:tcW w:w="1842" w:type="dxa"/>
            <w:tcBorders>
              <w:top w:val="single" w:sz="12" w:space="0" w:color="auto"/>
              <w:left w:val="single" w:sz="12" w:space="0" w:color="auto"/>
              <w:bottom w:val="double" w:sz="4" w:space="0" w:color="auto"/>
              <w:right w:val="single" w:sz="12" w:space="0" w:color="auto"/>
            </w:tcBorders>
            <w:shd w:val="clear" w:color="auto" w:fill="F4B29B" w:themeFill="accent1" w:themeFillTint="66"/>
            <w:vAlign w:val="center"/>
          </w:tcPr>
          <w:p w:rsidR="00F25110" w:rsidRPr="007764CE" w:rsidRDefault="00F25110" w:rsidP="007764CE">
            <w:pPr>
              <w:spacing w:after="0" w:line="240" w:lineRule="auto"/>
              <w:jc w:val="right"/>
              <w:rPr>
                <w:rFonts w:ascii="Times New Roman" w:eastAsia="Times New Roman" w:hAnsi="Times New Roman"/>
                <w:b/>
                <w:iCs/>
                <w:color w:val="9B2D1F" w:themeColor="accent2"/>
                <w:sz w:val="20"/>
                <w:lang w:eastAsia="bg-BG"/>
              </w:rPr>
            </w:pPr>
            <w:r w:rsidRPr="007764CE">
              <w:rPr>
                <w:rFonts w:ascii="Times New Roman" w:eastAsia="Times New Roman" w:hAnsi="Times New Roman"/>
                <w:b/>
                <w:iCs/>
                <w:color w:val="9B2D1F" w:themeColor="accent2"/>
                <w:sz w:val="20"/>
                <w:lang w:eastAsia="bg-BG"/>
              </w:rPr>
              <w:t>99,3</w:t>
            </w:r>
          </w:p>
        </w:tc>
        <w:tc>
          <w:tcPr>
            <w:tcW w:w="2127" w:type="dxa"/>
            <w:tcBorders>
              <w:top w:val="single" w:sz="12" w:space="0" w:color="auto"/>
              <w:left w:val="single" w:sz="12" w:space="0" w:color="auto"/>
              <w:bottom w:val="double" w:sz="4" w:space="0" w:color="auto"/>
              <w:right w:val="single" w:sz="12" w:space="0" w:color="auto"/>
            </w:tcBorders>
            <w:shd w:val="clear" w:color="auto" w:fill="F4B29B" w:themeFill="accent1" w:themeFillTint="66"/>
            <w:vAlign w:val="center"/>
          </w:tcPr>
          <w:p w:rsidR="00F25110" w:rsidRPr="007764CE" w:rsidRDefault="00F25110" w:rsidP="007764CE">
            <w:pPr>
              <w:spacing w:after="0" w:line="240" w:lineRule="auto"/>
              <w:jc w:val="right"/>
              <w:rPr>
                <w:rFonts w:ascii="Times New Roman" w:eastAsia="Times New Roman" w:hAnsi="Times New Roman"/>
                <w:b/>
                <w:iCs/>
                <w:color w:val="9B2D1F" w:themeColor="accent2"/>
                <w:sz w:val="20"/>
                <w:lang w:val="bg-BG" w:eastAsia="bg-BG"/>
              </w:rPr>
            </w:pPr>
            <w:r w:rsidRPr="007764CE">
              <w:rPr>
                <w:rFonts w:ascii="Times New Roman" w:eastAsia="Times New Roman" w:hAnsi="Times New Roman"/>
                <w:b/>
                <w:iCs/>
                <w:color w:val="9B2D1F" w:themeColor="accent2"/>
                <w:sz w:val="20"/>
                <w:lang w:val="bg-BG" w:eastAsia="bg-BG"/>
              </w:rPr>
              <w:t>74,7</w:t>
            </w:r>
          </w:p>
        </w:tc>
        <w:tc>
          <w:tcPr>
            <w:tcW w:w="850" w:type="dxa"/>
            <w:tcBorders>
              <w:top w:val="single" w:sz="12" w:space="0" w:color="auto"/>
              <w:left w:val="single" w:sz="12" w:space="0" w:color="auto"/>
              <w:bottom w:val="double" w:sz="4" w:space="0" w:color="auto"/>
              <w:right w:val="single" w:sz="12" w:space="0" w:color="auto"/>
            </w:tcBorders>
            <w:shd w:val="clear" w:color="auto" w:fill="F4B29B" w:themeFill="accent1" w:themeFillTint="66"/>
            <w:vAlign w:val="center"/>
          </w:tcPr>
          <w:p w:rsidR="00F25110" w:rsidRPr="007764CE" w:rsidRDefault="00F25110" w:rsidP="007764CE">
            <w:pPr>
              <w:spacing w:after="0" w:line="240" w:lineRule="auto"/>
              <w:jc w:val="center"/>
              <w:rPr>
                <w:rFonts w:ascii="Times New Roman" w:eastAsia="Times New Roman" w:hAnsi="Times New Roman"/>
                <w:b/>
                <w:bCs/>
                <w:color w:val="9B2D1F" w:themeColor="accent2"/>
                <w:sz w:val="20"/>
                <w:lang w:val="bg-BG" w:eastAsia="bg-BG"/>
              </w:rPr>
            </w:pPr>
            <w:r w:rsidRPr="007764CE">
              <w:rPr>
                <w:rFonts w:ascii="Times New Roman" w:eastAsia="Times New Roman" w:hAnsi="Times New Roman"/>
                <w:b/>
                <w:bCs/>
                <w:color w:val="9B2D1F" w:themeColor="accent2"/>
                <w:sz w:val="20"/>
                <w:lang w:val="bg-BG" w:eastAsia="bg-BG"/>
              </w:rPr>
              <w:t xml:space="preserve">  56,4</w:t>
            </w:r>
          </w:p>
        </w:tc>
        <w:tc>
          <w:tcPr>
            <w:tcW w:w="1418" w:type="dxa"/>
            <w:tcBorders>
              <w:top w:val="single" w:sz="12" w:space="0" w:color="auto"/>
              <w:left w:val="single" w:sz="12" w:space="0" w:color="auto"/>
              <w:bottom w:val="double" w:sz="4" w:space="0" w:color="auto"/>
              <w:right w:val="single" w:sz="12" w:space="0" w:color="auto"/>
            </w:tcBorders>
            <w:shd w:val="clear" w:color="auto" w:fill="F4B29B" w:themeFill="accent1" w:themeFillTint="66"/>
            <w:vAlign w:val="center"/>
          </w:tcPr>
          <w:p w:rsidR="00F25110" w:rsidRPr="007764CE" w:rsidRDefault="00F25110" w:rsidP="007764CE">
            <w:pPr>
              <w:spacing w:after="0" w:line="240" w:lineRule="auto"/>
              <w:jc w:val="right"/>
              <w:rPr>
                <w:rFonts w:ascii="Times New Roman" w:eastAsia="Times New Roman" w:hAnsi="Times New Roman"/>
                <w:b/>
                <w:bCs/>
                <w:color w:val="9B2D1F" w:themeColor="accent2"/>
                <w:sz w:val="20"/>
                <w:lang w:val="bg-BG" w:eastAsia="bg-BG"/>
              </w:rPr>
            </w:pPr>
            <w:r w:rsidRPr="007764CE">
              <w:rPr>
                <w:rFonts w:ascii="Times New Roman" w:eastAsia="Times New Roman" w:hAnsi="Times New Roman"/>
                <w:b/>
                <w:bCs/>
                <w:color w:val="9B2D1F" w:themeColor="accent2"/>
                <w:sz w:val="20"/>
                <w:lang w:val="bg-BG" w:eastAsia="bg-BG"/>
              </w:rPr>
              <w:t>54,5</w:t>
            </w:r>
          </w:p>
        </w:tc>
        <w:tc>
          <w:tcPr>
            <w:tcW w:w="1701" w:type="dxa"/>
            <w:tcBorders>
              <w:top w:val="single" w:sz="12" w:space="0" w:color="auto"/>
              <w:left w:val="single" w:sz="12" w:space="0" w:color="auto"/>
              <w:bottom w:val="double" w:sz="4" w:space="0" w:color="auto"/>
              <w:right w:val="single" w:sz="12" w:space="0" w:color="auto"/>
            </w:tcBorders>
            <w:shd w:val="clear" w:color="auto" w:fill="F4B29B" w:themeFill="accent1" w:themeFillTint="66"/>
            <w:vAlign w:val="center"/>
          </w:tcPr>
          <w:p w:rsidR="00F25110" w:rsidRPr="007764CE" w:rsidRDefault="00F25110" w:rsidP="007764CE">
            <w:pPr>
              <w:spacing w:after="0" w:line="240" w:lineRule="auto"/>
              <w:jc w:val="right"/>
              <w:rPr>
                <w:rFonts w:ascii="Times New Roman" w:eastAsia="Times New Roman" w:hAnsi="Times New Roman"/>
                <w:b/>
                <w:bCs/>
                <w:color w:val="9B2D1F" w:themeColor="accent2"/>
                <w:sz w:val="20"/>
                <w:lang w:val="bg-BG" w:eastAsia="bg-BG"/>
              </w:rPr>
            </w:pPr>
            <w:r w:rsidRPr="007764CE">
              <w:rPr>
                <w:rFonts w:ascii="Times New Roman" w:eastAsia="Times New Roman" w:hAnsi="Times New Roman"/>
                <w:b/>
                <w:bCs/>
                <w:color w:val="9B2D1F" w:themeColor="accent2"/>
                <w:sz w:val="20"/>
                <w:lang w:val="bg-BG" w:eastAsia="bg-BG"/>
              </w:rPr>
              <w:t>99,5</w:t>
            </w:r>
          </w:p>
        </w:tc>
        <w:tc>
          <w:tcPr>
            <w:tcW w:w="1417" w:type="dxa"/>
            <w:tcBorders>
              <w:top w:val="single" w:sz="12" w:space="0" w:color="auto"/>
              <w:left w:val="single" w:sz="12" w:space="0" w:color="auto"/>
              <w:bottom w:val="double" w:sz="4" w:space="0" w:color="auto"/>
              <w:right w:val="thinThickThinSmallGap" w:sz="24" w:space="0" w:color="auto"/>
            </w:tcBorders>
            <w:shd w:val="clear" w:color="auto" w:fill="F4B29B" w:themeFill="accent1" w:themeFillTint="66"/>
            <w:vAlign w:val="center"/>
          </w:tcPr>
          <w:p w:rsidR="00F25110" w:rsidRPr="007764CE" w:rsidRDefault="00F25110" w:rsidP="007764CE">
            <w:pPr>
              <w:spacing w:after="0" w:line="240" w:lineRule="auto"/>
              <w:jc w:val="right"/>
              <w:rPr>
                <w:rFonts w:ascii="Times New Roman" w:eastAsia="Times New Roman" w:hAnsi="Times New Roman"/>
                <w:b/>
                <w:bCs/>
                <w:color w:val="9B2D1F" w:themeColor="accent2"/>
                <w:sz w:val="20"/>
                <w:lang w:eastAsia="bg-BG"/>
              </w:rPr>
            </w:pPr>
            <w:r w:rsidRPr="007764CE">
              <w:rPr>
                <w:rFonts w:ascii="Times New Roman" w:eastAsia="Times New Roman" w:hAnsi="Times New Roman"/>
                <w:b/>
                <w:bCs/>
                <w:color w:val="9B2D1F" w:themeColor="accent2"/>
                <w:sz w:val="20"/>
                <w:lang w:val="ru-RU" w:eastAsia="bg-BG"/>
              </w:rPr>
              <w:t>90</w:t>
            </w:r>
          </w:p>
        </w:tc>
      </w:tr>
      <w:tr w:rsidR="00F25110" w:rsidRPr="00BD7BB1" w:rsidTr="006614F6">
        <w:tc>
          <w:tcPr>
            <w:tcW w:w="1844" w:type="dxa"/>
            <w:tcBorders>
              <w:top w:val="double" w:sz="4" w:space="0" w:color="auto"/>
              <w:left w:val="thinThickThinSmallGap" w:sz="2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both"/>
              <w:rPr>
                <w:rFonts w:ascii="Times New Roman" w:eastAsia="Times New Roman" w:hAnsi="Times New Roman"/>
                <w:i/>
                <w:iCs/>
                <w:color w:val="auto"/>
                <w:sz w:val="20"/>
                <w:lang w:val="bg-BG" w:eastAsia="bg-BG"/>
              </w:rPr>
            </w:pPr>
            <w:r w:rsidRPr="00BD7BB1">
              <w:rPr>
                <w:rFonts w:ascii="Times New Roman" w:eastAsia="Times New Roman" w:hAnsi="Times New Roman"/>
                <w:i/>
                <w:color w:val="auto"/>
                <w:sz w:val="20"/>
                <w:lang w:val="bg-BG" w:eastAsia="bg-BG"/>
              </w:rPr>
              <w:t>Северозападен район</w:t>
            </w:r>
          </w:p>
        </w:tc>
        <w:tc>
          <w:tcPr>
            <w:tcW w:w="1842" w:type="dxa"/>
            <w:tcBorders>
              <w:top w:val="doub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eastAsia="bg-BG"/>
              </w:rPr>
            </w:pPr>
            <w:r w:rsidRPr="00BD7BB1">
              <w:rPr>
                <w:rFonts w:ascii="Times New Roman" w:eastAsia="Times New Roman" w:hAnsi="Times New Roman"/>
                <w:iCs/>
                <w:color w:val="auto"/>
                <w:sz w:val="20"/>
                <w:lang w:eastAsia="bg-BG"/>
              </w:rPr>
              <w:t>99,5</w:t>
            </w:r>
          </w:p>
        </w:tc>
        <w:tc>
          <w:tcPr>
            <w:tcW w:w="2127" w:type="dxa"/>
            <w:tcBorders>
              <w:top w:val="doub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val="bg-BG" w:eastAsia="bg-BG"/>
              </w:rPr>
            </w:pPr>
            <w:r w:rsidRPr="00BD7BB1">
              <w:rPr>
                <w:rFonts w:ascii="Times New Roman" w:eastAsia="Times New Roman" w:hAnsi="Times New Roman"/>
                <w:iCs/>
                <w:color w:val="auto"/>
                <w:sz w:val="20"/>
                <w:lang w:val="bg-BG" w:eastAsia="bg-BG"/>
              </w:rPr>
              <w:t>58,0</w:t>
            </w:r>
          </w:p>
        </w:tc>
        <w:tc>
          <w:tcPr>
            <w:tcW w:w="850" w:type="dxa"/>
            <w:tcBorders>
              <w:top w:val="doub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33,</w:t>
            </w:r>
            <w:r w:rsidRPr="00BD7BB1">
              <w:rPr>
                <w:rFonts w:ascii="Times New Roman" w:eastAsia="Times New Roman" w:hAnsi="Times New Roman"/>
                <w:bCs/>
                <w:color w:val="auto"/>
                <w:sz w:val="20"/>
                <w:lang w:val="bg-BG" w:eastAsia="bg-BG"/>
              </w:rPr>
              <w:t>1</w:t>
            </w:r>
          </w:p>
        </w:tc>
        <w:tc>
          <w:tcPr>
            <w:tcW w:w="1418" w:type="dxa"/>
            <w:tcBorders>
              <w:top w:val="doub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3</w:t>
            </w:r>
            <w:r w:rsidRPr="00BD7BB1">
              <w:rPr>
                <w:rFonts w:ascii="Times New Roman" w:eastAsia="Times New Roman" w:hAnsi="Times New Roman"/>
                <w:bCs/>
                <w:color w:val="auto"/>
                <w:sz w:val="20"/>
                <w:lang w:val="bg-BG" w:eastAsia="bg-BG"/>
              </w:rPr>
              <w:t>3</w:t>
            </w:r>
            <w:r w:rsidRPr="00BD7BB1">
              <w:rPr>
                <w:rFonts w:ascii="Times New Roman" w:eastAsia="Times New Roman" w:hAnsi="Times New Roman"/>
                <w:bCs/>
                <w:color w:val="auto"/>
                <w:sz w:val="20"/>
                <w:lang w:eastAsia="bg-BG"/>
              </w:rPr>
              <w:t>,</w:t>
            </w:r>
            <w:r w:rsidRPr="00BD7BB1">
              <w:rPr>
                <w:rFonts w:ascii="Times New Roman" w:eastAsia="Times New Roman" w:hAnsi="Times New Roman"/>
                <w:bCs/>
                <w:color w:val="auto"/>
                <w:sz w:val="20"/>
                <w:lang w:val="bg-BG" w:eastAsia="bg-BG"/>
              </w:rPr>
              <w:t>1</w:t>
            </w:r>
          </w:p>
        </w:tc>
        <w:tc>
          <w:tcPr>
            <w:tcW w:w="1701" w:type="dxa"/>
            <w:tcBorders>
              <w:top w:val="double" w:sz="4" w:space="0" w:color="auto"/>
              <w:left w:val="single" w:sz="4" w:space="0" w:color="auto"/>
              <w:bottom w:val="single" w:sz="4" w:space="0" w:color="auto"/>
              <w:right w:val="single" w:sz="4" w:space="0" w:color="auto"/>
            </w:tcBorders>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99,5</w:t>
            </w:r>
          </w:p>
        </w:tc>
        <w:tc>
          <w:tcPr>
            <w:tcW w:w="1417" w:type="dxa"/>
            <w:tcBorders>
              <w:top w:val="double" w:sz="4" w:space="0" w:color="auto"/>
              <w:left w:val="single" w:sz="4" w:space="0" w:color="auto"/>
              <w:bottom w:val="single" w:sz="4" w:space="0" w:color="auto"/>
              <w:right w:val="thinThickThinSmallGap" w:sz="2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w:t>
            </w:r>
          </w:p>
        </w:tc>
      </w:tr>
      <w:tr w:rsidR="00F25110" w:rsidRPr="00BD7BB1" w:rsidTr="006614F6">
        <w:tc>
          <w:tcPr>
            <w:tcW w:w="1844" w:type="dxa"/>
            <w:tcBorders>
              <w:top w:val="single" w:sz="4" w:space="0" w:color="auto"/>
              <w:left w:val="thinThickThinSmallGap" w:sz="2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both"/>
              <w:rPr>
                <w:rFonts w:ascii="Times New Roman" w:eastAsia="Times New Roman" w:hAnsi="Times New Roman"/>
                <w:i/>
                <w:iCs/>
                <w:color w:val="auto"/>
                <w:sz w:val="20"/>
                <w:lang w:val="bg-BG" w:eastAsia="bg-BG"/>
              </w:rPr>
            </w:pPr>
            <w:r w:rsidRPr="00BD7BB1">
              <w:rPr>
                <w:rFonts w:ascii="Times New Roman" w:eastAsia="Times New Roman" w:hAnsi="Times New Roman"/>
                <w:i/>
                <w:color w:val="auto"/>
                <w:sz w:val="20"/>
                <w:lang w:val="bg-BG" w:eastAsia="bg-BG"/>
              </w:rPr>
              <w:t>Северен централен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eastAsia="bg-BG"/>
              </w:rPr>
            </w:pPr>
            <w:r w:rsidRPr="00BD7BB1">
              <w:rPr>
                <w:rFonts w:ascii="Times New Roman" w:eastAsia="Times New Roman" w:hAnsi="Times New Roman"/>
                <w:iCs/>
                <w:color w:val="auto"/>
                <w:sz w:val="20"/>
                <w:lang w:eastAsia="bg-BG"/>
              </w:rPr>
              <w:t>99,8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val="bg-BG" w:eastAsia="bg-BG"/>
              </w:rPr>
            </w:pPr>
            <w:r w:rsidRPr="00BD7BB1">
              <w:rPr>
                <w:rFonts w:ascii="Times New Roman" w:eastAsia="Times New Roman" w:hAnsi="Times New Roman"/>
                <w:iCs/>
                <w:color w:val="auto"/>
                <w:sz w:val="20"/>
                <w:lang w:val="bg-BG" w:eastAsia="bg-BG"/>
              </w:rPr>
              <w:t>63,9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46,</w:t>
            </w:r>
            <w:r w:rsidRPr="00BD7BB1">
              <w:rPr>
                <w:rFonts w:ascii="Times New Roman" w:eastAsia="Times New Roman" w:hAnsi="Times New Roman"/>
                <w:bCs/>
                <w:color w:val="auto"/>
                <w:sz w:val="20"/>
                <w:lang w:val="bg-BG" w:eastAsia="bg-BG"/>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4</w:t>
            </w:r>
            <w:r w:rsidRPr="00BD7BB1">
              <w:rPr>
                <w:rFonts w:ascii="Times New Roman" w:eastAsia="Times New Roman" w:hAnsi="Times New Roman"/>
                <w:bCs/>
                <w:color w:val="auto"/>
                <w:sz w:val="20"/>
                <w:lang w:val="bg-BG" w:eastAsia="bg-BG"/>
              </w:rPr>
              <w:t>4</w:t>
            </w:r>
            <w:r w:rsidRPr="00BD7BB1">
              <w:rPr>
                <w:rFonts w:ascii="Times New Roman" w:eastAsia="Times New Roman" w:hAnsi="Times New Roman"/>
                <w:bCs/>
                <w:color w:val="auto"/>
                <w:sz w:val="20"/>
                <w:lang w:eastAsia="bg-BG"/>
              </w:rPr>
              <w:t>,</w:t>
            </w:r>
            <w:r w:rsidRPr="00BD7BB1">
              <w:rPr>
                <w:rFonts w:ascii="Times New Roman" w:eastAsia="Times New Roman" w:hAnsi="Times New Roman"/>
                <w:bCs/>
                <w:color w:val="auto"/>
                <w:sz w:val="20"/>
                <w:lang w:val="bg-BG" w:eastAsia="bg-BG"/>
              </w:rPr>
              <w:t>1</w:t>
            </w:r>
          </w:p>
        </w:tc>
        <w:tc>
          <w:tcPr>
            <w:tcW w:w="1701" w:type="dxa"/>
            <w:tcBorders>
              <w:top w:val="single" w:sz="4" w:space="0" w:color="auto"/>
              <w:left w:val="single" w:sz="4" w:space="0" w:color="auto"/>
              <w:bottom w:val="single" w:sz="4" w:space="0" w:color="auto"/>
              <w:right w:val="single" w:sz="4" w:space="0" w:color="auto"/>
            </w:tcBorders>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99,7</w:t>
            </w:r>
          </w:p>
        </w:tc>
        <w:tc>
          <w:tcPr>
            <w:tcW w:w="1417" w:type="dxa"/>
            <w:tcBorders>
              <w:top w:val="single" w:sz="4" w:space="0" w:color="auto"/>
              <w:left w:val="single" w:sz="4" w:space="0" w:color="auto"/>
              <w:bottom w:val="single" w:sz="4" w:space="0" w:color="auto"/>
              <w:right w:val="thinThickThinSmallGap" w:sz="2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10</w:t>
            </w:r>
          </w:p>
        </w:tc>
      </w:tr>
      <w:tr w:rsidR="00F25110" w:rsidRPr="00BD7BB1" w:rsidTr="006614F6">
        <w:tc>
          <w:tcPr>
            <w:tcW w:w="1844" w:type="dxa"/>
            <w:tcBorders>
              <w:top w:val="single" w:sz="4" w:space="0" w:color="auto"/>
              <w:left w:val="thinThickThinSmallGap" w:sz="2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both"/>
              <w:rPr>
                <w:rFonts w:ascii="Times New Roman" w:eastAsia="Times New Roman" w:hAnsi="Times New Roman"/>
                <w:i/>
                <w:iCs/>
                <w:color w:val="auto"/>
                <w:sz w:val="20"/>
                <w:lang w:val="bg-BG" w:eastAsia="bg-BG"/>
              </w:rPr>
            </w:pPr>
            <w:r w:rsidRPr="00BD7BB1">
              <w:rPr>
                <w:rFonts w:ascii="Times New Roman" w:eastAsia="Times New Roman" w:hAnsi="Times New Roman"/>
                <w:i/>
                <w:iCs/>
                <w:color w:val="auto"/>
                <w:sz w:val="20"/>
                <w:lang w:val="bg-BG" w:eastAsia="bg-BG"/>
              </w:rPr>
              <w:t>Североизточен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eastAsia="bg-BG"/>
              </w:rPr>
            </w:pPr>
            <w:r w:rsidRPr="00BD7BB1">
              <w:rPr>
                <w:rFonts w:ascii="Times New Roman" w:eastAsia="Times New Roman" w:hAnsi="Times New Roman"/>
                <w:iCs/>
                <w:color w:val="auto"/>
                <w:sz w:val="20"/>
                <w:lang w:eastAsia="bg-BG"/>
              </w:rPr>
              <w:t>99,9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val="bg-BG" w:eastAsia="bg-BG"/>
              </w:rPr>
            </w:pPr>
            <w:r w:rsidRPr="00BD7BB1">
              <w:rPr>
                <w:rFonts w:ascii="Times New Roman" w:eastAsia="Times New Roman" w:hAnsi="Times New Roman"/>
                <w:iCs/>
                <w:color w:val="auto"/>
                <w:sz w:val="20"/>
                <w:lang w:val="bg-BG" w:eastAsia="bg-BG"/>
              </w:rPr>
              <w:t>74,5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70,</w:t>
            </w:r>
            <w:r w:rsidRPr="00BD7BB1">
              <w:rPr>
                <w:rFonts w:ascii="Times New Roman" w:eastAsia="Times New Roman" w:hAnsi="Times New Roman"/>
                <w:bCs/>
                <w:color w:val="auto"/>
                <w:sz w:val="20"/>
                <w:lang w:val="bg-BG" w:eastAsia="bg-BG"/>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61</w:t>
            </w:r>
            <w:r w:rsidRPr="00BD7BB1">
              <w:rPr>
                <w:rFonts w:ascii="Times New Roman" w:eastAsia="Times New Roman" w:hAnsi="Times New Roman"/>
                <w:bCs/>
                <w:color w:val="auto"/>
                <w:sz w:val="20"/>
                <w:lang w:eastAsia="bg-BG"/>
              </w:rPr>
              <w:t>,</w:t>
            </w:r>
            <w:r w:rsidRPr="00BD7BB1">
              <w:rPr>
                <w:rFonts w:ascii="Times New Roman" w:eastAsia="Times New Roman" w:hAnsi="Times New Roman"/>
                <w:bCs/>
                <w:color w:val="auto"/>
                <w:sz w:val="20"/>
                <w:lang w:val="bg-BG" w:eastAsia="bg-BG"/>
              </w:rPr>
              <w:t>3</w:t>
            </w:r>
          </w:p>
        </w:tc>
        <w:tc>
          <w:tcPr>
            <w:tcW w:w="1701" w:type="dxa"/>
            <w:tcBorders>
              <w:top w:val="single" w:sz="4" w:space="0" w:color="auto"/>
              <w:left w:val="single" w:sz="4" w:space="0" w:color="auto"/>
              <w:bottom w:val="single" w:sz="4" w:space="0" w:color="auto"/>
              <w:right w:val="single" w:sz="4" w:space="0" w:color="auto"/>
            </w:tcBorders>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98,7</w:t>
            </w:r>
          </w:p>
        </w:tc>
        <w:tc>
          <w:tcPr>
            <w:tcW w:w="1417" w:type="dxa"/>
            <w:tcBorders>
              <w:top w:val="single" w:sz="4" w:space="0" w:color="auto"/>
              <w:left w:val="single" w:sz="4" w:space="0" w:color="auto"/>
              <w:bottom w:val="single" w:sz="4" w:space="0" w:color="auto"/>
              <w:right w:val="thinThickThinSmallGap" w:sz="2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eastAsia="bg-BG"/>
              </w:rPr>
              <w:t>1</w:t>
            </w:r>
            <w:r w:rsidRPr="00BD7BB1">
              <w:rPr>
                <w:rFonts w:ascii="Times New Roman" w:eastAsia="Times New Roman" w:hAnsi="Times New Roman"/>
                <w:color w:val="auto"/>
                <w:sz w:val="20"/>
                <w:lang w:val="bg-BG" w:eastAsia="bg-BG"/>
              </w:rPr>
              <w:t>8</w:t>
            </w:r>
          </w:p>
        </w:tc>
      </w:tr>
      <w:tr w:rsidR="00F25110" w:rsidRPr="00BD7BB1" w:rsidTr="006614F6">
        <w:tc>
          <w:tcPr>
            <w:tcW w:w="1844" w:type="dxa"/>
            <w:tcBorders>
              <w:top w:val="single" w:sz="4" w:space="0" w:color="auto"/>
              <w:left w:val="thinThickThinSmallGap" w:sz="2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both"/>
              <w:rPr>
                <w:rFonts w:ascii="Times New Roman" w:eastAsia="Times New Roman" w:hAnsi="Times New Roman"/>
                <w:i/>
                <w:iCs/>
                <w:color w:val="auto"/>
                <w:sz w:val="20"/>
                <w:lang w:val="bg-BG" w:eastAsia="bg-BG"/>
              </w:rPr>
            </w:pPr>
            <w:r w:rsidRPr="00BD7BB1">
              <w:rPr>
                <w:rFonts w:ascii="Times New Roman" w:eastAsia="Times New Roman" w:hAnsi="Times New Roman"/>
                <w:i/>
                <w:iCs/>
                <w:color w:val="auto"/>
                <w:sz w:val="20"/>
                <w:lang w:val="bg-BG" w:eastAsia="bg-BG"/>
              </w:rPr>
              <w:t>Югозападен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eastAsia="bg-BG"/>
              </w:rPr>
            </w:pPr>
            <w:r w:rsidRPr="00BD7BB1">
              <w:rPr>
                <w:rFonts w:ascii="Times New Roman" w:eastAsia="Times New Roman" w:hAnsi="Times New Roman"/>
                <w:iCs/>
                <w:color w:val="auto"/>
                <w:sz w:val="20"/>
                <w:lang w:eastAsia="bg-BG"/>
              </w:rPr>
              <w:t>99,2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val="bg-BG" w:eastAsia="bg-BG"/>
              </w:rPr>
            </w:pPr>
            <w:r w:rsidRPr="00BD7BB1">
              <w:rPr>
                <w:rFonts w:ascii="Times New Roman" w:eastAsia="Times New Roman" w:hAnsi="Times New Roman"/>
                <w:iCs/>
                <w:color w:val="auto"/>
                <w:sz w:val="20"/>
                <w:lang w:val="bg-BG" w:eastAsia="bg-BG"/>
              </w:rPr>
              <w:t>88,7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7</w:t>
            </w:r>
            <w:r w:rsidRPr="00BD7BB1">
              <w:rPr>
                <w:rFonts w:ascii="Times New Roman" w:eastAsia="Times New Roman" w:hAnsi="Times New Roman"/>
                <w:bCs/>
                <w:color w:val="auto"/>
                <w:sz w:val="20"/>
                <w:lang w:val="bg-BG" w:eastAsia="bg-BG"/>
              </w:rPr>
              <w:t>4</w:t>
            </w:r>
            <w:r w:rsidRPr="00BD7BB1">
              <w:rPr>
                <w:rFonts w:ascii="Times New Roman" w:eastAsia="Times New Roman" w:hAnsi="Times New Roman"/>
                <w:bCs/>
                <w:color w:val="auto"/>
                <w:sz w:val="20"/>
                <w:lang w:eastAsia="bg-BG"/>
              </w:rPr>
              <w:t>,</w:t>
            </w:r>
            <w:r w:rsidRPr="00BD7BB1">
              <w:rPr>
                <w:rFonts w:ascii="Times New Roman" w:eastAsia="Times New Roman" w:hAnsi="Times New Roman"/>
                <w:bCs/>
                <w:color w:val="auto"/>
                <w:sz w:val="20"/>
                <w:lang w:val="bg-BG" w:eastAsia="bg-BG"/>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7</w:t>
            </w:r>
            <w:r w:rsidRPr="00BD7BB1">
              <w:rPr>
                <w:rFonts w:ascii="Times New Roman" w:eastAsia="Times New Roman" w:hAnsi="Times New Roman"/>
                <w:bCs/>
                <w:color w:val="auto"/>
                <w:sz w:val="20"/>
                <w:lang w:val="bg-BG" w:eastAsia="bg-BG"/>
              </w:rPr>
              <w:t>3</w:t>
            </w:r>
            <w:r w:rsidRPr="00BD7BB1">
              <w:rPr>
                <w:rFonts w:ascii="Times New Roman" w:eastAsia="Times New Roman" w:hAnsi="Times New Roman"/>
                <w:bCs/>
                <w:color w:val="auto"/>
                <w:sz w:val="20"/>
                <w:lang w:eastAsia="bg-BG"/>
              </w:rPr>
              <w:t>,</w:t>
            </w:r>
            <w:r w:rsidRPr="00BD7BB1">
              <w:rPr>
                <w:rFonts w:ascii="Times New Roman" w:eastAsia="Times New Roman" w:hAnsi="Times New Roman"/>
                <w:bCs/>
                <w:color w:val="auto"/>
                <w:sz w:val="20"/>
                <w:lang w:val="bg-BG" w:eastAsia="bg-BG"/>
              </w:rPr>
              <w:t>1</w:t>
            </w:r>
          </w:p>
        </w:tc>
        <w:tc>
          <w:tcPr>
            <w:tcW w:w="1701" w:type="dxa"/>
            <w:tcBorders>
              <w:top w:val="single" w:sz="4" w:space="0" w:color="auto"/>
              <w:left w:val="single" w:sz="4" w:space="0" w:color="auto"/>
              <w:bottom w:val="single" w:sz="4" w:space="0" w:color="auto"/>
              <w:right w:val="single" w:sz="4" w:space="0" w:color="auto"/>
            </w:tcBorders>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99,6</w:t>
            </w:r>
          </w:p>
        </w:tc>
        <w:tc>
          <w:tcPr>
            <w:tcW w:w="1417" w:type="dxa"/>
            <w:tcBorders>
              <w:top w:val="single" w:sz="4" w:space="0" w:color="auto"/>
              <w:left w:val="single" w:sz="4" w:space="0" w:color="auto"/>
              <w:bottom w:val="single" w:sz="4" w:space="0" w:color="auto"/>
              <w:right w:val="thinThickThinSmallGap" w:sz="2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18</w:t>
            </w:r>
          </w:p>
        </w:tc>
      </w:tr>
      <w:tr w:rsidR="007764CE" w:rsidRPr="00BD7BB1" w:rsidTr="006614F6">
        <w:tc>
          <w:tcPr>
            <w:tcW w:w="1844" w:type="dxa"/>
            <w:tcBorders>
              <w:top w:val="single" w:sz="4" w:space="0" w:color="auto"/>
              <w:left w:val="thinThickThinSmallGap" w:sz="2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both"/>
              <w:rPr>
                <w:rFonts w:ascii="Times New Roman" w:eastAsia="Times New Roman" w:hAnsi="Times New Roman"/>
                <w:i/>
                <w:iCs/>
                <w:color w:val="auto"/>
                <w:sz w:val="20"/>
                <w:lang w:val="bg-BG" w:eastAsia="bg-BG"/>
              </w:rPr>
            </w:pPr>
            <w:r w:rsidRPr="00BD7BB1">
              <w:rPr>
                <w:rFonts w:ascii="Times New Roman" w:eastAsia="Times New Roman" w:hAnsi="Times New Roman"/>
                <w:i/>
                <w:iCs/>
                <w:color w:val="auto"/>
                <w:sz w:val="20"/>
                <w:lang w:val="bg-BG" w:eastAsia="bg-BG"/>
              </w:rPr>
              <w:t>Южен централен район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val="bg-BG" w:eastAsia="bg-BG"/>
              </w:rPr>
            </w:pPr>
            <w:r w:rsidRPr="00BD7BB1">
              <w:rPr>
                <w:rFonts w:ascii="Times New Roman" w:eastAsia="Times New Roman" w:hAnsi="Times New Roman"/>
                <w:iCs/>
                <w:color w:val="auto"/>
                <w:sz w:val="20"/>
                <w:lang w:eastAsia="bg-BG"/>
              </w:rPr>
              <w:t>98,</w:t>
            </w:r>
            <w:r w:rsidRPr="00BD7BB1">
              <w:rPr>
                <w:rFonts w:ascii="Times New Roman" w:eastAsia="Times New Roman" w:hAnsi="Times New Roman"/>
                <w:iCs/>
                <w:color w:val="auto"/>
                <w:sz w:val="20"/>
                <w:lang w:val="bg-BG" w:eastAsia="bg-BG"/>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val="bg-BG" w:eastAsia="bg-BG"/>
              </w:rPr>
            </w:pPr>
            <w:r w:rsidRPr="00BD7BB1">
              <w:rPr>
                <w:rFonts w:ascii="Times New Roman" w:eastAsia="Times New Roman" w:hAnsi="Times New Roman"/>
                <w:iCs/>
                <w:color w:val="auto"/>
                <w:sz w:val="20"/>
                <w:lang w:val="bg-BG" w:eastAsia="bg-BG"/>
              </w:rPr>
              <w:t>72,0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41,</w:t>
            </w:r>
            <w:r w:rsidRPr="00BD7BB1">
              <w:rPr>
                <w:rFonts w:ascii="Times New Roman" w:eastAsia="Times New Roman" w:hAnsi="Times New Roman"/>
                <w:bCs/>
                <w:color w:val="auto"/>
                <w:sz w:val="20"/>
                <w:lang w:val="bg-BG" w:eastAsia="bg-BG"/>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eastAsia="bg-BG"/>
              </w:rPr>
              <w:t>41,</w:t>
            </w:r>
            <w:r w:rsidRPr="00BD7BB1">
              <w:rPr>
                <w:rFonts w:ascii="Times New Roman" w:eastAsia="Times New Roman" w:hAnsi="Times New Roman"/>
                <w:bCs/>
                <w:color w:val="auto"/>
                <w:sz w:val="20"/>
                <w:lang w:val="bg-BG" w:eastAsia="bg-BG"/>
              </w:rPr>
              <w:t>7</w:t>
            </w:r>
          </w:p>
        </w:tc>
        <w:tc>
          <w:tcPr>
            <w:tcW w:w="1701" w:type="dxa"/>
            <w:tcBorders>
              <w:top w:val="single" w:sz="4" w:space="0" w:color="auto"/>
              <w:left w:val="single" w:sz="4" w:space="0" w:color="auto"/>
              <w:bottom w:val="single" w:sz="4" w:space="0" w:color="auto"/>
              <w:right w:val="single" w:sz="4" w:space="0" w:color="auto"/>
            </w:tcBorders>
            <w:vAlign w:val="center"/>
          </w:tcPr>
          <w:p w:rsidR="00F25110" w:rsidRPr="00BD7BB1" w:rsidRDefault="00F25110" w:rsidP="007764CE">
            <w:pPr>
              <w:spacing w:after="0" w:line="240" w:lineRule="auto"/>
              <w:jc w:val="right"/>
              <w:rPr>
                <w:rFonts w:ascii="Times New Roman" w:eastAsia="Times New Roman" w:hAnsi="Times New Roman"/>
                <w:bCs/>
                <w:color w:val="auto"/>
                <w:sz w:val="20"/>
                <w:lang w:val="bg-BG" w:eastAsia="bg-BG"/>
              </w:rPr>
            </w:pPr>
            <w:r w:rsidRPr="00BD7BB1">
              <w:rPr>
                <w:rFonts w:ascii="Times New Roman" w:eastAsia="Times New Roman" w:hAnsi="Times New Roman"/>
                <w:bCs/>
                <w:color w:val="auto"/>
                <w:sz w:val="20"/>
                <w:lang w:val="bg-BG" w:eastAsia="bg-BG"/>
              </w:rPr>
              <w:t>99,5</w:t>
            </w:r>
          </w:p>
        </w:tc>
        <w:tc>
          <w:tcPr>
            <w:tcW w:w="1417" w:type="dxa"/>
            <w:tcBorders>
              <w:top w:val="single" w:sz="4" w:space="0" w:color="auto"/>
              <w:left w:val="single" w:sz="4" w:space="0" w:color="auto"/>
              <w:bottom w:val="single" w:sz="4" w:space="0" w:color="auto"/>
              <w:right w:val="thinThickThinSmallGap" w:sz="2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eastAsia="bg-BG"/>
              </w:rPr>
            </w:pPr>
            <w:r w:rsidRPr="00BD7BB1">
              <w:rPr>
                <w:rFonts w:ascii="Times New Roman" w:eastAsia="Times New Roman" w:hAnsi="Times New Roman"/>
                <w:color w:val="auto"/>
                <w:sz w:val="20"/>
                <w:lang w:eastAsia="bg-BG"/>
              </w:rPr>
              <w:t>16</w:t>
            </w:r>
          </w:p>
        </w:tc>
      </w:tr>
      <w:tr w:rsidR="007764CE" w:rsidRPr="00BD7BB1" w:rsidTr="007764CE">
        <w:tc>
          <w:tcPr>
            <w:tcW w:w="1844" w:type="dxa"/>
            <w:tcBorders>
              <w:top w:val="single" w:sz="4" w:space="0" w:color="auto"/>
              <w:left w:val="thinThickThinSmallGap" w:sz="24" w:space="0" w:color="auto"/>
              <w:bottom w:val="single" w:sz="12" w:space="0" w:color="auto"/>
              <w:right w:val="single" w:sz="4" w:space="0" w:color="auto"/>
            </w:tcBorders>
            <w:shd w:val="clear" w:color="auto" w:fill="F4B29B" w:themeFill="accent1" w:themeFillTint="66"/>
            <w:vAlign w:val="center"/>
          </w:tcPr>
          <w:p w:rsidR="00F25110" w:rsidRPr="007764CE" w:rsidRDefault="00F25110" w:rsidP="007764CE">
            <w:pPr>
              <w:spacing w:after="0" w:line="240" w:lineRule="auto"/>
              <w:jc w:val="both"/>
              <w:rPr>
                <w:rFonts w:ascii="Times New Roman" w:eastAsia="Times New Roman" w:hAnsi="Times New Roman"/>
                <w:b/>
                <w:i/>
                <w:iCs/>
                <w:color w:val="9B2D1F" w:themeColor="accent2"/>
                <w:sz w:val="20"/>
                <w:lang w:val="bg-BG" w:eastAsia="bg-BG"/>
              </w:rPr>
            </w:pPr>
            <w:r w:rsidRPr="007764CE">
              <w:rPr>
                <w:rFonts w:ascii="Times New Roman" w:eastAsia="Times New Roman" w:hAnsi="Times New Roman"/>
                <w:b/>
                <w:i/>
                <w:iCs/>
                <w:color w:val="9B2D1F" w:themeColor="accent2"/>
                <w:sz w:val="20"/>
                <w:lang w:val="bg-BG" w:eastAsia="bg-BG"/>
              </w:rPr>
              <w:t>Югоизточен район</w:t>
            </w:r>
          </w:p>
        </w:tc>
        <w:tc>
          <w:tcPr>
            <w:tcW w:w="1842" w:type="dxa"/>
            <w:tcBorders>
              <w:top w:val="single" w:sz="4" w:space="0" w:color="auto"/>
              <w:left w:val="single" w:sz="4" w:space="0" w:color="auto"/>
              <w:bottom w:val="single" w:sz="12" w:space="0" w:color="auto"/>
              <w:right w:val="single" w:sz="4" w:space="0" w:color="auto"/>
            </w:tcBorders>
            <w:shd w:val="clear" w:color="auto" w:fill="F4B29B" w:themeFill="accent1" w:themeFillTint="66"/>
            <w:vAlign w:val="center"/>
          </w:tcPr>
          <w:p w:rsidR="00F25110" w:rsidRPr="007764CE" w:rsidRDefault="00F25110" w:rsidP="007764CE">
            <w:pPr>
              <w:spacing w:after="0" w:line="240" w:lineRule="auto"/>
              <w:jc w:val="right"/>
              <w:rPr>
                <w:rFonts w:ascii="Times New Roman" w:eastAsia="Times New Roman" w:hAnsi="Times New Roman"/>
                <w:b/>
                <w:iCs/>
                <w:color w:val="9B2D1F" w:themeColor="accent2"/>
                <w:sz w:val="20"/>
                <w:lang w:eastAsia="bg-BG"/>
              </w:rPr>
            </w:pPr>
            <w:r w:rsidRPr="007764CE">
              <w:rPr>
                <w:rFonts w:ascii="Times New Roman" w:eastAsia="Times New Roman" w:hAnsi="Times New Roman"/>
                <w:b/>
                <w:iCs/>
                <w:color w:val="9B2D1F" w:themeColor="accent2"/>
                <w:sz w:val="20"/>
                <w:lang w:eastAsia="bg-BG"/>
              </w:rPr>
              <w:t>99,9</w:t>
            </w:r>
          </w:p>
        </w:tc>
        <w:tc>
          <w:tcPr>
            <w:tcW w:w="2127" w:type="dxa"/>
            <w:tcBorders>
              <w:top w:val="single" w:sz="4" w:space="0" w:color="auto"/>
              <w:left w:val="single" w:sz="4" w:space="0" w:color="auto"/>
              <w:bottom w:val="single" w:sz="12" w:space="0" w:color="auto"/>
              <w:right w:val="single" w:sz="4" w:space="0" w:color="auto"/>
            </w:tcBorders>
            <w:shd w:val="clear" w:color="auto" w:fill="F4B29B" w:themeFill="accent1" w:themeFillTint="66"/>
            <w:vAlign w:val="center"/>
          </w:tcPr>
          <w:p w:rsidR="00F25110" w:rsidRPr="007764CE" w:rsidRDefault="00F25110" w:rsidP="007764CE">
            <w:pPr>
              <w:spacing w:after="0" w:line="240" w:lineRule="auto"/>
              <w:jc w:val="right"/>
              <w:rPr>
                <w:rFonts w:ascii="Times New Roman" w:eastAsia="Times New Roman" w:hAnsi="Times New Roman"/>
                <w:b/>
                <w:iCs/>
                <w:color w:val="9B2D1F" w:themeColor="accent2"/>
                <w:sz w:val="20"/>
                <w:lang w:val="bg-BG" w:eastAsia="bg-BG"/>
              </w:rPr>
            </w:pPr>
            <w:r w:rsidRPr="007764CE">
              <w:rPr>
                <w:rFonts w:ascii="Times New Roman" w:eastAsia="Times New Roman" w:hAnsi="Times New Roman"/>
                <w:b/>
                <w:iCs/>
                <w:color w:val="9B2D1F" w:themeColor="accent2"/>
                <w:sz w:val="20"/>
                <w:lang w:val="bg-BG" w:eastAsia="bg-BG"/>
              </w:rPr>
              <w:t>71,9</w:t>
            </w:r>
          </w:p>
        </w:tc>
        <w:tc>
          <w:tcPr>
            <w:tcW w:w="850" w:type="dxa"/>
            <w:tcBorders>
              <w:top w:val="single" w:sz="4" w:space="0" w:color="auto"/>
              <w:left w:val="single" w:sz="4" w:space="0" w:color="auto"/>
              <w:bottom w:val="single" w:sz="12" w:space="0" w:color="auto"/>
              <w:right w:val="single" w:sz="4" w:space="0" w:color="auto"/>
            </w:tcBorders>
            <w:shd w:val="clear" w:color="auto" w:fill="F4B29B" w:themeFill="accent1" w:themeFillTint="66"/>
            <w:vAlign w:val="center"/>
          </w:tcPr>
          <w:p w:rsidR="00F25110" w:rsidRPr="007764CE" w:rsidRDefault="00F25110" w:rsidP="007764CE">
            <w:pPr>
              <w:spacing w:after="0" w:line="240" w:lineRule="auto"/>
              <w:jc w:val="right"/>
              <w:rPr>
                <w:rFonts w:ascii="Times New Roman" w:eastAsia="Times New Roman" w:hAnsi="Times New Roman"/>
                <w:color w:val="9B2D1F" w:themeColor="accent2"/>
                <w:sz w:val="20"/>
                <w:lang w:val="bg-BG" w:eastAsia="bg-BG"/>
              </w:rPr>
            </w:pPr>
            <w:r w:rsidRPr="007764CE">
              <w:rPr>
                <w:rFonts w:ascii="Times New Roman" w:eastAsia="Times New Roman" w:hAnsi="Times New Roman"/>
                <w:color w:val="9B2D1F" w:themeColor="accent2"/>
                <w:sz w:val="20"/>
                <w:lang w:val="bg-BG" w:eastAsia="bg-BG"/>
              </w:rPr>
              <w:t>53,6</w:t>
            </w:r>
          </w:p>
        </w:tc>
        <w:tc>
          <w:tcPr>
            <w:tcW w:w="1418" w:type="dxa"/>
            <w:tcBorders>
              <w:top w:val="single" w:sz="4" w:space="0" w:color="auto"/>
              <w:left w:val="single" w:sz="4" w:space="0" w:color="auto"/>
              <w:bottom w:val="single" w:sz="12" w:space="0" w:color="auto"/>
              <w:right w:val="single" w:sz="4" w:space="0" w:color="auto"/>
            </w:tcBorders>
            <w:shd w:val="clear" w:color="auto" w:fill="F4B29B" w:themeFill="accent1" w:themeFillTint="66"/>
            <w:vAlign w:val="center"/>
          </w:tcPr>
          <w:p w:rsidR="00F25110" w:rsidRPr="007764CE" w:rsidRDefault="00F25110" w:rsidP="007764CE">
            <w:pPr>
              <w:spacing w:after="0" w:line="240" w:lineRule="auto"/>
              <w:jc w:val="right"/>
              <w:rPr>
                <w:rFonts w:ascii="Times New Roman" w:eastAsia="Times New Roman" w:hAnsi="Times New Roman"/>
                <w:color w:val="9B2D1F" w:themeColor="accent2"/>
                <w:sz w:val="20"/>
                <w:lang w:val="bg-BG" w:eastAsia="bg-BG"/>
              </w:rPr>
            </w:pPr>
            <w:r w:rsidRPr="007764CE">
              <w:rPr>
                <w:rFonts w:ascii="Times New Roman" w:eastAsia="Times New Roman" w:hAnsi="Times New Roman"/>
                <w:color w:val="9B2D1F" w:themeColor="accent2"/>
                <w:sz w:val="20"/>
                <w:lang w:val="bg-BG" w:eastAsia="bg-BG"/>
              </w:rPr>
              <w:t>53,6</w:t>
            </w:r>
          </w:p>
        </w:tc>
        <w:tc>
          <w:tcPr>
            <w:tcW w:w="1701" w:type="dxa"/>
            <w:tcBorders>
              <w:top w:val="single" w:sz="4" w:space="0" w:color="auto"/>
              <w:left w:val="single" w:sz="4" w:space="0" w:color="auto"/>
              <w:bottom w:val="single" w:sz="12" w:space="0" w:color="auto"/>
              <w:right w:val="single" w:sz="4" w:space="0" w:color="auto"/>
            </w:tcBorders>
            <w:shd w:val="clear" w:color="auto" w:fill="F4B29B" w:themeFill="accent1" w:themeFillTint="66"/>
            <w:vAlign w:val="center"/>
          </w:tcPr>
          <w:p w:rsidR="00F25110" w:rsidRPr="007764CE" w:rsidRDefault="00F25110" w:rsidP="007764CE">
            <w:pPr>
              <w:spacing w:after="0" w:line="240" w:lineRule="auto"/>
              <w:jc w:val="right"/>
              <w:rPr>
                <w:rFonts w:ascii="Times New Roman" w:eastAsia="Times New Roman" w:hAnsi="Times New Roman"/>
                <w:b/>
                <w:bCs/>
                <w:color w:val="9B2D1F" w:themeColor="accent2"/>
                <w:sz w:val="20"/>
                <w:lang w:val="bg-BG" w:eastAsia="bg-BG"/>
              </w:rPr>
            </w:pPr>
            <w:r w:rsidRPr="007764CE">
              <w:rPr>
                <w:rFonts w:ascii="Times New Roman" w:eastAsia="Times New Roman" w:hAnsi="Times New Roman"/>
                <w:b/>
                <w:bCs/>
                <w:color w:val="9B2D1F" w:themeColor="accent2"/>
                <w:sz w:val="20"/>
                <w:lang w:val="bg-BG" w:eastAsia="bg-BG"/>
              </w:rPr>
              <w:t>99,7</w:t>
            </w:r>
          </w:p>
        </w:tc>
        <w:tc>
          <w:tcPr>
            <w:tcW w:w="1417" w:type="dxa"/>
            <w:tcBorders>
              <w:top w:val="single" w:sz="4" w:space="0" w:color="auto"/>
              <w:left w:val="single" w:sz="4" w:space="0" w:color="auto"/>
              <w:bottom w:val="single" w:sz="12" w:space="0" w:color="auto"/>
              <w:right w:val="thinThickThinSmallGap" w:sz="24" w:space="0" w:color="auto"/>
            </w:tcBorders>
            <w:shd w:val="clear" w:color="auto" w:fill="F4B29B" w:themeFill="accent1" w:themeFillTint="66"/>
            <w:vAlign w:val="center"/>
          </w:tcPr>
          <w:p w:rsidR="00F25110" w:rsidRPr="007764CE" w:rsidRDefault="00F25110" w:rsidP="007764CE">
            <w:pPr>
              <w:spacing w:after="0" w:line="240" w:lineRule="auto"/>
              <w:jc w:val="right"/>
              <w:rPr>
                <w:rFonts w:ascii="Times New Roman" w:eastAsia="Times New Roman" w:hAnsi="Times New Roman"/>
                <w:b/>
                <w:color w:val="9B2D1F" w:themeColor="accent2"/>
                <w:sz w:val="20"/>
                <w:lang w:val="bg-BG" w:eastAsia="bg-BG"/>
              </w:rPr>
            </w:pPr>
            <w:r w:rsidRPr="007764CE">
              <w:rPr>
                <w:rFonts w:ascii="Times New Roman" w:eastAsia="Times New Roman" w:hAnsi="Times New Roman"/>
                <w:b/>
                <w:color w:val="9B2D1F" w:themeColor="accent2"/>
                <w:sz w:val="20"/>
                <w:lang w:eastAsia="bg-BG"/>
              </w:rPr>
              <w:t>2</w:t>
            </w:r>
            <w:r w:rsidRPr="007764CE">
              <w:rPr>
                <w:rFonts w:ascii="Times New Roman" w:eastAsia="Times New Roman" w:hAnsi="Times New Roman"/>
                <w:b/>
                <w:color w:val="9B2D1F" w:themeColor="accent2"/>
                <w:sz w:val="20"/>
                <w:lang w:val="bg-BG" w:eastAsia="bg-BG"/>
              </w:rPr>
              <w:t>2</w:t>
            </w:r>
          </w:p>
        </w:tc>
      </w:tr>
      <w:tr w:rsidR="00F25110" w:rsidRPr="00BD7BB1" w:rsidTr="006614F6">
        <w:tc>
          <w:tcPr>
            <w:tcW w:w="1844" w:type="dxa"/>
            <w:tcBorders>
              <w:top w:val="single" w:sz="12" w:space="0" w:color="auto"/>
              <w:left w:val="thinThickThinSmallGap" w:sz="2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Област Бургас</w:t>
            </w:r>
          </w:p>
        </w:tc>
        <w:tc>
          <w:tcPr>
            <w:tcW w:w="1842" w:type="dxa"/>
            <w:tcBorders>
              <w:top w:val="single" w:sz="12"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eastAsia="bg-BG"/>
              </w:rPr>
            </w:pPr>
            <w:r w:rsidRPr="00BD7BB1">
              <w:rPr>
                <w:rFonts w:ascii="Times New Roman" w:eastAsia="Times New Roman" w:hAnsi="Times New Roman"/>
                <w:iCs/>
                <w:color w:val="auto"/>
                <w:sz w:val="20"/>
                <w:lang w:eastAsia="bg-BG"/>
              </w:rPr>
              <w:t>99,9</w:t>
            </w:r>
          </w:p>
        </w:tc>
        <w:tc>
          <w:tcPr>
            <w:tcW w:w="2127" w:type="dxa"/>
            <w:tcBorders>
              <w:top w:val="single" w:sz="12"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76,0</w:t>
            </w:r>
          </w:p>
        </w:tc>
        <w:tc>
          <w:tcPr>
            <w:tcW w:w="850" w:type="dxa"/>
            <w:tcBorders>
              <w:top w:val="single" w:sz="12"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61,2</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61,2</w:t>
            </w:r>
          </w:p>
        </w:tc>
        <w:tc>
          <w:tcPr>
            <w:tcW w:w="1701" w:type="dxa"/>
            <w:tcBorders>
              <w:top w:val="single" w:sz="12" w:space="0" w:color="auto"/>
              <w:left w:val="single" w:sz="4" w:space="0" w:color="auto"/>
              <w:bottom w:val="single" w:sz="4" w:space="0" w:color="auto"/>
              <w:right w:val="single" w:sz="4" w:space="0" w:color="auto"/>
            </w:tcBorders>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99,9</w:t>
            </w:r>
          </w:p>
        </w:tc>
        <w:tc>
          <w:tcPr>
            <w:tcW w:w="1417" w:type="dxa"/>
            <w:tcBorders>
              <w:top w:val="single" w:sz="12" w:space="0" w:color="auto"/>
              <w:left w:val="single" w:sz="4" w:space="0" w:color="auto"/>
              <w:bottom w:val="single" w:sz="4" w:space="0" w:color="auto"/>
              <w:right w:val="thinThickThinSmallGap" w:sz="2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10 ( 2010г.)</w:t>
            </w:r>
          </w:p>
        </w:tc>
      </w:tr>
      <w:tr w:rsidR="00F25110" w:rsidRPr="00BD7BB1" w:rsidTr="006614F6">
        <w:tc>
          <w:tcPr>
            <w:tcW w:w="1844" w:type="dxa"/>
            <w:tcBorders>
              <w:top w:val="single" w:sz="4" w:space="0" w:color="auto"/>
              <w:left w:val="thinThickThinSmallGap" w:sz="2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Област Сливен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eastAsia="bg-BG"/>
              </w:rPr>
            </w:pPr>
            <w:r w:rsidRPr="00BD7BB1">
              <w:rPr>
                <w:rFonts w:ascii="Times New Roman" w:eastAsia="Times New Roman" w:hAnsi="Times New Roman"/>
                <w:iCs/>
                <w:color w:val="auto"/>
                <w:sz w:val="20"/>
                <w:lang w:eastAsia="bg-BG"/>
              </w:rPr>
              <w:t>99,9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57,6</w:t>
            </w:r>
          </w:p>
        </w:tc>
        <w:tc>
          <w:tcPr>
            <w:tcW w:w="1701" w:type="dxa"/>
            <w:tcBorders>
              <w:top w:val="single" w:sz="4" w:space="0" w:color="auto"/>
              <w:left w:val="single" w:sz="4" w:space="0" w:color="auto"/>
              <w:bottom w:val="single" w:sz="4" w:space="0" w:color="auto"/>
              <w:right w:val="single" w:sz="4" w:space="0" w:color="auto"/>
            </w:tcBorders>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100,0</w:t>
            </w:r>
          </w:p>
        </w:tc>
        <w:tc>
          <w:tcPr>
            <w:tcW w:w="1417" w:type="dxa"/>
            <w:tcBorders>
              <w:top w:val="single" w:sz="4" w:space="0" w:color="auto"/>
              <w:left w:val="single" w:sz="4" w:space="0" w:color="auto"/>
              <w:bottom w:val="single" w:sz="4" w:space="0" w:color="auto"/>
              <w:right w:val="thinThickThinSmallGap" w:sz="2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( 2010г.)</w:t>
            </w:r>
          </w:p>
        </w:tc>
      </w:tr>
      <w:tr w:rsidR="00F25110" w:rsidRPr="00BD7BB1" w:rsidTr="006614F6">
        <w:tc>
          <w:tcPr>
            <w:tcW w:w="1844" w:type="dxa"/>
            <w:tcBorders>
              <w:top w:val="single" w:sz="4" w:space="0" w:color="auto"/>
              <w:left w:val="thinThickThinSmallGap" w:sz="2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Област</w:t>
            </w: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 xml:space="preserve"> Ст. Загора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iCs/>
                <w:color w:val="auto"/>
                <w:sz w:val="20"/>
                <w:lang w:eastAsia="bg-BG"/>
              </w:rPr>
            </w:pPr>
            <w:r w:rsidRPr="00BD7BB1">
              <w:rPr>
                <w:rFonts w:ascii="Times New Roman" w:eastAsia="Times New Roman" w:hAnsi="Times New Roman"/>
                <w:iCs/>
                <w:color w:val="auto"/>
                <w:sz w:val="20"/>
                <w:lang w:eastAsia="bg-BG"/>
              </w:rPr>
              <w:t>99,7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61,2</w:t>
            </w:r>
          </w:p>
        </w:tc>
        <w:tc>
          <w:tcPr>
            <w:tcW w:w="1701" w:type="dxa"/>
            <w:tcBorders>
              <w:top w:val="single" w:sz="4" w:space="0" w:color="auto"/>
              <w:left w:val="single" w:sz="4" w:space="0" w:color="auto"/>
              <w:bottom w:val="single" w:sz="4" w:space="0" w:color="auto"/>
              <w:right w:val="single" w:sz="4" w:space="0" w:color="auto"/>
            </w:tcBorders>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99,3</w:t>
            </w:r>
          </w:p>
        </w:tc>
        <w:tc>
          <w:tcPr>
            <w:tcW w:w="1417" w:type="dxa"/>
            <w:tcBorders>
              <w:top w:val="single" w:sz="4" w:space="0" w:color="auto"/>
              <w:left w:val="single" w:sz="4" w:space="0" w:color="auto"/>
              <w:bottom w:val="single" w:sz="4" w:space="0" w:color="auto"/>
              <w:right w:val="thinThickThinSmallGap" w:sz="24" w:space="0" w:color="auto"/>
            </w:tcBorders>
            <w:shd w:val="clear" w:color="auto" w:fill="auto"/>
            <w:vAlign w:val="center"/>
          </w:tcPr>
          <w:p w:rsidR="00F25110" w:rsidRPr="00BD7BB1" w:rsidRDefault="00F25110" w:rsidP="007764CE">
            <w:pPr>
              <w:spacing w:after="0" w:line="24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 ( 2010г.)</w:t>
            </w:r>
          </w:p>
        </w:tc>
      </w:tr>
      <w:tr w:rsidR="00F25110" w:rsidRPr="00BD7BB1" w:rsidTr="006614F6">
        <w:tc>
          <w:tcPr>
            <w:tcW w:w="1844" w:type="dxa"/>
            <w:tcBorders>
              <w:top w:val="single" w:sz="4" w:space="0" w:color="auto"/>
              <w:left w:val="thinThickThinSmallGap" w:sz="24" w:space="0" w:color="auto"/>
              <w:bottom w:val="thinThickThinSmallGap" w:sz="24" w:space="0" w:color="auto"/>
              <w:right w:val="single" w:sz="4" w:space="0" w:color="auto"/>
            </w:tcBorders>
            <w:shd w:val="clear" w:color="auto" w:fill="auto"/>
            <w:vAlign w:val="center"/>
          </w:tcPr>
          <w:p w:rsidR="00F25110" w:rsidRPr="00BD7BB1" w:rsidRDefault="00F25110" w:rsidP="00F25110">
            <w:pPr>
              <w:spacing w:after="0" w:line="360" w:lineRule="auto"/>
              <w:jc w:val="both"/>
              <w:rPr>
                <w:rFonts w:ascii="Times New Roman" w:eastAsia="Times New Roman" w:hAnsi="Times New Roman"/>
                <w:color w:val="auto"/>
                <w:sz w:val="20"/>
                <w:lang w:eastAsia="bg-BG"/>
              </w:rPr>
            </w:pPr>
            <w:r w:rsidRPr="00BD7BB1">
              <w:rPr>
                <w:rFonts w:ascii="Times New Roman" w:eastAsia="Times New Roman" w:hAnsi="Times New Roman"/>
                <w:color w:val="auto"/>
                <w:sz w:val="20"/>
                <w:lang w:val="bg-BG" w:eastAsia="bg-BG"/>
              </w:rPr>
              <w:t xml:space="preserve">Област </w:t>
            </w: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Ямбол</w:t>
            </w:r>
          </w:p>
        </w:tc>
        <w:tc>
          <w:tcPr>
            <w:tcW w:w="1842" w:type="dxa"/>
            <w:tcBorders>
              <w:top w:val="single" w:sz="4" w:space="0" w:color="auto"/>
              <w:left w:val="single" w:sz="4" w:space="0" w:color="auto"/>
              <w:bottom w:val="thinThickThinSmallGap" w:sz="24" w:space="0" w:color="auto"/>
              <w:right w:val="single" w:sz="4" w:space="0" w:color="auto"/>
            </w:tcBorders>
            <w:shd w:val="clear" w:color="auto" w:fill="auto"/>
            <w:vAlign w:val="center"/>
          </w:tcPr>
          <w:p w:rsidR="00F25110" w:rsidRPr="00BD7BB1" w:rsidRDefault="00F25110" w:rsidP="00F25110">
            <w:pPr>
              <w:spacing w:after="0" w:line="360" w:lineRule="auto"/>
              <w:jc w:val="right"/>
              <w:rPr>
                <w:rFonts w:ascii="Times New Roman" w:eastAsia="Times New Roman" w:hAnsi="Times New Roman"/>
                <w:iCs/>
                <w:color w:val="auto"/>
                <w:sz w:val="20"/>
                <w:lang w:val="bg-BG" w:eastAsia="bg-BG"/>
              </w:rPr>
            </w:pPr>
            <w:r w:rsidRPr="00BD7BB1">
              <w:rPr>
                <w:rFonts w:ascii="Times New Roman" w:eastAsia="Times New Roman" w:hAnsi="Times New Roman"/>
                <w:iCs/>
                <w:color w:val="auto"/>
                <w:sz w:val="20"/>
                <w:lang w:eastAsia="bg-BG"/>
              </w:rPr>
              <w:t>100</w:t>
            </w:r>
            <w:r w:rsidRPr="00BD7BB1">
              <w:rPr>
                <w:rFonts w:ascii="Times New Roman" w:eastAsia="Times New Roman" w:hAnsi="Times New Roman"/>
                <w:iCs/>
                <w:color w:val="auto"/>
                <w:sz w:val="20"/>
                <w:lang w:val="bg-BG" w:eastAsia="bg-BG"/>
              </w:rPr>
              <w:t>,0</w:t>
            </w:r>
          </w:p>
        </w:tc>
        <w:tc>
          <w:tcPr>
            <w:tcW w:w="2127" w:type="dxa"/>
            <w:tcBorders>
              <w:top w:val="single" w:sz="4" w:space="0" w:color="auto"/>
              <w:left w:val="single" w:sz="4" w:space="0" w:color="auto"/>
              <w:bottom w:val="thinThickThinSmallGap" w:sz="24" w:space="0" w:color="auto"/>
              <w:right w:val="single" w:sz="4" w:space="0" w:color="auto"/>
            </w:tcBorders>
            <w:shd w:val="clear" w:color="auto" w:fill="auto"/>
            <w:vAlign w:val="center"/>
          </w:tcPr>
          <w:p w:rsidR="00F25110" w:rsidRPr="00BD7BB1" w:rsidRDefault="00F25110" w:rsidP="00F25110">
            <w:pPr>
              <w:spacing w:after="0" w:line="36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70,3</w:t>
            </w:r>
          </w:p>
        </w:tc>
        <w:tc>
          <w:tcPr>
            <w:tcW w:w="850" w:type="dxa"/>
            <w:tcBorders>
              <w:top w:val="single" w:sz="4" w:space="0" w:color="auto"/>
              <w:left w:val="single" w:sz="4" w:space="0" w:color="auto"/>
              <w:bottom w:val="thinThickThinSmallGap" w:sz="24" w:space="0" w:color="auto"/>
              <w:right w:val="single" w:sz="4" w:space="0" w:color="auto"/>
            </w:tcBorders>
            <w:shd w:val="clear" w:color="auto" w:fill="auto"/>
            <w:vAlign w:val="center"/>
          </w:tcPr>
          <w:p w:rsidR="00F25110" w:rsidRPr="00BD7BB1" w:rsidRDefault="00F25110" w:rsidP="00F25110">
            <w:pPr>
              <w:spacing w:after="0" w:line="36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3,6</w:t>
            </w:r>
          </w:p>
        </w:tc>
        <w:tc>
          <w:tcPr>
            <w:tcW w:w="1418" w:type="dxa"/>
            <w:tcBorders>
              <w:top w:val="single" w:sz="4" w:space="0" w:color="auto"/>
              <w:left w:val="single" w:sz="4" w:space="0" w:color="auto"/>
              <w:bottom w:val="thinThickThinSmallGap" w:sz="24" w:space="0" w:color="auto"/>
              <w:right w:val="single" w:sz="4" w:space="0" w:color="auto"/>
            </w:tcBorders>
            <w:shd w:val="clear" w:color="auto" w:fill="auto"/>
            <w:vAlign w:val="center"/>
          </w:tcPr>
          <w:p w:rsidR="00F25110" w:rsidRPr="00BD7BB1" w:rsidRDefault="00F25110" w:rsidP="00F25110">
            <w:pPr>
              <w:spacing w:after="0" w:line="36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3,6</w:t>
            </w:r>
          </w:p>
        </w:tc>
        <w:tc>
          <w:tcPr>
            <w:tcW w:w="1701" w:type="dxa"/>
            <w:tcBorders>
              <w:top w:val="single" w:sz="4" w:space="0" w:color="auto"/>
              <w:left w:val="single" w:sz="4" w:space="0" w:color="auto"/>
              <w:bottom w:val="thinThickThinSmallGap" w:sz="24" w:space="0" w:color="auto"/>
              <w:right w:val="single" w:sz="4" w:space="0" w:color="auto"/>
            </w:tcBorders>
            <w:vAlign w:val="center"/>
          </w:tcPr>
          <w:p w:rsidR="00F25110" w:rsidRPr="00BD7BB1" w:rsidRDefault="00F25110" w:rsidP="00F25110">
            <w:pPr>
              <w:spacing w:after="0" w:line="36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100,0</w:t>
            </w:r>
          </w:p>
        </w:tc>
        <w:tc>
          <w:tcPr>
            <w:tcW w:w="1417" w:type="dxa"/>
            <w:tcBorders>
              <w:top w:val="single" w:sz="4" w:space="0" w:color="auto"/>
              <w:left w:val="single" w:sz="4" w:space="0" w:color="auto"/>
              <w:bottom w:val="thinThickThinSmallGap" w:sz="24" w:space="0" w:color="auto"/>
              <w:right w:val="thinThickThinSmallGap" w:sz="24" w:space="0" w:color="auto"/>
            </w:tcBorders>
            <w:shd w:val="clear" w:color="auto" w:fill="auto"/>
            <w:vAlign w:val="center"/>
          </w:tcPr>
          <w:p w:rsidR="00F25110" w:rsidRPr="00BD7BB1" w:rsidRDefault="00F25110" w:rsidP="00F25110">
            <w:pPr>
              <w:spacing w:after="0" w:line="360" w:lineRule="auto"/>
              <w:jc w:val="righ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 ( 2010г.)</w:t>
            </w:r>
          </w:p>
        </w:tc>
      </w:tr>
    </w:tbl>
    <w:p w:rsidR="00F25110" w:rsidRPr="007764CE" w:rsidRDefault="00F25110" w:rsidP="00F25110">
      <w:pPr>
        <w:spacing w:after="0" w:line="360" w:lineRule="auto"/>
        <w:jc w:val="both"/>
        <w:rPr>
          <w:rFonts w:ascii="Times New Roman" w:eastAsia="Times New Roman" w:hAnsi="Times New Roman"/>
          <w:b/>
          <w:i/>
          <w:color w:val="9B2D1F" w:themeColor="accent2"/>
          <w:szCs w:val="22"/>
          <w:lang w:eastAsia="bg-BG"/>
        </w:rPr>
      </w:pPr>
      <w:r w:rsidRPr="007764CE">
        <w:rPr>
          <w:rFonts w:ascii="Times New Roman" w:eastAsia="Times New Roman" w:hAnsi="Times New Roman"/>
          <w:b/>
          <w:i/>
          <w:color w:val="9B2D1F" w:themeColor="accent2"/>
          <w:szCs w:val="22"/>
          <w:lang w:val="bg-BG" w:eastAsia="bg-BG"/>
        </w:rPr>
        <w:t>Източник: Национален статистически институт</w:t>
      </w:r>
    </w:p>
    <w:p w:rsidR="00F25110" w:rsidRPr="007764CE" w:rsidRDefault="00F25110" w:rsidP="00F25110">
      <w:pPr>
        <w:spacing w:after="0" w:line="360" w:lineRule="auto"/>
        <w:jc w:val="both"/>
        <w:rPr>
          <w:rFonts w:ascii="Times New Roman" w:eastAsia="Times New Roman" w:hAnsi="Times New Roman"/>
          <w:b/>
          <w:i/>
          <w:color w:val="9B2D1F" w:themeColor="accent2"/>
          <w:szCs w:val="22"/>
          <w:lang w:val="bg-BG" w:eastAsia="bg-BG"/>
        </w:rPr>
      </w:pP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Към 31.12.2013 г</w:t>
      </w:r>
      <w:r w:rsidRPr="00BD7BB1">
        <w:rPr>
          <w:rFonts w:ascii="Times New Roman" w:eastAsia="Times New Roman" w:hAnsi="Times New Roman"/>
          <w:i/>
          <w:color w:val="auto"/>
          <w:sz w:val="24"/>
          <w:szCs w:val="24"/>
          <w:lang w:val="bg-BG" w:eastAsia="bg-BG"/>
        </w:rPr>
        <w:t xml:space="preserve">. </w:t>
      </w:r>
      <w:r w:rsidRPr="00BD7BB1">
        <w:rPr>
          <w:rFonts w:ascii="Times New Roman" w:eastAsia="Times New Roman" w:hAnsi="Times New Roman"/>
          <w:b/>
          <w:i/>
          <w:color w:val="auto"/>
          <w:sz w:val="24"/>
          <w:szCs w:val="24"/>
          <w:lang w:val="bg-BG" w:eastAsia="bg-BG"/>
        </w:rPr>
        <w:t xml:space="preserve">разходите за опазване на околната среда </w:t>
      </w:r>
      <w:r w:rsidRPr="00BD7BB1">
        <w:rPr>
          <w:rFonts w:ascii="Times New Roman" w:eastAsia="Times New Roman" w:hAnsi="Times New Roman"/>
          <w:color w:val="auto"/>
          <w:sz w:val="24"/>
          <w:szCs w:val="24"/>
          <w:lang w:val="bg-BG" w:eastAsia="bg-BG"/>
        </w:rPr>
        <w:t xml:space="preserve"> за ЮИР възлизат на  442 147 хил.лв. или 21,07 % от общите за страната (2 098 906 хил. лв), изпреварван </w:t>
      </w:r>
      <w:r w:rsidRPr="00BD7BB1">
        <w:rPr>
          <w:rFonts w:ascii="Times New Roman" w:eastAsia="Times New Roman" w:hAnsi="Times New Roman"/>
          <w:color w:val="auto"/>
          <w:sz w:val="24"/>
          <w:szCs w:val="24"/>
          <w:lang w:val="bg-BG" w:eastAsia="bg-BG"/>
        </w:rPr>
        <w:lastRenderedPageBreak/>
        <w:t xml:space="preserve">единствено, но значително  от ЮЗР  с общ размер - 789 588 хил.лв. или 37,62% от общите за страната. Във вътрешно регионален аспект най-много разходи са направени в областите  Бургас (319 630 хил. лв) или 72 % и Стара Загора ( 86 246 хил. лв) с 19 % дял. Значително по-малки са </w:t>
      </w:r>
      <w:r w:rsidRPr="00BD7BB1">
        <w:rPr>
          <w:rFonts w:ascii="Times New Roman" w:eastAsia="Times New Roman" w:hAnsi="Times New Roman"/>
          <w:b/>
          <w:i/>
          <w:color w:val="auto"/>
          <w:sz w:val="24"/>
          <w:szCs w:val="24"/>
          <w:lang w:val="bg-BG" w:eastAsia="bg-BG"/>
        </w:rPr>
        <w:t xml:space="preserve">разходите за опазване на околната среда </w:t>
      </w:r>
      <w:r w:rsidRPr="00BD7BB1">
        <w:rPr>
          <w:rFonts w:ascii="Times New Roman" w:eastAsia="Times New Roman" w:hAnsi="Times New Roman"/>
          <w:color w:val="auto"/>
          <w:sz w:val="24"/>
          <w:szCs w:val="24"/>
          <w:lang w:val="bg-BG" w:eastAsia="bg-BG"/>
        </w:rPr>
        <w:t xml:space="preserve"> в областите Сливен (19 977 хил. лв) с 5%  и Ямбол (16 294 хил. лв) с 4 %. Разходите за опазване на околната  среда в страната за периода 2007-2013 г. са се увеличили с 75,3 %, за ЮИР с 79,23 %. </w:t>
      </w:r>
    </w:p>
    <w:p w:rsidR="00F25110" w:rsidRPr="00BD7BB1" w:rsidRDefault="00F25110" w:rsidP="00F25110">
      <w:pPr>
        <w:spacing w:after="0" w:line="360" w:lineRule="auto"/>
        <w:jc w:val="both"/>
        <w:rPr>
          <w:rFonts w:ascii="Times New Roman" w:eastAsia="Times New Roman" w:hAnsi="Times New Roman"/>
          <w:b/>
          <w:i/>
          <w:color w:val="auto"/>
          <w:sz w:val="24"/>
          <w:szCs w:val="24"/>
          <w:lang w:val="bg-BG" w:eastAsia="bg-BG"/>
        </w:rPr>
      </w:pPr>
    </w:p>
    <w:p w:rsidR="00F25110" w:rsidRPr="00BD7BB1" w:rsidRDefault="00F25110" w:rsidP="00F25110">
      <w:pPr>
        <w:spacing w:after="0" w:line="360" w:lineRule="auto"/>
        <w:jc w:val="both"/>
        <w:rPr>
          <w:rFonts w:ascii="Times New Roman" w:eastAsia="Times New Roman" w:hAnsi="Times New Roman"/>
          <w:b/>
          <w:i/>
          <w:color w:val="auto"/>
          <w:sz w:val="24"/>
          <w:szCs w:val="24"/>
          <w:lang w:eastAsia="bg-BG"/>
        </w:rPr>
      </w:pPr>
    </w:p>
    <w:p w:rsidR="00F25110" w:rsidRPr="007764CE" w:rsidRDefault="00F25110" w:rsidP="00F25110">
      <w:pPr>
        <w:spacing w:after="0" w:line="360" w:lineRule="auto"/>
        <w:jc w:val="both"/>
        <w:rPr>
          <w:rFonts w:ascii="Times New Roman" w:eastAsia="Times New Roman" w:hAnsi="Times New Roman"/>
          <w:b/>
          <w:bCs/>
          <w:color w:val="auto"/>
          <w:szCs w:val="22"/>
          <w:lang w:val="bg-BG" w:eastAsia="bg-BG"/>
        </w:rPr>
      </w:pPr>
      <w:r w:rsidRPr="007764CE">
        <w:rPr>
          <w:rFonts w:ascii="Times New Roman" w:eastAsia="Times New Roman" w:hAnsi="Times New Roman"/>
          <w:b/>
          <w:i/>
          <w:color w:val="9B2D1F" w:themeColor="accent2"/>
          <w:sz w:val="24"/>
          <w:szCs w:val="24"/>
          <w:lang w:val="bg-BG" w:eastAsia="bg-BG"/>
        </w:rPr>
        <w:t>Таблица 1</w:t>
      </w:r>
      <w:r w:rsidR="007764CE" w:rsidRPr="007764CE">
        <w:rPr>
          <w:rFonts w:ascii="Times New Roman" w:eastAsia="Times New Roman" w:hAnsi="Times New Roman"/>
          <w:b/>
          <w:i/>
          <w:color w:val="9B2D1F" w:themeColor="accent2"/>
          <w:sz w:val="24"/>
          <w:szCs w:val="24"/>
          <w:lang w:val="bg-BG" w:eastAsia="bg-BG"/>
        </w:rPr>
        <w:t>1</w:t>
      </w:r>
      <w:r w:rsidRPr="007764CE">
        <w:rPr>
          <w:rFonts w:ascii="Times New Roman" w:eastAsia="Times New Roman" w:hAnsi="Times New Roman"/>
          <w:b/>
          <w:i/>
          <w:color w:val="9B2D1F" w:themeColor="accent2"/>
          <w:sz w:val="24"/>
          <w:szCs w:val="24"/>
          <w:lang w:val="bg-BG" w:eastAsia="bg-BG"/>
        </w:rPr>
        <w:t>.</w:t>
      </w:r>
      <w:r w:rsidRPr="007764CE">
        <w:rPr>
          <w:rFonts w:ascii="Times New Roman" w:eastAsia="Times New Roman" w:hAnsi="Times New Roman"/>
          <w:color w:val="9B2D1F" w:themeColor="accent2"/>
          <w:sz w:val="24"/>
          <w:szCs w:val="24"/>
          <w:lang w:val="bg-BG" w:eastAsia="bg-BG"/>
        </w:rPr>
        <w:t xml:space="preserve"> </w:t>
      </w:r>
      <w:r w:rsidRPr="007764CE">
        <w:rPr>
          <w:rFonts w:ascii="Times New Roman" w:eastAsia="Times New Roman" w:hAnsi="Times New Roman"/>
          <w:b/>
          <w:i/>
          <w:color w:val="9B2D1F" w:themeColor="accent2"/>
          <w:sz w:val="24"/>
          <w:szCs w:val="24"/>
          <w:lang w:val="bg-BG" w:eastAsia="bg-BG"/>
        </w:rPr>
        <w:t xml:space="preserve">Разходи за опазване и възстановяване на околната среда 2007-2013 г.                                                                                                               (в хил. лв)     </w:t>
      </w:r>
      <w:r w:rsidRPr="007764CE">
        <w:rPr>
          <w:rFonts w:ascii="Times New Roman" w:eastAsia="Times New Roman" w:hAnsi="Times New Roman"/>
          <w:b/>
          <w:bCs/>
          <w:color w:val="auto"/>
          <w:szCs w:val="22"/>
          <w:lang w:val="bg-BG" w:eastAsia="bg-BG"/>
        </w:rPr>
        <w:t xml:space="preserve">            </w:t>
      </w:r>
    </w:p>
    <w:tbl>
      <w:tblPr>
        <w:tblW w:w="10982" w:type="dxa"/>
        <w:tblInd w:w="-459" w:type="dxa"/>
        <w:tblBorders>
          <w:top w:val="thinThickMediumGap" w:sz="24" w:space="0" w:color="auto"/>
          <w:left w:val="thinThickMediumGap" w:sz="24" w:space="0" w:color="auto"/>
          <w:bottom w:val="thinThickMediumGap" w:sz="24" w:space="0" w:color="auto"/>
          <w:right w:val="thinThickMediumGap" w:sz="24" w:space="0" w:color="auto"/>
          <w:insideH w:val="single" w:sz="8" w:space="0" w:color="969696"/>
          <w:insideV w:val="single" w:sz="8" w:space="0" w:color="969696"/>
        </w:tblBorders>
        <w:tblLook w:val="0000" w:firstRow="0" w:lastRow="0" w:firstColumn="0" w:lastColumn="0" w:noHBand="0" w:noVBand="0"/>
      </w:tblPr>
      <w:tblGrid>
        <w:gridCol w:w="2694"/>
        <w:gridCol w:w="1134"/>
        <w:gridCol w:w="1134"/>
        <w:gridCol w:w="1134"/>
        <w:gridCol w:w="1134"/>
        <w:gridCol w:w="1417"/>
        <w:gridCol w:w="1135"/>
        <w:gridCol w:w="1200"/>
      </w:tblGrid>
      <w:tr w:rsidR="00F25110" w:rsidRPr="00BD7BB1" w:rsidTr="006614F6">
        <w:trPr>
          <w:trHeight w:val="570"/>
        </w:trPr>
        <w:tc>
          <w:tcPr>
            <w:tcW w:w="2694" w:type="dxa"/>
            <w:tcBorders>
              <w:top w:val="thinThickMediumGap" w:sz="24" w:space="0" w:color="auto"/>
              <w:bottom w:val="single" w:sz="12" w:space="0" w:color="969696"/>
              <w:right w:val="single" w:sz="4" w:space="0" w:color="auto"/>
            </w:tcBorders>
            <w:shd w:val="clear" w:color="auto" w:fill="FFFFFF"/>
            <w:vAlign w:val="bottom"/>
          </w:tcPr>
          <w:p w:rsidR="00F25110" w:rsidRPr="00BD7BB1" w:rsidRDefault="00F25110" w:rsidP="00F25110">
            <w:pPr>
              <w:spacing w:after="0" w:line="360" w:lineRule="auto"/>
              <w:jc w:val="both"/>
              <w:rPr>
                <w:rFonts w:ascii="Times New Roman" w:eastAsia="Times New Roman" w:hAnsi="Times New Roman"/>
                <w:b/>
                <w:bCs/>
                <w:color w:val="auto"/>
                <w:szCs w:val="22"/>
                <w:lang w:val="bg-BG" w:eastAsia="bg-BG"/>
              </w:rPr>
            </w:pPr>
            <w:r w:rsidRPr="00BD7BB1">
              <w:rPr>
                <w:rFonts w:ascii="Times New Roman" w:eastAsia="Times New Roman" w:hAnsi="Times New Roman"/>
                <w:b/>
                <w:bCs/>
                <w:color w:val="auto"/>
                <w:szCs w:val="22"/>
                <w:lang w:val="bg-BG" w:eastAsia="bg-BG"/>
              </w:rPr>
              <w:t>Район, област</w:t>
            </w:r>
          </w:p>
        </w:tc>
        <w:tc>
          <w:tcPr>
            <w:tcW w:w="1134" w:type="dxa"/>
            <w:tcBorders>
              <w:top w:val="thinThickMediumGap" w:sz="24" w:space="0" w:color="auto"/>
              <w:left w:val="single" w:sz="4" w:space="0" w:color="auto"/>
              <w:bottom w:val="single" w:sz="12" w:space="0" w:color="969696"/>
              <w:right w:val="single" w:sz="4" w:space="0" w:color="auto"/>
            </w:tcBorders>
            <w:shd w:val="clear" w:color="auto" w:fill="FFFFFF"/>
            <w:vAlign w:val="bottom"/>
          </w:tcPr>
          <w:p w:rsidR="00F25110" w:rsidRPr="00BD7BB1" w:rsidRDefault="00F25110" w:rsidP="00F25110">
            <w:pPr>
              <w:spacing w:after="0" w:line="360" w:lineRule="auto"/>
              <w:jc w:val="both"/>
              <w:rPr>
                <w:rFonts w:ascii="Times New Roman" w:eastAsia="Times New Roman" w:hAnsi="Times New Roman"/>
                <w:b/>
                <w:bCs/>
                <w:color w:val="auto"/>
                <w:szCs w:val="22"/>
                <w:lang w:val="bg-BG" w:eastAsia="bg-BG"/>
              </w:rPr>
            </w:pPr>
            <w:r w:rsidRPr="00BD7BB1">
              <w:rPr>
                <w:rFonts w:ascii="Times New Roman" w:eastAsia="Times New Roman" w:hAnsi="Times New Roman"/>
                <w:b/>
                <w:bCs/>
                <w:color w:val="auto"/>
                <w:szCs w:val="22"/>
                <w:lang w:val="bg-BG" w:eastAsia="bg-BG"/>
              </w:rPr>
              <w:t>2007 г.</w:t>
            </w:r>
          </w:p>
        </w:tc>
        <w:tc>
          <w:tcPr>
            <w:tcW w:w="1134" w:type="dxa"/>
            <w:tcBorders>
              <w:top w:val="thinThickMediumGap" w:sz="24" w:space="0" w:color="auto"/>
              <w:left w:val="single" w:sz="4" w:space="0" w:color="auto"/>
              <w:bottom w:val="single" w:sz="12" w:space="0" w:color="969696"/>
              <w:right w:val="single" w:sz="4" w:space="0" w:color="auto"/>
            </w:tcBorders>
            <w:shd w:val="clear" w:color="auto" w:fill="FFFFFF"/>
            <w:vAlign w:val="bottom"/>
          </w:tcPr>
          <w:p w:rsidR="00F25110" w:rsidRPr="00BD7BB1" w:rsidRDefault="00F25110" w:rsidP="00F25110">
            <w:pPr>
              <w:spacing w:after="0" w:line="360" w:lineRule="auto"/>
              <w:jc w:val="both"/>
              <w:rPr>
                <w:rFonts w:ascii="Times New Roman" w:eastAsia="Times New Roman" w:hAnsi="Times New Roman"/>
                <w:b/>
                <w:bCs/>
                <w:color w:val="auto"/>
                <w:szCs w:val="22"/>
                <w:lang w:val="bg-BG" w:eastAsia="bg-BG"/>
              </w:rPr>
            </w:pPr>
            <w:r w:rsidRPr="00BD7BB1">
              <w:rPr>
                <w:rFonts w:ascii="Times New Roman" w:eastAsia="Times New Roman" w:hAnsi="Times New Roman"/>
                <w:b/>
                <w:bCs/>
                <w:color w:val="auto"/>
                <w:szCs w:val="22"/>
                <w:lang w:val="bg-BG" w:eastAsia="bg-BG"/>
              </w:rPr>
              <w:t>2008 г.</w:t>
            </w:r>
          </w:p>
        </w:tc>
        <w:tc>
          <w:tcPr>
            <w:tcW w:w="1134" w:type="dxa"/>
            <w:tcBorders>
              <w:top w:val="thinThickMediumGap" w:sz="24" w:space="0" w:color="auto"/>
              <w:left w:val="single" w:sz="4" w:space="0" w:color="auto"/>
              <w:bottom w:val="single" w:sz="12" w:space="0" w:color="969696"/>
              <w:right w:val="single" w:sz="8" w:space="0" w:color="auto"/>
            </w:tcBorders>
            <w:shd w:val="clear" w:color="auto" w:fill="FFFFFF"/>
            <w:vAlign w:val="bottom"/>
          </w:tcPr>
          <w:p w:rsidR="00F25110" w:rsidRPr="00BD7BB1" w:rsidRDefault="00F25110" w:rsidP="00F25110">
            <w:pPr>
              <w:spacing w:after="0" w:line="360" w:lineRule="auto"/>
              <w:jc w:val="both"/>
              <w:rPr>
                <w:rFonts w:ascii="Times New Roman" w:eastAsia="Times New Roman" w:hAnsi="Times New Roman"/>
                <w:b/>
                <w:bCs/>
                <w:color w:val="auto"/>
                <w:szCs w:val="22"/>
                <w:lang w:val="bg-BG" w:eastAsia="bg-BG"/>
              </w:rPr>
            </w:pPr>
            <w:r w:rsidRPr="00BD7BB1">
              <w:rPr>
                <w:rFonts w:ascii="Times New Roman" w:eastAsia="Times New Roman" w:hAnsi="Times New Roman"/>
                <w:b/>
                <w:bCs/>
                <w:color w:val="auto"/>
                <w:szCs w:val="22"/>
                <w:lang w:val="bg-BG" w:eastAsia="bg-BG"/>
              </w:rPr>
              <w:t>2009 г.</w:t>
            </w:r>
          </w:p>
        </w:tc>
        <w:tc>
          <w:tcPr>
            <w:tcW w:w="1134" w:type="dxa"/>
            <w:tcBorders>
              <w:top w:val="thinThickMediumGap" w:sz="24" w:space="0" w:color="auto"/>
              <w:bottom w:val="single" w:sz="12" w:space="0" w:color="969696"/>
              <w:right w:val="single" w:sz="4" w:space="0" w:color="auto"/>
            </w:tcBorders>
            <w:shd w:val="clear" w:color="auto" w:fill="FFFFFF"/>
            <w:vAlign w:val="bottom"/>
          </w:tcPr>
          <w:p w:rsidR="00F25110" w:rsidRPr="00BD7BB1" w:rsidRDefault="00F25110" w:rsidP="00F25110">
            <w:pPr>
              <w:spacing w:after="0" w:line="360" w:lineRule="auto"/>
              <w:jc w:val="both"/>
              <w:rPr>
                <w:rFonts w:ascii="Times New Roman" w:eastAsia="Times New Roman" w:hAnsi="Times New Roman"/>
                <w:color w:val="auto"/>
                <w:szCs w:val="22"/>
                <w:lang w:val="bg-BG" w:eastAsia="bg-BG"/>
              </w:rPr>
            </w:pPr>
            <w:r w:rsidRPr="00BD7BB1">
              <w:rPr>
                <w:rFonts w:ascii="Times New Roman" w:eastAsia="Times New Roman" w:hAnsi="Times New Roman"/>
                <w:b/>
                <w:bCs/>
                <w:color w:val="auto"/>
                <w:szCs w:val="22"/>
                <w:lang w:val="bg-BG" w:eastAsia="bg-BG"/>
              </w:rPr>
              <w:t>2010 г.</w:t>
            </w:r>
          </w:p>
        </w:tc>
        <w:tc>
          <w:tcPr>
            <w:tcW w:w="1417" w:type="dxa"/>
            <w:tcBorders>
              <w:top w:val="thinThickMediumGap" w:sz="24" w:space="0" w:color="auto"/>
              <w:bottom w:val="single" w:sz="12" w:space="0" w:color="969696"/>
              <w:right w:val="single" w:sz="4" w:space="0" w:color="auto"/>
            </w:tcBorders>
            <w:shd w:val="clear" w:color="auto" w:fill="FFFFFF"/>
            <w:vAlign w:val="bottom"/>
          </w:tcPr>
          <w:p w:rsidR="00F25110" w:rsidRPr="00BD7BB1" w:rsidRDefault="00F25110" w:rsidP="00F25110">
            <w:pPr>
              <w:spacing w:after="0" w:line="360" w:lineRule="auto"/>
              <w:jc w:val="both"/>
              <w:rPr>
                <w:rFonts w:ascii="Times New Roman" w:eastAsia="Times New Roman" w:hAnsi="Times New Roman"/>
                <w:b/>
                <w:bCs/>
                <w:color w:val="auto"/>
                <w:szCs w:val="22"/>
                <w:lang w:val="bg-BG" w:eastAsia="bg-BG"/>
              </w:rPr>
            </w:pPr>
            <w:r w:rsidRPr="00BD7BB1">
              <w:rPr>
                <w:rFonts w:ascii="Times New Roman" w:eastAsia="Times New Roman" w:hAnsi="Times New Roman"/>
                <w:b/>
                <w:bCs/>
                <w:color w:val="auto"/>
                <w:szCs w:val="22"/>
                <w:lang w:val="bg-BG" w:eastAsia="bg-BG"/>
              </w:rPr>
              <w:t xml:space="preserve"> 2011 г. </w:t>
            </w:r>
          </w:p>
        </w:tc>
        <w:tc>
          <w:tcPr>
            <w:tcW w:w="1135" w:type="dxa"/>
            <w:tcBorders>
              <w:top w:val="thinThickMediumGap" w:sz="24" w:space="0" w:color="auto"/>
              <w:bottom w:val="single" w:sz="12" w:space="0" w:color="969696"/>
              <w:right w:val="single" w:sz="4" w:space="0" w:color="auto"/>
            </w:tcBorders>
            <w:shd w:val="clear" w:color="auto" w:fill="FFFFFF"/>
            <w:vAlign w:val="bottom"/>
          </w:tcPr>
          <w:p w:rsidR="00F25110" w:rsidRPr="00BD7BB1" w:rsidRDefault="00F25110" w:rsidP="00F25110">
            <w:pPr>
              <w:spacing w:after="0" w:line="360" w:lineRule="auto"/>
              <w:jc w:val="both"/>
              <w:rPr>
                <w:rFonts w:ascii="Times New Roman" w:eastAsia="Times New Roman" w:hAnsi="Times New Roman"/>
                <w:b/>
                <w:bCs/>
                <w:color w:val="auto"/>
                <w:szCs w:val="22"/>
                <w:lang w:val="bg-BG" w:eastAsia="bg-BG"/>
              </w:rPr>
            </w:pPr>
            <w:r w:rsidRPr="00BD7BB1">
              <w:rPr>
                <w:rFonts w:ascii="Times New Roman" w:eastAsia="Times New Roman" w:hAnsi="Times New Roman"/>
                <w:b/>
                <w:bCs/>
                <w:color w:val="auto"/>
                <w:szCs w:val="22"/>
                <w:lang w:val="bg-BG" w:eastAsia="bg-BG"/>
              </w:rPr>
              <w:t>2012 г.</w:t>
            </w:r>
          </w:p>
        </w:tc>
        <w:tc>
          <w:tcPr>
            <w:tcW w:w="1200" w:type="dxa"/>
            <w:tcBorders>
              <w:top w:val="thinThickMediumGap" w:sz="24" w:space="0" w:color="auto"/>
              <w:left w:val="single" w:sz="4" w:space="0" w:color="auto"/>
              <w:bottom w:val="single" w:sz="12" w:space="0" w:color="969696"/>
              <w:right w:val="thinThickMediumGap" w:sz="24" w:space="0" w:color="auto"/>
            </w:tcBorders>
            <w:shd w:val="clear" w:color="auto" w:fill="FFFFFF"/>
            <w:vAlign w:val="bottom"/>
          </w:tcPr>
          <w:p w:rsidR="00F25110" w:rsidRPr="00BD7BB1" w:rsidRDefault="00F25110" w:rsidP="00F25110">
            <w:pPr>
              <w:spacing w:after="0" w:line="360" w:lineRule="auto"/>
              <w:jc w:val="both"/>
              <w:rPr>
                <w:rFonts w:ascii="Times New Roman" w:eastAsia="Times New Roman" w:hAnsi="Times New Roman"/>
                <w:b/>
                <w:bCs/>
                <w:color w:val="auto"/>
                <w:szCs w:val="22"/>
                <w:lang w:val="bg-BG" w:eastAsia="bg-BG"/>
              </w:rPr>
            </w:pPr>
            <w:r w:rsidRPr="00BD7BB1">
              <w:rPr>
                <w:rFonts w:ascii="Times New Roman" w:eastAsia="Times New Roman" w:hAnsi="Times New Roman"/>
                <w:b/>
                <w:bCs/>
                <w:color w:val="auto"/>
                <w:szCs w:val="22"/>
                <w:lang w:val="bg-BG" w:eastAsia="bg-BG"/>
              </w:rPr>
              <w:t>2013 г.</w:t>
            </w:r>
          </w:p>
        </w:tc>
      </w:tr>
      <w:tr w:rsidR="007764CE" w:rsidRPr="00BD7BB1" w:rsidTr="007764CE">
        <w:trPr>
          <w:trHeight w:val="225"/>
        </w:trPr>
        <w:tc>
          <w:tcPr>
            <w:tcW w:w="2694" w:type="dxa"/>
            <w:tcBorders>
              <w:top w:val="single" w:sz="12" w:space="0" w:color="969696"/>
              <w:bottom w:val="double" w:sz="4" w:space="0" w:color="auto"/>
              <w:right w:val="single" w:sz="4" w:space="0" w:color="auto"/>
            </w:tcBorders>
            <w:shd w:val="clear" w:color="auto" w:fill="F4B29B" w:themeFill="accent1" w:themeFillTint="66"/>
            <w:vAlign w:val="bottom"/>
          </w:tcPr>
          <w:p w:rsidR="00F25110" w:rsidRPr="007764CE" w:rsidRDefault="00F25110" w:rsidP="00F25110">
            <w:pPr>
              <w:spacing w:after="0" w:line="360" w:lineRule="auto"/>
              <w:jc w:val="both"/>
              <w:rPr>
                <w:rFonts w:ascii="Times New Roman" w:eastAsia="Times New Roman" w:hAnsi="Times New Roman"/>
                <w:bCs/>
                <w:color w:val="9B2D1F" w:themeColor="accent2"/>
                <w:szCs w:val="22"/>
                <w:lang w:val="bg-BG" w:eastAsia="bg-BG"/>
              </w:rPr>
            </w:pPr>
            <w:r w:rsidRPr="007764CE">
              <w:rPr>
                <w:rFonts w:ascii="Times New Roman" w:eastAsia="Times New Roman" w:hAnsi="Times New Roman"/>
                <w:bCs/>
                <w:color w:val="9B2D1F" w:themeColor="accent2"/>
                <w:szCs w:val="22"/>
                <w:lang w:val="bg-BG" w:eastAsia="bg-BG"/>
              </w:rPr>
              <w:t>БЪЛГАРИЯ</w:t>
            </w:r>
          </w:p>
        </w:tc>
        <w:tc>
          <w:tcPr>
            <w:tcW w:w="1134" w:type="dxa"/>
            <w:tcBorders>
              <w:top w:val="single" w:sz="12" w:space="0" w:color="969696"/>
              <w:left w:val="single" w:sz="4" w:space="0" w:color="auto"/>
              <w:bottom w:val="double" w:sz="4" w:space="0" w:color="auto"/>
              <w:right w:val="single" w:sz="4" w:space="0" w:color="auto"/>
            </w:tcBorders>
            <w:shd w:val="clear" w:color="auto" w:fill="F4B29B" w:themeFill="accent1" w:themeFillTint="66"/>
            <w:noWrap/>
            <w:vAlign w:val="bottom"/>
          </w:tcPr>
          <w:p w:rsidR="00F25110" w:rsidRPr="007764CE" w:rsidRDefault="00F25110" w:rsidP="00F25110">
            <w:pPr>
              <w:spacing w:after="0" w:line="360" w:lineRule="auto"/>
              <w:jc w:val="right"/>
              <w:rPr>
                <w:rFonts w:ascii="Times New Roman" w:eastAsia="Times New Roman" w:hAnsi="Times New Roman"/>
                <w:bCs/>
                <w:color w:val="9B2D1F" w:themeColor="accent2"/>
                <w:szCs w:val="22"/>
                <w:lang w:val="bg-BG" w:eastAsia="bg-BG"/>
              </w:rPr>
            </w:pPr>
            <w:r w:rsidRPr="007764CE">
              <w:rPr>
                <w:rFonts w:ascii="Times New Roman" w:eastAsia="Times New Roman" w:hAnsi="Times New Roman"/>
                <w:bCs/>
                <w:color w:val="9B2D1F" w:themeColor="accent2"/>
                <w:szCs w:val="22"/>
                <w:lang w:val="bg-BG" w:eastAsia="bg-BG"/>
              </w:rPr>
              <w:t>1 197 422</w:t>
            </w:r>
          </w:p>
        </w:tc>
        <w:tc>
          <w:tcPr>
            <w:tcW w:w="1134" w:type="dxa"/>
            <w:tcBorders>
              <w:top w:val="single" w:sz="12" w:space="0" w:color="969696"/>
              <w:left w:val="single" w:sz="4" w:space="0" w:color="auto"/>
              <w:bottom w:val="double" w:sz="4" w:space="0" w:color="auto"/>
              <w:right w:val="single" w:sz="4" w:space="0" w:color="auto"/>
            </w:tcBorders>
            <w:shd w:val="clear" w:color="auto" w:fill="F4B29B" w:themeFill="accent1" w:themeFillTint="66"/>
            <w:noWrap/>
            <w:vAlign w:val="bottom"/>
          </w:tcPr>
          <w:p w:rsidR="00F25110" w:rsidRPr="007764CE" w:rsidRDefault="00F25110" w:rsidP="00F25110">
            <w:pPr>
              <w:spacing w:after="0" w:line="360" w:lineRule="auto"/>
              <w:jc w:val="right"/>
              <w:rPr>
                <w:rFonts w:ascii="Times New Roman" w:eastAsia="Times New Roman" w:hAnsi="Times New Roman"/>
                <w:bCs/>
                <w:color w:val="9B2D1F" w:themeColor="accent2"/>
                <w:szCs w:val="22"/>
                <w:lang w:val="bg-BG" w:eastAsia="bg-BG"/>
              </w:rPr>
            </w:pPr>
            <w:r w:rsidRPr="007764CE">
              <w:rPr>
                <w:rFonts w:ascii="Times New Roman" w:eastAsia="Times New Roman" w:hAnsi="Times New Roman"/>
                <w:bCs/>
                <w:color w:val="9B2D1F" w:themeColor="accent2"/>
                <w:szCs w:val="22"/>
                <w:lang w:val="bg-BG" w:eastAsia="bg-BG"/>
              </w:rPr>
              <w:t>1 700 329</w:t>
            </w:r>
          </w:p>
        </w:tc>
        <w:tc>
          <w:tcPr>
            <w:tcW w:w="1134" w:type="dxa"/>
            <w:tcBorders>
              <w:top w:val="single" w:sz="12" w:space="0" w:color="969696"/>
              <w:left w:val="single" w:sz="4" w:space="0" w:color="auto"/>
              <w:bottom w:val="double" w:sz="4" w:space="0" w:color="auto"/>
              <w:right w:val="single" w:sz="8" w:space="0" w:color="auto"/>
            </w:tcBorders>
            <w:shd w:val="clear" w:color="auto" w:fill="F4B29B" w:themeFill="accent1" w:themeFillTint="66"/>
            <w:noWrap/>
            <w:vAlign w:val="bottom"/>
          </w:tcPr>
          <w:p w:rsidR="00F25110" w:rsidRPr="007764CE" w:rsidRDefault="00F25110" w:rsidP="00F25110">
            <w:pPr>
              <w:spacing w:after="0" w:line="360" w:lineRule="auto"/>
              <w:jc w:val="right"/>
              <w:rPr>
                <w:rFonts w:ascii="Times New Roman" w:eastAsia="Times New Roman" w:hAnsi="Times New Roman"/>
                <w:bCs/>
                <w:color w:val="9B2D1F" w:themeColor="accent2"/>
                <w:szCs w:val="22"/>
                <w:lang w:val="bg-BG" w:eastAsia="bg-BG"/>
              </w:rPr>
            </w:pPr>
            <w:r w:rsidRPr="007764CE">
              <w:rPr>
                <w:rFonts w:ascii="Times New Roman" w:eastAsia="Times New Roman" w:hAnsi="Times New Roman"/>
                <w:bCs/>
                <w:color w:val="9B2D1F" w:themeColor="accent2"/>
                <w:szCs w:val="22"/>
                <w:lang w:val="bg-BG" w:eastAsia="bg-BG"/>
              </w:rPr>
              <w:t>1 280 563</w:t>
            </w:r>
          </w:p>
        </w:tc>
        <w:tc>
          <w:tcPr>
            <w:tcW w:w="1134" w:type="dxa"/>
            <w:tcBorders>
              <w:top w:val="single" w:sz="12" w:space="0" w:color="969696"/>
              <w:bottom w:val="double" w:sz="4" w:space="0" w:color="auto"/>
              <w:right w:val="single" w:sz="4" w:space="0" w:color="auto"/>
            </w:tcBorders>
            <w:shd w:val="clear" w:color="auto" w:fill="F4B29B" w:themeFill="accent1" w:themeFillTint="66"/>
            <w:vAlign w:val="bottom"/>
          </w:tcPr>
          <w:p w:rsidR="00F25110" w:rsidRPr="007764CE" w:rsidRDefault="00F25110" w:rsidP="00F25110">
            <w:pPr>
              <w:spacing w:after="0" w:line="360" w:lineRule="auto"/>
              <w:jc w:val="right"/>
              <w:rPr>
                <w:rFonts w:ascii="Times New Roman" w:eastAsia="Times New Roman" w:hAnsi="Times New Roman"/>
                <w:color w:val="9B2D1F" w:themeColor="accent2"/>
                <w:szCs w:val="22"/>
                <w:lang w:val="bg-BG" w:eastAsia="bg-BG"/>
              </w:rPr>
            </w:pPr>
            <w:r w:rsidRPr="007764CE">
              <w:rPr>
                <w:rFonts w:ascii="Times New Roman" w:eastAsia="Times New Roman" w:hAnsi="Times New Roman"/>
                <w:color w:val="9B2D1F" w:themeColor="accent2"/>
                <w:szCs w:val="22"/>
                <w:lang w:val="bg-BG" w:eastAsia="bg-BG"/>
              </w:rPr>
              <w:t>1 273 777</w:t>
            </w:r>
          </w:p>
        </w:tc>
        <w:tc>
          <w:tcPr>
            <w:tcW w:w="1417" w:type="dxa"/>
            <w:tcBorders>
              <w:top w:val="single" w:sz="12" w:space="0" w:color="969696"/>
              <w:bottom w:val="double" w:sz="4" w:space="0" w:color="auto"/>
              <w:right w:val="single" w:sz="4" w:space="0" w:color="auto"/>
            </w:tcBorders>
            <w:shd w:val="clear" w:color="auto" w:fill="F4B29B" w:themeFill="accent1" w:themeFillTint="66"/>
            <w:vAlign w:val="bottom"/>
          </w:tcPr>
          <w:p w:rsidR="00F25110" w:rsidRPr="007764CE" w:rsidRDefault="00F25110" w:rsidP="00F25110">
            <w:pPr>
              <w:spacing w:after="0" w:line="360" w:lineRule="auto"/>
              <w:jc w:val="right"/>
              <w:rPr>
                <w:rFonts w:ascii="Times New Roman" w:eastAsia="Times New Roman" w:hAnsi="Times New Roman"/>
                <w:bCs/>
                <w:color w:val="9B2D1F" w:themeColor="accent2"/>
                <w:szCs w:val="22"/>
                <w:lang w:val="bg-BG" w:eastAsia="bg-BG"/>
              </w:rPr>
            </w:pPr>
            <w:r w:rsidRPr="007764CE">
              <w:rPr>
                <w:rFonts w:ascii="Times New Roman" w:eastAsia="Times New Roman" w:hAnsi="Times New Roman"/>
                <w:bCs/>
                <w:color w:val="9B2D1F" w:themeColor="accent2"/>
                <w:szCs w:val="22"/>
                <w:lang w:val="bg-BG" w:eastAsia="bg-BG"/>
              </w:rPr>
              <w:t>1 438 165</w:t>
            </w:r>
          </w:p>
        </w:tc>
        <w:tc>
          <w:tcPr>
            <w:tcW w:w="1135" w:type="dxa"/>
            <w:tcBorders>
              <w:top w:val="single" w:sz="12" w:space="0" w:color="969696"/>
              <w:bottom w:val="double" w:sz="4" w:space="0" w:color="auto"/>
              <w:right w:val="single" w:sz="4" w:space="0" w:color="auto"/>
            </w:tcBorders>
            <w:shd w:val="clear" w:color="auto" w:fill="F4B29B" w:themeFill="accent1" w:themeFillTint="66"/>
            <w:vAlign w:val="bottom"/>
          </w:tcPr>
          <w:p w:rsidR="00F25110" w:rsidRPr="007764CE" w:rsidRDefault="00F25110" w:rsidP="00F25110">
            <w:pPr>
              <w:spacing w:after="0" w:line="360" w:lineRule="auto"/>
              <w:jc w:val="right"/>
              <w:rPr>
                <w:rFonts w:ascii="Times New Roman" w:eastAsia="Times New Roman" w:hAnsi="Times New Roman"/>
                <w:bCs/>
                <w:color w:val="9B2D1F" w:themeColor="accent2"/>
                <w:szCs w:val="22"/>
                <w:lang w:val="bg-BG" w:eastAsia="bg-BG"/>
              </w:rPr>
            </w:pPr>
            <w:r w:rsidRPr="007764CE">
              <w:rPr>
                <w:rFonts w:ascii="Times New Roman" w:eastAsia="Times New Roman" w:hAnsi="Times New Roman"/>
                <w:bCs/>
                <w:color w:val="9B2D1F" w:themeColor="accent2"/>
                <w:szCs w:val="22"/>
                <w:lang w:val="bg-BG" w:eastAsia="bg-BG"/>
              </w:rPr>
              <w:t>1 693 583</w:t>
            </w:r>
          </w:p>
        </w:tc>
        <w:tc>
          <w:tcPr>
            <w:tcW w:w="1200" w:type="dxa"/>
            <w:tcBorders>
              <w:top w:val="single" w:sz="12" w:space="0" w:color="969696"/>
              <w:left w:val="single" w:sz="4" w:space="0" w:color="auto"/>
              <w:bottom w:val="double" w:sz="4" w:space="0" w:color="auto"/>
              <w:right w:val="thinThickMediumGap" w:sz="24" w:space="0" w:color="auto"/>
            </w:tcBorders>
            <w:shd w:val="clear" w:color="auto" w:fill="F4B29B" w:themeFill="accent1" w:themeFillTint="66"/>
            <w:vAlign w:val="bottom"/>
          </w:tcPr>
          <w:p w:rsidR="00F25110" w:rsidRPr="007764CE" w:rsidRDefault="00F25110" w:rsidP="00F25110">
            <w:pPr>
              <w:spacing w:after="0" w:line="360" w:lineRule="auto"/>
              <w:jc w:val="right"/>
              <w:rPr>
                <w:rFonts w:ascii="Times New Roman" w:eastAsia="Times New Roman" w:hAnsi="Times New Roman"/>
                <w:bCs/>
                <w:color w:val="9B2D1F" w:themeColor="accent2"/>
                <w:szCs w:val="22"/>
                <w:lang w:val="bg-BG" w:eastAsia="bg-BG"/>
              </w:rPr>
            </w:pPr>
            <w:r w:rsidRPr="007764CE">
              <w:rPr>
                <w:rFonts w:ascii="Times New Roman" w:eastAsia="Times New Roman" w:hAnsi="Times New Roman"/>
                <w:bCs/>
                <w:color w:val="9B2D1F" w:themeColor="accent2"/>
                <w:szCs w:val="22"/>
                <w:lang w:val="bg-BG" w:eastAsia="bg-BG"/>
              </w:rPr>
              <w:t>2 098 906</w:t>
            </w:r>
          </w:p>
        </w:tc>
      </w:tr>
      <w:tr w:rsidR="00F25110" w:rsidRPr="00BD7BB1" w:rsidTr="006614F6">
        <w:trPr>
          <w:trHeight w:val="225"/>
        </w:trPr>
        <w:tc>
          <w:tcPr>
            <w:tcW w:w="2694" w:type="dxa"/>
            <w:tcBorders>
              <w:top w:val="double" w:sz="4" w:space="0" w:color="auto"/>
              <w:left w:val="thinThickMediumGap" w:sz="24" w:space="0" w:color="auto"/>
              <w:bottom w:val="single" w:sz="8" w:space="0" w:color="969696"/>
              <w:right w:val="single" w:sz="4" w:space="0" w:color="auto"/>
            </w:tcBorders>
            <w:vAlign w:val="bottom"/>
          </w:tcPr>
          <w:p w:rsidR="00F25110" w:rsidRPr="00BD7BB1" w:rsidRDefault="00F25110" w:rsidP="00F25110">
            <w:pPr>
              <w:spacing w:after="0" w:line="360" w:lineRule="auto"/>
              <w:jc w:val="both"/>
              <w:rPr>
                <w:rFonts w:ascii="Times New Roman" w:eastAsia="Times New Roman" w:hAnsi="Times New Roman"/>
                <w:i/>
                <w:iCs/>
                <w:color w:val="auto"/>
                <w:szCs w:val="22"/>
                <w:lang w:val="bg-BG" w:eastAsia="bg-BG"/>
              </w:rPr>
            </w:pPr>
            <w:r w:rsidRPr="00BD7BB1">
              <w:rPr>
                <w:rFonts w:ascii="Times New Roman" w:eastAsia="Times New Roman" w:hAnsi="Times New Roman"/>
                <w:i/>
                <w:iCs/>
                <w:color w:val="auto"/>
                <w:szCs w:val="22"/>
                <w:lang w:val="bg-BG" w:eastAsia="bg-BG"/>
              </w:rPr>
              <w:t>Северозападен район</w:t>
            </w:r>
          </w:p>
        </w:tc>
        <w:tc>
          <w:tcPr>
            <w:tcW w:w="1134" w:type="dxa"/>
            <w:tcBorders>
              <w:top w:val="double" w:sz="4" w:space="0" w:color="auto"/>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123 162</w:t>
            </w:r>
          </w:p>
        </w:tc>
        <w:tc>
          <w:tcPr>
            <w:tcW w:w="1134" w:type="dxa"/>
            <w:tcBorders>
              <w:top w:val="double" w:sz="4" w:space="0" w:color="auto"/>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139 800</w:t>
            </w:r>
          </w:p>
        </w:tc>
        <w:tc>
          <w:tcPr>
            <w:tcW w:w="1134" w:type="dxa"/>
            <w:tcBorders>
              <w:top w:val="double" w:sz="4" w:space="0" w:color="auto"/>
              <w:left w:val="single" w:sz="4" w:space="0" w:color="auto"/>
              <w:bottom w:val="single" w:sz="8" w:space="0" w:color="969696"/>
              <w:right w:val="single" w:sz="8"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176 614</w:t>
            </w:r>
          </w:p>
        </w:tc>
        <w:tc>
          <w:tcPr>
            <w:tcW w:w="1134" w:type="dxa"/>
            <w:tcBorders>
              <w:top w:val="double" w:sz="4" w:space="0" w:color="auto"/>
              <w:left w:val="single" w:sz="8" w:space="0" w:color="969696"/>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226 547</w:t>
            </w:r>
          </w:p>
        </w:tc>
        <w:tc>
          <w:tcPr>
            <w:tcW w:w="1417" w:type="dxa"/>
            <w:tcBorders>
              <w:top w:val="double" w:sz="4" w:space="0" w:color="auto"/>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177 558</w:t>
            </w:r>
          </w:p>
        </w:tc>
        <w:tc>
          <w:tcPr>
            <w:tcW w:w="1135" w:type="dxa"/>
            <w:tcBorders>
              <w:top w:val="double" w:sz="4" w:space="0" w:color="auto"/>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155 039</w:t>
            </w:r>
          </w:p>
        </w:tc>
        <w:tc>
          <w:tcPr>
            <w:tcW w:w="1200" w:type="dxa"/>
            <w:tcBorders>
              <w:top w:val="double" w:sz="4" w:space="0" w:color="auto"/>
              <w:left w:val="single" w:sz="4" w:space="0" w:color="auto"/>
              <w:bottom w:val="single" w:sz="8" w:space="0" w:color="969696"/>
              <w:right w:val="thinThickMediumGap" w:sz="2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261751</w:t>
            </w:r>
          </w:p>
        </w:tc>
      </w:tr>
      <w:tr w:rsidR="00F25110" w:rsidRPr="00BD7BB1" w:rsidTr="006614F6">
        <w:trPr>
          <w:trHeight w:val="225"/>
        </w:trPr>
        <w:tc>
          <w:tcPr>
            <w:tcW w:w="2694" w:type="dxa"/>
            <w:tcBorders>
              <w:top w:val="single" w:sz="8" w:space="0" w:color="969696"/>
              <w:left w:val="thinThickMediumGap" w:sz="24" w:space="0" w:color="auto"/>
              <w:bottom w:val="single" w:sz="8" w:space="0" w:color="969696"/>
              <w:right w:val="single" w:sz="4" w:space="0" w:color="auto"/>
            </w:tcBorders>
            <w:vAlign w:val="bottom"/>
          </w:tcPr>
          <w:p w:rsidR="00F25110" w:rsidRPr="00BD7BB1" w:rsidRDefault="00F25110" w:rsidP="00F25110">
            <w:pPr>
              <w:spacing w:after="0" w:line="360" w:lineRule="auto"/>
              <w:jc w:val="both"/>
              <w:rPr>
                <w:rFonts w:ascii="Times New Roman" w:eastAsia="Times New Roman" w:hAnsi="Times New Roman"/>
                <w:i/>
                <w:iCs/>
                <w:color w:val="auto"/>
                <w:szCs w:val="22"/>
                <w:lang w:val="bg-BG" w:eastAsia="bg-BG"/>
              </w:rPr>
            </w:pPr>
            <w:r w:rsidRPr="00BD7BB1">
              <w:rPr>
                <w:rFonts w:ascii="Times New Roman" w:eastAsia="Times New Roman" w:hAnsi="Times New Roman"/>
                <w:i/>
                <w:iCs/>
                <w:color w:val="auto"/>
                <w:szCs w:val="22"/>
                <w:lang w:val="bg-BG" w:eastAsia="bg-BG"/>
              </w:rPr>
              <w:t>Северен централен район</w:t>
            </w:r>
          </w:p>
        </w:tc>
        <w:tc>
          <w:tcPr>
            <w:tcW w:w="1134" w:type="dxa"/>
            <w:tcBorders>
              <w:top w:val="single" w:sz="8" w:space="0" w:color="969696"/>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70 471</w:t>
            </w:r>
          </w:p>
        </w:tc>
        <w:tc>
          <w:tcPr>
            <w:tcW w:w="1134" w:type="dxa"/>
            <w:tcBorders>
              <w:top w:val="single" w:sz="8" w:space="0" w:color="969696"/>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112 665</w:t>
            </w:r>
          </w:p>
        </w:tc>
        <w:tc>
          <w:tcPr>
            <w:tcW w:w="1134" w:type="dxa"/>
            <w:tcBorders>
              <w:top w:val="single" w:sz="8" w:space="0" w:color="969696"/>
              <w:left w:val="single" w:sz="4" w:space="0" w:color="auto"/>
              <w:bottom w:val="single" w:sz="8" w:space="0" w:color="969696"/>
              <w:right w:val="single" w:sz="8"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68 271</w:t>
            </w:r>
          </w:p>
        </w:tc>
        <w:tc>
          <w:tcPr>
            <w:tcW w:w="1134" w:type="dxa"/>
            <w:tcBorders>
              <w:top w:val="single" w:sz="8" w:space="0" w:color="969696"/>
              <w:left w:val="single" w:sz="8" w:space="0" w:color="969696"/>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64 137</w:t>
            </w:r>
          </w:p>
        </w:tc>
        <w:tc>
          <w:tcPr>
            <w:tcW w:w="1417" w:type="dxa"/>
            <w:tcBorders>
              <w:top w:val="single" w:sz="8" w:space="0" w:color="969696"/>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66 708</w:t>
            </w:r>
          </w:p>
        </w:tc>
        <w:tc>
          <w:tcPr>
            <w:tcW w:w="1135" w:type="dxa"/>
            <w:tcBorders>
              <w:top w:val="single" w:sz="8" w:space="0" w:color="969696"/>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126 829</w:t>
            </w:r>
          </w:p>
        </w:tc>
        <w:tc>
          <w:tcPr>
            <w:tcW w:w="1200" w:type="dxa"/>
            <w:tcBorders>
              <w:top w:val="single" w:sz="8" w:space="0" w:color="969696"/>
              <w:left w:val="single" w:sz="4" w:space="0" w:color="auto"/>
              <w:bottom w:val="single" w:sz="8" w:space="0" w:color="969696"/>
              <w:right w:val="thinThickMediumGap" w:sz="2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127807</w:t>
            </w:r>
          </w:p>
        </w:tc>
      </w:tr>
      <w:tr w:rsidR="00F25110" w:rsidRPr="00BD7BB1" w:rsidTr="006614F6">
        <w:trPr>
          <w:trHeight w:val="225"/>
        </w:trPr>
        <w:tc>
          <w:tcPr>
            <w:tcW w:w="2694" w:type="dxa"/>
            <w:tcBorders>
              <w:top w:val="single" w:sz="8" w:space="0" w:color="969696"/>
              <w:left w:val="thinThickMediumGap" w:sz="24" w:space="0" w:color="auto"/>
              <w:bottom w:val="single" w:sz="8" w:space="0" w:color="969696"/>
              <w:right w:val="single" w:sz="4" w:space="0" w:color="auto"/>
            </w:tcBorders>
            <w:vAlign w:val="bottom"/>
          </w:tcPr>
          <w:p w:rsidR="00F25110" w:rsidRPr="00BD7BB1" w:rsidRDefault="00F25110" w:rsidP="00F25110">
            <w:pPr>
              <w:spacing w:after="0" w:line="360" w:lineRule="auto"/>
              <w:jc w:val="both"/>
              <w:rPr>
                <w:rFonts w:ascii="Times New Roman" w:eastAsia="Times New Roman" w:hAnsi="Times New Roman"/>
                <w:i/>
                <w:iCs/>
                <w:color w:val="auto"/>
                <w:szCs w:val="22"/>
                <w:lang w:val="bg-BG" w:eastAsia="bg-BG"/>
              </w:rPr>
            </w:pPr>
            <w:r w:rsidRPr="00BD7BB1">
              <w:rPr>
                <w:rFonts w:ascii="Times New Roman" w:eastAsia="Times New Roman" w:hAnsi="Times New Roman"/>
                <w:i/>
                <w:iCs/>
                <w:color w:val="auto"/>
                <w:szCs w:val="22"/>
                <w:lang w:val="bg-BG" w:eastAsia="bg-BG"/>
              </w:rPr>
              <w:t>Североизточен район</w:t>
            </w:r>
          </w:p>
        </w:tc>
        <w:tc>
          <w:tcPr>
            <w:tcW w:w="1134" w:type="dxa"/>
            <w:tcBorders>
              <w:top w:val="single" w:sz="8" w:space="0" w:color="969696"/>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160 353</w:t>
            </w:r>
          </w:p>
        </w:tc>
        <w:tc>
          <w:tcPr>
            <w:tcW w:w="1134" w:type="dxa"/>
            <w:tcBorders>
              <w:top w:val="single" w:sz="8" w:space="0" w:color="969696"/>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131 170</w:t>
            </w:r>
          </w:p>
        </w:tc>
        <w:tc>
          <w:tcPr>
            <w:tcW w:w="1134" w:type="dxa"/>
            <w:tcBorders>
              <w:top w:val="single" w:sz="8" w:space="0" w:color="969696"/>
              <w:left w:val="single" w:sz="4" w:space="0" w:color="auto"/>
              <w:bottom w:val="single" w:sz="8" w:space="0" w:color="969696"/>
              <w:right w:val="single" w:sz="8"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140 429</w:t>
            </w:r>
          </w:p>
        </w:tc>
        <w:tc>
          <w:tcPr>
            <w:tcW w:w="1134" w:type="dxa"/>
            <w:tcBorders>
              <w:top w:val="single" w:sz="8" w:space="0" w:color="969696"/>
              <w:left w:val="single" w:sz="8" w:space="0" w:color="969696"/>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124 881</w:t>
            </w:r>
          </w:p>
        </w:tc>
        <w:tc>
          <w:tcPr>
            <w:tcW w:w="1417" w:type="dxa"/>
            <w:tcBorders>
              <w:top w:val="single" w:sz="8" w:space="0" w:color="969696"/>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171 607</w:t>
            </w:r>
          </w:p>
        </w:tc>
        <w:tc>
          <w:tcPr>
            <w:tcW w:w="1135" w:type="dxa"/>
            <w:tcBorders>
              <w:top w:val="single" w:sz="8" w:space="0" w:color="969696"/>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212 574</w:t>
            </w:r>
          </w:p>
        </w:tc>
        <w:tc>
          <w:tcPr>
            <w:tcW w:w="1200" w:type="dxa"/>
            <w:tcBorders>
              <w:top w:val="single" w:sz="8" w:space="0" w:color="969696"/>
              <w:left w:val="single" w:sz="4" w:space="0" w:color="auto"/>
              <w:bottom w:val="single" w:sz="8" w:space="0" w:color="969696"/>
              <w:right w:val="thinThickMediumGap" w:sz="2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232566</w:t>
            </w:r>
          </w:p>
        </w:tc>
      </w:tr>
      <w:tr w:rsidR="00F25110" w:rsidRPr="00BD7BB1" w:rsidTr="006614F6">
        <w:trPr>
          <w:trHeight w:val="225"/>
        </w:trPr>
        <w:tc>
          <w:tcPr>
            <w:tcW w:w="2694" w:type="dxa"/>
            <w:tcBorders>
              <w:top w:val="single" w:sz="8" w:space="0" w:color="969696"/>
              <w:left w:val="thinThickMediumGap" w:sz="24" w:space="0" w:color="auto"/>
              <w:bottom w:val="single" w:sz="8" w:space="0" w:color="969696"/>
              <w:right w:val="single" w:sz="4" w:space="0" w:color="auto"/>
            </w:tcBorders>
            <w:vAlign w:val="bottom"/>
          </w:tcPr>
          <w:p w:rsidR="00F25110" w:rsidRPr="00BD7BB1" w:rsidRDefault="00F25110" w:rsidP="00F25110">
            <w:pPr>
              <w:spacing w:after="0" w:line="360" w:lineRule="auto"/>
              <w:jc w:val="both"/>
              <w:rPr>
                <w:rFonts w:ascii="Times New Roman" w:eastAsia="Times New Roman" w:hAnsi="Times New Roman"/>
                <w:i/>
                <w:iCs/>
                <w:color w:val="auto"/>
                <w:szCs w:val="22"/>
                <w:lang w:val="bg-BG" w:eastAsia="bg-BG"/>
              </w:rPr>
            </w:pPr>
            <w:r w:rsidRPr="00BD7BB1">
              <w:rPr>
                <w:rFonts w:ascii="Times New Roman" w:eastAsia="Times New Roman" w:hAnsi="Times New Roman"/>
                <w:i/>
                <w:iCs/>
                <w:color w:val="auto"/>
                <w:szCs w:val="22"/>
                <w:lang w:val="bg-BG" w:eastAsia="bg-BG"/>
              </w:rPr>
              <w:t>Югозападен район</w:t>
            </w:r>
          </w:p>
        </w:tc>
        <w:tc>
          <w:tcPr>
            <w:tcW w:w="1134" w:type="dxa"/>
            <w:tcBorders>
              <w:top w:val="single" w:sz="8" w:space="0" w:color="969696"/>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bCs/>
                <w:color w:val="auto"/>
                <w:szCs w:val="22"/>
                <w:lang w:val="bg-BG" w:eastAsia="bg-BG"/>
              </w:rPr>
            </w:pPr>
            <w:r w:rsidRPr="00BD7BB1">
              <w:rPr>
                <w:rFonts w:ascii="Times New Roman" w:eastAsia="Times New Roman" w:hAnsi="Times New Roman"/>
                <w:bCs/>
                <w:color w:val="auto"/>
                <w:szCs w:val="22"/>
                <w:lang w:val="bg-BG" w:eastAsia="bg-BG"/>
              </w:rPr>
              <w:t>443 604</w:t>
            </w:r>
          </w:p>
        </w:tc>
        <w:tc>
          <w:tcPr>
            <w:tcW w:w="1134" w:type="dxa"/>
            <w:tcBorders>
              <w:top w:val="single" w:sz="8" w:space="0" w:color="969696"/>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bCs/>
                <w:color w:val="auto"/>
                <w:szCs w:val="22"/>
                <w:lang w:val="bg-BG" w:eastAsia="bg-BG"/>
              </w:rPr>
            </w:pPr>
            <w:r w:rsidRPr="00BD7BB1">
              <w:rPr>
                <w:rFonts w:ascii="Times New Roman" w:eastAsia="Times New Roman" w:hAnsi="Times New Roman"/>
                <w:bCs/>
                <w:color w:val="auto"/>
                <w:szCs w:val="22"/>
                <w:lang w:val="bg-BG" w:eastAsia="bg-BG"/>
              </w:rPr>
              <w:t>798 058</w:t>
            </w:r>
          </w:p>
        </w:tc>
        <w:tc>
          <w:tcPr>
            <w:tcW w:w="1134" w:type="dxa"/>
            <w:tcBorders>
              <w:top w:val="single" w:sz="8" w:space="0" w:color="969696"/>
              <w:left w:val="single" w:sz="4" w:space="0" w:color="auto"/>
              <w:bottom w:val="single" w:sz="8" w:space="0" w:color="969696"/>
              <w:right w:val="single" w:sz="8"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bCs/>
                <w:color w:val="auto"/>
                <w:szCs w:val="22"/>
                <w:lang w:val="bg-BG" w:eastAsia="bg-BG"/>
              </w:rPr>
            </w:pPr>
            <w:r w:rsidRPr="00BD7BB1">
              <w:rPr>
                <w:rFonts w:ascii="Times New Roman" w:eastAsia="Times New Roman" w:hAnsi="Times New Roman"/>
                <w:bCs/>
                <w:color w:val="auto"/>
                <w:szCs w:val="22"/>
                <w:lang w:val="bg-BG" w:eastAsia="bg-BG"/>
              </w:rPr>
              <w:t>399 731</w:t>
            </w:r>
          </w:p>
        </w:tc>
        <w:tc>
          <w:tcPr>
            <w:tcW w:w="1134" w:type="dxa"/>
            <w:tcBorders>
              <w:top w:val="single" w:sz="8" w:space="0" w:color="969696"/>
              <w:left w:val="single" w:sz="8" w:space="0" w:color="969696"/>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452 944</w:t>
            </w:r>
          </w:p>
        </w:tc>
        <w:tc>
          <w:tcPr>
            <w:tcW w:w="1417" w:type="dxa"/>
            <w:tcBorders>
              <w:top w:val="single" w:sz="8" w:space="0" w:color="969696"/>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460 984</w:t>
            </w:r>
          </w:p>
        </w:tc>
        <w:tc>
          <w:tcPr>
            <w:tcW w:w="1135" w:type="dxa"/>
            <w:tcBorders>
              <w:top w:val="single" w:sz="8" w:space="0" w:color="969696"/>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666 927</w:t>
            </w:r>
          </w:p>
        </w:tc>
        <w:tc>
          <w:tcPr>
            <w:tcW w:w="1200" w:type="dxa"/>
            <w:tcBorders>
              <w:top w:val="single" w:sz="8" w:space="0" w:color="969696"/>
              <w:left w:val="single" w:sz="4" w:space="0" w:color="auto"/>
              <w:bottom w:val="single" w:sz="8" w:space="0" w:color="969696"/>
              <w:right w:val="thinThickMediumGap" w:sz="2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789588</w:t>
            </w:r>
          </w:p>
        </w:tc>
      </w:tr>
      <w:tr w:rsidR="00F25110" w:rsidRPr="00BD7BB1" w:rsidTr="006614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2694" w:type="dxa"/>
            <w:tcBorders>
              <w:top w:val="single" w:sz="8" w:space="0" w:color="969696"/>
              <w:left w:val="thinThickMediumGap" w:sz="24" w:space="0" w:color="auto"/>
              <w:bottom w:val="single" w:sz="12" w:space="0" w:color="969696"/>
              <w:right w:val="single" w:sz="4" w:space="0" w:color="auto"/>
            </w:tcBorders>
            <w:vAlign w:val="bottom"/>
          </w:tcPr>
          <w:p w:rsidR="00F25110" w:rsidRPr="00BD7BB1" w:rsidRDefault="00F25110" w:rsidP="00F25110">
            <w:pPr>
              <w:spacing w:after="0" w:line="360" w:lineRule="auto"/>
              <w:jc w:val="both"/>
              <w:rPr>
                <w:rFonts w:ascii="Times New Roman" w:eastAsia="Times New Roman" w:hAnsi="Times New Roman"/>
                <w:i/>
                <w:iCs/>
                <w:color w:val="auto"/>
                <w:szCs w:val="22"/>
                <w:lang w:val="bg-BG" w:eastAsia="bg-BG"/>
              </w:rPr>
            </w:pPr>
            <w:r w:rsidRPr="00BD7BB1">
              <w:rPr>
                <w:rFonts w:ascii="Times New Roman" w:eastAsia="Times New Roman" w:hAnsi="Times New Roman"/>
                <w:i/>
                <w:iCs/>
                <w:color w:val="auto"/>
                <w:szCs w:val="22"/>
                <w:lang w:val="bg-BG" w:eastAsia="bg-BG"/>
              </w:rPr>
              <w:t>Южен централен район</w:t>
            </w:r>
          </w:p>
        </w:tc>
        <w:tc>
          <w:tcPr>
            <w:tcW w:w="1134" w:type="dxa"/>
            <w:tcBorders>
              <w:top w:val="single" w:sz="8" w:space="0" w:color="969696"/>
              <w:left w:val="single" w:sz="4" w:space="0" w:color="auto"/>
              <w:bottom w:val="single" w:sz="12"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153 136</w:t>
            </w:r>
          </w:p>
        </w:tc>
        <w:tc>
          <w:tcPr>
            <w:tcW w:w="1134" w:type="dxa"/>
            <w:tcBorders>
              <w:top w:val="single" w:sz="8" w:space="0" w:color="969696"/>
              <w:left w:val="single" w:sz="4" w:space="0" w:color="auto"/>
              <w:bottom w:val="single" w:sz="12"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246 408</w:t>
            </w:r>
          </w:p>
        </w:tc>
        <w:tc>
          <w:tcPr>
            <w:tcW w:w="1134" w:type="dxa"/>
            <w:tcBorders>
              <w:top w:val="single" w:sz="8" w:space="0" w:color="969696"/>
              <w:left w:val="single" w:sz="4" w:space="0" w:color="auto"/>
              <w:bottom w:val="single" w:sz="12" w:space="0" w:color="969696"/>
              <w:right w:val="single" w:sz="8"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174 222</w:t>
            </w:r>
          </w:p>
        </w:tc>
        <w:tc>
          <w:tcPr>
            <w:tcW w:w="1134" w:type="dxa"/>
            <w:tcBorders>
              <w:top w:val="single" w:sz="8" w:space="0" w:color="969696"/>
              <w:bottom w:val="single" w:sz="12"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168 861</w:t>
            </w:r>
          </w:p>
        </w:tc>
        <w:tc>
          <w:tcPr>
            <w:tcW w:w="1417" w:type="dxa"/>
            <w:tcBorders>
              <w:top w:val="single" w:sz="8" w:space="0" w:color="969696"/>
              <w:bottom w:val="single" w:sz="12"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174 032</w:t>
            </w:r>
          </w:p>
        </w:tc>
        <w:tc>
          <w:tcPr>
            <w:tcW w:w="1135" w:type="dxa"/>
            <w:tcBorders>
              <w:top w:val="single" w:sz="8" w:space="0" w:color="969696"/>
              <w:bottom w:val="single" w:sz="12"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220 565</w:t>
            </w:r>
          </w:p>
        </w:tc>
        <w:tc>
          <w:tcPr>
            <w:tcW w:w="1200" w:type="dxa"/>
            <w:tcBorders>
              <w:top w:val="single" w:sz="8" w:space="0" w:color="969696"/>
              <w:left w:val="single" w:sz="4" w:space="0" w:color="auto"/>
              <w:bottom w:val="single" w:sz="12" w:space="0" w:color="969696"/>
              <w:right w:val="thinThickMediumGap" w:sz="2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245047</w:t>
            </w:r>
          </w:p>
        </w:tc>
      </w:tr>
      <w:tr w:rsidR="007764CE" w:rsidRPr="00BD7BB1" w:rsidTr="007764CE">
        <w:trPr>
          <w:trHeight w:val="225"/>
        </w:trPr>
        <w:tc>
          <w:tcPr>
            <w:tcW w:w="2694" w:type="dxa"/>
            <w:tcBorders>
              <w:top w:val="single" w:sz="12" w:space="0" w:color="969696"/>
              <w:left w:val="thinThickMediumGap" w:sz="24" w:space="0" w:color="auto"/>
              <w:bottom w:val="single" w:sz="12" w:space="0" w:color="969696"/>
              <w:right w:val="single" w:sz="4" w:space="0" w:color="auto"/>
            </w:tcBorders>
            <w:shd w:val="clear" w:color="auto" w:fill="F4B29B" w:themeFill="accent1" w:themeFillTint="66"/>
            <w:vAlign w:val="bottom"/>
          </w:tcPr>
          <w:p w:rsidR="00F25110" w:rsidRPr="007764CE" w:rsidRDefault="00F25110" w:rsidP="00F25110">
            <w:pPr>
              <w:spacing w:after="0" w:line="360" w:lineRule="auto"/>
              <w:jc w:val="both"/>
              <w:rPr>
                <w:rFonts w:ascii="Times New Roman" w:eastAsia="Times New Roman" w:hAnsi="Times New Roman"/>
                <w:b/>
                <w:i/>
                <w:color w:val="9B2D1F" w:themeColor="accent2"/>
                <w:szCs w:val="22"/>
                <w:lang w:val="bg-BG" w:eastAsia="bg-BG"/>
              </w:rPr>
            </w:pPr>
            <w:r w:rsidRPr="007764CE">
              <w:rPr>
                <w:rFonts w:ascii="Times New Roman" w:eastAsia="Times New Roman" w:hAnsi="Times New Roman"/>
                <w:b/>
                <w:i/>
                <w:color w:val="9B2D1F" w:themeColor="accent2"/>
                <w:szCs w:val="22"/>
                <w:lang w:val="bg-BG" w:eastAsia="bg-BG"/>
              </w:rPr>
              <w:t>Югоизточен район</w:t>
            </w:r>
          </w:p>
        </w:tc>
        <w:tc>
          <w:tcPr>
            <w:tcW w:w="1134" w:type="dxa"/>
            <w:tcBorders>
              <w:top w:val="single" w:sz="12" w:space="0" w:color="969696"/>
              <w:left w:val="single" w:sz="4" w:space="0" w:color="auto"/>
              <w:bottom w:val="single" w:sz="12" w:space="0" w:color="969696"/>
              <w:right w:val="single" w:sz="4" w:space="0" w:color="auto"/>
            </w:tcBorders>
            <w:shd w:val="clear" w:color="auto" w:fill="F4B29B" w:themeFill="accent1" w:themeFillTint="66"/>
            <w:noWrap/>
            <w:vAlign w:val="bottom"/>
          </w:tcPr>
          <w:p w:rsidR="00F25110" w:rsidRPr="007764CE" w:rsidRDefault="00F25110" w:rsidP="00F25110">
            <w:pPr>
              <w:spacing w:after="0" w:line="360" w:lineRule="auto"/>
              <w:jc w:val="right"/>
              <w:rPr>
                <w:rFonts w:ascii="Times New Roman" w:eastAsia="Times New Roman" w:hAnsi="Times New Roman"/>
                <w:b/>
                <w:color w:val="9B2D1F" w:themeColor="accent2"/>
                <w:szCs w:val="22"/>
                <w:lang w:val="bg-BG" w:eastAsia="bg-BG"/>
              </w:rPr>
            </w:pPr>
            <w:r w:rsidRPr="007764CE">
              <w:rPr>
                <w:rFonts w:ascii="Times New Roman" w:eastAsia="Times New Roman" w:hAnsi="Times New Roman"/>
                <w:b/>
                <w:color w:val="9B2D1F" w:themeColor="accent2"/>
                <w:szCs w:val="22"/>
                <w:lang w:val="bg-BG" w:eastAsia="bg-BG"/>
              </w:rPr>
              <w:t>246 696</w:t>
            </w:r>
          </w:p>
        </w:tc>
        <w:tc>
          <w:tcPr>
            <w:tcW w:w="1134" w:type="dxa"/>
            <w:tcBorders>
              <w:top w:val="single" w:sz="12" w:space="0" w:color="969696"/>
              <w:left w:val="single" w:sz="4" w:space="0" w:color="auto"/>
              <w:bottom w:val="single" w:sz="12" w:space="0" w:color="969696"/>
              <w:right w:val="single" w:sz="4" w:space="0" w:color="auto"/>
            </w:tcBorders>
            <w:shd w:val="clear" w:color="auto" w:fill="F4B29B" w:themeFill="accent1" w:themeFillTint="66"/>
            <w:noWrap/>
            <w:vAlign w:val="bottom"/>
          </w:tcPr>
          <w:p w:rsidR="00F25110" w:rsidRPr="007764CE" w:rsidRDefault="00F25110" w:rsidP="00F25110">
            <w:pPr>
              <w:spacing w:after="0" w:line="360" w:lineRule="auto"/>
              <w:jc w:val="right"/>
              <w:rPr>
                <w:rFonts w:ascii="Times New Roman" w:eastAsia="Times New Roman" w:hAnsi="Times New Roman"/>
                <w:b/>
                <w:color w:val="9B2D1F" w:themeColor="accent2"/>
                <w:szCs w:val="22"/>
                <w:lang w:val="bg-BG" w:eastAsia="bg-BG"/>
              </w:rPr>
            </w:pPr>
            <w:r w:rsidRPr="007764CE">
              <w:rPr>
                <w:rFonts w:ascii="Times New Roman" w:eastAsia="Times New Roman" w:hAnsi="Times New Roman"/>
                <w:b/>
                <w:color w:val="9B2D1F" w:themeColor="accent2"/>
                <w:szCs w:val="22"/>
                <w:lang w:val="bg-BG" w:eastAsia="bg-BG"/>
              </w:rPr>
              <w:t>272 228</w:t>
            </w:r>
          </w:p>
        </w:tc>
        <w:tc>
          <w:tcPr>
            <w:tcW w:w="1134" w:type="dxa"/>
            <w:tcBorders>
              <w:top w:val="single" w:sz="12" w:space="0" w:color="969696"/>
              <w:left w:val="single" w:sz="4" w:space="0" w:color="auto"/>
              <w:bottom w:val="single" w:sz="12" w:space="0" w:color="969696"/>
              <w:right w:val="single" w:sz="8" w:space="0" w:color="auto"/>
            </w:tcBorders>
            <w:shd w:val="clear" w:color="auto" w:fill="F4B29B" w:themeFill="accent1" w:themeFillTint="66"/>
            <w:noWrap/>
            <w:vAlign w:val="bottom"/>
          </w:tcPr>
          <w:p w:rsidR="00F25110" w:rsidRPr="007764CE" w:rsidRDefault="00F25110" w:rsidP="00F25110">
            <w:pPr>
              <w:spacing w:after="0" w:line="360" w:lineRule="auto"/>
              <w:jc w:val="right"/>
              <w:rPr>
                <w:rFonts w:ascii="Times New Roman" w:eastAsia="Times New Roman" w:hAnsi="Times New Roman"/>
                <w:b/>
                <w:color w:val="9B2D1F" w:themeColor="accent2"/>
                <w:szCs w:val="22"/>
                <w:lang w:val="bg-BG" w:eastAsia="bg-BG"/>
              </w:rPr>
            </w:pPr>
            <w:r w:rsidRPr="007764CE">
              <w:rPr>
                <w:rFonts w:ascii="Times New Roman" w:eastAsia="Times New Roman" w:hAnsi="Times New Roman"/>
                <w:b/>
                <w:color w:val="9B2D1F" w:themeColor="accent2"/>
                <w:szCs w:val="22"/>
                <w:lang w:val="bg-BG" w:eastAsia="bg-BG"/>
              </w:rPr>
              <w:t>321 296</w:t>
            </w:r>
          </w:p>
        </w:tc>
        <w:tc>
          <w:tcPr>
            <w:tcW w:w="1134" w:type="dxa"/>
            <w:tcBorders>
              <w:top w:val="single" w:sz="12" w:space="0" w:color="969696"/>
              <w:left w:val="single" w:sz="8" w:space="0" w:color="969696"/>
              <w:bottom w:val="single" w:sz="12" w:space="0" w:color="969696"/>
              <w:right w:val="single" w:sz="4" w:space="0" w:color="auto"/>
            </w:tcBorders>
            <w:shd w:val="clear" w:color="auto" w:fill="F4B29B" w:themeFill="accent1" w:themeFillTint="66"/>
            <w:vAlign w:val="bottom"/>
          </w:tcPr>
          <w:p w:rsidR="00F25110" w:rsidRPr="007764CE" w:rsidRDefault="00F25110" w:rsidP="00F25110">
            <w:pPr>
              <w:spacing w:after="0" w:line="360" w:lineRule="auto"/>
              <w:jc w:val="right"/>
              <w:rPr>
                <w:rFonts w:ascii="Times New Roman" w:eastAsia="Times New Roman" w:hAnsi="Times New Roman"/>
                <w:b/>
                <w:color w:val="9B2D1F" w:themeColor="accent2"/>
                <w:szCs w:val="22"/>
                <w:lang w:val="bg-BG" w:eastAsia="bg-BG"/>
              </w:rPr>
            </w:pPr>
            <w:r w:rsidRPr="007764CE">
              <w:rPr>
                <w:rFonts w:ascii="Times New Roman" w:eastAsia="Times New Roman" w:hAnsi="Times New Roman"/>
                <w:b/>
                <w:color w:val="9B2D1F" w:themeColor="accent2"/>
                <w:szCs w:val="22"/>
                <w:lang w:val="bg-BG" w:eastAsia="bg-BG"/>
              </w:rPr>
              <w:t>236 407</w:t>
            </w:r>
          </w:p>
        </w:tc>
        <w:tc>
          <w:tcPr>
            <w:tcW w:w="1417" w:type="dxa"/>
            <w:tcBorders>
              <w:top w:val="single" w:sz="12" w:space="0" w:color="969696"/>
              <w:left w:val="single" w:sz="4" w:space="0" w:color="auto"/>
              <w:bottom w:val="single" w:sz="12" w:space="0" w:color="969696"/>
              <w:right w:val="single" w:sz="4" w:space="0" w:color="auto"/>
            </w:tcBorders>
            <w:shd w:val="clear" w:color="auto" w:fill="F4B29B" w:themeFill="accent1" w:themeFillTint="66"/>
            <w:vAlign w:val="bottom"/>
          </w:tcPr>
          <w:p w:rsidR="00F25110" w:rsidRPr="007764CE" w:rsidRDefault="00F25110" w:rsidP="00F25110">
            <w:pPr>
              <w:spacing w:after="0" w:line="360" w:lineRule="auto"/>
              <w:jc w:val="right"/>
              <w:rPr>
                <w:rFonts w:ascii="Times New Roman" w:eastAsia="Times New Roman" w:hAnsi="Times New Roman"/>
                <w:b/>
                <w:color w:val="9B2D1F" w:themeColor="accent2"/>
                <w:szCs w:val="22"/>
                <w:lang w:val="bg-BG" w:eastAsia="bg-BG"/>
              </w:rPr>
            </w:pPr>
            <w:r w:rsidRPr="007764CE">
              <w:rPr>
                <w:rFonts w:ascii="Times New Roman" w:eastAsia="Times New Roman" w:hAnsi="Times New Roman"/>
                <w:b/>
                <w:color w:val="9B2D1F" w:themeColor="accent2"/>
                <w:szCs w:val="22"/>
                <w:lang w:val="bg-BG" w:eastAsia="bg-BG"/>
              </w:rPr>
              <w:t xml:space="preserve">    387 276</w:t>
            </w:r>
          </w:p>
        </w:tc>
        <w:tc>
          <w:tcPr>
            <w:tcW w:w="1135" w:type="dxa"/>
            <w:tcBorders>
              <w:top w:val="single" w:sz="12" w:space="0" w:color="969696"/>
              <w:left w:val="single" w:sz="4" w:space="0" w:color="auto"/>
              <w:bottom w:val="single" w:sz="12" w:space="0" w:color="969696"/>
              <w:right w:val="single" w:sz="4" w:space="0" w:color="auto"/>
            </w:tcBorders>
            <w:shd w:val="clear" w:color="auto" w:fill="F4B29B" w:themeFill="accent1" w:themeFillTint="66"/>
            <w:vAlign w:val="bottom"/>
          </w:tcPr>
          <w:p w:rsidR="00F25110" w:rsidRPr="007764CE" w:rsidRDefault="00F25110" w:rsidP="00F25110">
            <w:pPr>
              <w:spacing w:after="0" w:line="360" w:lineRule="auto"/>
              <w:jc w:val="right"/>
              <w:rPr>
                <w:rFonts w:ascii="Times New Roman" w:eastAsia="Times New Roman" w:hAnsi="Times New Roman"/>
                <w:b/>
                <w:color w:val="9B2D1F" w:themeColor="accent2"/>
                <w:szCs w:val="22"/>
                <w:lang w:val="bg-BG" w:eastAsia="bg-BG"/>
              </w:rPr>
            </w:pPr>
            <w:r w:rsidRPr="007764CE">
              <w:rPr>
                <w:rFonts w:ascii="Times New Roman" w:eastAsia="Times New Roman" w:hAnsi="Times New Roman"/>
                <w:b/>
                <w:color w:val="9B2D1F" w:themeColor="accent2"/>
                <w:szCs w:val="22"/>
                <w:lang w:val="bg-BG" w:eastAsia="bg-BG"/>
              </w:rPr>
              <w:t>311 649</w:t>
            </w:r>
          </w:p>
        </w:tc>
        <w:tc>
          <w:tcPr>
            <w:tcW w:w="1200" w:type="dxa"/>
            <w:tcBorders>
              <w:top w:val="single" w:sz="12" w:space="0" w:color="969696"/>
              <w:left w:val="single" w:sz="4" w:space="0" w:color="auto"/>
              <w:bottom w:val="single" w:sz="12" w:space="0" w:color="969696"/>
              <w:right w:val="thinThickMediumGap" w:sz="24" w:space="0" w:color="auto"/>
            </w:tcBorders>
            <w:shd w:val="clear" w:color="auto" w:fill="F4B29B" w:themeFill="accent1" w:themeFillTint="66"/>
            <w:vAlign w:val="bottom"/>
          </w:tcPr>
          <w:p w:rsidR="00F25110" w:rsidRPr="007764CE" w:rsidRDefault="00F25110" w:rsidP="00F25110">
            <w:pPr>
              <w:spacing w:after="0" w:line="360" w:lineRule="auto"/>
              <w:jc w:val="right"/>
              <w:rPr>
                <w:rFonts w:ascii="Times New Roman" w:eastAsia="Times New Roman" w:hAnsi="Times New Roman"/>
                <w:b/>
                <w:color w:val="9B2D1F" w:themeColor="accent2"/>
                <w:szCs w:val="22"/>
                <w:lang w:val="bg-BG" w:eastAsia="bg-BG"/>
              </w:rPr>
            </w:pPr>
            <w:r w:rsidRPr="007764CE">
              <w:rPr>
                <w:rFonts w:ascii="Times New Roman" w:eastAsia="Times New Roman" w:hAnsi="Times New Roman"/>
                <w:b/>
                <w:color w:val="9B2D1F" w:themeColor="accent2"/>
                <w:szCs w:val="22"/>
                <w:lang w:val="bg-BG" w:eastAsia="bg-BG"/>
              </w:rPr>
              <w:t>442 147</w:t>
            </w:r>
          </w:p>
        </w:tc>
      </w:tr>
      <w:tr w:rsidR="00F25110" w:rsidRPr="00BD7BB1" w:rsidTr="006614F6">
        <w:trPr>
          <w:trHeight w:val="225"/>
        </w:trPr>
        <w:tc>
          <w:tcPr>
            <w:tcW w:w="2694" w:type="dxa"/>
            <w:tcBorders>
              <w:top w:val="single" w:sz="12" w:space="0" w:color="969696"/>
              <w:left w:val="thinThickMediumGap" w:sz="24" w:space="0" w:color="auto"/>
              <w:bottom w:val="single" w:sz="8" w:space="0" w:color="969696"/>
              <w:right w:val="single" w:sz="4" w:space="0" w:color="auto"/>
            </w:tcBorders>
            <w:vAlign w:val="bottom"/>
          </w:tcPr>
          <w:p w:rsidR="00F25110" w:rsidRPr="00BD7BB1" w:rsidRDefault="00F25110" w:rsidP="00F25110">
            <w:pPr>
              <w:spacing w:after="0" w:line="360" w:lineRule="auto"/>
              <w:jc w:val="both"/>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Област Бургас</w:t>
            </w:r>
          </w:p>
        </w:tc>
        <w:tc>
          <w:tcPr>
            <w:tcW w:w="1134" w:type="dxa"/>
            <w:tcBorders>
              <w:top w:val="single" w:sz="12" w:space="0" w:color="969696"/>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124 714</w:t>
            </w:r>
          </w:p>
        </w:tc>
        <w:tc>
          <w:tcPr>
            <w:tcW w:w="1134" w:type="dxa"/>
            <w:tcBorders>
              <w:top w:val="single" w:sz="12" w:space="0" w:color="969696"/>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162 164</w:t>
            </w:r>
          </w:p>
        </w:tc>
        <w:tc>
          <w:tcPr>
            <w:tcW w:w="1134" w:type="dxa"/>
            <w:tcBorders>
              <w:top w:val="single" w:sz="12" w:space="0" w:color="969696"/>
              <w:left w:val="single" w:sz="4" w:space="0" w:color="auto"/>
              <w:bottom w:val="single" w:sz="8" w:space="0" w:color="969696"/>
              <w:right w:val="single" w:sz="8"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187 411</w:t>
            </w:r>
          </w:p>
        </w:tc>
        <w:tc>
          <w:tcPr>
            <w:tcW w:w="1134" w:type="dxa"/>
            <w:tcBorders>
              <w:top w:val="single" w:sz="12" w:space="0" w:color="969696"/>
              <w:left w:val="single" w:sz="8" w:space="0" w:color="969696"/>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145 353</w:t>
            </w:r>
          </w:p>
        </w:tc>
        <w:tc>
          <w:tcPr>
            <w:tcW w:w="1417" w:type="dxa"/>
            <w:tcBorders>
              <w:top w:val="single" w:sz="12" w:space="0" w:color="969696"/>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171 642</w:t>
            </w:r>
          </w:p>
        </w:tc>
        <w:tc>
          <w:tcPr>
            <w:tcW w:w="1135" w:type="dxa"/>
            <w:tcBorders>
              <w:top w:val="single" w:sz="12" w:space="0" w:color="969696"/>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175 739</w:t>
            </w:r>
          </w:p>
        </w:tc>
        <w:tc>
          <w:tcPr>
            <w:tcW w:w="1200" w:type="dxa"/>
            <w:tcBorders>
              <w:top w:val="single" w:sz="12" w:space="0" w:color="969696"/>
              <w:left w:val="single" w:sz="4" w:space="0" w:color="auto"/>
              <w:bottom w:val="single" w:sz="8" w:space="0" w:color="969696"/>
              <w:right w:val="thinThickMediumGap" w:sz="24" w:space="0" w:color="auto"/>
            </w:tcBorders>
          </w:tcPr>
          <w:p w:rsidR="00F25110" w:rsidRPr="00BD7BB1" w:rsidRDefault="00F25110" w:rsidP="00F25110">
            <w:pPr>
              <w:spacing w:after="0" w:line="24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319 630</w:t>
            </w:r>
          </w:p>
        </w:tc>
      </w:tr>
      <w:tr w:rsidR="00F25110" w:rsidRPr="00BD7BB1" w:rsidTr="006614F6">
        <w:trPr>
          <w:trHeight w:val="225"/>
        </w:trPr>
        <w:tc>
          <w:tcPr>
            <w:tcW w:w="2694" w:type="dxa"/>
            <w:tcBorders>
              <w:top w:val="single" w:sz="8" w:space="0" w:color="969696"/>
              <w:left w:val="thinThickMediumGap" w:sz="24" w:space="0" w:color="auto"/>
              <w:bottom w:val="single" w:sz="8" w:space="0" w:color="969696"/>
              <w:right w:val="single" w:sz="4" w:space="0" w:color="auto"/>
            </w:tcBorders>
            <w:vAlign w:val="bottom"/>
          </w:tcPr>
          <w:p w:rsidR="00F25110" w:rsidRPr="00BD7BB1" w:rsidRDefault="00F25110" w:rsidP="00F25110">
            <w:pPr>
              <w:spacing w:after="0" w:line="360" w:lineRule="auto"/>
              <w:jc w:val="both"/>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Област Сливен</w:t>
            </w:r>
          </w:p>
        </w:tc>
        <w:tc>
          <w:tcPr>
            <w:tcW w:w="1134" w:type="dxa"/>
            <w:tcBorders>
              <w:top w:val="single" w:sz="8" w:space="0" w:color="969696"/>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 xml:space="preserve">    7 876</w:t>
            </w:r>
          </w:p>
        </w:tc>
        <w:tc>
          <w:tcPr>
            <w:tcW w:w="1134" w:type="dxa"/>
            <w:tcBorders>
              <w:top w:val="single" w:sz="8" w:space="0" w:color="969696"/>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9 434</w:t>
            </w:r>
          </w:p>
        </w:tc>
        <w:tc>
          <w:tcPr>
            <w:tcW w:w="1134" w:type="dxa"/>
            <w:tcBorders>
              <w:top w:val="single" w:sz="8" w:space="0" w:color="969696"/>
              <w:left w:val="single" w:sz="4" w:space="0" w:color="auto"/>
              <w:bottom w:val="single" w:sz="8" w:space="0" w:color="969696"/>
              <w:right w:val="single" w:sz="8"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11 345</w:t>
            </w:r>
          </w:p>
        </w:tc>
        <w:tc>
          <w:tcPr>
            <w:tcW w:w="1134" w:type="dxa"/>
            <w:tcBorders>
              <w:top w:val="single" w:sz="8" w:space="0" w:color="969696"/>
              <w:left w:val="single" w:sz="8" w:space="0" w:color="969696"/>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10 991</w:t>
            </w:r>
          </w:p>
        </w:tc>
        <w:tc>
          <w:tcPr>
            <w:tcW w:w="1417" w:type="dxa"/>
            <w:tcBorders>
              <w:top w:val="single" w:sz="8" w:space="0" w:color="969696"/>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19 139</w:t>
            </w:r>
          </w:p>
        </w:tc>
        <w:tc>
          <w:tcPr>
            <w:tcW w:w="1135" w:type="dxa"/>
            <w:tcBorders>
              <w:top w:val="single" w:sz="8" w:space="0" w:color="969696"/>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 xml:space="preserve">  23 244</w:t>
            </w:r>
          </w:p>
        </w:tc>
        <w:tc>
          <w:tcPr>
            <w:tcW w:w="1200" w:type="dxa"/>
            <w:tcBorders>
              <w:top w:val="single" w:sz="8" w:space="0" w:color="969696"/>
              <w:left w:val="single" w:sz="4" w:space="0" w:color="auto"/>
              <w:bottom w:val="single" w:sz="8" w:space="0" w:color="969696"/>
              <w:right w:val="thinThickMediumGap" w:sz="24" w:space="0" w:color="auto"/>
            </w:tcBorders>
          </w:tcPr>
          <w:p w:rsidR="00F25110" w:rsidRPr="00BD7BB1" w:rsidRDefault="00F25110" w:rsidP="00F25110">
            <w:pPr>
              <w:spacing w:after="0" w:line="24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19 977</w:t>
            </w:r>
          </w:p>
        </w:tc>
      </w:tr>
      <w:tr w:rsidR="00F25110" w:rsidRPr="00BD7BB1" w:rsidTr="006614F6">
        <w:trPr>
          <w:trHeight w:val="225"/>
        </w:trPr>
        <w:tc>
          <w:tcPr>
            <w:tcW w:w="2694" w:type="dxa"/>
            <w:tcBorders>
              <w:top w:val="single" w:sz="8" w:space="0" w:color="969696"/>
              <w:left w:val="thinThickMediumGap" w:sz="24" w:space="0" w:color="auto"/>
              <w:bottom w:val="single" w:sz="8" w:space="0" w:color="969696"/>
              <w:right w:val="single" w:sz="4" w:space="0" w:color="auto"/>
            </w:tcBorders>
            <w:vAlign w:val="bottom"/>
          </w:tcPr>
          <w:p w:rsidR="00F25110" w:rsidRPr="00BD7BB1" w:rsidRDefault="00F25110" w:rsidP="00F25110">
            <w:pPr>
              <w:spacing w:after="0" w:line="360" w:lineRule="auto"/>
              <w:jc w:val="both"/>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 xml:space="preserve">Област Стара Загора </w:t>
            </w:r>
          </w:p>
        </w:tc>
        <w:tc>
          <w:tcPr>
            <w:tcW w:w="1134" w:type="dxa"/>
            <w:tcBorders>
              <w:top w:val="single" w:sz="8" w:space="0" w:color="969696"/>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106 739</w:t>
            </w:r>
          </w:p>
        </w:tc>
        <w:tc>
          <w:tcPr>
            <w:tcW w:w="1134" w:type="dxa"/>
            <w:tcBorders>
              <w:top w:val="single" w:sz="8" w:space="0" w:color="969696"/>
              <w:left w:val="single" w:sz="4" w:space="0" w:color="auto"/>
              <w:bottom w:val="single" w:sz="8" w:space="0" w:color="969696"/>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94 831</w:t>
            </w:r>
          </w:p>
        </w:tc>
        <w:tc>
          <w:tcPr>
            <w:tcW w:w="1134" w:type="dxa"/>
            <w:tcBorders>
              <w:top w:val="single" w:sz="8" w:space="0" w:color="969696"/>
              <w:left w:val="single" w:sz="4" w:space="0" w:color="auto"/>
              <w:bottom w:val="single" w:sz="8" w:space="0" w:color="969696"/>
              <w:right w:val="single" w:sz="8"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113 767</w:t>
            </w:r>
          </w:p>
        </w:tc>
        <w:tc>
          <w:tcPr>
            <w:tcW w:w="1134" w:type="dxa"/>
            <w:tcBorders>
              <w:top w:val="single" w:sz="8" w:space="0" w:color="969696"/>
              <w:left w:val="single" w:sz="8" w:space="0" w:color="969696"/>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71 762</w:t>
            </w:r>
          </w:p>
        </w:tc>
        <w:tc>
          <w:tcPr>
            <w:tcW w:w="1417" w:type="dxa"/>
            <w:tcBorders>
              <w:top w:val="single" w:sz="8" w:space="0" w:color="969696"/>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188 749</w:t>
            </w:r>
          </w:p>
        </w:tc>
        <w:tc>
          <w:tcPr>
            <w:tcW w:w="1135" w:type="dxa"/>
            <w:tcBorders>
              <w:top w:val="single" w:sz="8" w:space="0" w:color="969696"/>
              <w:left w:val="single" w:sz="4" w:space="0" w:color="auto"/>
              <w:bottom w:val="single" w:sz="8" w:space="0" w:color="969696"/>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 xml:space="preserve"> 102 315</w:t>
            </w:r>
          </w:p>
        </w:tc>
        <w:tc>
          <w:tcPr>
            <w:tcW w:w="1200" w:type="dxa"/>
            <w:tcBorders>
              <w:top w:val="single" w:sz="8" w:space="0" w:color="969696"/>
              <w:left w:val="single" w:sz="4" w:space="0" w:color="auto"/>
              <w:bottom w:val="single" w:sz="8" w:space="0" w:color="969696"/>
              <w:right w:val="thinThickMediumGap" w:sz="24" w:space="0" w:color="auto"/>
            </w:tcBorders>
          </w:tcPr>
          <w:p w:rsidR="00F25110" w:rsidRPr="00BD7BB1" w:rsidRDefault="00F25110" w:rsidP="00F25110">
            <w:pPr>
              <w:spacing w:after="0" w:line="24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86 246</w:t>
            </w:r>
          </w:p>
        </w:tc>
      </w:tr>
      <w:tr w:rsidR="00F25110" w:rsidRPr="00BD7BB1" w:rsidTr="006614F6">
        <w:trPr>
          <w:trHeight w:val="225"/>
        </w:trPr>
        <w:tc>
          <w:tcPr>
            <w:tcW w:w="2694" w:type="dxa"/>
            <w:tcBorders>
              <w:top w:val="single" w:sz="8" w:space="0" w:color="969696"/>
              <w:left w:val="thinThickMediumGap" w:sz="24" w:space="0" w:color="auto"/>
              <w:bottom w:val="thinThickMediumGap" w:sz="24" w:space="0" w:color="auto"/>
              <w:right w:val="single" w:sz="4" w:space="0" w:color="auto"/>
            </w:tcBorders>
            <w:vAlign w:val="bottom"/>
          </w:tcPr>
          <w:p w:rsidR="00F25110" w:rsidRPr="00BD7BB1" w:rsidRDefault="00F25110" w:rsidP="00F25110">
            <w:pPr>
              <w:spacing w:after="0" w:line="360" w:lineRule="auto"/>
              <w:jc w:val="both"/>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Област Ямбол</w:t>
            </w:r>
          </w:p>
        </w:tc>
        <w:tc>
          <w:tcPr>
            <w:tcW w:w="1134" w:type="dxa"/>
            <w:tcBorders>
              <w:top w:val="single" w:sz="8" w:space="0" w:color="969696"/>
              <w:left w:val="single" w:sz="4" w:space="0" w:color="auto"/>
              <w:bottom w:val="thinThickMediumGap" w:sz="24" w:space="0" w:color="auto"/>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 xml:space="preserve">    7 367</w:t>
            </w:r>
          </w:p>
        </w:tc>
        <w:tc>
          <w:tcPr>
            <w:tcW w:w="1134" w:type="dxa"/>
            <w:tcBorders>
              <w:top w:val="single" w:sz="8" w:space="0" w:color="969696"/>
              <w:left w:val="single" w:sz="4" w:space="0" w:color="auto"/>
              <w:bottom w:val="thinThickMediumGap" w:sz="24" w:space="0" w:color="auto"/>
              <w:right w:val="single" w:sz="4"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5 799</w:t>
            </w:r>
          </w:p>
        </w:tc>
        <w:tc>
          <w:tcPr>
            <w:tcW w:w="1134" w:type="dxa"/>
            <w:tcBorders>
              <w:top w:val="single" w:sz="8" w:space="0" w:color="969696"/>
              <w:left w:val="single" w:sz="4" w:space="0" w:color="auto"/>
              <w:bottom w:val="thinThickMediumGap" w:sz="24" w:space="0" w:color="auto"/>
              <w:right w:val="single" w:sz="8" w:space="0" w:color="auto"/>
            </w:tcBorders>
            <w:shd w:val="clear" w:color="auto" w:fill="auto"/>
            <w:noWrap/>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8 773</w:t>
            </w:r>
          </w:p>
        </w:tc>
        <w:tc>
          <w:tcPr>
            <w:tcW w:w="1134" w:type="dxa"/>
            <w:tcBorders>
              <w:top w:val="single" w:sz="8" w:space="0" w:color="969696"/>
              <w:left w:val="single" w:sz="8" w:space="0" w:color="969696"/>
              <w:bottom w:val="thinThickMediumGap" w:sz="24" w:space="0" w:color="auto"/>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8 301</w:t>
            </w:r>
          </w:p>
        </w:tc>
        <w:tc>
          <w:tcPr>
            <w:tcW w:w="1417" w:type="dxa"/>
            <w:tcBorders>
              <w:top w:val="single" w:sz="8" w:space="0" w:color="969696"/>
              <w:left w:val="single" w:sz="4" w:space="0" w:color="auto"/>
              <w:bottom w:val="thinThickMediumGap" w:sz="24" w:space="0" w:color="auto"/>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7 746</w:t>
            </w:r>
          </w:p>
        </w:tc>
        <w:tc>
          <w:tcPr>
            <w:tcW w:w="1135" w:type="dxa"/>
            <w:tcBorders>
              <w:top w:val="single" w:sz="8" w:space="0" w:color="969696"/>
              <w:left w:val="single" w:sz="4" w:space="0" w:color="auto"/>
              <w:bottom w:val="thinThickMediumGap" w:sz="24" w:space="0" w:color="auto"/>
              <w:right w:val="single" w:sz="4" w:space="0" w:color="auto"/>
            </w:tcBorders>
            <w:vAlign w:val="bottom"/>
          </w:tcPr>
          <w:p w:rsidR="00F25110" w:rsidRPr="00BD7BB1" w:rsidRDefault="00F25110" w:rsidP="00F25110">
            <w:pPr>
              <w:spacing w:after="0" w:line="36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 xml:space="preserve">   10 351</w:t>
            </w:r>
          </w:p>
        </w:tc>
        <w:tc>
          <w:tcPr>
            <w:tcW w:w="1200" w:type="dxa"/>
            <w:tcBorders>
              <w:top w:val="single" w:sz="8" w:space="0" w:color="969696"/>
              <w:left w:val="single" w:sz="4" w:space="0" w:color="auto"/>
              <w:bottom w:val="thinThickMediumGap" w:sz="24" w:space="0" w:color="auto"/>
              <w:right w:val="thinThickMediumGap" w:sz="24" w:space="0" w:color="auto"/>
            </w:tcBorders>
          </w:tcPr>
          <w:p w:rsidR="00F25110" w:rsidRPr="00BD7BB1" w:rsidRDefault="00F25110" w:rsidP="00F25110">
            <w:pPr>
              <w:spacing w:after="0" w:line="240" w:lineRule="auto"/>
              <w:jc w:val="right"/>
              <w:rPr>
                <w:rFonts w:ascii="Times New Roman" w:eastAsia="Times New Roman" w:hAnsi="Times New Roman"/>
                <w:color w:val="auto"/>
                <w:szCs w:val="22"/>
                <w:lang w:val="bg-BG" w:eastAsia="bg-BG"/>
              </w:rPr>
            </w:pPr>
            <w:r w:rsidRPr="00BD7BB1">
              <w:rPr>
                <w:rFonts w:ascii="Times New Roman" w:eastAsia="Times New Roman" w:hAnsi="Times New Roman"/>
                <w:color w:val="auto"/>
                <w:szCs w:val="22"/>
                <w:lang w:val="bg-BG" w:eastAsia="bg-BG"/>
              </w:rPr>
              <w:t>16 294</w:t>
            </w:r>
          </w:p>
        </w:tc>
      </w:tr>
    </w:tbl>
    <w:p w:rsidR="00F25110" w:rsidRPr="007764CE" w:rsidRDefault="00F25110" w:rsidP="00F25110">
      <w:pPr>
        <w:spacing w:after="0" w:line="360" w:lineRule="auto"/>
        <w:jc w:val="both"/>
        <w:rPr>
          <w:rFonts w:ascii="Times New Roman" w:eastAsia="Times New Roman" w:hAnsi="Times New Roman"/>
          <w:b/>
          <w:i/>
          <w:color w:val="9B2D1F" w:themeColor="accent2"/>
          <w:sz w:val="24"/>
          <w:szCs w:val="24"/>
          <w:lang w:eastAsia="bg-BG"/>
        </w:rPr>
      </w:pPr>
      <w:r w:rsidRPr="007764CE">
        <w:rPr>
          <w:rFonts w:ascii="Times New Roman" w:eastAsia="Times New Roman" w:hAnsi="Times New Roman"/>
          <w:b/>
          <w:i/>
          <w:color w:val="9B2D1F" w:themeColor="accent2"/>
          <w:sz w:val="24"/>
          <w:szCs w:val="24"/>
          <w:lang w:val="bg-BG" w:eastAsia="bg-BG"/>
        </w:rPr>
        <w:t>Източник:  Национален статистически институт</w:t>
      </w:r>
    </w:p>
    <w:p w:rsidR="00F25110" w:rsidRPr="007764CE" w:rsidRDefault="00F25110" w:rsidP="00F25110">
      <w:pPr>
        <w:spacing w:after="0" w:line="360" w:lineRule="auto"/>
        <w:jc w:val="both"/>
        <w:rPr>
          <w:rFonts w:ascii="Times New Roman" w:eastAsia="Times New Roman" w:hAnsi="Times New Roman"/>
          <w:b/>
          <w:i/>
          <w:color w:val="9B2D1F" w:themeColor="accent2"/>
          <w:sz w:val="24"/>
          <w:szCs w:val="24"/>
          <w:lang w:eastAsia="bg-BG"/>
        </w:rPr>
      </w:pP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i/>
          <w:color w:val="auto"/>
          <w:sz w:val="24"/>
          <w:szCs w:val="24"/>
          <w:lang w:val="bg-BG" w:eastAsia="bg-BG"/>
        </w:rPr>
        <w:t>Разходите за опазване на околната среда на човек от населението</w:t>
      </w:r>
      <w:r w:rsidRPr="00BD7BB1">
        <w:rPr>
          <w:rFonts w:ascii="Times New Roman" w:eastAsia="Times New Roman" w:hAnsi="Times New Roman"/>
          <w:color w:val="auto"/>
          <w:sz w:val="24"/>
          <w:szCs w:val="24"/>
          <w:lang w:val="bg-BG" w:eastAsia="bg-BG"/>
        </w:rPr>
        <w:t xml:space="preserve"> за  2013 г. в ЮИР  възлизат на 416 лв. при среден показател за страната 290 лв., като с най- висок дял</w:t>
      </w:r>
      <w:r w:rsidRPr="00BD7BB1">
        <w:rPr>
          <w:rFonts w:ascii="Times New Roman" w:eastAsia="Times New Roman" w:hAnsi="Times New Roman"/>
          <w:color w:val="auto"/>
          <w:sz w:val="24"/>
          <w:szCs w:val="24"/>
          <w:lang w:val="ru-RU" w:eastAsia="bg-BG"/>
        </w:rPr>
        <w:t xml:space="preserve"> </w:t>
      </w:r>
      <w:r w:rsidRPr="00BD7BB1">
        <w:rPr>
          <w:rFonts w:ascii="Times New Roman" w:eastAsia="Times New Roman" w:hAnsi="Times New Roman"/>
          <w:color w:val="auto"/>
          <w:sz w:val="24"/>
          <w:szCs w:val="24"/>
          <w:lang w:val="bg-BG" w:eastAsia="bg-BG"/>
        </w:rPr>
        <w:t xml:space="preserve"> в района е област Бургас с 771 лв., следвана от област  Стара Загора с 263 лв., област Сливен с 103 лв. и област Ямбол  с 128 лв.  </w:t>
      </w:r>
    </w:p>
    <w:p w:rsidR="00F25110" w:rsidRPr="00BD7BB1" w:rsidRDefault="00F25110" w:rsidP="00F25110">
      <w:pPr>
        <w:spacing w:after="0" w:line="360" w:lineRule="auto"/>
        <w:ind w:firstLine="426"/>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През 2013 г. общите разходи за опазване и възстановяване на околната среда в страната са разпределени по съответни основни направления </w:t>
      </w:r>
      <w:r w:rsidR="00FD6220">
        <w:rPr>
          <w:rFonts w:ascii="Times New Roman" w:eastAsia="Times New Roman" w:hAnsi="Times New Roman"/>
          <w:color w:val="auto"/>
          <w:sz w:val="24"/>
          <w:szCs w:val="24"/>
          <w:lang w:val="bg-BG" w:eastAsia="bg-BG"/>
        </w:rPr>
        <w:t xml:space="preserve">и </w:t>
      </w:r>
      <w:r w:rsidRPr="00BD7BB1">
        <w:rPr>
          <w:rFonts w:ascii="Times New Roman" w:eastAsia="Times New Roman" w:hAnsi="Times New Roman"/>
          <w:color w:val="auto"/>
          <w:sz w:val="24"/>
          <w:szCs w:val="24"/>
          <w:lang w:val="bg-BG" w:eastAsia="bg-BG"/>
        </w:rPr>
        <w:t xml:space="preserve">са общо 2 098 906 хил.лв., </w:t>
      </w:r>
      <w:r w:rsidRPr="00BD7BB1">
        <w:rPr>
          <w:rFonts w:ascii="Times New Roman" w:eastAsia="Times New Roman" w:hAnsi="Times New Roman"/>
          <w:color w:val="auto"/>
          <w:sz w:val="24"/>
          <w:szCs w:val="24"/>
          <w:lang w:val="bg-BG" w:eastAsia="bg-BG"/>
        </w:rPr>
        <w:lastRenderedPageBreak/>
        <w:t xml:space="preserve">както с най-голям дял се открояват разходите за оползотворяване и обезвреждане на отпадъците  1 174 316 хил.лв. (56%), следвани от разходите за пречистване на отпадъчните води 459 021 хил.лв. (22 %), и за опазване на чистотата на въздуха  273 309 хил.лв. (13 %). </w:t>
      </w:r>
    </w:p>
    <w:p w:rsidR="00F25110" w:rsidRPr="00BD7BB1" w:rsidRDefault="00F25110" w:rsidP="00F25110">
      <w:pPr>
        <w:spacing w:after="0" w:line="360" w:lineRule="auto"/>
        <w:jc w:val="both"/>
        <w:rPr>
          <w:rFonts w:ascii="Times New Roman" w:eastAsia="Times New Roman" w:hAnsi="Times New Roman"/>
          <w:color w:val="auto"/>
          <w:sz w:val="24"/>
          <w:szCs w:val="24"/>
          <w:lang w:val="bg-BG" w:eastAsia="bg-BG"/>
        </w:rPr>
      </w:pPr>
    </w:p>
    <w:p w:rsidR="00F25110" w:rsidRPr="00BD7BB1" w:rsidRDefault="00F25110" w:rsidP="00F25110">
      <w:pPr>
        <w:spacing w:after="0" w:line="360" w:lineRule="auto"/>
        <w:ind w:firstLine="426"/>
        <w:jc w:val="both"/>
        <w:rPr>
          <w:rFonts w:ascii="Times New Roman" w:eastAsia="Times New Roman" w:hAnsi="Times New Roman"/>
          <w:color w:val="auto"/>
          <w:sz w:val="24"/>
          <w:szCs w:val="24"/>
          <w:lang w:val="bg-BG" w:eastAsia="bg-BG"/>
        </w:rPr>
      </w:pPr>
    </w:p>
    <w:p w:rsidR="00F25110" w:rsidRPr="00B535EF" w:rsidRDefault="00F25110" w:rsidP="00F25110">
      <w:pPr>
        <w:spacing w:after="0" w:line="360" w:lineRule="auto"/>
        <w:jc w:val="both"/>
        <w:rPr>
          <w:rFonts w:ascii="Times New Roman" w:eastAsia="Times New Roman" w:hAnsi="Times New Roman"/>
          <w:b/>
          <w:color w:val="9B2D1F" w:themeColor="accent2"/>
          <w:sz w:val="24"/>
          <w:szCs w:val="24"/>
          <w:lang w:val="bg-BG" w:eastAsia="bg-BG"/>
        </w:rPr>
      </w:pPr>
      <w:r w:rsidRPr="00B535EF">
        <w:rPr>
          <w:rFonts w:ascii="Times New Roman" w:eastAsia="Times New Roman" w:hAnsi="Times New Roman"/>
          <w:b/>
          <w:color w:val="9B2D1F" w:themeColor="accent2"/>
          <w:sz w:val="24"/>
          <w:szCs w:val="24"/>
          <w:lang w:val="bg-BG" w:eastAsia="bg-BG"/>
        </w:rPr>
        <w:t>2.</w:t>
      </w:r>
      <w:r w:rsidR="00B535EF">
        <w:rPr>
          <w:rFonts w:ascii="Times New Roman" w:eastAsia="Times New Roman" w:hAnsi="Times New Roman"/>
          <w:b/>
          <w:color w:val="9B2D1F" w:themeColor="accent2"/>
          <w:sz w:val="24"/>
          <w:szCs w:val="24"/>
          <w:lang w:val="bg-BG" w:eastAsia="bg-BG"/>
        </w:rPr>
        <w:t xml:space="preserve"> </w:t>
      </w:r>
      <w:r w:rsidR="00B535EF" w:rsidRPr="00B535EF">
        <w:rPr>
          <w:rFonts w:ascii="Times New Roman" w:eastAsia="Times New Roman" w:hAnsi="Times New Roman"/>
          <w:b/>
          <w:color w:val="9B2D1F" w:themeColor="accent2"/>
          <w:sz w:val="24"/>
          <w:szCs w:val="24"/>
          <w:lang w:val="bg-BG" w:eastAsia="bg-BG"/>
        </w:rPr>
        <w:t>Промени в политиките за развитие на европейско, национално, регионално и местно ниво</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Важните стратегически планови документи на ниво ЕС и България, определящи насоките на кохезионната политика за балансирано и устойчиво развитие на регионите, в т.ч. и формиране на политиките за развитие на районите от ниво 2 са следните:</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p>
    <w:p w:rsidR="00F25110" w:rsidRPr="00BD7BB1" w:rsidRDefault="006A702A" w:rsidP="00F25110">
      <w:pPr>
        <w:spacing w:after="0" w:line="360" w:lineRule="auto"/>
        <w:ind w:firstLine="708"/>
        <w:jc w:val="both"/>
        <w:rPr>
          <w:rFonts w:ascii="Times New Roman" w:eastAsia="Times New Roman" w:hAnsi="Times New Roman"/>
          <w:b/>
          <w:color w:val="auto"/>
          <w:sz w:val="24"/>
          <w:szCs w:val="24"/>
          <w:u w:val="single"/>
          <w:lang w:val="bg-BG" w:eastAsia="bg-BG"/>
        </w:rPr>
      </w:pPr>
      <w:r w:rsidRPr="00BD7BB1">
        <w:rPr>
          <w:rFonts w:ascii="Times New Roman" w:eastAsia="Times New Roman" w:hAnsi="Times New Roman"/>
          <w:b/>
          <w:color w:val="auto"/>
          <w:sz w:val="24"/>
          <w:szCs w:val="24"/>
          <w:u w:val="single"/>
          <w:lang w:val="bg-BG" w:eastAsia="bg-BG"/>
        </w:rPr>
        <w:t>Европейско и национално ниво</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Стратегия „Европа 2020” за интелигентен, устойчив и приобщаващ растеж</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ru-RU" w:eastAsia="bg-BG"/>
        </w:rPr>
        <w:t xml:space="preserve">е основополагащ документ за икономическо, социално и териториално сближаване. Тя </w:t>
      </w:r>
      <w:r w:rsidRPr="00BD7BB1">
        <w:rPr>
          <w:rFonts w:ascii="Times New Roman" w:eastAsia="Times New Roman" w:hAnsi="Times New Roman"/>
          <w:color w:val="auto"/>
          <w:sz w:val="24"/>
          <w:szCs w:val="24"/>
          <w:lang w:val="bg-BG" w:eastAsia="bg-BG"/>
        </w:rPr>
        <w:t>цели повишаване на конкурентоспособността на ЕС, постигане на икономически растеж, висока заетост, производителност и социално сближаване. Новата стратегия на ЕС за растеж и заетост „Европа 2020” предлага дългосрочна визия за развитието на социално-ориентирана пазарна икономика в ЕС до 2020 г. и определя в голяма степен рамката на бъдещото икономическо развитие на България и районите от ниво 2. По смисъл тя представлява актуализация на Лисабонската стратегия на ЕС, като определя нови актуални пет амбициозни цели – в областта на заетостта, иновациите, образованието, социалното приобщаване и климата/енергията, които трябва да бъдат постигнати до 2020 г. Всяка държава-членка приема свои собствени национални цели във всяка от тези области. Конкретни действия на равнище ЕС и на национално равнище служат за основа на стратегията. Отчитането на стратегическата ориентация на Стратегията  Европа 2020 от Регионалния план за развитие на ЮИР дава основание за постигане на по-висок икономически растеж и създаване на нови работни места в ЮИР.</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ru-RU" w:eastAsia="bg-BG"/>
        </w:rPr>
      </w:pPr>
      <w:r w:rsidRPr="00BD7BB1">
        <w:rPr>
          <w:rFonts w:ascii="Times New Roman" w:eastAsia="Times New Roman" w:hAnsi="Times New Roman"/>
          <w:b/>
          <w:color w:val="auto"/>
          <w:sz w:val="24"/>
          <w:szCs w:val="24"/>
          <w:lang w:val="ru-RU" w:eastAsia="bg-BG"/>
        </w:rPr>
        <w:t>Териториален дневен ред на ЕС 2020</w:t>
      </w:r>
      <w:r w:rsidRPr="00BD7BB1">
        <w:rPr>
          <w:rFonts w:ascii="Times New Roman" w:eastAsia="Times New Roman" w:hAnsi="Times New Roman"/>
          <w:color w:val="auto"/>
          <w:sz w:val="24"/>
          <w:szCs w:val="24"/>
          <w:lang w:val="ru-RU" w:eastAsia="bg-BG"/>
        </w:rPr>
        <w:t xml:space="preserve"> –  документ</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ru-RU" w:eastAsia="bg-BG"/>
        </w:rPr>
        <w:t>декларация за политическо съгласие със Стратегия „Европа 2020”, надграждащ я с условията за реализация</w:t>
      </w:r>
      <w:r w:rsidRPr="00BD7BB1">
        <w:rPr>
          <w:rFonts w:ascii="Times New Roman" w:eastAsia="Times New Roman" w:hAnsi="Times New Roman"/>
          <w:color w:val="auto"/>
          <w:sz w:val="24"/>
          <w:szCs w:val="24"/>
          <w:lang w:val="bg-BG" w:eastAsia="bg-BG"/>
        </w:rPr>
        <w:t xml:space="preserve">, като </w:t>
      </w:r>
      <w:r w:rsidRPr="00BD7BB1">
        <w:rPr>
          <w:rFonts w:ascii="Times New Roman" w:eastAsia="Times New Roman" w:hAnsi="Times New Roman"/>
          <w:color w:val="auto"/>
          <w:sz w:val="24"/>
          <w:szCs w:val="24"/>
          <w:lang w:val="ru-RU" w:eastAsia="bg-BG"/>
        </w:rPr>
        <w:t>се отч</w:t>
      </w:r>
      <w:r w:rsidRPr="00BD7BB1">
        <w:rPr>
          <w:rFonts w:ascii="Times New Roman" w:eastAsia="Times New Roman" w:hAnsi="Times New Roman"/>
          <w:color w:val="auto"/>
          <w:sz w:val="24"/>
          <w:szCs w:val="24"/>
          <w:lang w:val="bg-BG" w:eastAsia="bg-BG"/>
        </w:rPr>
        <w:t>и</w:t>
      </w:r>
      <w:r w:rsidRPr="00BD7BB1">
        <w:rPr>
          <w:rFonts w:ascii="Times New Roman" w:eastAsia="Times New Roman" w:hAnsi="Times New Roman"/>
          <w:color w:val="auto"/>
          <w:sz w:val="24"/>
          <w:szCs w:val="24"/>
          <w:lang w:val="ru-RU" w:eastAsia="bg-BG"/>
        </w:rPr>
        <w:t>тат териториалните измерения, различните възможности и потенциали на регионите.</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eastAsia="bg-BG"/>
        </w:rPr>
      </w:pPr>
      <w:r w:rsidRPr="00BD7BB1">
        <w:rPr>
          <w:rFonts w:ascii="Times New Roman" w:eastAsia="Times New Roman" w:hAnsi="Times New Roman"/>
          <w:color w:val="auto"/>
          <w:sz w:val="24"/>
          <w:szCs w:val="24"/>
          <w:lang w:eastAsia="bg-BG"/>
        </w:rPr>
        <w:lastRenderedPageBreak/>
        <w:t>Препоръчва се: засилване на териториално сближаване на общоевропейско ниво, съдействие за териториално сближаване – трансгранично и транснационално</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eastAsia="bg-BG"/>
        </w:rPr>
        <w:t xml:space="preserve"> междурегионално в дадена страна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 xml:space="preserve"> вътрешно-регионално в отделните райони.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eastAsia="bg-BG"/>
        </w:rPr>
        <w:t xml:space="preserve">Акцентира се върху въвеждането на принципите на </w:t>
      </w:r>
      <w:r w:rsidRPr="00BD7BB1">
        <w:rPr>
          <w:rFonts w:ascii="Times New Roman" w:eastAsia="Times New Roman" w:hAnsi="Times New Roman"/>
          <w:i/>
          <w:iCs/>
          <w:color w:val="auto"/>
          <w:sz w:val="24"/>
          <w:szCs w:val="24"/>
          <w:lang w:eastAsia="bg-BG"/>
        </w:rPr>
        <w:t xml:space="preserve">териториалното сближаване </w:t>
      </w:r>
      <w:r w:rsidRPr="00BD7BB1">
        <w:rPr>
          <w:rFonts w:ascii="Times New Roman" w:eastAsia="Times New Roman" w:hAnsi="Times New Roman"/>
          <w:color w:val="auto"/>
          <w:sz w:val="24"/>
          <w:szCs w:val="24"/>
          <w:lang w:eastAsia="bg-BG"/>
        </w:rPr>
        <w:t xml:space="preserve">в националните интегрирани политики за развитие и в механизмите за пространствено планиране.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Политиката на сближаване на ЕС чрез Стратегическата рамка на Европейската комисия за периода 2014-2020 г. си поставя ясни цели за следващия програмен период в държавите-членки и техните региони. </w:t>
      </w:r>
      <w:r w:rsidRPr="00BD7BB1">
        <w:rPr>
          <w:rFonts w:ascii="Times New Roman" w:eastAsia="Times New Roman" w:hAnsi="Times New Roman"/>
          <w:b/>
          <w:bCs/>
          <w:color w:val="auto"/>
          <w:sz w:val="24"/>
          <w:szCs w:val="24"/>
          <w:lang w:val="bg-BG" w:eastAsia="bg-BG"/>
        </w:rPr>
        <w:t xml:space="preserve">Общата стратегическа рамка </w:t>
      </w:r>
      <w:r w:rsidRPr="00BD7BB1">
        <w:rPr>
          <w:rFonts w:ascii="Times New Roman" w:eastAsia="Times New Roman" w:hAnsi="Times New Roman"/>
          <w:b/>
          <w:bCs/>
          <w:iCs/>
          <w:color w:val="auto"/>
          <w:sz w:val="24"/>
          <w:szCs w:val="24"/>
          <w:lang w:val="bg-BG" w:eastAsia="bg-BG"/>
        </w:rPr>
        <w:t>за периода 2014-2020 г.</w:t>
      </w:r>
      <w:r w:rsidRPr="00BD7BB1">
        <w:rPr>
          <w:rFonts w:ascii="Times New Roman" w:eastAsia="Times New Roman" w:hAnsi="Times New Roman"/>
          <w:color w:val="auto"/>
          <w:sz w:val="24"/>
          <w:szCs w:val="24"/>
          <w:lang w:val="bg-BG" w:eastAsia="bg-BG"/>
        </w:rPr>
        <w:t xml:space="preserve">  описва инвестиционни приоритети и основни действия, като заменя текущите отделни набори от стратегически насоки за политиката на сближаване, политиката за развитие на селските райони, политиката за рибарство и морската политика. </w:t>
      </w:r>
      <w:r w:rsidRPr="00BD7BB1">
        <w:rPr>
          <w:rFonts w:ascii="Times New Roman" w:eastAsia="Times New Roman" w:hAnsi="Times New Roman"/>
          <w:bCs/>
          <w:color w:val="auto"/>
          <w:sz w:val="24"/>
          <w:szCs w:val="24"/>
          <w:lang w:val="bg-BG" w:eastAsia="bg-BG"/>
        </w:rPr>
        <w:t xml:space="preserve">Общата стратегическа рамка </w:t>
      </w:r>
      <w:r w:rsidRPr="00BD7BB1">
        <w:rPr>
          <w:rFonts w:ascii="Times New Roman" w:eastAsia="Times New Roman" w:hAnsi="Times New Roman"/>
          <w:bCs/>
          <w:iCs/>
          <w:color w:val="auto"/>
          <w:sz w:val="24"/>
          <w:szCs w:val="24"/>
          <w:lang w:val="bg-BG" w:eastAsia="bg-BG"/>
        </w:rPr>
        <w:t>за периода 2014-2020 г.</w:t>
      </w:r>
      <w:r w:rsidRPr="00BD7BB1">
        <w:rPr>
          <w:rFonts w:ascii="Times New Roman" w:eastAsia="Times New Roman" w:hAnsi="Times New Roman"/>
          <w:color w:val="auto"/>
          <w:sz w:val="24"/>
          <w:szCs w:val="24"/>
          <w:lang w:val="bg-BG" w:eastAsia="bg-BG"/>
        </w:rPr>
        <w:t xml:space="preserve"> гарантира постигането на целите на </w:t>
      </w:r>
      <w:r w:rsidRPr="00BD7BB1">
        <w:rPr>
          <w:rFonts w:ascii="Times New Roman" w:eastAsia="Times New Roman" w:hAnsi="Times New Roman"/>
          <w:b/>
          <w:bCs/>
          <w:color w:val="auto"/>
          <w:sz w:val="24"/>
          <w:szCs w:val="24"/>
          <w:lang w:val="bg-BG" w:eastAsia="bg-BG"/>
        </w:rPr>
        <w:t>Стратегията „Европа 2020”</w:t>
      </w:r>
      <w:r w:rsidRPr="00BD7BB1">
        <w:rPr>
          <w:rFonts w:ascii="Times New Roman" w:eastAsia="Times New Roman" w:hAnsi="Times New Roman"/>
          <w:color w:val="auto"/>
          <w:sz w:val="24"/>
          <w:szCs w:val="24"/>
          <w:lang w:val="bg-BG" w:eastAsia="bg-BG"/>
        </w:rPr>
        <w:t xml:space="preserve"> чрез постигане на въздействие при съчетаване прилагането на различните фондове (ЕФРР, ЕСФ, Кохезионен фонд, ЕЗФРСР и ЕФМДР). Националните, регионалните и местни власти използват тази рамка като основа за изготвяне на </w:t>
      </w:r>
      <w:r w:rsidRPr="00BD7BB1">
        <w:rPr>
          <w:rFonts w:ascii="Times New Roman" w:eastAsia="Times New Roman" w:hAnsi="Times New Roman"/>
          <w:b/>
          <w:color w:val="auto"/>
          <w:sz w:val="24"/>
          <w:szCs w:val="24"/>
          <w:lang w:val="bg-BG" w:eastAsia="bg-BG"/>
        </w:rPr>
        <w:t>Споразумение за партньорство</w:t>
      </w:r>
      <w:r w:rsidRPr="00BD7BB1">
        <w:rPr>
          <w:rFonts w:ascii="Times New Roman" w:eastAsia="Times New Roman" w:hAnsi="Times New Roman"/>
          <w:color w:val="auto"/>
          <w:sz w:val="24"/>
          <w:szCs w:val="24"/>
          <w:lang w:val="bg-BG" w:eastAsia="bg-BG"/>
        </w:rPr>
        <w:t xml:space="preserve"> с Комисията, поемайки ангажимент за принос към постигането на общоевропейските цели в Стратегия Европа 2020.</w:t>
      </w:r>
    </w:p>
    <w:p w:rsidR="00F25110" w:rsidRPr="00BD7BB1" w:rsidRDefault="00F25110" w:rsidP="00F25110">
      <w:pPr>
        <w:spacing w:after="0" w:line="360" w:lineRule="auto"/>
        <w:ind w:firstLine="708"/>
        <w:jc w:val="both"/>
        <w:rPr>
          <w:rFonts w:ascii="Times New Roman" w:eastAsia="Times New Roman" w:hAnsi="Times New Roman"/>
          <w:b/>
          <w:bCs/>
          <w:color w:val="auto"/>
          <w:sz w:val="24"/>
          <w:szCs w:val="24"/>
          <w:lang w:eastAsia="bg-BG"/>
        </w:rPr>
      </w:pPr>
      <w:r w:rsidRPr="00BD7BB1">
        <w:rPr>
          <w:rFonts w:ascii="Times New Roman" w:eastAsia="Times New Roman" w:hAnsi="Times New Roman"/>
          <w:b/>
          <w:bCs/>
          <w:color w:val="auto"/>
          <w:sz w:val="24"/>
          <w:szCs w:val="24"/>
          <w:lang w:eastAsia="bg-BG"/>
        </w:rPr>
        <w:t>Споразумение за партньорство на Република България, очертаващо помощта от Европейските структурни и инвестиционни фондове за периода 2014-2020 г.</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eastAsia="bg-BG"/>
        </w:rPr>
      </w:pPr>
      <w:r w:rsidRPr="00BD7BB1">
        <w:rPr>
          <w:rFonts w:ascii="Times New Roman" w:eastAsia="Times New Roman" w:hAnsi="Times New Roman"/>
          <w:color w:val="auto"/>
          <w:sz w:val="24"/>
          <w:szCs w:val="24"/>
          <w:lang w:eastAsia="bg-BG"/>
        </w:rPr>
        <w:t> Документът е приет с Решение № 532 на Министерския съвет от 21.07.2014 г.</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 xml:space="preserve">Споразумението за партньорство е документът, който определя целите и приоритетите на Република България при използване на средствата от Европейските структурни и инвестиционни фондове за програмния период 2014-2020 г., като очертава основните инвестиционни сфери и дейностите за постигане на устойчив, приобщаващ и интелигентен растеж. Споразумението е разработено при спазване на принципите на партньорство и прозрачност, осигуряващи участие на социално-икономическите партньори, местните власти, неправителствените организации, академичната общност и гражданите. Споразумението за партньорство е ясен план за инвестиции и реформи, които ще допринесат за устойчив икономически растеж и повишаване качеството на живот на </w:t>
      </w:r>
      <w:r w:rsidRPr="00BD7BB1">
        <w:rPr>
          <w:rFonts w:ascii="Times New Roman" w:eastAsia="Times New Roman" w:hAnsi="Times New Roman"/>
          <w:color w:val="auto"/>
          <w:sz w:val="24"/>
          <w:szCs w:val="24"/>
          <w:lang w:eastAsia="bg-BG"/>
        </w:rPr>
        <w:lastRenderedPageBreak/>
        <w:t>българските граждани. Дейностите, предвидени в него, са основата за ефективното и качествено използване  на Европейските структурни и инвестиционни фондове.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eastAsia="bg-BG"/>
        </w:rPr>
        <w:t>Споразумението за партньорство на Република България, очертаващо помощта от Европейските структурни и инвестиционни фондове за периода 2014-2020 г. е одобрено от Европейската комисия на 07.08.2014 г.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25110" w:rsidRPr="00BD7BB1" w:rsidTr="006614F6">
        <w:trPr>
          <w:tblCellSpacing w:w="15" w:type="dxa"/>
        </w:trPr>
        <w:tc>
          <w:tcPr>
            <w:tcW w:w="0" w:type="auto"/>
            <w:vAlign w:val="center"/>
            <w:hideMark/>
          </w:tcPr>
          <w:p w:rsidR="00F25110" w:rsidRPr="00BD7BB1" w:rsidRDefault="00F25110" w:rsidP="00F25110">
            <w:pPr>
              <w:spacing w:after="0" w:line="360" w:lineRule="auto"/>
              <w:jc w:val="both"/>
              <w:rPr>
                <w:rFonts w:ascii="Times New Roman" w:eastAsia="Times New Roman" w:hAnsi="Times New Roman"/>
                <w:color w:val="auto"/>
                <w:sz w:val="24"/>
                <w:szCs w:val="24"/>
                <w:lang w:val="bg-BG" w:eastAsia="bg-BG"/>
              </w:rPr>
            </w:pPr>
          </w:p>
        </w:tc>
      </w:tr>
      <w:tr w:rsidR="00F25110" w:rsidRPr="00BD7BB1" w:rsidTr="006614F6">
        <w:trPr>
          <w:tblCellSpacing w:w="15" w:type="dxa"/>
        </w:trPr>
        <w:tc>
          <w:tcPr>
            <w:tcW w:w="0" w:type="auto"/>
            <w:vAlign w:val="center"/>
            <w:hideMark/>
          </w:tcPr>
          <w:p w:rsidR="00F25110" w:rsidRPr="00BD7BB1" w:rsidRDefault="00F25110" w:rsidP="00F25110">
            <w:pPr>
              <w:spacing w:after="0" w:line="360" w:lineRule="auto"/>
              <w:ind w:firstLine="708"/>
              <w:jc w:val="both"/>
              <w:rPr>
                <w:rFonts w:ascii="Times New Roman" w:eastAsia="Times New Roman" w:hAnsi="Times New Roman"/>
                <w:color w:val="auto"/>
                <w:sz w:val="24"/>
                <w:szCs w:val="24"/>
                <w:lang w:eastAsia="bg-BG"/>
              </w:rPr>
            </w:pPr>
          </w:p>
        </w:tc>
      </w:tr>
    </w:tbl>
    <w:p w:rsidR="00F25110" w:rsidRPr="00BD7BB1" w:rsidRDefault="00F25110" w:rsidP="00F25110">
      <w:pPr>
        <w:spacing w:after="0" w:line="360" w:lineRule="auto"/>
        <w:ind w:firstLine="708"/>
        <w:jc w:val="both"/>
        <w:rPr>
          <w:rFonts w:ascii="Times New Roman" w:eastAsia="Times New Roman" w:hAnsi="Times New Roman"/>
          <w:b/>
          <w:color w:val="auto"/>
          <w:sz w:val="24"/>
          <w:szCs w:val="24"/>
          <w:u w:val="single"/>
          <w:lang w:val="bg-BG" w:eastAsia="bg-BG"/>
        </w:rPr>
      </w:pPr>
      <w:r w:rsidRPr="00BD7BB1">
        <w:rPr>
          <w:rFonts w:ascii="Times New Roman" w:eastAsia="Times New Roman" w:hAnsi="Times New Roman"/>
          <w:color w:val="auto"/>
          <w:sz w:val="24"/>
          <w:szCs w:val="24"/>
          <w:lang w:val="bg-BG" w:eastAsia="bg-BG"/>
        </w:rPr>
        <w:t xml:space="preserve">През септември 2014г. е одобрена </w:t>
      </w:r>
      <w:r w:rsidRPr="00BD7BB1">
        <w:rPr>
          <w:rFonts w:ascii="Times New Roman" w:eastAsia="Times New Roman" w:hAnsi="Times New Roman"/>
          <w:b/>
          <w:color w:val="auto"/>
          <w:sz w:val="24"/>
          <w:szCs w:val="24"/>
          <w:lang w:val="bg-BG" w:eastAsia="bg-BG"/>
        </w:rPr>
        <w:t>Национална комуникационна стратегия за програмен период 2014-2020 г.</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Националната комуникационна стратегия на оперативните програми за програмен период 2014-2020</w:t>
      </w:r>
      <w:r w:rsidR="00B733CA">
        <w:rPr>
          <w:rFonts w:ascii="Times New Roman" w:eastAsia="Times New Roman" w:hAnsi="Times New Roman"/>
          <w:color w:val="auto"/>
          <w:sz w:val="24"/>
          <w:szCs w:val="24"/>
          <w:lang w:val="bg-BG" w:eastAsia="bg-BG"/>
        </w:rPr>
        <w:t xml:space="preserve"> г.</w:t>
      </w:r>
      <w:r w:rsidRPr="00BD7BB1">
        <w:rPr>
          <w:rFonts w:ascii="Times New Roman" w:eastAsia="Times New Roman" w:hAnsi="Times New Roman"/>
          <w:color w:val="auto"/>
          <w:sz w:val="24"/>
          <w:szCs w:val="24"/>
          <w:lang w:val="bg-BG" w:eastAsia="bg-BG"/>
        </w:rPr>
        <w:t xml:space="preserve"> определя рамката за стратегическа комуникация за програмния период 2014-2020 г. като част от междуинституционалния процес на взаимодействие и основавайки се на насоките, залегнали в тази стратегия. НКС е разработена в съответствие с чл. 116 от Регламент 1303 на Европейския парламент и на Съвета от 17.12.2013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и Кохезионния фонд и Европейския фонд за морско дело и рибарство и за отмяна на Регламент (ЕО) № 1083/2006 на Съвета.</w:t>
      </w:r>
    </w:p>
    <w:p w:rsidR="00F25110" w:rsidRPr="00BD7BB1" w:rsidRDefault="00F25110" w:rsidP="00F25110">
      <w:pPr>
        <w:spacing w:after="0" w:line="360" w:lineRule="auto"/>
        <w:ind w:firstLine="708"/>
        <w:jc w:val="both"/>
        <w:rPr>
          <w:rFonts w:ascii="Times New Roman" w:eastAsia="SimSu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Националната програма за реформи</w:t>
      </w:r>
      <w:r w:rsidRPr="00BD7BB1">
        <w:rPr>
          <w:rFonts w:ascii="Times New Roman" w:eastAsia="Times New Roman" w:hAnsi="Times New Roman"/>
          <w:color w:val="auto"/>
          <w:sz w:val="24"/>
          <w:szCs w:val="24"/>
          <w:lang w:val="bg-BG" w:eastAsia="bg-BG"/>
        </w:rPr>
        <w:t xml:space="preserve"> (НПР) </w:t>
      </w:r>
      <w:r w:rsidRPr="00BD7BB1">
        <w:rPr>
          <w:rFonts w:ascii="Times New Roman" w:eastAsia="Times New Roman" w:hAnsi="Times New Roman"/>
          <w:b/>
          <w:color w:val="auto"/>
          <w:sz w:val="24"/>
          <w:szCs w:val="24"/>
          <w:lang w:val="bg-BG" w:eastAsia="bg-BG"/>
        </w:rPr>
        <w:t xml:space="preserve">на Република България в изпълнение на Стратегията „Европа 2020“. </w:t>
      </w:r>
      <w:r w:rsidRPr="00BD7BB1">
        <w:rPr>
          <w:rFonts w:ascii="Times New Roman" w:eastAsia="SimSun" w:hAnsi="Times New Roman"/>
          <w:bCs/>
          <w:color w:val="auto"/>
          <w:sz w:val="24"/>
          <w:szCs w:val="24"/>
          <w:lang w:val="bg-BG" w:eastAsia="bg-BG"/>
        </w:rPr>
        <w:t xml:space="preserve">НПР: България 2020 </w:t>
      </w:r>
      <w:r w:rsidRPr="00BD7BB1">
        <w:rPr>
          <w:rFonts w:ascii="Times New Roman" w:eastAsia="SimSun" w:hAnsi="Times New Roman"/>
          <w:color w:val="auto"/>
          <w:sz w:val="24"/>
          <w:szCs w:val="24"/>
          <w:lang w:val="bg-BG" w:eastAsia="bg-BG"/>
        </w:rPr>
        <w:t xml:space="preserve">е </w:t>
      </w:r>
      <w:r w:rsidRPr="00BD7BB1">
        <w:rPr>
          <w:rFonts w:ascii="Times New Roman" w:eastAsia="Times New Roman" w:hAnsi="Times New Roman"/>
          <w:color w:val="auto"/>
          <w:sz w:val="24"/>
          <w:szCs w:val="24"/>
          <w:lang w:val="bg-BG" w:eastAsia="bg-BG"/>
        </w:rPr>
        <w:t xml:space="preserve">интегриран </w:t>
      </w:r>
      <w:r w:rsidRPr="00BD7BB1">
        <w:rPr>
          <w:rFonts w:ascii="Times New Roman" w:eastAsia="SimSun" w:hAnsi="Times New Roman"/>
          <w:color w:val="auto"/>
          <w:sz w:val="24"/>
          <w:szCs w:val="24"/>
          <w:lang w:val="bg-BG" w:eastAsia="bg-BG"/>
        </w:rPr>
        <w:t xml:space="preserve">рамков документ, очертаващ политиките за развитие на страната до 2020г. </w:t>
      </w:r>
      <w:r w:rsidRPr="00BD7BB1">
        <w:rPr>
          <w:rFonts w:ascii="Times New Roman" w:eastAsia="Times New Roman" w:hAnsi="Times New Roman"/>
          <w:color w:val="auto"/>
          <w:sz w:val="24"/>
          <w:szCs w:val="24"/>
          <w:lang w:val="bg-BG" w:eastAsia="bg-BG"/>
        </w:rPr>
        <w:t>НПР</w:t>
      </w:r>
      <w:r w:rsidRPr="00BD7BB1">
        <w:rPr>
          <w:rFonts w:ascii="Times New Roman" w:eastAsia="SimSun" w:hAnsi="Times New Roman"/>
          <w:color w:val="auto"/>
          <w:sz w:val="24"/>
          <w:szCs w:val="24"/>
          <w:lang w:val="bg-BG" w:eastAsia="bg-BG"/>
        </w:rPr>
        <w:t xml:space="preserve"> е водещ стратегически документ, чиито дефинирани визия, цели и приоритети се основават на подробен социално-икономически анализ и широкоспектърен обществен дебат за партньорство, които целят осигуряване на ускорен икономически растеж и повишаване на жизнения стандарт на българските граждани в средносрочен и дългосрочен план.</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eastAsia="bg-BG"/>
        </w:rPr>
      </w:pPr>
      <w:r w:rsidRPr="00BD7BB1">
        <w:rPr>
          <w:rFonts w:ascii="Times New Roman" w:eastAsia="Times New Roman" w:hAnsi="Times New Roman"/>
          <w:color w:val="auto"/>
          <w:sz w:val="24"/>
          <w:szCs w:val="24"/>
          <w:lang w:eastAsia="bg-BG"/>
        </w:rPr>
        <w:t>Актуализацията на Националната програма за реформи за 2014 г.</w:t>
      </w:r>
      <w:r w:rsidRPr="00BD7BB1">
        <w:rPr>
          <w:rFonts w:ascii="Times New Roman" w:eastAsia="Times New Roman" w:hAnsi="Times New Roman"/>
          <w:color w:val="auto"/>
          <w:sz w:val="24"/>
          <w:szCs w:val="24"/>
          <w:lang w:val="bg-BG" w:eastAsia="bg-BG"/>
        </w:rPr>
        <w:t xml:space="preserve"> е приета с Решение на МС № 268 от 07 май 2014 г. и  </w:t>
      </w:r>
      <w:r w:rsidRPr="00BD7BB1">
        <w:rPr>
          <w:rFonts w:ascii="Times New Roman" w:eastAsia="Times New Roman" w:hAnsi="Times New Roman"/>
          <w:color w:val="auto"/>
          <w:sz w:val="24"/>
          <w:szCs w:val="24"/>
          <w:lang w:eastAsia="bg-BG"/>
        </w:rPr>
        <w:t>се изготвя в рамките на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засиленото наблюдение на икономическите политики в ЕС – Европейския семестър за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2014 г.</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eastAsia="bg-BG"/>
        </w:rPr>
        <w:t xml:space="preserve"> като отразява насоките в Годишния обзор за растежа за 2014 г.</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Разгледан е</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напредъка по националните цели с оглед постигане на петте водещи цели за ЕС по</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стратегия „Европа 2020“</w:t>
      </w:r>
      <w:r w:rsidRPr="00BD7BB1">
        <w:rPr>
          <w:rFonts w:ascii="Times New Roman" w:eastAsia="Times New Roman" w:hAnsi="Times New Roman"/>
          <w:color w:val="auto"/>
          <w:sz w:val="24"/>
          <w:szCs w:val="24"/>
          <w:lang w:val="bg-BG" w:eastAsia="bg-BG"/>
        </w:rPr>
        <w:t>.</w:t>
      </w:r>
      <w:r w:rsidRPr="00BD7BB1">
        <w:rPr>
          <w:rFonts w:ascii="Calibri" w:eastAsia="Calibri" w:hAnsi="Calibri" w:cs="Calibri"/>
          <w:color w:val="auto"/>
          <w:sz w:val="23"/>
          <w:szCs w:val="23"/>
        </w:rPr>
        <w:t xml:space="preserve"> </w:t>
      </w:r>
      <w:r w:rsidRPr="00BD7BB1">
        <w:rPr>
          <w:rFonts w:ascii="Times New Roman" w:eastAsia="Times New Roman" w:hAnsi="Times New Roman"/>
          <w:color w:val="auto"/>
          <w:sz w:val="24"/>
          <w:szCs w:val="24"/>
          <w:lang w:eastAsia="bg-BG"/>
        </w:rPr>
        <w:t>Усилията на правителството са фокусирани върху подобряване на бизнес средата и</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 xml:space="preserve">намаляване на </w:t>
      </w:r>
      <w:r w:rsidRPr="00BD7BB1">
        <w:rPr>
          <w:rFonts w:ascii="Times New Roman" w:eastAsia="Times New Roman" w:hAnsi="Times New Roman"/>
          <w:color w:val="auto"/>
          <w:sz w:val="24"/>
          <w:szCs w:val="24"/>
          <w:lang w:eastAsia="bg-BG"/>
        </w:rPr>
        <w:lastRenderedPageBreak/>
        <w:t>административната тежест и</w:t>
      </w:r>
      <w:r w:rsidR="00B733CA">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засилване на социалните аспекти на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политиките, включително борба с младежката безработица и намаляване на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регионалните различия. Успоредно с това са подготвени редица подобрения в</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нормативната рамка в посока на увеличаване събираемостта на приходите в бюджета,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ускорено усвояване на средствата от фондовете на ЕС, продължаващо оптимизиране на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администрацията и фокусиране върху електронното управление.</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Положени са  усилия за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предприемане на действия в области, в които реформите са най-наложителни и темпото</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им следва да бъде ускорено: повишаване ефективността на разходите в</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здравеопазването иподобряване на качеството на образователната система.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Липсата на политическа стабилност и на икономическа предсказуемост се отразиха негативно върху основните компоненти на растежа през 2014 г., както и върху напредъка по изпълнението на ключови политики</w:t>
      </w:r>
      <w:r w:rsidRPr="00BD7BB1">
        <w:rPr>
          <w:rFonts w:ascii="Times New Roman" w:eastAsia="Times New Roman" w:hAnsi="Times New Roman"/>
          <w:color w:val="auto"/>
          <w:sz w:val="24"/>
          <w:szCs w:val="24"/>
          <w:lang w:val="bg-BG" w:eastAsia="bg-BG"/>
        </w:rPr>
        <w:t>.</w:t>
      </w:r>
      <w:r w:rsidRPr="00BD7BB1">
        <w:rPr>
          <w:rFonts w:ascii="Calibri" w:eastAsia="Calibri" w:hAnsi="Calibri" w:cs="Calibri"/>
          <w:color w:val="auto"/>
          <w:szCs w:val="22"/>
        </w:rPr>
        <w:t xml:space="preserve"> </w:t>
      </w:r>
      <w:r w:rsidRPr="00BD7BB1">
        <w:rPr>
          <w:rFonts w:ascii="Times New Roman" w:eastAsia="Times New Roman" w:hAnsi="Times New Roman"/>
          <w:color w:val="auto"/>
          <w:sz w:val="24"/>
          <w:szCs w:val="24"/>
          <w:lang w:eastAsia="bg-BG"/>
        </w:rPr>
        <w:t>Социалната политика е сред основните приоритети, като усилията са насочени към подпомагане на хората с ниски доходи и създаване на заетост в районите с висока безработица</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eastAsia="bg-BG"/>
        </w:rPr>
        <w:t xml:space="preserve"> </w:t>
      </w:r>
    </w:p>
    <w:p w:rsidR="00F25110" w:rsidRPr="00354786" w:rsidRDefault="00F25110" w:rsidP="00F25110">
      <w:pPr>
        <w:spacing w:after="0" w:line="360" w:lineRule="auto"/>
        <w:ind w:firstLine="708"/>
        <w:jc w:val="both"/>
        <w:rPr>
          <w:rFonts w:ascii="Times New Roman" w:eastAsia="Times New Roman" w:hAnsi="Times New Roman"/>
          <w:i/>
          <w:color w:val="auto"/>
          <w:sz w:val="24"/>
          <w:szCs w:val="24"/>
          <w:lang w:val="bg-BG" w:eastAsia="bg-BG"/>
        </w:rPr>
      </w:pPr>
      <w:r w:rsidRPr="00BD7BB1">
        <w:rPr>
          <w:rFonts w:ascii="Times New Roman" w:eastAsia="Times New Roman" w:hAnsi="Times New Roman"/>
          <w:b/>
          <w:color w:val="auto"/>
          <w:sz w:val="24"/>
          <w:szCs w:val="24"/>
          <w:lang w:val="bg-BG" w:eastAsia="bg-BG"/>
        </w:rPr>
        <w:t>Конвергентната програма 2014–2017 г.</w:t>
      </w:r>
      <w:r w:rsidRPr="00BD7BB1">
        <w:rPr>
          <w:rFonts w:ascii="Times New Roman" w:eastAsia="Times New Roman" w:hAnsi="Times New Roman"/>
          <w:color w:val="auto"/>
          <w:sz w:val="24"/>
          <w:szCs w:val="24"/>
          <w:lang w:val="bg-BG" w:eastAsia="bg-BG"/>
        </w:rPr>
        <w:t xml:space="preserve"> е приета с Решение № 220 на Министерския съвет от 22.04.2014 г. Програмата очертава основните политики за поддържане на икономическата и финансовата стабилност на страната с цел създаване на условия за икономически растеж.</w:t>
      </w:r>
      <w:r w:rsidRPr="00BD7BB1">
        <w:rPr>
          <w:rFonts w:ascii="Calibri" w:eastAsia="Calibri" w:hAnsi="Calibri" w:cs="Calibri"/>
          <w:color w:val="auto"/>
          <w:szCs w:val="22"/>
        </w:rPr>
        <w:t xml:space="preserve"> </w:t>
      </w:r>
      <w:r w:rsidRPr="00BD7BB1">
        <w:rPr>
          <w:rFonts w:ascii="Times New Roman" w:eastAsia="Times New Roman" w:hAnsi="Times New Roman"/>
          <w:color w:val="auto"/>
          <w:sz w:val="24"/>
          <w:szCs w:val="24"/>
          <w:lang w:val="bg-BG" w:eastAsia="bg-BG"/>
        </w:rPr>
        <w:t>Тя</w:t>
      </w:r>
      <w:r w:rsidRPr="00BD7BB1">
        <w:rPr>
          <w:rFonts w:ascii="Times New Roman" w:eastAsia="Times New Roman" w:hAnsi="Times New Roman"/>
          <w:color w:val="auto"/>
          <w:sz w:val="24"/>
          <w:szCs w:val="24"/>
          <w:lang w:eastAsia="bg-BG"/>
        </w:rPr>
        <w:t xml:space="preserve"> отчита мерки и развития по първата от седемте препоръки на Съвета на ЕС от 9 юли 2013 г. относно Националната програма за реформи на България за 2013 г. и съдържаща становище на Съвета относно Конвергентната програма на България за периода 2012–2016 г</w:t>
      </w:r>
      <w:r w:rsidRPr="00BD7BB1">
        <w:rPr>
          <w:rFonts w:ascii="Times New Roman" w:eastAsia="Times New Roman" w:hAnsi="Times New Roman"/>
          <w:color w:val="auto"/>
          <w:sz w:val="24"/>
          <w:szCs w:val="24"/>
          <w:lang w:val="bg-BG" w:eastAsia="bg-BG"/>
        </w:rPr>
        <w:t xml:space="preserve">., а именно: </w:t>
      </w:r>
      <w:r w:rsidRPr="00BD7BB1">
        <w:rPr>
          <w:rFonts w:ascii="Times New Roman" w:eastAsia="Times New Roman" w:hAnsi="Times New Roman"/>
          <w:i/>
          <w:color w:val="auto"/>
          <w:sz w:val="24"/>
          <w:szCs w:val="24"/>
          <w:lang w:eastAsia="bg-BG"/>
        </w:rPr>
        <w:t>Да запази стабилната бюджетна позиция, като гарантира спазването на средносрочната бюджетна цел, и да провежда бюджетна политика, благоприятстваща растежа, както е предвидено в Конвергентната програма. Да въведе цялостна данъчна стратегия за укрепване на всички аспекти на данъчното законодателство и на процедурите за събиране с цел да бъдат увеличени приходите, по-специално чрез подобряване на събирането на данъците, справяне със сенчестата икономика и намаляване на разходите за спазване на изискванията. Да създаде независим орган, който да контролира бюджетната политика и да изготвя анализи и съвети</w:t>
      </w:r>
      <w:r w:rsidR="00354786">
        <w:rPr>
          <w:rFonts w:ascii="Times New Roman" w:eastAsia="Times New Roman" w:hAnsi="Times New Roman"/>
          <w:i/>
          <w:color w:val="auto"/>
          <w:sz w:val="24"/>
          <w:szCs w:val="24"/>
          <w:lang w:val="bg-BG" w:eastAsia="bg-BG"/>
        </w:rPr>
        <w:t>.</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eastAsia="bg-BG"/>
        </w:rPr>
      </w:pPr>
      <w:r w:rsidRPr="00BD7BB1">
        <w:rPr>
          <w:rFonts w:ascii="Times New Roman" w:eastAsia="Times New Roman" w:hAnsi="Times New Roman"/>
          <w:color w:val="auto"/>
          <w:sz w:val="24"/>
          <w:szCs w:val="24"/>
          <w:lang w:val="bg-BG" w:eastAsia="bg-BG"/>
        </w:rPr>
        <w:t>Политиката на правителството е насочена към по-ефективно и конкурентно разпределение на публичните ресурси с цел насърчаване на инвестициите и заетостта, а оттам и ускоряване на икономическия растеж.</w:t>
      </w:r>
      <w:r w:rsidRPr="00BD7BB1">
        <w:rPr>
          <w:rFonts w:ascii="Calibri" w:eastAsia="Times New Roman" w:hAnsi="Calibri" w:cs="Calibri"/>
          <w:color w:val="auto"/>
          <w:sz w:val="24"/>
          <w:szCs w:val="24"/>
          <w:lang w:val="bg-BG"/>
        </w:rPr>
        <w:t xml:space="preserve"> </w:t>
      </w:r>
      <w:r w:rsidRPr="00354786">
        <w:rPr>
          <w:rFonts w:ascii="Times New Roman" w:eastAsia="Times New Roman" w:hAnsi="Times New Roman"/>
          <w:color w:val="auto"/>
          <w:sz w:val="24"/>
          <w:szCs w:val="24"/>
          <w:lang w:val="bg-BG" w:eastAsia="bg-BG"/>
        </w:rPr>
        <w:t>Това ще спомогне за намаляване на</w:t>
      </w:r>
      <w:r w:rsidRPr="00BD7BB1">
        <w:rPr>
          <w:rFonts w:ascii="Times New Roman" w:eastAsia="Times New Roman" w:hAnsi="Times New Roman"/>
          <w:color w:val="auto"/>
          <w:szCs w:val="22"/>
          <w:lang w:val="bg-BG" w:eastAsia="bg-BG"/>
        </w:rPr>
        <w:t xml:space="preserve"> </w:t>
      </w:r>
      <w:r w:rsidRPr="00354786">
        <w:rPr>
          <w:rFonts w:ascii="Times New Roman" w:eastAsia="Times New Roman" w:hAnsi="Times New Roman"/>
          <w:color w:val="auto"/>
          <w:sz w:val="24"/>
          <w:szCs w:val="24"/>
          <w:lang w:val="bg-BG" w:eastAsia="bg-BG"/>
        </w:rPr>
        <w:lastRenderedPageBreak/>
        <w:t>натрупаните неравновесия в българската икономика, като особено внимание е насочено към намаляване на регионалните и социалните дисбаланси.</w:t>
      </w:r>
      <w:r w:rsidRPr="00BD7BB1">
        <w:rPr>
          <w:rFonts w:ascii="Times New Roman" w:eastAsia="Times New Roman" w:hAnsi="Times New Roman"/>
          <w:color w:val="auto"/>
          <w:szCs w:val="22"/>
          <w:lang w:val="bg-BG" w:eastAsia="bg-BG"/>
        </w:rPr>
        <w:t xml:space="preserve"> </w:t>
      </w:r>
      <w:r w:rsidRPr="00BD7BB1">
        <w:rPr>
          <w:rFonts w:ascii="Times New Roman" w:eastAsia="Times New Roman" w:hAnsi="Times New Roman"/>
          <w:color w:val="auto"/>
          <w:sz w:val="24"/>
          <w:szCs w:val="24"/>
          <w:lang w:val="bg-BG" w:eastAsia="bg-BG"/>
        </w:rPr>
        <w:t>В</w:t>
      </w:r>
      <w:r w:rsidRPr="00BD7BB1">
        <w:rPr>
          <w:rFonts w:ascii="Times New Roman" w:eastAsia="Times New Roman" w:hAnsi="Times New Roman"/>
          <w:color w:val="auto"/>
          <w:sz w:val="24"/>
          <w:szCs w:val="24"/>
          <w:lang w:eastAsia="bg-BG"/>
        </w:rPr>
        <w:t xml:space="preserve"> настоящата актуализация на Конвергентната програма България дефинира средносрочна бюджетна цел за структурен дефицит на годишна основа в размер на 1%.</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 xml:space="preserve">Националната концепция за пространствено развитие за периода 2013-2025 г. </w:t>
      </w:r>
      <w:r w:rsidRPr="00BD7BB1">
        <w:rPr>
          <w:rFonts w:ascii="Times New Roman" w:eastAsia="Times New Roman" w:hAnsi="Times New Roman"/>
          <w:color w:val="auto"/>
          <w:sz w:val="24"/>
          <w:szCs w:val="24"/>
          <w:lang w:val="bg-BG" w:eastAsia="bg-BG"/>
        </w:rPr>
        <w:t>(приета с Решение по т.61 от Протокол № 47/19.12.2012 г. от заседание на Министерския съвет ) е  стратегически документ, който дава насоките и определя модел  за устройството, управлението и опазването на националната територия и акватория и създава предпоставки за пространствено ориентиране и координиране на секторните политики. Заедно с Националната стратегия за регионално развитие 2012 – 2022 г. концепцията е основен документ в най-новото ни законодателство, касаещо процеса на стратегическо планиране и дългоочакван инструмент за интегрирано планиране и устойчиво пространствено, икономическо и социално развитие.</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Основна цел на Националната концепция за пространствено развитие за периода 2013- 2025г. е „Пространствено координиране на процесите, протичащи в националната територия чрез създаване на пространствено-устройствена основа и регулатор за осъществяване не само на регионалното, но и на отделните социално-икономически секторни планирания на национално ниво в контекста на общоевропейското пространствено развитие, за постигане на комплексно, интегрирано планиране“.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Документът категоризира градските центрове в България според броя на населението и функциите им. Определя списъка на градовете, които ще бъдат подпомагани от ОП „Региони в растеж“ за периода 2014-2020 г.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Националната стратегия за регионално развитие на Република България</w:t>
      </w:r>
      <w:r w:rsidRPr="00BD7BB1">
        <w:rPr>
          <w:rFonts w:ascii="Times New Roman" w:eastAsia="Times New Roman" w:hAnsi="Times New Roman"/>
          <w:color w:val="auto"/>
          <w:sz w:val="24"/>
          <w:szCs w:val="24"/>
          <w:lang w:val="bg-BG" w:eastAsia="bg-BG"/>
        </w:rPr>
        <w:t xml:space="preserve"> за периода 2012-2022 г. (Решение № 696/24.08.2012 г. на Министерския съвет ) е основният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вътрешнорегионалните и междурегионалните различия/неравенства в контекста на общоевропейската политика за сближаване и постигане на интелигентен, устойчив и приобщаващ растеж. НСРР определя дългосрочните цели и приоритети на политиката за регионално развитие, която има интегрален характер, дава възможност за координация на секторните политики на територията и съдейства за тяхното синхронизиране.</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lastRenderedPageBreak/>
        <w:t>Документът играе важна роля за постигане на съответствие и взаимно допълване между целите и приоритетите на политиката за регионално развитие и секторните политики и стратегии, които спомагат за балансирано развитие на районите.</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НСРР за периода 2012-2022 г. застъпва цели, приоритети и специфични цели, допринасящи за постигането на целите на стратегия „Европа 2020” при отчитане на насоките на “Териториален дневен ред Европа 2020” и на Националната програма за развитие “България 2020”.</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Във визията за развитието на българските региони се акцентира върху подобряването на условията за живот, бизнес и туризъм, като се залага на ефективното използване на техния потенциал и се съхранява и популяризира регионалната им идентичност: „Българските райони – привлекателни за живеене, ефективно използващи своя потенциал за постигане на устойчив растеж, създаване на нови работни места, бизнес и туризъм, със съхранено природно и културно наследство.”</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SimSun" w:hAnsi="Times New Roman"/>
          <w:bCs/>
          <w:color w:val="auto"/>
          <w:sz w:val="24"/>
          <w:szCs w:val="24"/>
          <w:lang w:val="bg-BG" w:eastAsia="bg-BG"/>
        </w:rPr>
        <w:t>Стратегическата цел 4 на НСРР 2012-2022 отчита специфичната роля на градовете като полюси на развитие и е насочена към балансирано териториално развитие чрез укрепване на мрежата от градове-центрове, подобряване на свързаността на районите и качеството на средата в населените места. Предвижда се  разработване на Интегрирани планове за градско възстановяване и развитие (ИПГВР), в които да се очертаят приоритетни проекти за градско развитие за периода 2014-2020 г., както и стимулиране на сътрудничеството между научни и образователни центрове с местния бизнес в граничните райони.</w:t>
      </w:r>
    </w:p>
    <w:p w:rsidR="00F25110" w:rsidRPr="00BD7BB1" w:rsidRDefault="00F25110" w:rsidP="00F25110">
      <w:pPr>
        <w:spacing w:after="0" w:line="360" w:lineRule="auto"/>
        <w:ind w:firstLine="720"/>
        <w:jc w:val="both"/>
        <w:rPr>
          <w:rFonts w:ascii="Times New Roman" w:eastAsia="Times New Roman" w:hAnsi="Times New Roman"/>
          <w:b/>
          <w:color w:val="auto"/>
          <w:sz w:val="24"/>
          <w:szCs w:val="24"/>
          <w:u w:val="single"/>
          <w:lang w:val="bg-BG" w:eastAsia="bg-BG"/>
        </w:rPr>
      </w:pPr>
      <w:r w:rsidRPr="00BD7BB1">
        <w:rPr>
          <w:rFonts w:ascii="Times New Roman" w:eastAsia="Times New Roman" w:hAnsi="Times New Roman"/>
          <w:color w:val="auto"/>
          <w:sz w:val="24"/>
          <w:szCs w:val="24"/>
          <w:lang w:val="bg-BG" w:eastAsia="bg-BG"/>
        </w:rPr>
        <w:t>Във връзка с прилагането на интегрираната морска политика</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в ЕС предстои изготвяне</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на </w:t>
      </w:r>
      <w:r w:rsidRPr="00BD7BB1">
        <w:rPr>
          <w:rFonts w:ascii="Times New Roman" w:eastAsia="Times New Roman" w:hAnsi="Times New Roman"/>
          <w:b/>
          <w:color w:val="auto"/>
          <w:sz w:val="24"/>
          <w:szCs w:val="24"/>
          <w:lang w:val="bg-BG" w:eastAsia="bg-BG"/>
        </w:rPr>
        <w:t>Национална морска стратегия на Република България</w:t>
      </w:r>
      <w:r w:rsidRPr="00BD7BB1">
        <w:rPr>
          <w:rFonts w:ascii="Times New Roman" w:eastAsia="Times New Roman" w:hAnsi="Times New Roman"/>
          <w:color w:val="auto"/>
          <w:sz w:val="24"/>
          <w:szCs w:val="24"/>
          <w:lang w:val="bg-BG" w:eastAsia="bg-BG"/>
        </w:rPr>
        <w:t>. Стратегията ще определи национална визията за развитие на Черно море, отчитайки индивидуалните специфики и нужди на българските черноморски региони, потенциала на морските сектори и предизвикателствата пред тях, необходимостта от опазване на околната среда и водните ресурси. Стратегията ще бъде насочена към съгласуваното планиране и управление на всички видове дейности, свързани с Черно море, в това число политически, икономически, транспортни, туристически, екологични и инфраструктурни, с цел повишаване на конкурентоспособността на морските сектори, стимулиране на заетостта в тях, съхранение на традициите и самобитността на черноморските общини.</w:t>
      </w:r>
      <w:r w:rsidRPr="00BD7BB1">
        <w:rPr>
          <w:rFonts w:ascii="Times New Roman" w:eastAsia="Times New Roman" w:hAnsi="Times New Roman"/>
          <w:color w:val="auto"/>
          <w:sz w:val="24"/>
          <w:szCs w:val="24"/>
          <w:lang w:val="bg-BG" w:eastAsia="bg-BG"/>
        </w:rPr>
        <w:tab/>
      </w:r>
    </w:p>
    <w:p w:rsidR="00F25110" w:rsidRPr="00BD7BB1" w:rsidRDefault="00F25110" w:rsidP="00F25110">
      <w:pPr>
        <w:spacing w:after="0" w:line="360" w:lineRule="auto"/>
        <w:ind w:firstLine="720"/>
        <w:jc w:val="both"/>
        <w:rPr>
          <w:rFonts w:ascii="Times New Roman" w:eastAsia="Times New Roman" w:hAnsi="Times New Roman"/>
          <w:b/>
          <w:color w:val="auto"/>
          <w:sz w:val="24"/>
          <w:szCs w:val="24"/>
          <w:u w:val="single"/>
          <w:lang w:val="bg-BG" w:eastAsia="bg-BG"/>
        </w:rPr>
      </w:pPr>
    </w:p>
    <w:p w:rsidR="00F25110" w:rsidRPr="00BD7BB1" w:rsidRDefault="00BC28AE" w:rsidP="00F25110">
      <w:pPr>
        <w:spacing w:after="0" w:line="360" w:lineRule="auto"/>
        <w:ind w:firstLine="720"/>
        <w:jc w:val="both"/>
        <w:rPr>
          <w:rFonts w:ascii="Times New Roman" w:eastAsia="Times New Roman" w:hAnsi="Times New Roman"/>
          <w:b/>
          <w:color w:val="auto"/>
          <w:sz w:val="24"/>
          <w:szCs w:val="24"/>
          <w:u w:val="single"/>
          <w:lang w:val="bg-BG" w:eastAsia="bg-BG"/>
        </w:rPr>
      </w:pPr>
      <w:r w:rsidRPr="00BD7BB1">
        <w:rPr>
          <w:rFonts w:ascii="Times New Roman" w:eastAsia="Times New Roman" w:hAnsi="Times New Roman"/>
          <w:b/>
          <w:color w:val="auto"/>
          <w:sz w:val="24"/>
          <w:szCs w:val="24"/>
          <w:u w:val="single"/>
          <w:lang w:val="bg-BG" w:eastAsia="bg-BG"/>
        </w:rPr>
        <w:t>Регионално ниво</w:t>
      </w:r>
    </w:p>
    <w:p w:rsidR="00F25110" w:rsidRPr="00BD7BB1" w:rsidRDefault="00F25110" w:rsidP="00F25110">
      <w:pPr>
        <w:spacing w:after="0" w:line="360" w:lineRule="auto"/>
        <w:ind w:firstLine="720"/>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color w:val="auto"/>
          <w:sz w:val="24"/>
          <w:szCs w:val="24"/>
          <w:lang w:val="ru-RU" w:eastAsia="bg-BG"/>
        </w:rPr>
        <w:t xml:space="preserve"> Годишен доклад за наблюдение изпълнението на РПР ЮИР 2007-2013 г. през 2013 година</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обсъден и</w:t>
      </w:r>
      <w:r w:rsidRPr="00BD7BB1">
        <w:rPr>
          <w:rFonts w:ascii="Times New Roman" w:eastAsia="Times New Roman" w:hAnsi="Times New Roman"/>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одобрен с Решение № 2 от заседание РСР ЮИР, проведено</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на 06.06.2014 г. </w:t>
      </w:r>
      <w:r w:rsidRPr="00BD7BB1">
        <w:rPr>
          <w:rFonts w:ascii="Times New Roman" w:eastAsia="Times New Roman" w:hAnsi="Times New Roman"/>
          <w:bCs/>
          <w:color w:val="auto"/>
          <w:sz w:val="24"/>
          <w:szCs w:val="24"/>
          <w:lang w:val="bg-BG" w:eastAsia="bg-BG"/>
        </w:rPr>
        <w:t xml:space="preserve">Докладът </w:t>
      </w:r>
      <w:r w:rsidRPr="00BD7BB1">
        <w:rPr>
          <w:rFonts w:ascii="Times New Roman" w:eastAsia="Times New Roman" w:hAnsi="Times New Roman"/>
          <w:color w:val="auto"/>
          <w:sz w:val="24"/>
          <w:szCs w:val="24"/>
          <w:lang w:val="bg-BG" w:eastAsia="bg-BG"/>
        </w:rPr>
        <w:t xml:space="preserve">прави преглед на социално-икономическото развитие, тенденциите и темповете за развитие на Югоизточен район и отчита общия постигнат напредък на развитие на района, както за 2013 г. така и в края на програмния период 2007-2013 г. </w:t>
      </w:r>
      <w:r w:rsidRPr="00BD7BB1">
        <w:rPr>
          <w:rFonts w:ascii="Times New Roman" w:eastAsia="Times New Roman" w:hAnsi="Times New Roman"/>
          <w:bCs/>
          <w:color w:val="auto"/>
          <w:sz w:val="24"/>
          <w:szCs w:val="24"/>
          <w:lang w:val="bg-BG" w:eastAsia="bg-BG"/>
        </w:rPr>
        <w:t xml:space="preserve">За реализация на заложените четири приоритета в плана в областта на инфраструктурата, туризма, икономическата и жизнената среда, голямо въздействие за района оказват проектите по Оперативните програми, съфинансирани от фондовете на ЕС. Високата  усвояемост  на  европейски средства в района през последните години  и сравнително високите стойности на социално-икономическите показатели за района са предпоставка за ефективно изпълнение  приоритетите на плана. По всеки един от приоритетите е констатиран напредък, като по-съществените положителни промени  са свързани с подобряване на  транспортната, техническа и бизнес инфраструктура, подобряване на туристическите атракции и обновление на градската среда. В резултат на финансовата подкрепа и приоритетните оси на оперативните програми - ОПРР,ОПОС,ОПК,ОПРСР и ОПРЧР,  в  района се наблюдава подобряване на  екологичния статус, повишава се качеството, обхвата и достъпността на населението до социални, културни и образователни услуги. </w:t>
      </w:r>
    </w:p>
    <w:p w:rsidR="00F25110" w:rsidRPr="00BD7BB1" w:rsidRDefault="00F25110" w:rsidP="00F25110">
      <w:pPr>
        <w:spacing w:after="0" w:line="360" w:lineRule="auto"/>
        <w:ind w:firstLine="720"/>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Въздействието и ефектът от успешното реализиране на проектите по оперативните програми на територията на Югоизточен район  е база за постигане на устойчиво и балансирано  регионално развитие.</w:t>
      </w:r>
    </w:p>
    <w:p w:rsidR="00F25110" w:rsidRPr="00BD7BB1" w:rsidRDefault="00F25110" w:rsidP="00354786">
      <w:pPr>
        <w:spacing w:after="0" w:line="360" w:lineRule="auto"/>
        <w:ind w:firstLine="720"/>
        <w:jc w:val="both"/>
        <w:rPr>
          <w:rFonts w:ascii="Times New Roman" w:eastAsia="Times New Roman" w:hAnsi="Times New Roman"/>
          <w:i/>
          <w:color w:val="auto"/>
          <w:sz w:val="24"/>
          <w:szCs w:val="24"/>
          <w:lang w:val="bg-BG" w:eastAsia="bg-BG"/>
        </w:rPr>
      </w:pPr>
      <w:r w:rsidRPr="00BD7BB1">
        <w:rPr>
          <w:rFonts w:ascii="Times New Roman" w:eastAsia="Times New Roman" w:hAnsi="Times New Roman"/>
          <w:b/>
          <w:color w:val="auto"/>
          <w:sz w:val="24"/>
          <w:szCs w:val="24"/>
          <w:lang w:val="bg-BG" w:eastAsia="bg-BG"/>
        </w:rPr>
        <w:t>Доклад относно резултатите от последващата оценка</w:t>
      </w:r>
      <w:r w:rsidRPr="00BD7BB1">
        <w:rPr>
          <w:rFonts w:ascii="Times New Roman" w:eastAsia="Times New Roman" w:hAnsi="Times New Roman"/>
          <w:color w:val="auto"/>
          <w:sz w:val="24"/>
          <w:szCs w:val="24"/>
          <w:lang w:val="bg-BG" w:eastAsia="bg-BG"/>
        </w:rPr>
        <w:t xml:space="preserve"> за изпълнението на Регионалния план за развитие на Югоизточен район за периода 2007-2013 г., одобрен с </w:t>
      </w:r>
      <w:r w:rsidRPr="00BD7BB1">
        <w:rPr>
          <w:rFonts w:ascii="Times New Roman" w:eastAsia="Times New Roman" w:hAnsi="Times New Roman"/>
          <w:b/>
          <w:color w:val="auto"/>
          <w:sz w:val="24"/>
          <w:szCs w:val="24"/>
          <w:lang w:val="bg-BG" w:eastAsia="bg-BG"/>
        </w:rPr>
        <w:t>Протокол № 15/15.04.2015 г. от заседанието на Министерския съвет</w:t>
      </w:r>
      <w:r w:rsidR="00354786">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shd w:val="clear" w:color="auto" w:fill="FEFEFE"/>
          <w:lang w:val="bg-BG"/>
        </w:rPr>
        <w:t xml:space="preserve">Докладът представя постигнатия напредък по изпълнението на целите и приоритетите, заложени в Регионалния план за развитие на Югоизточния район, общото въздействие върху социално-икономическото развитие на района, резултатите от оценката </w:t>
      </w:r>
      <w:r w:rsidRPr="00BD7BB1">
        <w:rPr>
          <w:rFonts w:ascii="Times New Roman" w:eastAsia="Times New Roman" w:hAnsi="Times New Roman"/>
          <w:color w:val="auto"/>
          <w:sz w:val="24"/>
          <w:szCs w:val="24"/>
          <w:lang w:val="bg-BG" w:eastAsia="bg-BG"/>
        </w:rPr>
        <w:t xml:space="preserve">на ефективността и ефикасността на използваните финансови ресурси за постигане на целите на плана, действията на компетентните органи във връзка с изпълнението му и изводи и препоръки </w:t>
      </w:r>
      <w:r w:rsidRPr="00BD7BB1">
        <w:rPr>
          <w:rFonts w:ascii="Times New Roman" w:eastAsia="Times New Roman" w:hAnsi="Times New Roman"/>
          <w:color w:val="auto"/>
          <w:sz w:val="24"/>
          <w:szCs w:val="24"/>
          <w:lang w:val="bg-BG" w:eastAsia="bg-BG"/>
        </w:rPr>
        <w:lastRenderedPageBreak/>
        <w:t xml:space="preserve">относно провеждането на политиката за регионално и местно развитие в района </w:t>
      </w:r>
      <w:r w:rsidR="00354786">
        <w:rPr>
          <w:rFonts w:ascii="Times New Roman" w:eastAsia="Times New Roman" w:hAnsi="Times New Roman"/>
          <w:color w:val="auto"/>
          <w:sz w:val="24"/>
          <w:szCs w:val="24"/>
          <w:lang w:val="bg-BG" w:eastAsia="bg-BG"/>
        </w:rPr>
        <w:t>за</w:t>
      </w:r>
      <w:r w:rsidRPr="00BD7BB1">
        <w:rPr>
          <w:rFonts w:ascii="Times New Roman" w:eastAsia="Times New Roman" w:hAnsi="Times New Roman"/>
          <w:color w:val="auto"/>
          <w:sz w:val="24"/>
          <w:szCs w:val="24"/>
          <w:lang w:val="bg-BG" w:eastAsia="bg-BG"/>
        </w:rPr>
        <w:t xml:space="preserve"> периода до 2020 г. Анализът на социално-икономическите показатели за изпълнението на стратегическите цели и приоритети на Регионалния план за развитие на Югоизточен район показва, че в периода 2007-2013 г. Югоизточен район бележи средни стойности по почти всички основни показатели спрямо районите от ниво 2. Общият размер на усвоените средства от Югоизточния район в периода 2007-2013 г. е  4 601 795 946 лв. Най-голям дял за реализирането на плана имат средствата от оперативните програми, съфинансирани от средствата на Европейския съюз  -77,9 % и </w:t>
      </w:r>
      <w:r w:rsidRPr="00BD7BB1">
        <w:rPr>
          <w:rFonts w:ascii="Times New Roman" w:eastAsia="Times New Roman" w:hAnsi="Times New Roman"/>
          <w:bCs/>
          <w:color w:val="auto"/>
          <w:sz w:val="24"/>
          <w:szCs w:val="24"/>
          <w:lang w:val="bg-BG" w:eastAsia="bg-BG"/>
        </w:rPr>
        <w:t>Програмата за развитие на селските райони</w:t>
      </w:r>
      <w:r w:rsidRPr="00BD7BB1">
        <w:rPr>
          <w:rFonts w:ascii="Times New Roman" w:eastAsia="Times New Roman" w:hAnsi="Times New Roman"/>
          <w:color w:val="auto"/>
          <w:sz w:val="24"/>
          <w:szCs w:val="24"/>
          <w:lang w:val="bg-BG" w:eastAsia="bg-BG"/>
        </w:rPr>
        <w:t xml:space="preserve"> - 12%. Най-малък е делът на програмите - УРБАКТ II „Мрежа за градско развитие”, INTERREG IVC, Финансов механизъм на Европейското икономическо пространство (ЕИП) - 1% в страната. Въздействието и ефектът от успешно реализираните проекти на територията на района се изразяват в </w:t>
      </w:r>
      <w:r w:rsidRPr="00BD7BB1">
        <w:rPr>
          <w:rFonts w:ascii="Times New Roman" w:eastAsia="Times New Roman" w:hAnsi="Times New Roman"/>
          <w:i/>
          <w:color w:val="auto"/>
          <w:sz w:val="24"/>
          <w:szCs w:val="24"/>
          <w:lang w:val="bg-BG" w:eastAsia="bg-BG"/>
        </w:rPr>
        <w:t xml:space="preserve">модернизирана местна и регионална инфраструктура, подобрения в сферата на туризма, подобрена икономическа и жизнена среда.  </w:t>
      </w:r>
    </w:p>
    <w:p w:rsidR="00F25110" w:rsidRPr="00BD7BB1" w:rsidRDefault="00F25110" w:rsidP="00F25110">
      <w:pPr>
        <w:spacing w:after="0" w:line="360" w:lineRule="auto"/>
        <w:ind w:firstLine="720"/>
        <w:jc w:val="both"/>
        <w:rPr>
          <w:rFonts w:ascii="All Times New Roman" w:eastAsia="SimSun" w:hAnsi="All Times New Roman" w:cs="All Times New Roman"/>
          <w:bCs/>
          <w:color w:val="auto"/>
          <w:sz w:val="24"/>
          <w:szCs w:val="24"/>
          <w:lang w:val="bg-BG"/>
        </w:rPr>
      </w:pPr>
      <w:r w:rsidRPr="00BD7BB1">
        <w:rPr>
          <w:rFonts w:ascii="Times New Roman" w:eastAsia="Times New Roman" w:hAnsi="Times New Roman"/>
          <w:b/>
          <w:color w:val="auto"/>
          <w:sz w:val="24"/>
          <w:szCs w:val="24"/>
          <w:lang w:val="bg-BG" w:eastAsia="bg-BG"/>
        </w:rPr>
        <w:t xml:space="preserve">Регионалният план за развитие на Югоизточен район за периода 2014-2020 г. е приет </w:t>
      </w:r>
      <w:r w:rsidRPr="00BD7BB1">
        <w:rPr>
          <w:rFonts w:ascii="All Times New Roman" w:eastAsia="SimSun" w:hAnsi="All Times New Roman" w:cs="All Times New Roman"/>
          <w:b/>
          <w:bCs/>
          <w:color w:val="auto"/>
          <w:sz w:val="24"/>
          <w:szCs w:val="24"/>
          <w:lang w:val="bg-BG"/>
        </w:rPr>
        <w:t xml:space="preserve">с Решение на МС № 458/01.08.2013 г. </w:t>
      </w:r>
      <w:r w:rsidRPr="00BD7BB1">
        <w:rPr>
          <w:rFonts w:ascii="All Times New Roman" w:eastAsia="SimSun" w:hAnsi="All Times New Roman" w:cs="All Times New Roman"/>
          <w:bCs/>
          <w:color w:val="auto"/>
          <w:sz w:val="24"/>
          <w:szCs w:val="24"/>
          <w:lang w:val="bg-BG"/>
        </w:rPr>
        <w:t xml:space="preserve">Регионалният план е в съответствие с целите на Националната стратегия за регионално развитие на Република България 2012-2022 г., както и с целите на  бъдещата кохезионна  политика за периода 2014-2020 г, определени със Стратегия „Европа 2020”. Във визията за развитие на Югоизточен район е залегнал стремежът за достигане на средното ниво на социално-икономическо развитие в ЕС, реализирайки интелигентен, устойчив, приобщаващ растеж, щадящ природната среда и нейните ресурси, с акцент върху запазването на регионалната идентичност на района, неговото културно  богатство  и  многообразие. Важна стратегическа цел за района е укрепването и развитието на функциите на градовете - центрове, подобряване свързаността в района и качеството на средата в населените места. </w:t>
      </w:r>
    </w:p>
    <w:p w:rsidR="00F25110" w:rsidRPr="00BD7BB1" w:rsidRDefault="00F25110" w:rsidP="00F25110">
      <w:pPr>
        <w:spacing w:after="0" w:line="360" w:lineRule="auto"/>
        <w:ind w:firstLine="720"/>
        <w:jc w:val="both"/>
        <w:rPr>
          <w:rFonts w:ascii="Times New Roman" w:eastAsia="Times New Roman" w:hAnsi="Times New Roman"/>
          <w:bCs/>
          <w:color w:val="auto"/>
          <w:sz w:val="24"/>
          <w:szCs w:val="24"/>
          <w:lang w:val="bg-BG" w:eastAsia="bg-BG"/>
        </w:rPr>
      </w:pPr>
      <w:r w:rsidRPr="00BD7BB1">
        <w:rPr>
          <w:rFonts w:ascii="All Times New Roman" w:eastAsia="SimSun" w:hAnsi="All Times New Roman" w:cs="All Times New Roman"/>
          <w:bCs/>
          <w:color w:val="auto"/>
          <w:sz w:val="24"/>
          <w:szCs w:val="24"/>
          <w:lang w:val="bg-BG"/>
        </w:rPr>
        <w:t xml:space="preserve">Основен приоритет за  развитие на Югоизточен район е </w:t>
      </w:r>
      <w:r w:rsidRPr="00BD7BB1">
        <w:rPr>
          <w:rFonts w:ascii="All Times New Roman" w:eastAsia="SimSun" w:hAnsi="All Times New Roman" w:cs="All Times New Roman"/>
          <w:bCs/>
          <w:i/>
          <w:color w:val="auto"/>
          <w:sz w:val="24"/>
          <w:szCs w:val="24"/>
          <w:lang w:val="bg-BG"/>
        </w:rPr>
        <w:t>интегрираната морска политика</w:t>
      </w:r>
      <w:r w:rsidRPr="00BD7BB1">
        <w:rPr>
          <w:rFonts w:ascii="All Times New Roman" w:eastAsia="SimSun" w:hAnsi="All Times New Roman" w:cs="All Times New Roman"/>
          <w:bCs/>
          <w:color w:val="auto"/>
          <w:sz w:val="24"/>
          <w:szCs w:val="24"/>
          <w:lang w:val="bg-BG"/>
        </w:rPr>
        <w:t>, с акцент опазване българската акватория на Черно море, развитие на морското дело и рибарство, обмен на добри практики и засилване диалога на международно равнище.</w:t>
      </w:r>
      <w:r w:rsidR="001F4475">
        <w:rPr>
          <w:rFonts w:ascii="All Times New Roman" w:eastAsia="SimSun" w:hAnsi="All Times New Roman" w:cs="All Times New Roman"/>
          <w:bCs/>
          <w:color w:val="auto"/>
          <w:sz w:val="24"/>
          <w:szCs w:val="24"/>
          <w:lang w:val="bg-BG"/>
        </w:rPr>
        <w:t xml:space="preserve"> </w:t>
      </w:r>
      <w:r w:rsidRPr="00BD7BB1">
        <w:rPr>
          <w:rFonts w:ascii="All Times New Roman" w:eastAsia="SimSun" w:hAnsi="All Times New Roman" w:cs="All Times New Roman"/>
          <w:bCs/>
          <w:color w:val="auto"/>
          <w:sz w:val="24"/>
          <w:szCs w:val="24"/>
          <w:lang w:val="bg-BG"/>
        </w:rPr>
        <w:t xml:space="preserve">Сред приоритетите на района се откроява  и развитието на устойчиви форми на туризъм и стимулирането на традиционните културни и творчески  индустрии. Регионалният план за развитие на Югоизточен район е важен стратегически документ с </w:t>
      </w:r>
      <w:r w:rsidRPr="00BD7BB1">
        <w:rPr>
          <w:rFonts w:ascii="All Times New Roman" w:eastAsia="SimSun" w:hAnsi="All Times New Roman" w:cs="All Times New Roman"/>
          <w:bCs/>
          <w:color w:val="auto"/>
          <w:sz w:val="24"/>
          <w:szCs w:val="24"/>
          <w:lang w:val="bg-BG"/>
        </w:rPr>
        <w:lastRenderedPageBreak/>
        <w:t xml:space="preserve">интегрален характер, който през новия програмен период ще продължи да изпълнява функциите на стратегическа рамка за низходящите нива в йерархията на регионалното планиране - </w:t>
      </w:r>
      <w:r w:rsidRPr="00BD7BB1">
        <w:rPr>
          <w:rFonts w:ascii="All Times New Roman" w:eastAsia="SimSun" w:hAnsi="All Times New Roman" w:cs="All Times New Roman"/>
          <w:b/>
          <w:bCs/>
          <w:color w:val="auto"/>
          <w:sz w:val="24"/>
          <w:szCs w:val="24"/>
          <w:lang w:val="bg-BG"/>
        </w:rPr>
        <w:t>Областни стратегии за развитие и Общински планове за развитие.</w:t>
      </w:r>
      <w:r w:rsidRPr="00BD7BB1">
        <w:rPr>
          <w:rFonts w:ascii="Times New Roman" w:eastAsia="Times New Roman" w:hAnsi="Times New Roman"/>
          <w:color w:val="auto"/>
          <w:sz w:val="24"/>
          <w:szCs w:val="24"/>
          <w:lang w:val="bg-BG" w:eastAsia="bg-BG"/>
        </w:rPr>
        <w:t xml:space="preserve"> </w:t>
      </w:r>
    </w:p>
    <w:p w:rsidR="00F25110" w:rsidRPr="00BD7BB1" w:rsidRDefault="00F25110" w:rsidP="00F25110">
      <w:pPr>
        <w:spacing w:after="0" w:line="360" w:lineRule="auto"/>
        <w:jc w:val="both"/>
        <w:rPr>
          <w:rFonts w:ascii="Times New Roman" w:eastAsia="Times New Roman" w:hAnsi="Times New Roman"/>
          <w:bCs/>
          <w:color w:val="auto"/>
          <w:sz w:val="24"/>
          <w:szCs w:val="24"/>
          <w:lang w:val="bg-BG" w:eastAsia="bg-BG"/>
        </w:rPr>
      </w:pPr>
    </w:p>
    <w:p w:rsidR="00F25110" w:rsidRPr="00BD7BB1" w:rsidRDefault="00BC28AE" w:rsidP="00F25110">
      <w:pPr>
        <w:spacing w:after="0" w:line="360" w:lineRule="auto"/>
        <w:ind w:firstLine="708"/>
        <w:jc w:val="both"/>
        <w:rPr>
          <w:rFonts w:ascii="All Times New Roman" w:eastAsia="SimSun" w:hAnsi="All Times New Roman" w:cs="All Times New Roman"/>
          <w:b/>
          <w:bCs/>
          <w:color w:val="auto"/>
          <w:sz w:val="24"/>
          <w:szCs w:val="24"/>
          <w:u w:val="single"/>
          <w:lang w:val="bg-BG"/>
        </w:rPr>
      </w:pPr>
      <w:r w:rsidRPr="00BD7BB1">
        <w:rPr>
          <w:rFonts w:ascii="All Times New Roman" w:eastAsia="SimSun" w:hAnsi="All Times New Roman" w:cs="All Times New Roman"/>
          <w:b/>
          <w:bCs/>
          <w:color w:val="auto"/>
          <w:sz w:val="24"/>
          <w:szCs w:val="24"/>
          <w:u w:val="single"/>
          <w:lang w:val="bg-BG"/>
        </w:rPr>
        <w:t>Областно и общинско ниво</w:t>
      </w:r>
    </w:p>
    <w:p w:rsidR="00F25110" w:rsidRPr="00BD7BB1" w:rsidRDefault="00F25110" w:rsidP="00F25110">
      <w:pPr>
        <w:spacing w:after="0" w:line="360" w:lineRule="auto"/>
        <w:ind w:firstLine="708"/>
        <w:jc w:val="both"/>
        <w:rPr>
          <w:rFonts w:ascii="All Times New Roman" w:eastAsia="SimSun" w:hAnsi="All Times New Roman" w:cs="All Times New Roman"/>
          <w:b/>
          <w:bCs/>
          <w:color w:val="auto"/>
          <w:sz w:val="24"/>
          <w:szCs w:val="24"/>
          <w:u w:val="single"/>
          <w:lang w:val="bg-BG"/>
        </w:rPr>
      </w:pPr>
    </w:p>
    <w:p w:rsidR="00F25110" w:rsidRPr="00BD7BB1" w:rsidRDefault="00F25110" w:rsidP="00F25110">
      <w:pPr>
        <w:spacing w:after="0" w:line="360" w:lineRule="auto"/>
        <w:ind w:firstLine="708"/>
        <w:jc w:val="both"/>
        <w:rPr>
          <w:rFonts w:ascii="All Times New Roman" w:eastAsia="SimSun" w:hAnsi="All Times New Roman" w:cs="All Times New Roman"/>
          <w:bCs/>
          <w:color w:val="auto"/>
          <w:sz w:val="24"/>
          <w:szCs w:val="24"/>
          <w:lang w:val="bg-BG"/>
        </w:rPr>
      </w:pPr>
      <w:r w:rsidRPr="00BD7BB1">
        <w:rPr>
          <w:rFonts w:ascii="All Times New Roman" w:eastAsia="SimSun" w:hAnsi="All Times New Roman" w:cs="All Times New Roman"/>
          <w:bCs/>
          <w:color w:val="auto"/>
          <w:sz w:val="24"/>
          <w:szCs w:val="24"/>
          <w:lang w:val="bg-BG"/>
        </w:rPr>
        <w:t>По отношение на наблюдение изпълнението на стратегическите документи – (Областни стратегии за развитие  за периода 2014-2020г., Общинските планове за развитие на общините за периода 2014-2020 г.</w:t>
      </w:r>
      <w:r w:rsidRPr="00BD7BB1">
        <w:rPr>
          <w:rFonts w:ascii="All Times New Roman" w:eastAsia="SimSun" w:hAnsi="All Times New Roman" w:cs="All Times New Roman"/>
          <w:bCs/>
          <w:color w:val="auto"/>
          <w:sz w:val="24"/>
          <w:szCs w:val="24"/>
          <w:lang w:val="ru-RU"/>
        </w:rPr>
        <w:t xml:space="preserve"> , последваща оценка на ОПР за периода 2007-2013г., и годишни доклади за 2014г. за наблюдение изпълнението на Общинските планове за развитие</w:t>
      </w:r>
      <w:r w:rsidRPr="00BD7BB1">
        <w:rPr>
          <w:rFonts w:ascii="All Times New Roman" w:eastAsia="SimSun" w:hAnsi="All Times New Roman" w:cs="All Times New Roman"/>
          <w:bCs/>
          <w:color w:val="auto"/>
          <w:sz w:val="24"/>
          <w:szCs w:val="24"/>
          <w:lang w:val="bg-BG"/>
        </w:rPr>
        <w:t xml:space="preserve"> за периода 2014-2020 г.)</w:t>
      </w:r>
      <w:r w:rsidRPr="00BD7BB1">
        <w:rPr>
          <w:rFonts w:ascii="All Times New Roman" w:eastAsia="SimSun" w:hAnsi="All Times New Roman" w:cs="All Times New Roman"/>
          <w:bCs/>
          <w:color w:val="auto"/>
          <w:sz w:val="24"/>
          <w:szCs w:val="24"/>
          <w:lang w:val="ru-RU"/>
        </w:rPr>
        <w:t xml:space="preserve"> </w:t>
      </w:r>
      <w:r w:rsidRPr="00BD7BB1">
        <w:rPr>
          <w:rFonts w:ascii="All Times New Roman" w:eastAsia="SimSun" w:hAnsi="All Times New Roman" w:cs="All Times New Roman"/>
          <w:bCs/>
          <w:color w:val="auto"/>
          <w:sz w:val="24"/>
          <w:szCs w:val="24"/>
          <w:lang w:val="bg-BG"/>
        </w:rPr>
        <w:t xml:space="preserve">към месец май 2015 г. </w:t>
      </w:r>
      <w:r w:rsidRPr="00BD7BB1">
        <w:rPr>
          <w:rFonts w:ascii="All Times New Roman" w:eastAsia="SimSun" w:hAnsi="All Times New Roman" w:cs="All Times New Roman"/>
          <w:bCs/>
          <w:color w:val="auto"/>
          <w:sz w:val="24"/>
          <w:szCs w:val="24"/>
          <w:lang w:val="ru-RU"/>
        </w:rPr>
        <w:t>от областните управит</w:t>
      </w:r>
      <w:r w:rsidRPr="00BD7BB1">
        <w:rPr>
          <w:rFonts w:ascii="All Times New Roman" w:eastAsia="SimSun" w:hAnsi="All Times New Roman" w:cs="All Times New Roman"/>
          <w:bCs/>
          <w:color w:val="auto"/>
          <w:sz w:val="24"/>
          <w:szCs w:val="24"/>
        </w:rPr>
        <w:t>e</w:t>
      </w:r>
      <w:r w:rsidRPr="00BD7BB1">
        <w:rPr>
          <w:rFonts w:ascii="All Times New Roman" w:eastAsia="SimSun" w:hAnsi="All Times New Roman" w:cs="All Times New Roman"/>
          <w:bCs/>
          <w:color w:val="auto"/>
          <w:sz w:val="24"/>
          <w:szCs w:val="24"/>
          <w:lang w:val="ru-RU"/>
        </w:rPr>
        <w:t>ли и кметовете  на общини в района</w:t>
      </w:r>
      <w:r w:rsidRPr="00BD7BB1">
        <w:rPr>
          <w:rFonts w:ascii="All Times New Roman" w:eastAsia="SimSun" w:hAnsi="All Times New Roman" w:cs="All Times New Roman"/>
          <w:bCs/>
          <w:color w:val="auto"/>
          <w:sz w:val="24"/>
          <w:szCs w:val="24"/>
          <w:lang w:val="bg-BG"/>
        </w:rPr>
        <w:t xml:space="preserve"> </w:t>
      </w:r>
      <w:r w:rsidRPr="00BD7BB1">
        <w:rPr>
          <w:rFonts w:ascii="All Times New Roman" w:eastAsia="SimSun" w:hAnsi="All Times New Roman" w:cs="All Times New Roman"/>
          <w:bCs/>
          <w:color w:val="auto"/>
          <w:sz w:val="24"/>
          <w:szCs w:val="24"/>
          <w:lang w:val="ru-RU"/>
        </w:rPr>
        <w:t xml:space="preserve">със съдействието на Председателя на РСР на ЮИР </w:t>
      </w:r>
      <w:r w:rsidRPr="00BD7BB1">
        <w:rPr>
          <w:rFonts w:ascii="All Times New Roman" w:eastAsia="SimSun" w:hAnsi="All Times New Roman" w:cs="All Times New Roman"/>
          <w:bCs/>
          <w:color w:val="auto"/>
          <w:sz w:val="24"/>
          <w:szCs w:val="24"/>
          <w:lang w:val="bg-BG"/>
        </w:rPr>
        <w:t>е събрана подробна информация за процеса по изготвяне на документите за стратегическо планиране в Югоизточен район за 2014 г.. Данните, които секретариатът получи от четирите области - Бургас, Стара Загора, Сливен и Ямбол и обобщи от 31 бр. общини на Югоизточен район</w:t>
      </w:r>
      <w:r w:rsidRPr="00BD7BB1">
        <w:rPr>
          <w:rFonts w:ascii="All Times New Roman" w:eastAsia="SimSun" w:hAnsi="All Times New Roman" w:cs="All Times New Roman"/>
          <w:bCs/>
          <w:color w:val="auto"/>
          <w:sz w:val="24"/>
          <w:szCs w:val="24"/>
        </w:rPr>
        <w:t xml:space="preserve"> (</w:t>
      </w:r>
      <w:r w:rsidRPr="00BD7BB1">
        <w:rPr>
          <w:rFonts w:ascii="All Times New Roman" w:eastAsia="SimSun" w:hAnsi="All Times New Roman" w:cs="All Times New Roman"/>
          <w:bCs/>
          <w:color w:val="auto"/>
          <w:sz w:val="24"/>
          <w:szCs w:val="24"/>
          <w:lang w:val="bg-BG"/>
        </w:rPr>
        <w:t>от общо 33 бр. липсват справки само от общините Малко Търново на област Бургас и община Мъглиж на област Стара Загора</w:t>
      </w:r>
      <w:r w:rsidRPr="00BD7BB1">
        <w:rPr>
          <w:rFonts w:ascii="All Times New Roman" w:eastAsia="SimSun" w:hAnsi="All Times New Roman" w:cs="All Times New Roman"/>
          <w:bCs/>
          <w:color w:val="auto"/>
          <w:sz w:val="24"/>
          <w:szCs w:val="24"/>
        </w:rPr>
        <w:t>)</w:t>
      </w:r>
      <w:r w:rsidRPr="00BD7BB1">
        <w:rPr>
          <w:rFonts w:ascii="All Times New Roman" w:eastAsia="SimSun" w:hAnsi="All Times New Roman" w:cs="All Times New Roman"/>
          <w:bCs/>
          <w:color w:val="auto"/>
          <w:sz w:val="24"/>
          <w:szCs w:val="24"/>
          <w:lang w:val="bg-BG"/>
        </w:rPr>
        <w:t>, съдържат информация за изготвените Последваща оценка на общински планове за развитие за периода 2007 -2013г., Общински планове за периода 2014-2020 г., Годишни доклади за наблюдение изпълнението на общинските планове за 2014 г.</w:t>
      </w:r>
    </w:p>
    <w:p w:rsidR="00F25110" w:rsidRPr="00BD7BB1" w:rsidRDefault="00F25110" w:rsidP="00F25110">
      <w:pPr>
        <w:autoSpaceDE w:val="0"/>
        <w:autoSpaceDN w:val="0"/>
        <w:adjustRightInd w:val="0"/>
        <w:spacing w:after="0" w:line="240" w:lineRule="auto"/>
        <w:rPr>
          <w:rFonts w:ascii="Times New Roman" w:eastAsia="Times New Roman" w:hAnsi="Times New Roman"/>
          <w:b/>
          <w:color w:val="auto"/>
          <w:sz w:val="24"/>
          <w:szCs w:val="24"/>
          <w:lang w:val="bg-BG"/>
        </w:rPr>
      </w:pPr>
    </w:p>
    <w:p w:rsidR="00F25110" w:rsidRPr="002931BE" w:rsidRDefault="00F25110" w:rsidP="002931BE">
      <w:pPr>
        <w:autoSpaceDE w:val="0"/>
        <w:autoSpaceDN w:val="0"/>
        <w:adjustRightInd w:val="0"/>
        <w:spacing w:after="0" w:line="240" w:lineRule="auto"/>
        <w:rPr>
          <w:rFonts w:ascii="Times New Roman" w:eastAsia="Times New Roman" w:hAnsi="Times New Roman"/>
          <w:b/>
          <w:color w:val="auto"/>
          <w:sz w:val="24"/>
          <w:szCs w:val="24"/>
          <w:u w:val="single"/>
          <w:lang w:val="bg-BG"/>
        </w:rPr>
      </w:pPr>
      <w:r w:rsidRPr="002931BE">
        <w:rPr>
          <w:rFonts w:ascii="Times New Roman" w:eastAsia="Times New Roman" w:hAnsi="Times New Roman"/>
          <w:b/>
          <w:color w:val="auto"/>
          <w:sz w:val="24"/>
          <w:szCs w:val="24"/>
          <w:u w:val="single"/>
          <w:lang w:val="bg-BG"/>
        </w:rPr>
        <w:t>ОБОБЩЕНА ИНФОРМАЦИЯ</w:t>
      </w:r>
    </w:p>
    <w:p w:rsidR="00F25110" w:rsidRPr="00BD7BB1" w:rsidRDefault="00F25110" w:rsidP="00F25110">
      <w:pPr>
        <w:widowControl w:val="0"/>
        <w:autoSpaceDE w:val="0"/>
        <w:autoSpaceDN w:val="0"/>
        <w:adjustRightInd w:val="0"/>
        <w:spacing w:after="0" w:line="360" w:lineRule="auto"/>
        <w:ind w:right="140"/>
        <w:jc w:val="both"/>
        <w:rPr>
          <w:rFonts w:ascii="Times New Roman" w:eastAsia="Times New Roman" w:hAnsi="Times New Roman"/>
          <w:b/>
          <w:color w:val="auto"/>
          <w:sz w:val="24"/>
          <w:szCs w:val="24"/>
          <w:lang w:val="bg-BG" w:eastAsia="bg-BG"/>
        </w:rPr>
      </w:pPr>
    </w:p>
    <w:p w:rsidR="00F25110" w:rsidRPr="00BD7BB1" w:rsidRDefault="00F25110" w:rsidP="00F25110">
      <w:pPr>
        <w:widowControl w:val="0"/>
        <w:tabs>
          <w:tab w:val="left" w:pos="1725"/>
        </w:tabs>
        <w:autoSpaceDE w:val="0"/>
        <w:autoSpaceDN w:val="0"/>
        <w:adjustRightInd w:val="0"/>
        <w:spacing w:after="0" w:line="360" w:lineRule="auto"/>
        <w:ind w:right="140" w:firstLine="720"/>
        <w:jc w:val="both"/>
        <w:rPr>
          <w:rFonts w:ascii="Times New Roman" w:eastAsia="Times New Roman" w:hAnsi="Times New Roman"/>
          <w:color w:val="auto"/>
          <w:sz w:val="24"/>
          <w:szCs w:val="24"/>
          <w:shd w:val="clear" w:color="auto" w:fill="FEFEFE"/>
          <w:lang w:val="bg-BG" w:eastAsia="bg-BG"/>
        </w:rPr>
      </w:pPr>
      <w:r w:rsidRPr="00BD7BB1">
        <w:rPr>
          <w:rFonts w:ascii="Times New Roman" w:eastAsia="Times New Roman" w:hAnsi="Times New Roman"/>
          <w:b/>
          <w:color w:val="auto"/>
          <w:sz w:val="24"/>
          <w:szCs w:val="24"/>
          <w:shd w:val="clear" w:color="auto" w:fill="FEFEFE"/>
          <w:lang w:val="af-ZA" w:eastAsia="bg-BG"/>
        </w:rPr>
        <w:t>Областн</w:t>
      </w:r>
      <w:r w:rsidRPr="00BD7BB1">
        <w:rPr>
          <w:rFonts w:ascii="Times New Roman" w:eastAsia="Times New Roman" w:hAnsi="Times New Roman"/>
          <w:b/>
          <w:color w:val="auto"/>
          <w:sz w:val="24"/>
          <w:szCs w:val="24"/>
          <w:shd w:val="clear" w:color="auto" w:fill="FEFEFE"/>
          <w:lang w:val="bg-BG" w:eastAsia="bg-BG"/>
        </w:rPr>
        <w:t>и</w:t>
      </w:r>
      <w:r w:rsidRPr="00BD7BB1">
        <w:rPr>
          <w:rFonts w:ascii="Times New Roman" w:eastAsia="Times New Roman" w:hAnsi="Times New Roman"/>
          <w:b/>
          <w:color w:val="auto"/>
          <w:sz w:val="24"/>
          <w:szCs w:val="24"/>
          <w:shd w:val="clear" w:color="auto" w:fill="FEFEFE"/>
          <w:lang w:val="af-ZA" w:eastAsia="bg-BG"/>
        </w:rPr>
        <w:t xml:space="preserve"> стратеги</w:t>
      </w:r>
      <w:r w:rsidRPr="00BD7BB1">
        <w:rPr>
          <w:rFonts w:ascii="Times New Roman" w:eastAsia="Times New Roman" w:hAnsi="Times New Roman"/>
          <w:b/>
          <w:color w:val="auto"/>
          <w:sz w:val="24"/>
          <w:szCs w:val="24"/>
          <w:shd w:val="clear" w:color="auto" w:fill="FEFEFE"/>
          <w:lang w:val="bg-BG" w:eastAsia="bg-BG"/>
        </w:rPr>
        <w:t>и</w:t>
      </w:r>
      <w:r w:rsidRPr="00BD7BB1">
        <w:rPr>
          <w:rFonts w:ascii="Times New Roman" w:eastAsia="Times New Roman" w:hAnsi="Times New Roman"/>
          <w:b/>
          <w:color w:val="auto"/>
          <w:sz w:val="24"/>
          <w:szCs w:val="24"/>
          <w:shd w:val="clear" w:color="auto" w:fill="FEFEFE"/>
          <w:lang w:val="af-ZA" w:eastAsia="bg-BG"/>
        </w:rPr>
        <w:t xml:space="preserve"> за развитие (</w:t>
      </w:r>
      <w:r w:rsidRPr="00BD7BB1">
        <w:rPr>
          <w:rFonts w:ascii="Times New Roman" w:eastAsia="Times New Roman" w:hAnsi="Times New Roman"/>
          <w:b/>
          <w:color w:val="auto"/>
          <w:sz w:val="24"/>
          <w:szCs w:val="24"/>
          <w:shd w:val="clear" w:color="auto" w:fill="FEFEFE"/>
          <w:lang w:val="bg-BG" w:eastAsia="bg-BG"/>
        </w:rPr>
        <w:t>ОСР</w:t>
      </w:r>
      <w:r w:rsidRPr="00BD7BB1">
        <w:rPr>
          <w:rFonts w:ascii="Times New Roman" w:eastAsia="Times New Roman" w:hAnsi="Times New Roman"/>
          <w:b/>
          <w:color w:val="auto"/>
          <w:sz w:val="24"/>
          <w:szCs w:val="24"/>
          <w:shd w:val="clear" w:color="auto" w:fill="FEFEFE"/>
          <w:lang w:val="af-ZA" w:eastAsia="bg-BG"/>
        </w:rPr>
        <w:t>)за периода 2014-2020г.</w:t>
      </w:r>
      <w:r w:rsidRPr="00BD7BB1">
        <w:rPr>
          <w:rFonts w:ascii="Times New Roman" w:eastAsia="Times New Roman" w:hAnsi="Times New Roman"/>
          <w:b/>
          <w:color w:val="auto"/>
          <w:sz w:val="24"/>
          <w:szCs w:val="24"/>
          <w:shd w:val="clear" w:color="auto" w:fill="FEFEFE"/>
          <w:lang w:val="bg-BG" w:eastAsia="bg-BG"/>
        </w:rPr>
        <w:t xml:space="preserve"> – общо 4 бр. </w:t>
      </w:r>
      <w:r w:rsidRPr="00BD7BB1">
        <w:rPr>
          <w:rFonts w:ascii="Times New Roman" w:eastAsia="Times New Roman" w:hAnsi="Times New Roman"/>
          <w:color w:val="auto"/>
          <w:sz w:val="24"/>
          <w:szCs w:val="24"/>
          <w:shd w:val="clear" w:color="auto" w:fill="FEFEFE"/>
          <w:lang w:val="bg-BG" w:eastAsia="bg-BG"/>
        </w:rPr>
        <w:t>изготвени – област Бургас – приета на 22.10.2013г., област Стара Загора – приета на 03.06.2013 г., област Сливен – приета на 19.09.2013г., област Ямбол – приета на 07.06.2013г.;</w:t>
      </w:r>
    </w:p>
    <w:p w:rsidR="00F25110" w:rsidRPr="00BD7BB1" w:rsidRDefault="00F25110" w:rsidP="00F25110">
      <w:pPr>
        <w:widowControl w:val="0"/>
        <w:tabs>
          <w:tab w:val="left" w:pos="1725"/>
        </w:tabs>
        <w:autoSpaceDE w:val="0"/>
        <w:autoSpaceDN w:val="0"/>
        <w:adjustRightInd w:val="0"/>
        <w:spacing w:after="0" w:line="360" w:lineRule="auto"/>
        <w:ind w:right="140" w:firstLine="720"/>
        <w:jc w:val="both"/>
        <w:rPr>
          <w:rFonts w:ascii="Times New Roman" w:eastAsia="Times New Roman" w:hAnsi="Times New Roman"/>
          <w:b/>
          <w:bCs/>
          <w:color w:val="auto"/>
          <w:sz w:val="24"/>
          <w:szCs w:val="24"/>
          <w:lang w:val="bg-BG" w:eastAsia="bg-BG"/>
        </w:rPr>
      </w:pPr>
      <w:r w:rsidRPr="00BD7BB1">
        <w:rPr>
          <w:rFonts w:ascii="Times New Roman" w:eastAsia="Times New Roman" w:hAnsi="Times New Roman"/>
          <w:b/>
          <w:bCs/>
          <w:color w:val="auto"/>
          <w:sz w:val="24"/>
          <w:szCs w:val="24"/>
          <w:lang w:val="bg-BG" w:eastAsia="bg-BG"/>
        </w:rPr>
        <w:t xml:space="preserve">Общо изготвени Последващи оценки на общински планове за развитие </w:t>
      </w:r>
      <w:r w:rsidRPr="00BD7BB1">
        <w:rPr>
          <w:rFonts w:ascii="Times New Roman" w:eastAsia="Times New Roman" w:hAnsi="Times New Roman"/>
          <w:b/>
          <w:bCs/>
          <w:color w:val="auto"/>
          <w:sz w:val="24"/>
          <w:szCs w:val="24"/>
          <w:lang w:eastAsia="bg-BG"/>
        </w:rPr>
        <w:t>(</w:t>
      </w:r>
      <w:r w:rsidRPr="00BD7BB1">
        <w:rPr>
          <w:rFonts w:ascii="Times New Roman" w:eastAsia="Times New Roman" w:hAnsi="Times New Roman"/>
          <w:b/>
          <w:bCs/>
          <w:color w:val="auto"/>
          <w:sz w:val="24"/>
          <w:szCs w:val="24"/>
          <w:lang w:val="bg-BG" w:eastAsia="bg-BG"/>
        </w:rPr>
        <w:t>ОПР</w:t>
      </w:r>
      <w:r w:rsidRPr="00BD7BB1">
        <w:rPr>
          <w:rFonts w:ascii="Times New Roman" w:eastAsia="Times New Roman" w:hAnsi="Times New Roman"/>
          <w:b/>
          <w:bCs/>
          <w:color w:val="auto"/>
          <w:sz w:val="24"/>
          <w:szCs w:val="24"/>
          <w:lang w:eastAsia="bg-BG"/>
        </w:rPr>
        <w:t>)</w:t>
      </w:r>
      <w:r w:rsidRPr="00BD7BB1">
        <w:rPr>
          <w:rFonts w:ascii="Times New Roman" w:eastAsia="Times New Roman" w:hAnsi="Times New Roman"/>
          <w:b/>
          <w:bCs/>
          <w:color w:val="auto"/>
          <w:sz w:val="24"/>
          <w:szCs w:val="24"/>
          <w:lang w:val="bg-BG" w:eastAsia="bg-BG"/>
        </w:rPr>
        <w:t xml:space="preserve"> за периода 2007-2013: общо - 15 бр. изготвени, 3 бр. в процес на изготвяне:</w:t>
      </w:r>
    </w:p>
    <w:p w:rsidR="00F25110" w:rsidRPr="00BD7BB1" w:rsidRDefault="00F25110" w:rsidP="00957FF6">
      <w:pPr>
        <w:widowControl w:val="0"/>
        <w:numPr>
          <w:ilvl w:val="0"/>
          <w:numId w:val="13"/>
        </w:numPr>
        <w:tabs>
          <w:tab w:val="left" w:pos="1418"/>
        </w:tabs>
        <w:autoSpaceDE w:val="0"/>
        <w:autoSpaceDN w:val="0"/>
        <w:adjustRightInd w:val="0"/>
        <w:spacing w:after="0" w:line="360" w:lineRule="auto"/>
        <w:ind w:left="0" w:right="140" w:firstLine="106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bCs/>
          <w:color w:val="auto"/>
          <w:sz w:val="24"/>
          <w:szCs w:val="24"/>
          <w:lang w:val="bg-BG" w:eastAsia="bg-BG"/>
        </w:rPr>
        <w:t>област Бургас -</w:t>
      </w:r>
      <w:r w:rsidRPr="00BD7BB1">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
          <w:bCs/>
          <w:color w:val="auto"/>
          <w:sz w:val="24"/>
          <w:szCs w:val="24"/>
          <w:lang w:val="bg-BG" w:eastAsia="bg-BG"/>
        </w:rPr>
        <w:t>8 бр</w:t>
      </w:r>
      <w:r w:rsidRPr="00BD7BB1">
        <w:rPr>
          <w:rFonts w:ascii="Times New Roman" w:eastAsia="Times New Roman" w:hAnsi="Times New Roman"/>
          <w:bCs/>
          <w:color w:val="auto"/>
          <w:sz w:val="24"/>
          <w:szCs w:val="24"/>
          <w:lang w:val="bg-BG" w:eastAsia="bg-BG"/>
        </w:rPr>
        <w:t>.- община Камено, община Руен, община Средец, община Айтос, община Бургас, община Несебър, община Сунгурларе, община Приморско</w:t>
      </w:r>
      <w:r w:rsidRPr="00BD7BB1">
        <w:rPr>
          <w:rFonts w:ascii="Times New Roman" w:eastAsia="Times New Roman" w:hAnsi="Times New Roman"/>
          <w:bCs/>
          <w:color w:val="auto"/>
          <w:sz w:val="24"/>
          <w:szCs w:val="24"/>
          <w:lang w:eastAsia="bg-BG"/>
        </w:rPr>
        <w:t xml:space="preserve"> – </w:t>
      </w:r>
      <w:r w:rsidRPr="00BD7BB1">
        <w:rPr>
          <w:rFonts w:ascii="Times New Roman" w:eastAsia="Times New Roman" w:hAnsi="Times New Roman"/>
          <w:bCs/>
          <w:color w:val="auto"/>
          <w:sz w:val="24"/>
          <w:szCs w:val="24"/>
          <w:lang w:val="bg-BG" w:eastAsia="bg-BG"/>
        </w:rPr>
        <w:t>в процес на изготвяне;</w:t>
      </w:r>
    </w:p>
    <w:p w:rsidR="00F25110" w:rsidRPr="00BD7BB1" w:rsidRDefault="00F25110" w:rsidP="00957FF6">
      <w:pPr>
        <w:widowControl w:val="0"/>
        <w:numPr>
          <w:ilvl w:val="0"/>
          <w:numId w:val="13"/>
        </w:numPr>
        <w:tabs>
          <w:tab w:val="left" w:pos="1418"/>
        </w:tabs>
        <w:autoSpaceDE w:val="0"/>
        <w:autoSpaceDN w:val="0"/>
        <w:adjustRightInd w:val="0"/>
        <w:spacing w:after="0" w:line="360" w:lineRule="auto"/>
        <w:ind w:left="0" w:right="140" w:firstLine="106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lastRenderedPageBreak/>
        <w:t xml:space="preserve">  </w:t>
      </w:r>
      <w:r w:rsidRPr="00BD7BB1">
        <w:rPr>
          <w:rFonts w:ascii="Times New Roman" w:eastAsia="Times New Roman" w:hAnsi="Times New Roman"/>
          <w:b/>
          <w:bCs/>
          <w:color w:val="auto"/>
          <w:sz w:val="24"/>
          <w:szCs w:val="24"/>
          <w:lang w:val="bg-BG" w:eastAsia="bg-BG"/>
        </w:rPr>
        <w:t>област Ст.Загора</w:t>
      </w:r>
      <w:r w:rsidRPr="00BD7BB1">
        <w:rPr>
          <w:rFonts w:ascii="Times New Roman" w:eastAsia="Times New Roman" w:hAnsi="Times New Roman"/>
          <w:bCs/>
          <w:color w:val="auto"/>
          <w:sz w:val="24"/>
          <w:szCs w:val="24"/>
          <w:lang w:val="bg-BG" w:eastAsia="bg-BG"/>
        </w:rPr>
        <w:t xml:space="preserve"> - </w:t>
      </w:r>
      <w:r w:rsidRPr="00BD7BB1">
        <w:rPr>
          <w:rFonts w:ascii="Times New Roman" w:eastAsia="Times New Roman" w:hAnsi="Times New Roman"/>
          <w:b/>
          <w:bCs/>
          <w:color w:val="auto"/>
          <w:sz w:val="24"/>
          <w:szCs w:val="24"/>
          <w:lang w:val="bg-BG" w:eastAsia="bg-BG"/>
        </w:rPr>
        <w:t>8 бр.</w:t>
      </w:r>
      <w:r w:rsidRPr="00BD7BB1">
        <w:rPr>
          <w:rFonts w:ascii="Times New Roman" w:eastAsia="Times New Roman" w:hAnsi="Times New Roman"/>
          <w:color w:val="auto"/>
          <w:sz w:val="24"/>
          <w:szCs w:val="24"/>
          <w:lang w:val="bg-BG" w:eastAsia="bg-BG"/>
        </w:rPr>
        <w:t xml:space="preserve"> - </w:t>
      </w:r>
      <w:r w:rsidRPr="00BD7BB1">
        <w:rPr>
          <w:rFonts w:ascii="Times New Roman" w:eastAsia="Times New Roman" w:hAnsi="Times New Roman"/>
          <w:bCs/>
          <w:color w:val="auto"/>
          <w:sz w:val="24"/>
          <w:szCs w:val="24"/>
          <w:lang w:val="bg-BG" w:eastAsia="bg-BG"/>
        </w:rPr>
        <w:t>община Павел баня,</w:t>
      </w:r>
      <w:r w:rsidRPr="00BD7BB1">
        <w:rPr>
          <w:rFonts w:ascii="Times New Roman" w:eastAsia="Times New Roman" w:hAnsi="Times New Roman"/>
          <w:color w:val="auto"/>
          <w:sz w:val="24"/>
          <w:szCs w:val="24"/>
          <w:lang w:val="bg-BG" w:eastAsia="bg-BG"/>
        </w:rPr>
        <w:t xml:space="preserve"> община Гурково,община Братя Даскалови, община Раднево, община Опан, община Стара Загора, община Казанлък, община Николаево</w:t>
      </w:r>
      <w:r w:rsidRPr="00BD7BB1">
        <w:rPr>
          <w:rFonts w:ascii="Times New Roman" w:eastAsia="Times New Roman" w:hAnsi="Times New Roman"/>
          <w:bCs/>
          <w:color w:val="auto"/>
          <w:sz w:val="24"/>
          <w:szCs w:val="24"/>
          <w:lang w:val="bg-BG" w:eastAsia="bg-BG"/>
        </w:rPr>
        <w:t xml:space="preserve"> - в процес на изготвяне;</w:t>
      </w:r>
    </w:p>
    <w:p w:rsidR="00F25110" w:rsidRPr="00BD7BB1" w:rsidRDefault="00F25110" w:rsidP="00957FF6">
      <w:pPr>
        <w:widowControl w:val="0"/>
        <w:numPr>
          <w:ilvl w:val="0"/>
          <w:numId w:val="13"/>
        </w:numPr>
        <w:tabs>
          <w:tab w:val="left" w:pos="1418"/>
        </w:tabs>
        <w:autoSpaceDE w:val="0"/>
        <w:autoSpaceDN w:val="0"/>
        <w:adjustRightInd w:val="0"/>
        <w:spacing w:after="0" w:line="360" w:lineRule="auto"/>
        <w:ind w:left="0" w:right="140" w:firstLine="106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bCs/>
          <w:color w:val="auto"/>
          <w:sz w:val="24"/>
          <w:szCs w:val="24"/>
          <w:lang w:val="bg-BG" w:eastAsia="bg-BG"/>
        </w:rPr>
        <w:t>област Сливен - 2бр.</w:t>
      </w:r>
      <w:r w:rsidRPr="00BD7BB1">
        <w:rPr>
          <w:rFonts w:ascii="Times New Roman" w:eastAsia="Times New Roman" w:hAnsi="Times New Roman"/>
          <w:bCs/>
          <w:color w:val="auto"/>
          <w:sz w:val="24"/>
          <w:szCs w:val="24"/>
          <w:lang w:val="bg-BG" w:eastAsia="bg-BG"/>
        </w:rPr>
        <w:t xml:space="preserve"> - община Сливен, община Котел - в процес на изготвяне;  </w:t>
      </w:r>
    </w:p>
    <w:p w:rsidR="00F25110" w:rsidRPr="00BD7BB1" w:rsidRDefault="00F25110" w:rsidP="00957FF6">
      <w:pPr>
        <w:widowControl w:val="0"/>
        <w:numPr>
          <w:ilvl w:val="0"/>
          <w:numId w:val="13"/>
        </w:numPr>
        <w:tabs>
          <w:tab w:val="left" w:pos="1418"/>
        </w:tabs>
        <w:autoSpaceDE w:val="0"/>
        <w:autoSpaceDN w:val="0"/>
        <w:adjustRightInd w:val="0"/>
        <w:spacing w:after="0" w:line="360" w:lineRule="auto"/>
        <w:ind w:left="0" w:right="140" w:firstLine="106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bCs/>
          <w:color w:val="auto"/>
          <w:sz w:val="24"/>
          <w:szCs w:val="24"/>
          <w:lang w:val="bg-BG" w:eastAsia="bg-BG"/>
        </w:rPr>
        <w:t>област Ямбол - 3бр.</w:t>
      </w:r>
      <w:r w:rsidRPr="00BD7BB1">
        <w:rPr>
          <w:rFonts w:ascii="Times New Roman" w:eastAsia="Times New Roman" w:hAnsi="Times New Roman"/>
          <w:bCs/>
          <w:color w:val="auto"/>
          <w:sz w:val="24"/>
          <w:szCs w:val="24"/>
          <w:lang w:val="bg-BG" w:eastAsia="bg-BG"/>
        </w:rPr>
        <w:t>-</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 xml:space="preserve">община Тунджа, община Болярово, община Стралджа; </w:t>
      </w:r>
    </w:p>
    <w:p w:rsidR="00F25110" w:rsidRPr="00BD7BB1" w:rsidRDefault="00F25110" w:rsidP="00F25110">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b/>
          <w:bCs/>
          <w:color w:val="auto"/>
          <w:sz w:val="24"/>
          <w:szCs w:val="24"/>
          <w:lang w:val="bg-BG" w:eastAsia="bg-BG"/>
        </w:rPr>
      </w:pPr>
      <w:r w:rsidRPr="00BD7BB1">
        <w:rPr>
          <w:rFonts w:ascii="Times New Roman" w:eastAsia="Times New Roman" w:hAnsi="Times New Roman"/>
          <w:b/>
          <w:bCs/>
          <w:color w:val="auto"/>
          <w:sz w:val="24"/>
          <w:szCs w:val="24"/>
          <w:lang w:val="bg-BG" w:eastAsia="bg-BG"/>
        </w:rPr>
        <w:t>Общински план за</w:t>
      </w:r>
      <w:r w:rsidRPr="00BD7BB1">
        <w:rPr>
          <w:rFonts w:ascii="Times New Roman" w:eastAsia="Times New Roman" w:hAnsi="Times New Roman"/>
          <w:b/>
          <w:bCs/>
          <w:iCs/>
          <w:color w:val="auto"/>
          <w:sz w:val="24"/>
          <w:szCs w:val="24"/>
          <w:lang w:val="bg-BG" w:eastAsia="bg-BG"/>
        </w:rPr>
        <w:t xml:space="preserve"> </w:t>
      </w:r>
      <w:r w:rsidRPr="00BD7BB1">
        <w:rPr>
          <w:rFonts w:ascii="Times New Roman" w:eastAsia="Times New Roman" w:hAnsi="Times New Roman"/>
          <w:b/>
          <w:bCs/>
          <w:color w:val="auto"/>
          <w:sz w:val="24"/>
          <w:szCs w:val="24"/>
          <w:lang w:val="bg-BG" w:eastAsia="bg-BG"/>
        </w:rPr>
        <w:t>развитие за периода 2014-2020г.</w:t>
      </w:r>
      <w:r w:rsidRPr="00BD7BB1">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
          <w:bCs/>
          <w:color w:val="auto"/>
          <w:sz w:val="24"/>
          <w:szCs w:val="24"/>
          <w:lang w:val="bg-BG" w:eastAsia="bg-BG"/>
        </w:rPr>
        <w:t xml:space="preserve"> общо </w:t>
      </w:r>
      <w:r w:rsidRPr="00BD7BB1">
        <w:rPr>
          <w:rFonts w:ascii="Times New Roman" w:eastAsia="Times New Roman" w:hAnsi="Times New Roman"/>
          <w:b/>
          <w:bCs/>
          <w:color w:val="auto"/>
          <w:sz w:val="24"/>
          <w:szCs w:val="24"/>
          <w:lang w:eastAsia="bg-BG"/>
        </w:rPr>
        <w:t>32</w:t>
      </w:r>
      <w:r w:rsidRPr="00BD7BB1">
        <w:rPr>
          <w:rFonts w:ascii="Times New Roman" w:eastAsia="Times New Roman" w:hAnsi="Times New Roman"/>
          <w:b/>
          <w:bCs/>
          <w:color w:val="auto"/>
          <w:sz w:val="24"/>
          <w:szCs w:val="24"/>
          <w:lang w:val="bg-BG" w:eastAsia="bg-BG"/>
        </w:rPr>
        <w:t xml:space="preserve"> изготвени и 1 бр. в процес на изготвяне.</w:t>
      </w:r>
    </w:p>
    <w:p w:rsidR="00F25110" w:rsidRPr="00BD7BB1" w:rsidRDefault="00F25110" w:rsidP="00957FF6">
      <w:pPr>
        <w:widowControl w:val="0"/>
        <w:numPr>
          <w:ilvl w:val="0"/>
          <w:numId w:val="14"/>
        </w:numPr>
        <w:autoSpaceDE w:val="0"/>
        <w:autoSpaceDN w:val="0"/>
        <w:adjustRightInd w:val="0"/>
        <w:spacing w:after="0" w:line="360" w:lineRule="auto"/>
        <w:ind w:left="-142" w:right="140" w:firstLine="1222"/>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bCs/>
          <w:color w:val="auto"/>
          <w:sz w:val="24"/>
          <w:szCs w:val="24"/>
          <w:lang w:val="bg-BG" w:eastAsia="bg-BG"/>
        </w:rPr>
        <w:t xml:space="preserve">област Бургас – 12 бр. </w:t>
      </w:r>
      <w:r w:rsidRPr="00BD7BB1">
        <w:rPr>
          <w:rFonts w:ascii="Times New Roman" w:eastAsia="Times New Roman" w:hAnsi="Times New Roman"/>
          <w:bCs/>
          <w:color w:val="auto"/>
          <w:sz w:val="24"/>
          <w:szCs w:val="24"/>
          <w:lang w:val="bg-BG" w:eastAsia="bg-BG"/>
        </w:rPr>
        <w:t>- община Средец - приет на 26.02.2014г., община Карнобат – приет на 29.10.2013г., община Поморие - приет на 29.04.2014г., община Руен - приет на 28.05.2014г.,</w:t>
      </w:r>
      <w:r w:rsidRPr="00BD7BB1">
        <w:rPr>
          <w:rFonts w:ascii="Times New Roman" w:eastAsia="Times New Roman" w:hAnsi="Times New Roman"/>
          <w:b/>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община Айтос приет на 30.07.2014г., община Бургас - приет на 30.09.2014г., община Созопол – приет на 28.11.2014г., община Несебър</w:t>
      </w:r>
      <w:r w:rsidRPr="00BD7BB1">
        <w:rPr>
          <w:rFonts w:ascii="Times New Roman" w:eastAsia="Times New Roman" w:hAnsi="Times New Roman"/>
          <w:bCs/>
          <w:color w:val="auto"/>
          <w:sz w:val="24"/>
          <w:szCs w:val="24"/>
          <w:lang w:eastAsia="bg-BG"/>
        </w:rPr>
        <w:t xml:space="preserve"> – </w:t>
      </w:r>
      <w:r w:rsidRPr="00BD7BB1">
        <w:rPr>
          <w:rFonts w:ascii="Times New Roman" w:eastAsia="Times New Roman" w:hAnsi="Times New Roman"/>
          <w:bCs/>
          <w:color w:val="auto"/>
          <w:sz w:val="24"/>
          <w:szCs w:val="24"/>
          <w:lang w:val="bg-BG" w:eastAsia="bg-BG"/>
        </w:rPr>
        <w:t>приет на 01.09.2014г.,</w:t>
      </w:r>
      <w:r w:rsidRPr="00BD7BB1">
        <w:rPr>
          <w:rFonts w:ascii="Times New Roman" w:eastAsia="Times New Roman" w:hAnsi="Times New Roman"/>
          <w:b/>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община Камено</w:t>
      </w:r>
      <w:r w:rsidRPr="00BD7BB1">
        <w:rPr>
          <w:rFonts w:ascii="Times New Roman" w:eastAsia="Times New Roman" w:hAnsi="Times New Roman"/>
          <w:b/>
          <w:bCs/>
          <w:color w:val="auto"/>
          <w:sz w:val="24"/>
          <w:szCs w:val="24"/>
          <w:lang w:val="bg-BG" w:eastAsia="bg-BG"/>
        </w:rPr>
        <w:t xml:space="preserve"> – </w:t>
      </w:r>
      <w:r w:rsidRPr="00BD7BB1">
        <w:rPr>
          <w:rFonts w:ascii="Times New Roman" w:eastAsia="Times New Roman" w:hAnsi="Times New Roman"/>
          <w:bCs/>
          <w:color w:val="auto"/>
          <w:sz w:val="24"/>
          <w:szCs w:val="24"/>
          <w:lang w:val="bg-BG" w:eastAsia="bg-BG"/>
        </w:rPr>
        <w:t xml:space="preserve">приет на 29.05.2014г. , община Приморско – приет на 07.07.2014г. ; община Царево – приет на 16.09.2014г.,  </w:t>
      </w:r>
      <w:r w:rsidRPr="00BD7BB1">
        <w:rPr>
          <w:rFonts w:ascii="Times New Roman" w:eastAsia="Times New Roman" w:hAnsi="Times New Roman"/>
          <w:b/>
          <w:bCs/>
          <w:color w:val="auto"/>
          <w:sz w:val="24"/>
          <w:szCs w:val="24"/>
          <w:lang w:val="bg-BG" w:eastAsia="bg-BG"/>
        </w:rPr>
        <w:t>1 бр.</w:t>
      </w:r>
      <w:r w:rsidRPr="00BD7BB1">
        <w:rPr>
          <w:rFonts w:ascii="Times New Roman" w:eastAsia="Times New Roman" w:hAnsi="Times New Roman"/>
          <w:bCs/>
          <w:color w:val="auto"/>
          <w:sz w:val="24"/>
          <w:szCs w:val="24"/>
          <w:lang w:val="bg-BG" w:eastAsia="bg-BG"/>
        </w:rPr>
        <w:t xml:space="preserve"> в процес на изготвяне по ОПАК  -</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община М.Търново;</w:t>
      </w:r>
    </w:p>
    <w:p w:rsidR="00F25110" w:rsidRPr="00BD7BB1" w:rsidRDefault="00F25110" w:rsidP="00957FF6">
      <w:pPr>
        <w:widowControl w:val="0"/>
        <w:numPr>
          <w:ilvl w:val="0"/>
          <w:numId w:val="14"/>
        </w:numPr>
        <w:autoSpaceDE w:val="0"/>
        <w:autoSpaceDN w:val="0"/>
        <w:adjustRightInd w:val="0"/>
        <w:spacing w:after="0" w:line="360" w:lineRule="auto"/>
        <w:ind w:left="-142" w:right="140" w:firstLine="1222"/>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bCs/>
          <w:color w:val="auto"/>
          <w:sz w:val="24"/>
          <w:szCs w:val="24"/>
          <w:lang w:val="bg-BG" w:eastAsia="bg-BG"/>
        </w:rPr>
        <w:t>област Ст.Загора</w:t>
      </w:r>
      <w:r w:rsidRPr="00BD7BB1">
        <w:rPr>
          <w:rFonts w:ascii="Times New Roman" w:eastAsia="Times New Roman" w:hAnsi="Times New Roman"/>
          <w:bCs/>
          <w:color w:val="auto"/>
          <w:sz w:val="24"/>
          <w:szCs w:val="24"/>
          <w:lang w:val="bg-BG" w:eastAsia="bg-BG"/>
        </w:rPr>
        <w:t xml:space="preserve"> - </w:t>
      </w:r>
      <w:r w:rsidRPr="00BD7BB1">
        <w:rPr>
          <w:rFonts w:ascii="Times New Roman" w:eastAsia="Times New Roman" w:hAnsi="Times New Roman"/>
          <w:b/>
          <w:bCs/>
          <w:color w:val="auto"/>
          <w:sz w:val="24"/>
          <w:szCs w:val="24"/>
          <w:lang w:val="bg-BG" w:eastAsia="bg-BG"/>
        </w:rPr>
        <w:t>11бр.</w:t>
      </w:r>
      <w:r w:rsidRPr="00BD7BB1">
        <w:rPr>
          <w:rFonts w:ascii="Times New Roman" w:eastAsia="Times New Roman" w:hAnsi="Times New Roman"/>
          <w:bCs/>
          <w:color w:val="auto"/>
          <w:sz w:val="24"/>
          <w:szCs w:val="24"/>
          <w:lang w:val="bg-BG" w:eastAsia="bg-BG"/>
        </w:rPr>
        <w:t xml:space="preserve"> - община Николаево</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приет на 19.12.2013г., община Братя Даскалови -</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приет на 26.09.2013г., община Опан</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приет на 18.12.2013г., община Стара Загора - приет на 31.10.2013г., община Гурково</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приет на 19.12.2013г., община Гълъбово</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приет на 26.11.2013г.,  община Казанлък</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w:t>
      </w:r>
      <w:r w:rsidR="00715A85">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 xml:space="preserve">приет на 23.04.2014г., община Павел баня – приет на 31.10.2013г. , община Чирпан - приет на 31.10.2013г., община Раднево –приет на 31.07.2014г. община Мъглиж приет на 27.05.2014г.; </w:t>
      </w:r>
    </w:p>
    <w:p w:rsidR="00F25110" w:rsidRPr="00BD7BB1" w:rsidRDefault="00F25110" w:rsidP="00957FF6">
      <w:pPr>
        <w:widowControl w:val="0"/>
        <w:numPr>
          <w:ilvl w:val="0"/>
          <w:numId w:val="14"/>
        </w:numPr>
        <w:autoSpaceDE w:val="0"/>
        <w:autoSpaceDN w:val="0"/>
        <w:adjustRightInd w:val="0"/>
        <w:spacing w:after="0" w:line="360" w:lineRule="auto"/>
        <w:ind w:left="-142" w:right="140" w:firstLine="1222"/>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bCs/>
          <w:color w:val="auto"/>
          <w:sz w:val="24"/>
          <w:szCs w:val="24"/>
          <w:lang w:val="bg-BG" w:eastAsia="bg-BG"/>
        </w:rPr>
        <w:t>област Сливен</w:t>
      </w:r>
      <w:r w:rsidRPr="00BD7BB1">
        <w:rPr>
          <w:rFonts w:ascii="Times New Roman" w:eastAsia="Times New Roman" w:hAnsi="Times New Roman"/>
          <w:bCs/>
          <w:color w:val="auto"/>
          <w:sz w:val="24"/>
          <w:szCs w:val="24"/>
          <w:lang w:val="bg-BG" w:eastAsia="bg-BG"/>
        </w:rPr>
        <w:t xml:space="preserve"> - </w:t>
      </w:r>
      <w:r w:rsidRPr="00BD7BB1">
        <w:rPr>
          <w:rFonts w:ascii="Times New Roman" w:eastAsia="Times New Roman" w:hAnsi="Times New Roman"/>
          <w:b/>
          <w:bCs/>
          <w:color w:val="auto"/>
          <w:sz w:val="24"/>
          <w:szCs w:val="24"/>
          <w:lang w:val="bg-BG" w:eastAsia="bg-BG"/>
        </w:rPr>
        <w:t>4бр</w:t>
      </w:r>
      <w:r w:rsidRPr="00BD7BB1">
        <w:rPr>
          <w:rFonts w:ascii="Times New Roman" w:eastAsia="Times New Roman" w:hAnsi="Times New Roman"/>
          <w:bCs/>
          <w:color w:val="auto"/>
          <w:sz w:val="24"/>
          <w:szCs w:val="24"/>
          <w:lang w:val="bg-BG" w:eastAsia="bg-BG"/>
        </w:rPr>
        <w:t>.</w:t>
      </w:r>
      <w:r w:rsidR="004A0444">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w:t>
      </w:r>
      <w:r w:rsidR="004A0444">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община Сливен</w:t>
      </w:r>
      <w:r w:rsidR="004A0444">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 xml:space="preserve">- приет на 10.07.2014г., община Нова Загора - приет на 19.09.2013г., община Твърдица – приет на 27.06.2014г. ,община Котел  приет на 29.08.2014г.; </w:t>
      </w:r>
    </w:p>
    <w:p w:rsidR="00F25110" w:rsidRPr="00BD7BB1" w:rsidRDefault="00F25110" w:rsidP="00957FF6">
      <w:pPr>
        <w:widowControl w:val="0"/>
        <w:numPr>
          <w:ilvl w:val="0"/>
          <w:numId w:val="14"/>
        </w:numPr>
        <w:autoSpaceDE w:val="0"/>
        <w:autoSpaceDN w:val="0"/>
        <w:adjustRightInd w:val="0"/>
        <w:spacing w:after="0" w:line="360" w:lineRule="auto"/>
        <w:ind w:left="-142" w:right="140" w:firstLine="1222"/>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bCs/>
          <w:color w:val="auto"/>
          <w:sz w:val="24"/>
          <w:szCs w:val="24"/>
          <w:lang w:val="bg-BG" w:eastAsia="bg-BG"/>
        </w:rPr>
        <w:t>област Ямбол - 5 бр</w:t>
      </w:r>
      <w:r w:rsidRPr="00BD7BB1">
        <w:rPr>
          <w:rFonts w:ascii="Times New Roman" w:eastAsia="Times New Roman" w:hAnsi="Times New Roman"/>
          <w:bCs/>
          <w:color w:val="auto"/>
          <w:sz w:val="24"/>
          <w:szCs w:val="24"/>
          <w:lang w:val="bg-BG" w:eastAsia="bg-BG"/>
        </w:rPr>
        <w:t>.</w:t>
      </w:r>
      <w:r w:rsidR="004A0444">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изготвени, община Елхово - приет на 26.09.2013г., община Ямбол</w:t>
      </w:r>
      <w:r w:rsidR="004A0444">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w:t>
      </w:r>
      <w:r w:rsidR="004A0444">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приет на 24.06.2014г., община Болярово –приет на 23.07.2014г., община Стралджа  -</w:t>
      </w:r>
      <w:r w:rsidR="004A0444">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приет на 31.07.2014г., община Тунджа – приет на 05.06.2014г.;</w:t>
      </w:r>
    </w:p>
    <w:p w:rsidR="00F25110" w:rsidRPr="00BD7BB1" w:rsidRDefault="00F25110" w:rsidP="00F25110">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b/>
          <w:bCs/>
          <w:color w:val="auto"/>
          <w:sz w:val="24"/>
          <w:szCs w:val="24"/>
          <w:lang w:val="bg-BG" w:eastAsia="bg-BG"/>
        </w:rPr>
      </w:pPr>
      <w:r w:rsidRPr="00BD7BB1">
        <w:rPr>
          <w:rFonts w:ascii="Times New Roman" w:eastAsia="Times New Roman" w:hAnsi="Times New Roman"/>
          <w:bCs/>
          <w:color w:val="auto"/>
          <w:sz w:val="24"/>
          <w:szCs w:val="24"/>
          <w:lang w:val="ru-RU" w:eastAsia="bg-BG"/>
        </w:rPr>
        <w:t xml:space="preserve"> </w:t>
      </w:r>
      <w:r w:rsidRPr="00BD7BB1">
        <w:rPr>
          <w:rFonts w:ascii="Times New Roman" w:eastAsia="Times New Roman" w:hAnsi="Times New Roman"/>
          <w:b/>
          <w:bCs/>
          <w:color w:val="auto"/>
          <w:sz w:val="24"/>
          <w:szCs w:val="24"/>
          <w:lang w:val="ru-RU" w:eastAsia="bg-BG"/>
        </w:rPr>
        <w:t>Годишни доклади за изпълнение на Общинските планове за развитие за 2014г. :</w:t>
      </w:r>
      <w:r w:rsidRPr="00BD7BB1">
        <w:rPr>
          <w:rFonts w:ascii="Times New Roman" w:eastAsia="Times New Roman" w:hAnsi="Times New Roman"/>
          <w:b/>
          <w:bCs/>
          <w:color w:val="auto"/>
          <w:sz w:val="24"/>
          <w:szCs w:val="24"/>
          <w:lang w:val="bg-BG" w:eastAsia="bg-BG"/>
        </w:rPr>
        <w:t xml:space="preserve"> общо 13 изготвени и 2 бр.в процес на изготвяне:</w:t>
      </w:r>
    </w:p>
    <w:p w:rsidR="00F25110" w:rsidRPr="00BD7BB1" w:rsidRDefault="00F25110" w:rsidP="00957FF6">
      <w:pPr>
        <w:widowControl w:val="0"/>
        <w:numPr>
          <w:ilvl w:val="0"/>
          <w:numId w:val="13"/>
        </w:numPr>
        <w:tabs>
          <w:tab w:val="left" w:pos="1418"/>
        </w:tabs>
        <w:autoSpaceDE w:val="0"/>
        <w:autoSpaceDN w:val="0"/>
        <w:adjustRightInd w:val="0"/>
        <w:spacing w:after="0" w:line="360" w:lineRule="auto"/>
        <w:ind w:left="0" w:right="140" w:firstLine="106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bCs/>
          <w:color w:val="auto"/>
          <w:sz w:val="24"/>
          <w:szCs w:val="24"/>
          <w:lang w:val="bg-BG" w:eastAsia="bg-BG"/>
        </w:rPr>
        <w:t xml:space="preserve">област Бургас - </w:t>
      </w:r>
      <w:r w:rsidRPr="00BD7BB1">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
          <w:bCs/>
          <w:color w:val="auto"/>
          <w:sz w:val="24"/>
          <w:szCs w:val="24"/>
          <w:lang w:val="bg-BG" w:eastAsia="bg-BG"/>
        </w:rPr>
        <w:t>4 бр.</w:t>
      </w:r>
      <w:r w:rsidR="004A0444">
        <w:rPr>
          <w:rFonts w:ascii="Times New Roman" w:eastAsia="Times New Roman" w:hAnsi="Times New Roman"/>
          <w:b/>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 xml:space="preserve">- община Айтос, община Бургас, община Руен, </w:t>
      </w:r>
      <w:r w:rsidRPr="00BD7BB1">
        <w:rPr>
          <w:rFonts w:ascii="Times New Roman" w:eastAsia="Times New Roman" w:hAnsi="Times New Roman"/>
          <w:bCs/>
          <w:color w:val="auto"/>
          <w:sz w:val="24"/>
          <w:szCs w:val="24"/>
          <w:lang w:val="bg-BG" w:eastAsia="bg-BG"/>
        </w:rPr>
        <w:lastRenderedPageBreak/>
        <w:t>община Приморско</w:t>
      </w:r>
      <w:r w:rsidRPr="00BD7BB1">
        <w:rPr>
          <w:rFonts w:ascii="Times New Roman" w:eastAsia="Times New Roman" w:hAnsi="Times New Roman"/>
          <w:bCs/>
          <w:color w:val="auto"/>
          <w:sz w:val="24"/>
          <w:szCs w:val="24"/>
          <w:lang w:eastAsia="bg-BG"/>
        </w:rPr>
        <w:t xml:space="preserve"> – </w:t>
      </w:r>
      <w:r w:rsidRPr="00BD7BB1">
        <w:rPr>
          <w:rFonts w:ascii="Times New Roman" w:eastAsia="Times New Roman" w:hAnsi="Times New Roman"/>
          <w:bCs/>
          <w:color w:val="auto"/>
          <w:sz w:val="24"/>
          <w:szCs w:val="24"/>
          <w:lang w:val="bg-BG" w:eastAsia="bg-BG"/>
        </w:rPr>
        <w:t>в процес на изготвяне;</w:t>
      </w:r>
    </w:p>
    <w:p w:rsidR="00F25110" w:rsidRPr="00BD7BB1" w:rsidRDefault="00F25110" w:rsidP="00957FF6">
      <w:pPr>
        <w:widowControl w:val="0"/>
        <w:numPr>
          <w:ilvl w:val="0"/>
          <w:numId w:val="14"/>
        </w:numPr>
        <w:autoSpaceDE w:val="0"/>
        <w:autoSpaceDN w:val="0"/>
        <w:adjustRightInd w:val="0"/>
        <w:spacing w:after="0" w:line="360" w:lineRule="auto"/>
        <w:ind w:left="-142" w:right="140" w:firstLine="1222"/>
        <w:jc w:val="both"/>
        <w:rPr>
          <w:rFonts w:ascii="Times New Roman" w:eastAsia="Times New Roman" w:hAnsi="Times New Roman"/>
          <w:bCs/>
          <w:iCs/>
          <w:color w:val="auto"/>
          <w:sz w:val="24"/>
          <w:szCs w:val="24"/>
          <w:lang w:val="bg-BG" w:eastAsia="bg-BG"/>
        </w:rPr>
      </w:pPr>
      <w:r w:rsidRPr="00BD7BB1">
        <w:rPr>
          <w:rFonts w:ascii="Times New Roman" w:eastAsia="Times New Roman" w:hAnsi="Times New Roman"/>
          <w:b/>
          <w:bCs/>
          <w:color w:val="auto"/>
          <w:sz w:val="24"/>
          <w:szCs w:val="24"/>
          <w:lang w:val="bg-BG" w:eastAsia="bg-BG"/>
        </w:rPr>
        <w:t>област Ст.Загора</w:t>
      </w:r>
      <w:r w:rsidRPr="00BD7BB1">
        <w:rPr>
          <w:rFonts w:ascii="Times New Roman" w:eastAsia="Times New Roman" w:hAnsi="Times New Roman"/>
          <w:bCs/>
          <w:color w:val="auto"/>
          <w:sz w:val="24"/>
          <w:szCs w:val="24"/>
          <w:lang w:val="bg-BG" w:eastAsia="bg-BG"/>
        </w:rPr>
        <w:t xml:space="preserve"> – </w:t>
      </w:r>
      <w:r w:rsidRPr="00BD7BB1">
        <w:rPr>
          <w:rFonts w:ascii="Times New Roman" w:eastAsia="Times New Roman" w:hAnsi="Times New Roman"/>
          <w:b/>
          <w:bCs/>
          <w:color w:val="auto"/>
          <w:sz w:val="24"/>
          <w:szCs w:val="24"/>
          <w:lang w:val="bg-BG" w:eastAsia="bg-BG"/>
        </w:rPr>
        <w:t>7 бр.</w:t>
      </w:r>
      <w:r w:rsidRPr="00BD7BB1">
        <w:rPr>
          <w:rFonts w:ascii="Times New Roman" w:eastAsia="Times New Roman" w:hAnsi="Times New Roman"/>
          <w:bCs/>
          <w:color w:val="auto"/>
          <w:sz w:val="24"/>
          <w:szCs w:val="24"/>
          <w:lang w:val="bg-BG" w:eastAsia="bg-BG"/>
        </w:rPr>
        <w:t xml:space="preserve"> - община Гурково,  община Павел баня, община Казанлък,  община Чирпан, община Раднево, община Братя Даскалови, община Николаево</w:t>
      </w:r>
      <w:r w:rsidR="004A0444">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w:t>
      </w:r>
      <w:r w:rsidR="004A0444">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 xml:space="preserve">в процес на изготвяне; </w:t>
      </w:r>
    </w:p>
    <w:p w:rsidR="00F25110" w:rsidRPr="00BD7BB1" w:rsidRDefault="00F25110" w:rsidP="00957FF6">
      <w:pPr>
        <w:widowControl w:val="0"/>
        <w:numPr>
          <w:ilvl w:val="0"/>
          <w:numId w:val="14"/>
        </w:numPr>
        <w:autoSpaceDE w:val="0"/>
        <w:autoSpaceDN w:val="0"/>
        <w:adjustRightInd w:val="0"/>
        <w:spacing w:after="0" w:line="360" w:lineRule="auto"/>
        <w:ind w:left="-142" w:right="140" w:firstLine="1222"/>
        <w:jc w:val="both"/>
        <w:rPr>
          <w:rFonts w:ascii="Times New Roman" w:eastAsia="Times New Roman" w:hAnsi="Times New Roman"/>
          <w:bCs/>
          <w:iCs/>
          <w:color w:val="auto"/>
          <w:sz w:val="24"/>
          <w:szCs w:val="24"/>
          <w:lang w:val="bg-BG" w:eastAsia="bg-BG"/>
        </w:rPr>
      </w:pPr>
      <w:r w:rsidRPr="00BD7BB1">
        <w:rPr>
          <w:rFonts w:ascii="Times New Roman" w:eastAsia="Times New Roman" w:hAnsi="Times New Roman"/>
          <w:b/>
          <w:bCs/>
          <w:color w:val="auto"/>
          <w:sz w:val="24"/>
          <w:szCs w:val="24"/>
          <w:lang w:val="bg-BG" w:eastAsia="bg-BG"/>
        </w:rPr>
        <w:t>област Сливен</w:t>
      </w:r>
      <w:r w:rsidRPr="00BD7BB1">
        <w:rPr>
          <w:rFonts w:ascii="Times New Roman" w:eastAsia="Times New Roman" w:hAnsi="Times New Roman"/>
          <w:bCs/>
          <w:color w:val="auto"/>
          <w:sz w:val="24"/>
          <w:szCs w:val="24"/>
          <w:lang w:val="bg-BG" w:eastAsia="bg-BG"/>
        </w:rPr>
        <w:t xml:space="preserve"> - </w:t>
      </w:r>
      <w:r w:rsidRPr="00BD7BB1">
        <w:rPr>
          <w:rFonts w:ascii="Times New Roman" w:eastAsia="Times New Roman" w:hAnsi="Times New Roman"/>
          <w:b/>
          <w:bCs/>
          <w:color w:val="auto"/>
          <w:sz w:val="24"/>
          <w:szCs w:val="24"/>
          <w:lang w:val="bg-BG" w:eastAsia="bg-BG"/>
        </w:rPr>
        <w:t>1бр.</w:t>
      </w:r>
      <w:r w:rsidRPr="00BD7BB1">
        <w:rPr>
          <w:rFonts w:ascii="Times New Roman" w:eastAsia="Times New Roman" w:hAnsi="Times New Roman"/>
          <w:bCs/>
          <w:color w:val="auto"/>
          <w:sz w:val="24"/>
          <w:szCs w:val="24"/>
          <w:lang w:val="bg-BG" w:eastAsia="bg-BG"/>
        </w:rPr>
        <w:t xml:space="preserve"> - община Нова Загора; </w:t>
      </w:r>
    </w:p>
    <w:p w:rsidR="00F25110" w:rsidRPr="00BD7BB1" w:rsidRDefault="00F25110" w:rsidP="00957FF6">
      <w:pPr>
        <w:widowControl w:val="0"/>
        <w:numPr>
          <w:ilvl w:val="0"/>
          <w:numId w:val="14"/>
        </w:numPr>
        <w:autoSpaceDE w:val="0"/>
        <w:autoSpaceDN w:val="0"/>
        <w:adjustRightInd w:val="0"/>
        <w:spacing w:after="0" w:line="360" w:lineRule="auto"/>
        <w:ind w:left="-142" w:right="140" w:firstLine="1222"/>
        <w:jc w:val="both"/>
        <w:rPr>
          <w:rFonts w:ascii="Times New Roman" w:eastAsia="Times New Roman" w:hAnsi="Times New Roman"/>
          <w:bCs/>
          <w:iCs/>
          <w:color w:val="auto"/>
          <w:sz w:val="24"/>
          <w:szCs w:val="24"/>
          <w:lang w:val="bg-BG" w:eastAsia="bg-BG"/>
        </w:rPr>
      </w:pPr>
      <w:r w:rsidRPr="00BD7BB1">
        <w:rPr>
          <w:rFonts w:ascii="Times New Roman" w:eastAsia="Times New Roman" w:hAnsi="Times New Roman"/>
          <w:b/>
          <w:bCs/>
          <w:iCs/>
          <w:color w:val="auto"/>
          <w:sz w:val="24"/>
          <w:szCs w:val="24"/>
          <w:lang w:val="bg-BG" w:eastAsia="bg-BG"/>
        </w:rPr>
        <w:t>област Ямбол – 3 бр</w:t>
      </w:r>
      <w:r w:rsidRPr="00BD7BB1">
        <w:rPr>
          <w:rFonts w:ascii="Times New Roman" w:eastAsia="Times New Roman" w:hAnsi="Times New Roman"/>
          <w:bCs/>
          <w:iCs/>
          <w:color w:val="auto"/>
          <w:sz w:val="24"/>
          <w:szCs w:val="24"/>
          <w:lang w:val="bg-BG" w:eastAsia="bg-BG"/>
        </w:rPr>
        <w:t>.</w:t>
      </w:r>
      <w:r w:rsidR="004A0444">
        <w:rPr>
          <w:rFonts w:ascii="Times New Roman" w:eastAsia="Times New Roman" w:hAnsi="Times New Roman"/>
          <w:bCs/>
          <w:iCs/>
          <w:color w:val="auto"/>
          <w:sz w:val="24"/>
          <w:szCs w:val="24"/>
          <w:lang w:val="bg-BG" w:eastAsia="bg-BG"/>
        </w:rPr>
        <w:t xml:space="preserve"> </w:t>
      </w:r>
      <w:r w:rsidRPr="00BD7BB1">
        <w:rPr>
          <w:rFonts w:ascii="Times New Roman" w:eastAsia="Times New Roman" w:hAnsi="Times New Roman"/>
          <w:bCs/>
          <w:iCs/>
          <w:color w:val="auto"/>
          <w:sz w:val="24"/>
          <w:szCs w:val="24"/>
          <w:lang w:val="bg-BG" w:eastAsia="bg-BG"/>
        </w:rPr>
        <w:t>- община Стралджа, община Тунджа и община Елхово;</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b/>
          <w:color w:val="auto"/>
          <w:sz w:val="24"/>
          <w:szCs w:val="24"/>
          <w:u w:val="single"/>
          <w:lang w:val="bg-BG" w:eastAsia="bg-BG"/>
        </w:rPr>
      </w:pPr>
      <w:r w:rsidRPr="00BD7BB1">
        <w:rPr>
          <w:rFonts w:ascii="Times New Roman" w:eastAsia="Times New Roman" w:hAnsi="Times New Roman"/>
          <w:color w:val="auto"/>
          <w:sz w:val="24"/>
          <w:szCs w:val="24"/>
          <w:u w:val="single"/>
          <w:lang w:val="bg-BG" w:eastAsia="bg-BG"/>
        </w:rPr>
        <w:t xml:space="preserve">За периода към </w:t>
      </w:r>
      <w:r w:rsidRPr="00BD7BB1">
        <w:rPr>
          <w:rFonts w:ascii="Times New Roman" w:eastAsia="Times New Roman" w:hAnsi="Times New Roman"/>
          <w:b/>
          <w:color w:val="auto"/>
          <w:sz w:val="24"/>
          <w:szCs w:val="24"/>
          <w:u w:val="single"/>
          <w:lang w:val="bg-BG" w:eastAsia="bg-BG"/>
        </w:rPr>
        <w:t xml:space="preserve">месец май 2015 г. </w:t>
      </w:r>
      <w:r w:rsidRPr="00BD7BB1">
        <w:rPr>
          <w:rFonts w:ascii="Times New Roman" w:eastAsia="Times New Roman" w:hAnsi="Times New Roman"/>
          <w:color w:val="auto"/>
          <w:sz w:val="24"/>
          <w:szCs w:val="24"/>
          <w:u w:val="single"/>
          <w:lang w:val="bg-BG" w:eastAsia="bg-BG"/>
        </w:rPr>
        <w:t>напредъкът на</w:t>
      </w:r>
      <w:r w:rsidRPr="00BD7BB1">
        <w:rPr>
          <w:rFonts w:ascii="Times New Roman" w:eastAsia="Times New Roman" w:hAnsi="Times New Roman"/>
          <w:b/>
          <w:color w:val="auto"/>
          <w:sz w:val="24"/>
          <w:szCs w:val="24"/>
          <w:u w:val="single"/>
          <w:lang w:val="bg-BG" w:eastAsia="bg-BG"/>
        </w:rPr>
        <w:t xml:space="preserve"> </w:t>
      </w:r>
      <w:r w:rsidRPr="00BD7BB1">
        <w:rPr>
          <w:rFonts w:ascii="Times New Roman" w:eastAsia="Times New Roman" w:hAnsi="Times New Roman"/>
          <w:bCs/>
          <w:color w:val="auto"/>
          <w:sz w:val="24"/>
          <w:szCs w:val="24"/>
          <w:u w:val="single"/>
          <w:lang w:val="bg-BG" w:eastAsia="bg-BG"/>
        </w:rPr>
        <w:t xml:space="preserve">общото изпълнение и разработването на стратегически документи на </w:t>
      </w:r>
      <w:r w:rsidRPr="00BD7BB1">
        <w:rPr>
          <w:rFonts w:ascii="Times New Roman" w:eastAsia="Times New Roman" w:hAnsi="Times New Roman"/>
          <w:b/>
          <w:bCs/>
          <w:color w:val="auto"/>
          <w:sz w:val="24"/>
          <w:szCs w:val="24"/>
          <w:u w:val="single"/>
          <w:lang w:val="bg-BG" w:eastAsia="bg-BG"/>
        </w:rPr>
        <w:t>областно и общинско ниво</w:t>
      </w:r>
      <w:r w:rsidRPr="00BD7BB1">
        <w:rPr>
          <w:rFonts w:ascii="Times New Roman" w:eastAsia="Times New Roman" w:hAnsi="Times New Roman"/>
          <w:bCs/>
          <w:color w:val="auto"/>
          <w:sz w:val="24"/>
          <w:szCs w:val="24"/>
          <w:u w:val="single"/>
          <w:lang w:val="bg-BG" w:eastAsia="bg-BG"/>
        </w:rPr>
        <w:t xml:space="preserve"> в</w:t>
      </w:r>
      <w:r w:rsidRPr="00BD7BB1">
        <w:rPr>
          <w:rFonts w:ascii="Times New Roman" w:eastAsia="Times New Roman" w:hAnsi="Times New Roman"/>
          <w:b/>
          <w:bCs/>
          <w:color w:val="auto"/>
          <w:sz w:val="24"/>
          <w:szCs w:val="24"/>
          <w:u w:val="single"/>
          <w:lang w:val="bg-BG" w:eastAsia="bg-BG"/>
        </w:rPr>
        <w:t xml:space="preserve"> </w:t>
      </w:r>
      <w:r w:rsidRPr="00BD7BB1">
        <w:rPr>
          <w:rFonts w:ascii="Times New Roman" w:eastAsia="Times New Roman" w:hAnsi="Times New Roman"/>
          <w:color w:val="auto"/>
          <w:sz w:val="24"/>
          <w:szCs w:val="24"/>
          <w:u w:val="single"/>
          <w:lang w:val="bg-BG" w:eastAsia="bg-BG"/>
        </w:rPr>
        <w:t>Югоизточен район</w:t>
      </w:r>
      <w:r w:rsidRPr="00BD7BB1">
        <w:rPr>
          <w:rFonts w:ascii="Times New Roman" w:eastAsia="Times New Roman" w:hAnsi="Times New Roman"/>
          <w:b/>
          <w:color w:val="auto"/>
          <w:sz w:val="24"/>
          <w:szCs w:val="24"/>
          <w:u w:val="single"/>
          <w:lang w:val="bg-BG" w:eastAsia="bg-BG"/>
        </w:rPr>
        <w:t xml:space="preserve"> </w:t>
      </w:r>
      <w:r w:rsidRPr="00BD7BB1">
        <w:rPr>
          <w:rFonts w:ascii="Times New Roman" w:eastAsia="Times New Roman" w:hAnsi="Times New Roman"/>
          <w:color w:val="auto"/>
          <w:sz w:val="24"/>
          <w:szCs w:val="24"/>
          <w:u w:val="single"/>
          <w:lang w:val="bg-BG" w:eastAsia="bg-BG"/>
        </w:rPr>
        <w:t>е следния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shd w:val="clear" w:color="auto" w:fill="FEFEFE"/>
          <w:lang w:val="af-ZA" w:eastAsia="bg-BG"/>
        </w:rPr>
      </w:pPr>
      <w:r w:rsidRPr="00BD7BB1">
        <w:rPr>
          <w:rFonts w:ascii="Times New Roman" w:eastAsia="Times New Roman" w:hAnsi="Times New Roman"/>
          <w:b/>
          <w:color w:val="auto"/>
          <w:sz w:val="24"/>
          <w:szCs w:val="24"/>
          <w:lang w:val="bg-BG" w:eastAsia="bg-BG"/>
        </w:rPr>
        <w:t xml:space="preserve">Областно ниво: 0% </w:t>
      </w:r>
      <w:r w:rsidRPr="00BD7BB1">
        <w:rPr>
          <w:rFonts w:ascii="Times New Roman" w:eastAsia="Times New Roman" w:hAnsi="Times New Roman"/>
          <w:color w:val="auto"/>
          <w:sz w:val="24"/>
          <w:szCs w:val="24"/>
          <w:lang w:val="bg-BG" w:eastAsia="bg-BG"/>
        </w:rPr>
        <w:t>Последваща оценка на</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Областна стратегиия  за развитие за периода 2005-2015г. – </w:t>
      </w:r>
      <w:r w:rsidRPr="00BD7BB1">
        <w:rPr>
          <w:rFonts w:ascii="Times New Roman" w:eastAsia="Times New Roman" w:hAnsi="Times New Roman"/>
          <w:i/>
          <w:color w:val="auto"/>
          <w:sz w:val="24"/>
          <w:szCs w:val="24"/>
          <w:lang w:val="bg-BG" w:eastAsia="bg-BG"/>
        </w:rPr>
        <w:t>не са изготвени, поради нео</w:t>
      </w:r>
      <w:r w:rsidRPr="00BD7BB1">
        <w:rPr>
          <w:rFonts w:ascii="Times New Roman" w:eastAsia="Times New Roman" w:hAnsi="Times New Roman"/>
          <w:i/>
          <w:color w:val="auto"/>
          <w:sz w:val="24"/>
          <w:szCs w:val="24"/>
          <w:lang w:val="ru-RU" w:eastAsia="bg-BG"/>
        </w:rPr>
        <w:t>тпуснати</w:t>
      </w:r>
      <w:r w:rsidRPr="00BD7BB1">
        <w:rPr>
          <w:rFonts w:ascii="Times New Roman" w:eastAsia="Times New Roman" w:hAnsi="Times New Roman"/>
          <w:i/>
          <w:color w:val="auto"/>
          <w:sz w:val="24"/>
          <w:szCs w:val="24"/>
          <w:lang w:val="bg-BG" w:eastAsia="bg-BG"/>
        </w:rPr>
        <w:t xml:space="preserve"> финансови средства</w:t>
      </w:r>
      <w:r w:rsidRPr="00BD7BB1">
        <w:rPr>
          <w:rFonts w:ascii="Times New Roman" w:eastAsia="Times New Roman" w:hAnsi="Times New Roman"/>
          <w:i/>
          <w:color w:val="auto"/>
          <w:sz w:val="24"/>
          <w:szCs w:val="24"/>
          <w:lang w:val="ru-RU" w:eastAsia="bg-BG"/>
        </w:rPr>
        <w:t xml:space="preserve"> по бюджетите на Областните администрации</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100%</w:t>
      </w:r>
      <w:r w:rsidRPr="00BD7BB1">
        <w:rPr>
          <w:rFonts w:ascii="Times New Roman" w:eastAsia="Times New Roman" w:hAnsi="Times New Roman"/>
          <w:color w:val="auto"/>
          <w:sz w:val="24"/>
          <w:szCs w:val="24"/>
          <w:lang w:val="bg-BG" w:eastAsia="bg-BG"/>
        </w:rPr>
        <w:t xml:space="preserve"> Областна стратегия за развитие за периода 2014-2020 г.: </w:t>
      </w:r>
      <w:r w:rsidRPr="00BD7BB1">
        <w:rPr>
          <w:rFonts w:ascii="Times New Roman" w:eastAsia="Times New Roman" w:hAnsi="Times New Roman"/>
          <w:b/>
          <w:color w:val="auto"/>
          <w:sz w:val="24"/>
          <w:szCs w:val="24"/>
          <w:lang w:val="ru-RU" w:eastAsia="bg-BG"/>
        </w:rPr>
        <w:t>област Бургас</w:t>
      </w:r>
      <w:r w:rsidRPr="00BD7BB1">
        <w:rPr>
          <w:rFonts w:ascii="Times New Roman" w:eastAsia="Times New Roman" w:hAnsi="Times New Roman"/>
          <w:color w:val="auto"/>
          <w:sz w:val="24"/>
          <w:szCs w:val="24"/>
          <w:lang w:val="ru-RU" w:eastAsia="bg-BG"/>
        </w:rPr>
        <w:t xml:space="preserve"> – приета </w:t>
      </w:r>
      <w:r w:rsidRPr="00BD7BB1">
        <w:rPr>
          <w:rFonts w:ascii="Times New Roman" w:eastAsia="Times New Roman" w:hAnsi="Times New Roman"/>
          <w:color w:val="auto"/>
          <w:sz w:val="24"/>
          <w:szCs w:val="24"/>
          <w:lang w:val="bg-BG" w:eastAsia="bg-BG"/>
        </w:rPr>
        <w:t xml:space="preserve">с </w:t>
      </w:r>
      <w:r w:rsidRPr="00BD7BB1">
        <w:rPr>
          <w:rFonts w:ascii="Times New Roman" w:eastAsia="Times New Roman" w:hAnsi="Times New Roman"/>
          <w:color w:val="auto"/>
          <w:sz w:val="24"/>
          <w:szCs w:val="24"/>
          <w:lang w:val="ru-RU" w:eastAsia="bg-BG"/>
        </w:rPr>
        <w:t xml:space="preserve">Протокол на Областен съвет за развитие от 22.10.2013 г.; </w:t>
      </w:r>
      <w:r w:rsidRPr="00BD7BB1">
        <w:rPr>
          <w:rFonts w:ascii="Times New Roman" w:eastAsia="Times New Roman" w:hAnsi="Times New Roman"/>
          <w:b/>
          <w:color w:val="auto"/>
          <w:sz w:val="24"/>
          <w:szCs w:val="24"/>
          <w:lang w:val="ru-RU" w:eastAsia="bg-BG"/>
        </w:rPr>
        <w:t>област Стара Загора</w:t>
      </w:r>
      <w:r w:rsidRPr="00BD7BB1">
        <w:rPr>
          <w:rFonts w:ascii="Times New Roman" w:eastAsia="Times New Roman" w:hAnsi="Times New Roman"/>
          <w:color w:val="auto"/>
          <w:sz w:val="24"/>
          <w:szCs w:val="24"/>
          <w:lang w:val="ru-RU" w:eastAsia="bg-BG"/>
        </w:rPr>
        <w:t xml:space="preserve"> – приета с </w:t>
      </w:r>
      <w:r w:rsidRPr="00BD7BB1">
        <w:rPr>
          <w:rFonts w:ascii="Times New Roman" w:eastAsia="Times New Roman" w:hAnsi="Times New Roman"/>
          <w:color w:val="auto"/>
          <w:sz w:val="24"/>
          <w:szCs w:val="24"/>
          <w:shd w:val="clear" w:color="auto" w:fill="FEFEFE"/>
          <w:lang w:val="bg-BG" w:eastAsia="bg-BG"/>
        </w:rPr>
        <w:t xml:space="preserve">Протокол № 1/03.06.2013 г.; </w:t>
      </w:r>
      <w:r w:rsidRPr="00BD7BB1">
        <w:rPr>
          <w:rFonts w:ascii="Times New Roman" w:eastAsia="Times New Roman" w:hAnsi="Times New Roman"/>
          <w:b/>
          <w:color w:val="auto"/>
          <w:sz w:val="24"/>
          <w:szCs w:val="24"/>
          <w:shd w:val="clear" w:color="auto" w:fill="FEFEFE"/>
          <w:lang w:val="bg-BG" w:eastAsia="bg-BG"/>
        </w:rPr>
        <w:t>област Сливен</w:t>
      </w:r>
      <w:r w:rsidRPr="00BD7BB1">
        <w:rPr>
          <w:rFonts w:ascii="Times New Roman" w:eastAsia="Times New Roman" w:hAnsi="Times New Roman"/>
          <w:color w:val="auto"/>
          <w:sz w:val="24"/>
          <w:szCs w:val="24"/>
          <w:shd w:val="clear" w:color="auto" w:fill="FEFEFE"/>
          <w:lang w:val="bg-BG" w:eastAsia="bg-BG"/>
        </w:rPr>
        <w:t xml:space="preserve"> – приета </w:t>
      </w:r>
      <w:r w:rsidRPr="00BD7BB1">
        <w:rPr>
          <w:rFonts w:ascii="Times New Roman" w:eastAsia="Times New Roman" w:hAnsi="Times New Roman"/>
          <w:color w:val="auto"/>
          <w:sz w:val="24"/>
          <w:szCs w:val="24"/>
          <w:shd w:val="clear" w:color="auto" w:fill="FEFEFE"/>
          <w:lang w:val="af-ZA" w:eastAsia="bg-BG"/>
        </w:rPr>
        <w:t>с Протокол на Областния съвет за развитие №</w:t>
      </w:r>
      <w:r w:rsidRPr="00BD7BB1">
        <w:rPr>
          <w:rFonts w:ascii="Times New Roman" w:eastAsia="Times New Roman" w:hAnsi="Times New Roman"/>
          <w:color w:val="auto"/>
          <w:sz w:val="24"/>
          <w:szCs w:val="24"/>
          <w:shd w:val="clear" w:color="auto" w:fill="FEFEFE"/>
          <w:lang w:val="bg-BG" w:eastAsia="bg-BG"/>
        </w:rPr>
        <w:t xml:space="preserve">17/19.09.2013 г.; </w:t>
      </w:r>
      <w:r w:rsidRPr="00BD7BB1">
        <w:rPr>
          <w:rFonts w:ascii="Times New Roman" w:eastAsia="Times New Roman" w:hAnsi="Times New Roman"/>
          <w:b/>
          <w:color w:val="auto"/>
          <w:sz w:val="24"/>
          <w:szCs w:val="24"/>
          <w:shd w:val="clear" w:color="auto" w:fill="FEFEFE"/>
          <w:lang w:val="bg-BG" w:eastAsia="bg-BG"/>
        </w:rPr>
        <w:t>област Ямбол</w:t>
      </w:r>
      <w:r w:rsidRPr="00BD7BB1">
        <w:rPr>
          <w:rFonts w:ascii="Times New Roman" w:eastAsia="Times New Roman" w:hAnsi="Times New Roman"/>
          <w:color w:val="auto"/>
          <w:sz w:val="24"/>
          <w:szCs w:val="24"/>
          <w:shd w:val="clear" w:color="auto" w:fill="FEFEFE"/>
          <w:lang w:val="bg-BG" w:eastAsia="bg-BG"/>
        </w:rPr>
        <w:t xml:space="preserve"> -приета</w:t>
      </w:r>
      <w:r w:rsidRPr="00BD7BB1">
        <w:rPr>
          <w:rFonts w:ascii="Times New Roman" w:eastAsia="Times New Roman" w:hAnsi="Times New Roman"/>
          <w:color w:val="auto"/>
          <w:sz w:val="20"/>
          <w:shd w:val="clear" w:color="auto" w:fill="FEFEFE"/>
          <w:lang w:val="bg-BG" w:eastAsia="bg-BG"/>
        </w:rPr>
        <w:t xml:space="preserve"> </w:t>
      </w:r>
      <w:r w:rsidRPr="00BD7BB1">
        <w:rPr>
          <w:rFonts w:ascii="Times New Roman" w:eastAsia="Times New Roman" w:hAnsi="Times New Roman"/>
          <w:color w:val="auto"/>
          <w:sz w:val="24"/>
          <w:szCs w:val="24"/>
          <w:shd w:val="clear" w:color="auto" w:fill="FEFEFE"/>
          <w:lang w:val="bg-BG" w:eastAsia="bg-BG"/>
        </w:rPr>
        <w:t>с Решение № 2 на Областен  съвет за развитие, Протокол № 2/ 07.06.2013 г.</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i/>
          <w:color w:val="auto"/>
          <w:sz w:val="24"/>
          <w:szCs w:val="24"/>
          <w:lang w:val="bg-BG" w:eastAsia="bg-BG"/>
        </w:rPr>
      </w:pPr>
      <w:r w:rsidRPr="00BD7BB1">
        <w:rPr>
          <w:rFonts w:ascii="Times New Roman" w:eastAsia="Times New Roman" w:hAnsi="Times New Roman"/>
          <w:b/>
          <w:color w:val="auto"/>
          <w:sz w:val="24"/>
          <w:szCs w:val="24"/>
          <w:lang w:val="bg-BG" w:eastAsia="bg-BG"/>
        </w:rPr>
        <w:t xml:space="preserve">Общинско ниво: 58 </w:t>
      </w:r>
      <w:r w:rsidRPr="00BD7BB1">
        <w:rPr>
          <w:rFonts w:ascii="Times New Roman" w:eastAsia="Times New Roman" w:hAnsi="Times New Roman"/>
          <w:color w:val="auto"/>
          <w:sz w:val="24"/>
          <w:szCs w:val="24"/>
          <w:lang w:val="bg-BG" w:eastAsia="bg-BG"/>
        </w:rPr>
        <w:t xml:space="preserve">% Последваща оценка на Общински план за развитие 2007 - 2013г.; </w:t>
      </w:r>
      <w:r w:rsidRPr="00BD7BB1">
        <w:rPr>
          <w:rFonts w:ascii="Times New Roman" w:eastAsia="Times New Roman" w:hAnsi="Times New Roman"/>
          <w:b/>
          <w:color w:val="auto"/>
          <w:sz w:val="24"/>
          <w:szCs w:val="24"/>
          <w:lang w:val="bg-BG" w:eastAsia="bg-BG"/>
        </w:rPr>
        <w:t xml:space="preserve">97%- </w:t>
      </w:r>
      <w:r w:rsidRPr="00BD7BB1">
        <w:rPr>
          <w:rFonts w:ascii="Times New Roman" w:eastAsia="Times New Roman" w:hAnsi="Times New Roman"/>
          <w:color w:val="auto"/>
          <w:sz w:val="24"/>
          <w:szCs w:val="24"/>
          <w:lang w:val="bg-BG" w:eastAsia="bg-BG"/>
        </w:rPr>
        <w:t xml:space="preserve">Общински план за развитие за периода 2014-2020г.: общо </w:t>
      </w:r>
      <w:r w:rsidRPr="00BD7BB1">
        <w:rPr>
          <w:rFonts w:ascii="Times New Roman" w:eastAsia="Times New Roman" w:hAnsi="Times New Roman"/>
          <w:b/>
          <w:color w:val="auto"/>
          <w:sz w:val="24"/>
          <w:szCs w:val="24"/>
          <w:lang w:val="bg-BG" w:eastAsia="bg-BG"/>
        </w:rPr>
        <w:t>48%</w:t>
      </w:r>
      <w:r w:rsidRPr="00BD7BB1">
        <w:rPr>
          <w:rFonts w:ascii="Times New Roman" w:eastAsia="Times New Roman" w:hAnsi="Times New Roman"/>
          <w:color w:val="auto"/>
          <w:sz w:val="24"/>
          <w:szCs w:val="24"/>
          <w:lang w:val="bg-BG" w:eastAsia="bg-BG"/>
        </w:rPr>
        <w:t xml:space="preserve"> Годишни доклади за изпълнение на ОПР за 2014г.</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i/>
          <w:color w:val="auto"/>
          <w:sz w:val="24"/>
          <w:szCs w:val="24"/>
          <w:lang w:val="bg-BG" w:eastAsia="bg-BG"/>
        </w:rPr>
        <w:t xml:space="preserve">Данните показват, че на територията на областите и общините процесът на стратегическото планиране е добре планиран и организиран, особено на ниво общини. Като резултат </w:t>
      </w:r>
      <w:r w:rsidRPr="00BD7BB1">
        <w:rPr>
          <w:rFonts w:ascii="Times New Roman" w:eastAsia="Times New Roman" w:hAnsi="Times New Roman"/>
          <w:bCs/>
          <w:i/>
          <w:color w:val="auto"/>
          <w:sz w:val="24"/>
          <w:szCs w:val="24"/>
          <w:lang w:val="bg-BG" w:eastAsia="bg-BG"/>
        </w:rPr>
        <w:t>по отношение на стратегическото планиране на регионалното развитие</w:t>
      </w:r>
      <w:r w:rsidRPr="00BD7BB1">
        <w:rPr>
          <w:rFonts w:ascii="Times New Roman" w:eastAsia="Times New Roman" w:hAnsi="Times New Roman"/>
          <w:i/>
          <w:color w:val="auto"/>
          <w:sz w:val="24"/>
          <w:szCs w:val="24"/>
          <w:lang w:val="bg-BG" w:eastAsia="bg-BG"/>
        </w:rPr>
        <w:t xml:space="preserve"> се наблюдава напредък над средното ниво.</w:t>
      </w:r>
    </w:p>
    <w:p w:rsidR="00F25110" w:rsidRDefault="00F25110" w:rsidP="00F25110">
      <w:pPr>
        <w:autoSpaceDE w:val="0"/>
        <w:autoSpaceDN w:val="0"/>
        <w:adjustRightInd w:val="0"/>
        <w:spacing w:after="0" w:line="360" w:lineRule="auto"/>
        <w:ind w:firstLine="708"/>
        <w:jc w:val="both"/>
        <w:rPr>
          <w:rFonts w:ascii="Times New Roman" w:eastAsia="Times New Roman" w:hAnsi="Times New Roman"/>
          <w:b/>
          <w:color w:val="auto"/>
          <w:sz w:val="24"/>
          <w:szCs w:val="24"/>
          <w:u w:val="single"/>
          <w:lang w:val="bg-BG" w:eastAsia="bg-BG"/>
        </w:rPr>
      </w:pPr>
    </w:p>
    <w:p w:rsidR="004A0444" w:rsidRDefault="004A0444" w:rsidP="00F25110">
      <w:pPr>
        <w:autoSpaceDE w:val="0"/>
        <w:autoSpaceDN w:val="0"/>
        <w:adjustRightInd w:val="0"/>
        <w:spacing w:after="0" w:line="360" w:lineRule="auto"/>
        <w:ind w:firstLine="708"/>
        <w:jc w:val="both"/>
        <w:rPr>
          <w:rFonts w:ascii="Times New Roman" w:eastAsia="Times New Roman" w:hAnsi="Times New Roman"/>
          <w:b/>
          <w:color w:val="auto"/>
          <w:sz w:val="24"/>
          <w:szCs w:val="24"/>
          <w:u w:val="single"/>
          <w:lang w:val="bg-BG" w:eastAsia="bg-BG"/>
        </w:rPr>
      </w:pPr>
    </w:p>
    <w:p w:rsidR="004A0444" w:rsidRDefault="004A0444" w:rsidP="00F25110">
      <w:pPr>
        <w:autoSpaceDE w:val="0"/>
        <w:autoSpaceDN w:val="0"/>
        <w:adjustRightInd w:val="0"/>
        <w:spacing w:after="0" w:line="360" w:lineRule="auto"/>
        <w:ind w:firstLine="708"/>
        <w:jc w:val="both"/>
        <w:rPr>
          <w:rFonts w:ascii="Times New Roman" w:eastAsia="Times New Roman" w:hAnsi="Times New Roman"/>
          <w:b/>
          <w:color w:val="auto"/>
          <w:sz w:val="24"/>
          <w:szCs w:val="24"/>
          <w:u w:val="single"/>
          <w:lang w:val="bg-BG" w:eastAsia="bg-BG"/>
        </w:rPr>
      </w:pPr>
    </w:p>
    <w:p w:rsidR="004A0444" w:rsidRPr="00BD7BB1" w:rsidRDefault="004A0444" w:rsidP="00F25110">
      <w:pPr>
        <w:autoSpaceDE w:val="0"/>
        <w:autoSpaceDN w:val="0"/>
        <w:adjustRightInd w:val="0"/>
        <w:spacing w:after="0" w:line="360" w:lineRule="auto"/>
        <w:ind w:firstLine="708"/>
        <w:jc w:val="both"/>
        <w:rPr>
          <w:rFonts w:ascii="Times New Roman" w:eastAsia="Times New Roman" w:hAnsi="Times New Roman"/>
          <w:b/>
          <w:color w:val="auto"/>
          <w:sz w:val="24"/>
          <w:szCs w:val="24"/>
          <w:u w:val="single"/>
          <w:lang w:val="bg-BG" w:eastAsia="bg-BG"/>
        </w:rPr>
      </w:pP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b/>
          <w:color w:val="auto"/>
          <w:sz w:val="24"/>
          <w:szCs w:val="24"/>
          <w:u w:val="single"/>
          <w:lang w:val="bg-BG" w:eastAsia="bg-BG"/>
        </w:rPr>
      </w:pPr>
    </w:p>
    <w:p w:rsidR="00F25110" w:rsidRPr="00BD7BB1" w:rsidRDefault="00F25110" w:rsidP="00F25110">
      <w:pPr>
        <w:widowControl w:val="0"/>
        <w:autoSpaceDE w:val="0"/>
        <w:autoSpaceDN w:val="0"/>
        <w:adjustRightInd w:val="0"/>
        <w:spacing w:after="0" w:line="360" w:lineRule="auto"/>
        <w:ind w:right="140"/>
        <w:jc w:val="both"/>
        <w:rPr>
          <w:rFonts w:ascii="Times New Roman" w:eastAsia="Times New Roman" w:hAnsi="Times New Roman"/>
          <w:b/>
          <w:color w:val="auto"/>
          <w:sz w:val="24"/>
          <w:szCs w:val="24"/>
          <w:u w:val="single"/>
          <w:lang w:val="bg-BG" w:eastAsia="bg-BG"/>
        </w:rPr>
      </w:pPr>
    </w:p>
    <w:p w:rsidR="00F25110" w:rsidRPr="00412E95" w:rsidRDefault="00F25110" w:rsidP="00F25110">
      <w:pPr>
        <w:widowControl w:val="0"/>
        <w:autoSpaceDE w:val="0"/>
        <w:autoSpaceDN w:val="0"/>
        <w:adjustRightInd w:val="0"/>
        <w:spacing w:after="0" w:line="360" w:lineRule="auto"/>
        <w:ind w:right="140"/>
        <w:jc w:val="both"/>
        <w:rPr>
          <w:rFonts w:ascii="Times New Roman" w:eastAsia="Times New Roman" w:hAnsi="Times New Roman"/>
          <w:color w:val="9B2D1F" w:themeColor="accent2"/>
          <w:sz w:val="24"/>
          <w:szCs w:val="24"/>
          <w:lang w:val="bg-BG" w:eastAsia="bg-BG"/>
        </w:rPr>
      </w:pPr>
      <w:r w:rsidRPr="00412E95">
        <w:rPr>
          <w:rFonts w:ascii="Times New Roman" w:eastAsia="Times New Roman" w:hAnsi="Times New Roman"/>
          <w:b/>
          <w:color w:val="9B2D1F" w:themeColor="accent2"/>
          <w:sz w:val="24"/>
          <w:szCs w:val="24"/>
          <w:lang w:eastAsia="bg-BG"/>
        </w:rPr>
        <w:lastRenderedPageBreak/>
        <w:t>III</w:t>
      </w:r>
      <w:r w:rsidRPr="00412E95">
        <w:rPr>
          <w:rFonts w:ascii="Times New Roman" w:eastAsia="Times New Roman" w:hAnsi="Times New Roman"/>
          <w:b/>
          <w:color w:val="9B2D1F" w:themeColor="accent2"/>
          <w:sz w:val="24"/>
          <w:szCs w:val="24"/>
          <w:lang w:val="bg-BG" w:eastAsia="bg-BG"/>
        </w:rPr>
        <w:t>. ПОСТИГНАТ НАПРЕДЪК ПО ИЗПЪЛНЕНИЕТО НА ЦЕЛИТЕ И ПРИОРИТЕТИТЕ НА РЕГИОНАЛНИЯ ПЛАН ЗА РАЗВИТИЕ ВЪЗ ОСНОВА НА ИНДИКАТОРИТЕ ЗА НАБЛЮДЕНИЕ</w:t>
      </w:r>
    </w:p>
    <w:p w:rsidR="00F25110" w:rsidRPr="00BD7BB1" w:rsidRDefault="00F25110" w:rsidP="00F25110">
      <w:pPr>
        <w:spacing w:after="0" w:line="360" w:lineRule="auto"/>
        <w:rPr>
          <w:rFonts w:ascii="Times New Roman" w:eastAsia="Times New Roman" w:hAnsi="Times New Roman"/>
          <w:color w:val="auto"/>
          <w:sz w:val="24"/>
          <w:szCs w:val="24"/>
          <w:lang w:val="bg-BG" w:eastAsia="bg-BG"/>
        </w:rPr>
      </w:pPr>
    </w:p>
    <w:p w:rsidR="00F25110" w:rsidRPr="009F3164" w:rsidRDefault="00F25110" w:rsidP="00F25110">
      <w:pPr>
        <w:spacing w:after="0" w:line="360" w:lineRule="auto"/>
        <w:ind w:left="-142" w:right="-233"/>
        <w:jc w:val="both"/>
        <w:rPr>
          <w:rFonts w:ascii="Times New Roman" w:eastAsia="Times New Roman" w:hAnsi="Times New Roman"/>
          <w:b/>
          <w:color w:val="9B2D1F" w:themeColor="accent2"/>
          <w:sz w:val="24"/>
          <w:szCs w:val="24"/>
          <w:lang w:val="bg-BG" w:eastAsia="bg-BG"/>
        </w:rPr>
      </w:pPr>
      <w:r w:rsidRPr="009F3164">
        <w:rPr>
          <w:rFonts w:ascii="Times New Roman" w:eastAsia="Times New Roman" w:hAnsi="Times New Roman"/>
          <w:b/>
          <w:color w:val="9B2D1F" w:themeColor="accent2"/>
          <w:sz w:val="24"/>
          <w:szCs w:val="24"/>
          <w:lang w:val="bg-B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p w:rsidR="00F25110" w:rsidRPr="00BD7BB1" w:rsidRDefault="00F25110" w:rsidP="00F25110">
      <w:pPr>
        <w:spacing w:after="0" w:line="360" w:lineRule="auto"/>
        <w:ind w:right="-233"/>
        <w:jc w:val="both"/>
        <w:rPr>
          <w:rFonts w:ascii="Times New Roman" w:eastAsia="Times New Roman" w:hAnsi="Times New Roman"/>
          <w:b/>
          <w:color w:val="auto"/>
          <w:sz w:val="24"/>
          <w:szCs w:val="24"/>
          <w:lang w:val="bg-BG" w:eastAsia="bg-BG"/>
        </w:rPr>
      </w:pPr>
    </w:p>
    <w:p w:rsidR="00F25110" w:rsidRPr="00454603" w:rsidRDefault="00F25110" w:rsidP="00F25110">
      <w:pPr>
        <w:spacing w:after="0" w:line="360" w:lineRule="auto"/>
        <w:ind w:left="-142"/>
        <w:jc w:val="both"/>
        <w:rPr>
          <w:rFonts w:ascii="Times New Roman" w:eastAsia="Times New Roman" w:hAnsi="Times New Roman"/>
          <w:b/>
          <w:color w:val="9B2D1F" w:themeColor="accent2"/>
          <w:sz w:val="24"/>
          <w:szCs w:val="24"/>
          <w:lang w:val="bg-BG" w:eastAsia="bg-BG"/>
        </w:rPr>
      </w:pPr>
      <w:r w:rsidRPr="00454603">
        <w:rPr>
          <w:rFonts w:ascii="Times New Roman" w:eastAsia="Times New Roman" w:hAnsi="Times New Roman"/>
          <w:b/>
          <w:color w:val="9B2D1F" w:themeColor="accent2"/>
          <w:sz w:val="24"/>
          <w:szCs w:val="24"/>
          <w:lang w:val="bg-BG" w:eastAsia="bg-BG"/>
        </w:rPr>
        <w:t>Приоритет 1. Повишаване конкурентоспособността на регионалната икономика и подкрепа за малкия и средния бизнес в Югоизточен район.</w:t>
      </w:r>
    </w:p>
    <w:p w:rsidR="00F25110" w:rsidRPr="00BD7BB1" w:rsidRDefault="00F25110" w:rsidP="00F25110">
      <w:pPr>
        <w:tabs>
          <w:tab w:val="left" w:pos="6096"/>
        </w:tabs>
        <w:autoSpaceDE w:val="0"/>
        <w:autoSpaceDN w:val="0"/>
        <w:adjustRightInd w:val="0"/>
        <w:spacing w:after="0" w:line="360" w:lineRule="auto"/>
        <w:ind w:left="-142" w:firstLine="142"/>
        <w:contextualSpacing/>
        <w:jc w:val="both"/>
        <w:rPr>
          <w:rFonts w:ascii="Times New Roman" w:eastAsia="Times New Roman" w:hAnsi="Times New Roman"/>
          <w:color w:val="auto"/>
          <w:sz w:val="24"/>
          <w:szCs w:val="24"/>
          <w:lang w:val="bg-BG" w:eastAsia="bg-BG"/>
        </w:rPr>
      </w:pPr>
      <w:r w:rsidRPr="00BD7BB1">
        <w:rPr>
          <w:rFonts w:ascii="All Times New Roman" w:eastAsia="Times New Roman" w:hAnsi="All Times New Roman" w:cs="All Times New Roman"/>
          <w:color w:val="auto"/>
          <w:sz w:val="24"/>
          <w:szCs w:val="24"/>
          <w:lang w:val="bg-BG" w:eastAsia="bg-BG"/>
        </w:rPr>
        <w:t xml:space="preserve">           Конкурентоспособността на регионалната икономика на Югоизточния район е по-висока от средната за страната.</w:t>
      </w:r>
      <w:r w:rsidRPr="00BD7BB1">
        <w:rPr>
          <w:rFonts w:ascii="Times New Roman" w:eastAsia="Times New Roman" w:hAnsi="Times New Roman"/>
          <w:color w:val="auto"/>
          <w:sz w:val="24"/>
          <w:szCs w:val="24"/>
          <w:lang w:val="bg-BG" w:eastAsia="bg-BG"/>
        </w:rPr>
        <w:t xml:space="preserve"> Въпреки това достигнатата степен на икономическо развитие в района е значително под средната за ЕС-27. </w:t>
      </w:r>
      <w:r w:rsidRPr="00BD7BB1">
        <w:rPr>
          <w:rFonts w:ascii="Times New Roman" w:eastAsia="Calibri" w:hAnsi="Times New Roman"/>
          <w:color w:val="auto"/>
          <w:sz w:val="24"/>
          <w:szCs w:val="24"/>
          <w:lang w:val="bg-BG" w:eastAsia="bg-BG"/>
        </w:rPr>
        <w:t xml:space="preserve">Наблюдават се негативни последствия върху МСП в резултат на финансовата и икономическа криза. </w:t>
      </w:r>
      <w:r w:rsidRPr="00BD7BB1">
        <w:rPr>
          <w:rFonts w:ascii="Times New Roman" w:eastAsia="Times New Roman" w:hAnsi="Times New Roman"/>
          <w:color w:val="auto"/>
          <w:sz w:val="24"/>
          <w:szCs w:val="24"/>
          <w:lang w:val="bg-BG" w:eastAsia="bg-BG"/>
        </w:rPr>
        <w:t xml:space="preserve">Все още сравнително слабото потребление, свитите пазари (външни, а и вътрешни) водят до снижен обем на производството на продукция и услуги, закриване на фирми, ниско ниво на инвестициите за разширяване на съществуващите и разкриване на нови производства. Най-засегнати в икономиката на Югоизточен район са структуроопределящите браншове: машиностроене и металообработване, строителство, транспорт, преработвателна промишленост, мебелно производство, химическа и добивна промишленост, дърводобив и дървопреработване, фирми от търговията и услугите и др. Продължително влошената икономическа ситуация доведе до задълбочаване на различията в цялостното развитие на отделните общини. </w:t>
      </w:r>
      <w:r w:rsidRPr="00BD7BB1">
        <w:rPr>
          <w:rFonts w:ascii="Times New Roman" w:eastAsia="Calibri" w:hAnsi="Times New Roman"/>
          <w:color w:val="auto"/>
          <w:sz w:val="24"/>
          <w:szCs w:val="24"/>
          <w:lang w:val="bg-BG" w:eastAsia="bg-BG"/>
        </w:rPr>
        <w:t>Независимо от изпълнените мерки (основно по ОПРКБИ и ПРСР) предизвикателствата пред бизнеса все още остават значителни.</w:t>
      </w:r>
    </w:p>
    <w:p w:rsidR="005B480D" w:rsidRDefault="00F25110" w:rsidP="005B480D">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Основни </w:t>
      </w:r>
      <w:r w:rsidRPr="00BD7BB1">
        <w:rPr>
          <w:rFonts w:ascii="Times New Roman" w:eastAsia="Times New Roman" w:hAnsi="Times New Roman"/>
          <w:b/>
          <w:i/>
          <w:color w:val="auto"/>
          <w:sz w:val="24"/>
          <w:szCs w:val="24"/>
          <w:lang w:val="bg-BG" w:eastAsia="bg-BG"/>
        </w:rPr>
        <w:t>индикатори,</w:t>
      </w:r>
      <w:r w:rsidRPr="00BD7BB1">
        <w:rPr>
          <w:rFonts w:ascii="Times New Roman" w:eastAsia="Times New Roman" w:hAnsi="Times New Roman"/>
          <w:color w:val="auto"/>
          <w:sz w:val="24"/>
          <w:szCs w:val="24"/>
          <w:lang w:val="bg-BG" w:eastAsia="bg-BG"/>
        </w:rPr>
        <w:t xml:space="preserve"> с които се отчитат състоянието и разв</w:t>
      </w:r>
      <w:r w:rsidR="005B480D">
        <w:rPr>
          <w:rFonts w:ascii="Times New Roman" w:eastAsia="Times New Roman" w:hAnsi="Times New Roman"/>
          <w:color w:val="auto"/>
          <w:sz w:val="24"/>
          <w:szCs w:val="24"/>
          <w:lang w:val="bg-BG" w:eastAsia="bg-BG"/>
        </w:rPr>
        <w:t>итието на икономиката в ЮИР са:</w:t>
      </w:r>
    </w:p>
    <w:p w:rsidR="00F25110" w:rsidRPr="005B480D" w:rsidRDefault="00F25110" w:rsidP="005B480D">
      <w:pPr>
        <w:pStyle w:val="ListParagraph"/>
        <w:numPr>
          <w:ilvl w:val="0"/>
          <w:numId w:val="60"/>
        </w:numPr>
        <w:spacing w:line="360" w:lineRule="auto"/>
        <w:jc w:val="both"/>
        <w:rPr>
          <w:lang w:val="bg-BG" w:eastAsia="bg-BG"/>
        </w:rPr>
      </w:pPr>
      <w:r w:rsidRPr="005B480D">
        <w:rPr>
          <w:b/>
          <w:i/>
          <w:lang w:val="bg-BG" w:eastAsia="bg-BG"/>
        </w:rPr>
        <w:t xml:space="preserve">Брутен вътрешен продукт  </w:t>
      </w: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Стойността на произведения </w:t>
      </w:r>
      <w:r w:rsidRPr="00BD7BB1">
        <w:rPr>
          <w:rFonts w:ascii="Times New Roman" w:eastAsia="Times New Roman" w:hAnsi="Times New Roman"/>
          <w:b/>
          <w:i/>
          <w:color w:val="auto"/>
          <w:sz w:val="24"/>
          <w:szCs w:val="24"/>
          <w:lang w:val="bg-BG" w:eastAsia="bg-BG"/>
        </w:rPr>
        <w:t>брутен вътрешен продукт</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БВП) по текущи цени</w:t>
      </w:r>
      <w:r w:rsidRPr="00BD7BB1">
        <w:rPr>
          <w:rFonts w:ascii="Times New Roman" w:eastAsia="Times New Roman" w:hAnsi="Times New Roman"/>
          <w:color w:val="auto"/>
          <w:sz w:val="24"/>
          <w:szCs w:val="24"/>
          <w:lang w:val="bg-BG" w:eastAsia="bg-BG"/>
        </w:rPr>
        <w:t xml:space="preserve"> в Югоизточен район през 2012 г. възлиза на 9 784 млн. лв. или  12,2% от БВП на страната. (80 044 млн.лв.) Районът запазва третото си място след Югозападен (47,6%) и Южен централен район (14,2%), характерно за последните години след 2007 г.</w:t>
      </w:r>
    </w:p>
    <w:p w:rsidR="00F25110" w:rsidRPr="00BD7BB1" w:rsidRDefault="00F25110" w:rsidP="005B480D">
      <w:pPr>
        <w:numPr>
          <w:ilvl w:val="0"/>
          <w:numId w:val="36"/>
        </w:numPr>
        <w:spacing w:after="0" w:line="360" w:lineRule="auto"/>
        <w:ind w:left="426" w:firstLine="0"/>
        <w:contextualSpacing/>
        <w:jc w:val="both"/>
        <w:rPr>
          <w:rFonts w:ascii="Times New Roman" w:eastAsia="Times New Roman" w:hAnsi="Times New Roman"/>
          <w:i/>
          <w:color w:val="auto"/>
          <w:sz w:val="24"/>
          <w:szCs w:val="24"/>
          <w:lang w:val="bg-BG" w:eastAsia="bg-BG"/>
        </w:rPr>
      </w:pPr>
      <w:r w:rsidRPr="00BD7BB1">
        <w:rPr>
          <w:rFonts w:ascii="Times New Roman" w:eastAsia="Times New Roman" w:hAnsi="Times New Roman"/>
          <w:b/>
          <w:bCs/>
          <w:i/>
          <w:color w:val="auto"/>
          <w:sz w:val="24"/>
          <w:szCs w:val="24"/>
          <w:lang w:val="ru-RU" w:eastAsia="bg-BG"/>
        </w:rPr>
        <w:lastRenderedPageBreak/>
        <w:t>Брутен вътрешен продукт на глава от населението</w:t>
      </w:r>
    </w:p>
    <w:p w:rsidR="00F25110" w:rsidRPr="00BD7BB1" w:rsidRDefault="00F25110" w:rsidP="005B480D">
      <w:pPr>
        <w:spacing w:after="0" w:line="360" w:lineRule="auto"/>
        <w:ind w:left="-142" w:firstLine="56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ru-RU" w:eastAsia="bg-BG"/>
        </w:rPr>
        <w:t xml:space="preserve">БВП на човек от населението в </w:t>
      </w:r>
      <w:r w:rsidRPr="00BD7BB1">
        <w:rPr>
          <w:rFonts w:ascii="Times New Roman" w:eastAsia="Times New Roman" w:hAnsi="Times New Roman"/>
          <w:color w:val="auto"/>
          <w:sz w:val="24"/>
          <w:szCs w:val="24"/>
          <w:lang w:val="bg-BG" w:eastAsia="bg-BG"/>
        </w:rPr>
        <w:t xml:space="preserve"> Югоизточен район за 2012г. е 9 140 лв. при среден показател за страната - 10 956 лв., с което районът се нарежда на второ място сред районите в страната, изпреварван единствено от Югозападен район (17 887 лв.)</w:t>
      </w:r>
      <w:r w:rsidR="00293573">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bg-BG" w:eastAsia="bg-BG"/>
        </w:rPr>
        <w:t xml:space="preserve">  Отбелязва се нарастване на показателя за периода 2010-2012г. в размер на 16%.</w:t>
      </w:r>
    </w:p>
    <w:p w:rsidR="00F25110" w:rsidRPr="00BD7BB1" w:rsidRDefault="00F25110" w:rsidP="005B480D">
      <w:pPr>
        <w:numPr>
          <w:ilvl w:val="0"/>
          <w:numId w:val="34"/>
        </w:numPr>
        <w:tabs>
          <w:tab w:val="clear" w:pos="1353"/>
        </w:tabs>
        <w:spacing w:after="0" w:line="360" w:lineRule="auto"/>
        <w:ind w:left="426" w:firstLine="0"/>
        <w:jc w:val="both"/>
        <w:rPr>
          <w:rFonts w:ascii="Times New Roman" w:eastAsia="Times New Roman" w:hAnsi="Times New Roman"/>
          <w:b/>
          <w:i/>
          <w:color w:val="auto"/>
          <w:sz w:val="24"/>
          <w:szCs w:val="24"/>
          <w:lang w:val="ru-RU" w:eastAsia="bg-BG"/>
        </w:rPr>
      </w:pPr>
      <w:r w:rsidRPr="00BD7BB1">
        <w:rPr>
          <w:rFonts w:ascii="Times New Roman" w:eastAsia="Times New Roman" w:hAnsi="Times New Roman"/>
          <w:b/>
          <w:i/>
          <w:color w:val="auto"/>
          <w:sz w:val="24"/>
          <w:szCs w:val="24"/>
          <w:lang w:val="ru-RU" w:eastAsia="bg-BG"/>
        </w:rPr>
        <w:t>Брутна добавена стойност</w:t>
      </w:r>
    </w:p>
    <w:p w:rsidR="005B480D" w:rsidRDefault="00293573" w:rsidP="005B480D">
      <w:pPr>
        <w:spacing w:after="0" w:line="360" w:lineRule="auto"/>
        <w:ind w:left="-142" w:firstLine="142"/>
        <w:jc w:val="both"/>
        <w:rPr>
          <w:rFonts w:ascii="Times New Roman" w:eastAsia="Times New Roman" w:hAnsi="Times New Roman"/>
          <w:color w:val="auto"/>
          <w:sz w:val="24"/>
          <w:szCs w:val="24"/>
          <w:lang w:val="bg-BG" w:eastAsia="bg-BG"/>
        </w:rPr>
      </w:pPr>
      <w:r>
        <w:rPr>
          <w:rFonts w:ascii="Times New Roman" w:eastAsia="Times New Roman" w:hAnsi="Times New Roman"/>
          <w:color w:val="auto"/>
          <w:sz w:val="24"/>
          <w:szCs w:val="24"/>
          <w:lang w:val="bg-BG" w:eastAsia="bg-BG"/>
        </w:rPr>
        <w:t xml:space="preserve">       </w:t>
      </w:r>
      <w:r w:rsidR="00F25110" w:rsidRPr="00BD7BB1">
        <w:rPr>
          <w:rFonts w:ascii="Times New Roman" w:eastAsia="Times New Roman" w:hAnsi="Times New Roman"/>
          <w:color w:val="auto"/>
          <w:sz w:val="24"/>
          <w:szCs w:val="24"/>
          <w:lang w:val="bg-BG" w:eastAsia="bg-BG"/>
        </w:rPr>
        <w:t xml:space="preserve">Брутната добавена стойност за 2012 г. в ЮИР е 8 419  млн.лв., с което районът се нарежда на трето място сред районите в страната след ЮЗР (32 784 млн.лв.,) и ЮЦР (9 795 млн.лв.). Приносът на Югоизточен район в БДС на страната през 2012 г. има следните стойности: секторът на селското и горско стопанство  формира 14,3% от общата стойност за страната (една от най-ниските стойности сред районите от ниво 2); индустриалният сектор формира 17,7 % от общата стойност за страната, </w:t>
      </w:r>
      <w:r w:rsidR="005B480D">
        <w:rPr>
          <w:rFonts w:ascii="Times New Roman" w:eastAsia="Times New Roman" w:hAnsi="Times New Roman"/>
          <w:color w:val="auto"/>
          <w:sz w:val="24"/>
          <w:szCs w:val="24"/>
          <w:lang w:val="bg-BG" w:eastAsia="bg-BG"/>
        </w:rPr>
        <w:t xml:space="preserve">а секторът на услугите - 9,5%. </w:t>
      </w:r>
    </w:p>
    <w:p w:rsidR="00F25110" w:rsidRPr="005B480D" w:rsidRDefault="00F25110" w:rsidP="005B480D">
      <w:pPr>
        <w:pStyle w:val="ListParagraph"/>
        <w:numPr>
          <w:ilvl w:val="0"/>
          <w:numId w:val="34"/>
        </w:numPr>
        <w:tabs>
          <w:tab w:val="clear" w:pos="1353"/>
        </w:tabs>
        <w:spacing w:line="360" w:lineRule="auto"/>
        <w:ind w:left="567" w:hanging="141"/>
        <w:jc w:val="both"/>
        <w:rPr>
          <w:lang w:val="bg-BG" w:eastAsia="bg-BG"/>
        </w:rPr>
      </w:pPr>
      <w:r w:rsidRPr="005B480D">
        <w:rPr>
          <w:b/>
          <w:i/>
          <w:lang w:val="bg-BG" w:eastAsia="bg-BG"/>
        </w:rPr>
        <w:t>Инвестиции в научноизследователска и развойна дейност - % от БВП</w:t>
      </w:r>
    </w:p>
    <w:p w:rsidR="00F25110" w:rsidRPr="00BD7BB1" w:rsidRDefault="00293573" w:rsidP="00F25110">
      <w:pPr>
        <w:spacing w:before="20" w:after="20" w:line="360" w:lineRule="auto"/>
        <w:jc w:val="both"/>
        <w:rPr>
          <w:rFonts w:ascii="Times New Roman" w:eastAsia="Times New Roman" w:hAnsi="Times New Roman"/>
          <w:color w:val="auto"/>
          <w:sz w:val="24"/>
          <w:szCs w:val="24"/>
          <w:lang w:val="bg-BG" w:eastAsia="bg-BG"/>
        </w:rPr>
      </w:pPr>
      <w:r>
        <w:rPr>
          <w:rFonts w:ascii="Times New Roman" w:eastAsia="Calibri" w:hAnsi="Times New Roman"/>
          <w:bCs/>
          <w:color w:val="auto"/>
          <w:sz w:val="24"/>
          <w:szCs w:val="24"/>
          <w:lang w:val="bg-BG" w:eastAsia="bg-BG"/>
        </w:rPr>
        <w:t xml:space="preserve">        </w:t>
      </w:r>
      <w:r w:rsidR="00F25110" w:rsidRPr="00BD7BB1">
        <w:rPr>
          <w:rFonts w:ascii="Times New Roman" w:eastAsia="Calibri" w:hAnsi="Times New Roman"/>
          <w:bCs/>
          <w:color w:val="auto"/>
          <w:sz w:val="24"/>
          <w:szCs w:val="24"/>
          <w:lang w:val="bg-BG" w:eastAsia="bg-BG"/>
        </w:rPr>
        <w:t>Интензивността на</w:t>
      </w:r>
      <w:r w:rsidR="00F25110" w:rsidRPr="00BD7BB1">
        <w:rPr>
          <w:rFonts w:ascii="Times New Roman" w:eastAsia="Times New Roman" w:hAnsi="Times New Roman"/>
          <w:color w:val="auto"/>
          <w:sz w:val="24"/>
          <w:szCs w:val="24"/>
          <w:lang w:val="bg-BG" w:eastAsia="bg-BG"/>
        </w:rPr>
        <w:t xml:space="preserve"> </w:t>
      </w:r>
      <w:r w:rsidR="00F25110" w:rsidRPr="00BD7BB1">
        <w:rPr>
          <w:rFonts w:ascii="Times New Roman" w:eastAsia="Calibri" w:hAnsi="Times New Roman"/>
          <w:bCs/>
          <w:color w:val="auto"/>
          <w:sz w:val="24"/>
          <w:szCs w:val="24"/>
          <w:lang w:val="bg-BG" w:eastAsia="bg-BG"/>
        </w:rPr>
        <w:t>научно-изследователската и развойна дейност (НИРД), измерена като процент на разходите за НИРД от БВП през 2012г. е 0,16%,  по малка с 0,02 % в сравнение с 2009г. Въпреки  това разходите за НИРД през 2013г., спрямо 2009г. са с 1622 хил.лв. повече.</w:t>
      </w:r>
    </w:p>
    <w:p w:rsidR="00F25110" w:rsidRPr="00BD7BB1" w:rsidRDefault="00F25110" w:rsidP="00286311">
      <w:pPr>
        <w:spacing w:after="0" w:line="360" w:lineRule="auto"/>
        <w:ind w:left="-142" w:firstLine="568"/>
        <w:jc w:val="both"/>
        <w:rPr>
          <w:rFonts w:ascii="Times New Roman" w:eastAsia="Times New Roman" w:hAnsi="Times New Roman"/>
          <w:i/>
          <w:color w:val="auto"/>
          <w:sz w:val="24"/>
          <w:szCs w:val="24"/>
          <w:lang w:val="bg-BG" w:eastAsia="bg-BG"/>
        </w:rPr>
      </w:pPr>
      <w:r w:rsidRPr="00BD7BB1">
        <w:rPr>
          <w:rFonts w:ascii="Times New Roman" w:eastAsia="Times New Roman" w:hAnsi="Times New Roman"/>
          <w:color w:val="auto"/>
          <w:sz w:val="24"/>
          <w:szCs w:val="24"/>
          <w:lang w:val="bg-BG" w:eastAsia="bg-BG"/>
        </w:rPr>
        <w:t xml:space="preserve">За изпълнение на </w:t>
      </w:r>
      <w:r w:rsidRPr="00BD7BB1">
        <w:rPr>
          <w:rFonts w:ascii="Times New Roman" w:eastAsia="Times New Roman" w:hAnsi="Times New Roman"/>
          <w:b/>
          <w:color w:val="auto"/>
          <w:sz w:val="24"/>
          <w:szCs w:val="24"/>
          <w:lang w:val="bg-BG" w:eastAsia="bg-BG"/>
        </w:rPr>
        <w:t xml:space="preserve">Приоритет 1 на Стратегическа цел 1 </w:t>
      </w:r>
      <w:r w:rsidRPr="00BD7BB1">
        <w:rPr>
          <w:rFonts w:ascii="Times New Roman" w:eastAsia="Times New Roman" w:hAnsi="Times New Roman"/>
          <w:color w:val="auto"/>
          <w:sz w:val="24"/>
          <w:szCs w:val="24"/>
          <w:lang w:val="bg-BG" w:eastAsia="bg-BG"/>
        </w:rPr>
        <w:t xml:space="preserve">се измерват </w:t>
      </w:r>
      <w:r w:rsidRPr="00BD7BB1">
        <w:rPr>
          <w:rFonts w:ascii="Times New Roman" w:eastAsia="Times New Roman" w:hAnsi="Times New Roman"/>
          <w:i/>
          <w:color w:val="auto"/>
          <w:sz w:val="24"/>
          <w:szCs w:val="24"/>
          <w:lang w:val="bg-BG" w:eastAsia="bg-BG"/>
        </w:rPr>
        <w:t xml:space="preserve">Специфични </w:t>
      </w:r>
      <w:r w:rsidR="00286311">
        <w:rPr>
          <w:rFonts w:ascii="Times New Roman" w:eastAsia="Times New Roman" w:hAnsi="Times New Roman"/>
          <w:i/>
          <w:color w:val="auto"/>
          <w:sz w:val="24"/>
          <w:szCs w:val="24"/>
          <w:lang w:val="bg-BG" w:eastAsia="bg-BG"/>
        </w:rPr>
        <w:t xml:space="preserve"> </w:t>
      </w:r>
      <w:r w:rsidRPr="00BD7BB1">
        <w:rPr>
          <w:rFonts w:ascii="Times New Roman" w:eastAsia="Times New Roman" w:hAnsi="Times New Roman"/>
          <w:i/>
          <w:color w:val="auto"/>
          <w:sz w:val="24"/>
          <w:szCs w:val="24"/>
          <w:lang w:val="bg-BG" w:eastAsia="bg-BG"/>
        </w:rPr>
        <w:t>индикатори за наблюдение изпълнението на Регионалния план за развитие:</w:t>
      </w:r>
    </w:p>
    <w:p w:rsidR="00F25110" w:rsidRPr="00BD7BB1" w:rsidRDefault="00F25110" w:rsidP="005B480D">
      <w:pPr>
        <w:numPr>
          <w:ilvl w:val="0"/>
          <w:numId w:val="37"/>
        </w:numPr>
        <w:spacing w:after="0" w:line="360" w:lineRule="auto"/>
        <w:ind w:left="426" w:firstLine="0"/>
        <w:contextualSpacing/>
        <w:jc w:val="both"/>
        <w:rPr>
          <w:rFonts w:ascii="Times New Roman" w:eastAsia="Times New Roman" w:hAnsi="Times New Roman"/>
          <w:b/>
          <w:i/>
          <w:color w:val="auto"/>
          <w:sz w:val="24"/>
          <w:szCs w:val="24"/>
          <w:lang w:val="bg-BG" w:eastAsia="bg-BG"/>
        </w:rPr>
      </w:pPr>
      <w:r w:rsidRPr="00BD7BB1">
        <w:rPr>
          <w:rFonts w:ascii="Times New Roman" w:eastAsia="Calibri" w:hAnsi="Times New Roman"/>
          <w:b/>
          <w:bCs/>
          <w:i/>
          <w:color w:val="auto"/>
          <w:sz w:val="24"/>
          <w:szCs w:val="24"/>
          <w:lang w:val="bg-BG" w:eastAsia="bg-BG"/>
        </w:rPr>
        <w:t>Приходи от дейността на МСП, в млн.лв.</w:t>
      </w:r>
    </w:p>
    <w:p w:rsidR="005B480D" w:rsidRDefault="00F25110" w:rsidP="004E5C0F">
      <w:pPr>
        <w:spacing w:after="0" w:line="360" w:lineRule="auto"/>
        <w:ind w:firstLine="426"/>
        <w:jc w:val="both"/>
        <w:rPr>
          <w:rFonts w:ascii="Times New Roman" w:eastAsia="Calibri" w:hAnsi="Times New Roman"/>
          <w:color w:val="auto"/>
          <w:sz w:val="24"/>
          <w:szCs w:val="24"/>
          <w:lang w:val="bg-BG" w:eastAsia="bg-BG"/>
        </w:rPr>
      </w:pPr>
      <w:r w:rsidRPr="00BD7BB1">
        <w:rPr>
          <w:rFonts w:ascii="Times New Roman" w:eastAsia="Calibri" w:hAnsi="Times New Roman"/>
          <w:color w:val="auto"/>
          <w:sz w:val="24"/>
          <w:szCs w:val="24"/>
          <w:lang w:val="bg-BG" w:eastAsia="bg-BG"/>
        </w:rPr>
        <w:t>Приходите от дейността на нефинансовите предприятия за 2013 г. в  ЮИР са 32 976 972 хил.лв., 13,6 % от общите за страната (</w:t>
      </w:r>
      <w:r w:rsidRPr="00BD7BB1">
        <w:rPr>
          <w:rFonts w:ascii="Times New Roman" w:eastAsia="Calibri" w:hAnsi="Times New Roman"/>
          <w:bCs/>
          <w:color w:val="auto"/>
          <w:sz w:val="24"/>
          <w:szCs w:val="24"/>
          <w:lang w:val="bg-BG" w:eastAsia="bg-BG"/>
        </w:rPr>
        <w:t>243 265 809 хил.лв.)</w:t>
      </w:r>
      <w:r w:rsidR="00774C9A">
        <w:rPr>
          <w:rFonts w:ascii="Times New Roman" w:eastAsia="Calibri" w:hAnsi="Times New Roman"/>
          <w:bCs/>
          <w:color w:val="auto"/>
          <w:sz w:val="24"/>
          <w:szCs w:val="24"/>
          <w:lang w:val="bg-BG" w:eastAsia="bg-BG"/>
        </w:rPr>
        <w:t>.</w:t>
      </w:r>
      <w:r w:rsidRPr="00BD7BB1">
        <w:rPr>
          <w:rFonts w:ascii="Times New Roman" w:eastAsia="Calibri" w:hAnsi="Times New Roman"/>
          <w:b/>
          <w:bCs/>
          <w:color w:val="auto"/>
          <w:sz w:val="24"/>
          <w:szCs w:val="24"/>
          <w:lang w:val="bg-BG" w:eastAsia="bg-BG"/>
        </w:rPr>
        <w:t xml:space="preserve"> </w:t>
      </w:r>
      <w:r w:rsidRPr="00BD7BB1">
        <w:rPr>
          <w:rFonts w:ascii="Times New Roman" w:eastAsia="Calibri" w:hAnsi="Times New Roman"/>
          <w:color w:val="auto"/>
          <w:sz w:val="24"/>
          <w:szCs w:val="24"/>
          <w:lang w:val="bg-BG" w:eastAsia="bg-BG"/>
        </w:rPr>
        <w:t>Статистиката сочи, че районът се намира на трето място по брой предприятия след ЮЗР и ЮЦР, а по приходи от дейно</w:t>
      </w:r>
      <w:r w:rsidR="005B480D">
        <w:rPr>
          <w:rFonts w:ascii="Times New Roman" w:eastAsia="Calibri" w:hAnsi="Times New Roman"/>
          <w:color w:val="auto"/>
          <w:sz w:val="24"/>
          <w:szCs w:val="24"/>
          <w:lang w:val="bg-BG" w:eastAsia="bg-BG"/>
        </w:rPr>
        <w:t>стта е на второ място след ЮЗР.</w:t>
      </w:r>
    </w:p>
    <w:p w:rsidR="00F25110" w:rsidRPr="005B480D" w:rsidRDefault="00F25110" w:rsidP="005B480D">
      <w:pPr>
        <w:pStyle w:val="ListParagraph"/>
        <w:numPr>
          <w:ilvl w:val="0"/>
          <w:numId w:val="34"/>
        </w:numPr>
        <w:tabs>
          <w:tab w:val="clear" w:pos="1353"/>
        </w:tabs>
        <w:spacing w:line="360" w:lineRule="auto"/>
        <w:ind w:left="0" w:firstLine="426"/>
        <w:jc w:val="both"/>
        <w:rPr>
          <w:rFonts w:eastAsia="Calibri"/>
          <w:lang w:val="bg-BG" w:eastAsia="bg-BG"/>
        </w:rPr>
      </w:pPr>
      <w:r w:rsidRPr="005B480D">
        <w:rPr>
          <w:rFonts w:eastAsia="Calibri"/>
          <w:b/>
          <w:bCs/>
          <w:i/>
          <w:lang w:val="bg-BG" w:eastAsia="bg-BG"/>
        </w:rPr>
        <w:t>Относителен дял на заетите лица в МСП спрямо общия им брой  в страната, в %</w:t>
      </w:r>
    </w:p>
    <w:p w:rsidR="005B480D" w:rsidRDefault="005B480D" w:rsidP="005B480D">
      <w:pPr>
        <w:tabs>
          <w:tab w:val="left" w:pos="555"/>
          <w:tab w:val="center" w:pos="1096"/>
        </w:tabs>
        <w:spacing w:after="120" w:line="360" w:lineRule="auto"/>
        <w:jc w:val="both"/>
        <w:rPr>
          <w:rFonts w:ascii="Times New Roman" w:eastAsia="Calibri" w:hAnsi="Times New Roman"/>
          <w:color w:val="auto"/>
          <w:sz w:val="24"/>
          <w:szCs w:val="24"/>
          <w:lang w:val="bg-BG" w:eastAsia="bg-BG"/>
        </w:rPr>
      </w:pPr>
      <w:r>
        <w:rPr>
          <w:rFonts w:ascii="Times New Roman" w:eastAsia="Calibri" w:hAnsi="Times New Roman"/>
          <w:color w:val="auto"/>
          <w:sz w:val="24"/>
          <w:szCs w:val="24"/>
          <w:lang w:val="bg-BG" w:eastAsia="bg-BG"/>
        </w:rPr>
        <w:tab/>
      </w:r>
      <w:r w:rsidR="00F25110" w:rsidRPr="00BD7BB1">
        <w:rPr>
          <w:rFonts w:ascii="Times New Roman" w:eastAsia="Calibri" w:hAnsi="Times New Roman"/>
          <w:color w:val="auto"/>
          <w:sz w:val="24"/>
          <w:szCs w:val="24"/>
          <w:lang w:val="bg-BG" w:eastAsia="bg-BG"/>
        </w:rPr>
        <w:t>Броят на заетите лица в МСП за 2013г. в ЮИР възлиза на  208 080 души от 1 540 495 души за страната. Делът на заетите лица в МСП нараства</w:t>
      </w:r>
      <w:r>
        <w:rPr>
          <w:rFonts w:ascii="Times New Roman" w:eastAsia="Calibri" w:hAnsi="Times New Roman"/>
          <w:color w:val="auto"/>
          <w:sz w:val="24"/>
          <w:szCs w:val="24"/>
          <w:lang w:val="bg-BG" w:eastAsia="bg-BG"/>
        </w:rPr>
        <w:t xml:space="preserve"> с 0,3 % за периода 2010-2013г.</w:t>
      </w:r>
    </w:p>
    <w:p w:rsidR="005B480D" w:rsidRDefault="005B480D" w:rsidP="005B480D">
      <w:pPr>
        <w:tabs>
          <w:tab w:val="left" w:pos="555"/>
          <w:tab w:val="center" w:pos="1096"/>
        </w:tabs>
        <w:spacing w:after="120" w:line="360" w:lineRule="auto"/>
        <w:jc w:val="both"/>
        <w:rPr>
          <w:rFonts w:ascii="Times New Roman" w:eastAsia="Calibri" w:hAnsi="Times New Roman"/>
          <w:color w:val="auto"/>
          <w:sz w:val="24"/>
          <w:szCs w:val="24"/>
          <w:lang w:val="bg-BG" w:eastAsia="bg-BG"/>
        </w:rPr>
      </w:pPr>
    </w:p>
    <w:p w:rsidR="00F25110" w:rsidRPr="005B480D" w:rsidRDefault="00F25110" w:rsidP="005B480D">
      <w:pPr>
        <w:pStyle w:val="ListParagraph"/>
        <w:numPr>
          <w:ilvl w:val="0"/>
          <w:numId w:val="61"/>
        </w:numPr>
        <w:tabs>
          <w:tab w:val="left" w:pos="555"/>
          <w:tab w:val="center" w:pos="1096"/>
        </w:tabs>
        <w:spacing w:after="120" w:line="360" w:lineRule="auto"/>
        <w:jc w:val="both"/>
        <w:rPr>
          <w:rFonts w:eastAsia="Calibri"/>
          <w:lang w:val="bg-BG" w:eastAsia="bg-BG"/>
        </w:rPr>
      </w:pPr>
      <w:r w:rsidRPr="005B480D">
        <w:rPr>
          <w:rFonts w:eastAsia="Calibri"/>
          <w:b/>
          <w:bCs/>
          <w:i/>
          <w:lang w:val="bg-BG" w:eastAsia="bg-BG"/>
        </w:rPr>
        <w:lastRenderedPageBreak/>
        <w:t>Нарастване на преките чуждестранни инвестиции в нефинансовите предприятия, в %</w:t>
      </w:r>
      <w:r w:rsidR="00774C9A">
        <w:rPr>
          <w:rFonts w:eastAsia="Calibri"/>
          <w:b/>
          <w:bCs/>
          <w:i/>
          <w:lang w:val="bg-BG" w:eastAsia="bg-BG"/>
        </w:rPr>
        <w:t>.</w:t>
      </w:r>
    </w:p>
    <w:p w:rsidR="005B480D" w:rsidRPr="005B480D" w:rsidRDefault="00F25110" w:rsidP="00774C9A">
      <w:pPr>
        <w:spacing w:line="360" w:lineRule="auto"/>
        <w:ind w:firstLine="360"/>
        <w:jc w:val="both"/>
        <w:rPr>
          <w:rFonts w:ascii="Times New Roman" w:eastAsia="Calibri" w:hAnsi="Times New Roman"/>
          <w:sz w:val="24"/>
          <w:szCs w:val="24"/>
          <w:lang w:val="bg-BG" w:eastAsia="bg-BG"/>
        </w:rPr>
      </w:pPr>
      <w:r w:rsidRPr="005B480D">
        <w:rPr>
          <w:rFonts w:ascii="Times New Roman" w:eastAsia="Calibri" w:hAnsi="Times New Roman"/>
          <w:sz w:val="24"/>
          <w:szCs w:val="24"/>
          <w:lang w:val="bg-BG" w:eastAsia="bg-BG"/>
        </w:rPr>
        <w:t>През 2013г. в ЮИР размерът на  ПЧИ в нефинансовите предприятия е  3 385 949 хил.</w:t>
      </w:r>
      <w:r w:rsidR="00774C9A">
        <w:rPr>
          <w:rFonts w:ascii="Times New Roman" w:eastAsia="Calibri" w:hAnsi="Times New Roman"/>
          <w:sz w:val="24"/>
          <w:szCs w:val="24"/>
          <w:lang w:val="bg-BG" w:eastAsia="bg-BG"/>
        </w:rPr>
        <w:t xml:space="preserve"> </w:t>
      </w:r>
      <w:r w:rsidRPr="005B480D">
        <w:rPr>
          <w:rFonts w:ascii="Times New Roman" w:eastAsia="Calibri" w:hAnsi="Times New Roman"/>
          <w:sz w:val="24"/>
          <w:szCs w:val="24"/>
          <w:lang w:val="bg-BG" w:eastAsia="bg-BG"/>
        </w:rPr>
        <w:t>евро с 24% повече в сравнени</w:t>
      </w:r>
      <w:r w:rsidR="005B480D" w:rsidRPr="005B480D">
        <w:rPr>
          <w:rFonts w:ascii="Times New Roman" w:eastAsia="Calibri" w:hAnsi="Times New Roman"/>
          <w:sz w:val="24"/>
          <w:szCs w:val="24"/>
          <w:lang w:val="bg-BG" w:eastAsia="bg-BG"/>
        </w:rPr>
        <w:t>е с 2010г. (2 728 916 хил.евро)</w:t>
      </w:r>
      <w:r w:rsidR="00774C9A">
        <w:rPr>
          <w:rFonts w:ascii="Times New Roman" w:eastAsia="Calibri" w:hAnsi="Times New Roman"/>
          <w:sz w:val="24"/>
          <w:szCs w:val="24"/>
          <w:lang w:val="bg-BG" w:eastAsia="bg-BG"/>
        </w:rPr>
        <w:t>.</w:t>
      </w:r>
    </w:p>
    <w:p w:rsidR="00F25110" w:rsidRPr="005B480D" w:rsidRDefault="00F25110" w:rsidP="005B480D">
      <w:pPr>
        <w:pStyle w:val="ListParagraph"/>
        <w:numPr>
          <w:ilvl w:val="0"/>
          <w:numId w:val="61"/>
        </w:numPr>
        <w:tabs>
          <w:tab w:val="left" w:pos="426"/>
        </w:tabs>
        <w:spacing w:line="360" w:lineRule="auto"/>
        <w:jc w:val="both"/>
        <w:rPr>
          <w:rFonts w:eastAsia="Calibri"/>
          <w:lang w:val="bg-BG" w:eastAsia="bg-BG"/>
        </w:rPr>
      </w:pPr>
      <w:r w:rsidRPr="005B480D">
        <w:rPr>
          <w:rFonts w:eastAsia="Calibri"/>
          <w:b/>
          <w:bCs/>
          <w:i/>
          <w:lang w:val="bg-BG" w:eastAsia="bg-BG"/>
        </w:rPr>
        <w:t>Изградени и/</w:t>
      </w:r>
      <w:r w:rsidR="00774C9A">
        <w:rPr>
          <w:rFonts w:eastAsia="Calibri"/>
          <w:b/>
          <w:bCs/>
          <w:i/>
          <w:lang w:val="bg-BG" w:eastAsia="bg-BG"/>
        </w:rPr>
        <w:t>и</w:t>
      </w:r>
      <w:r w:rsidRPr="005B480D">
        <w:rPr>
          <w:rFonts w:eastAsia="Calibri"/>
          <w:b/>
          <w:bCs/>
          <w:i/>
          <w:lang w:val="bg-BG" w:eastAsia="bg-BG"/>
        </w:rPr>
        <w:t>ли обновени технопаркове, бизнесинкубатори  и индустриални зони, в бр.</w:t>
      </w:r>
    </w:p>
    <w:p w:rsidR="005B480D" w:rsidRPr="005B480D" w:rsidRDefault="00F25110" w:rsidP="00774C9A">
      <w:pPr>
        <w:spacing w:line="360" w:lineRule="auto"/>
        <w:ind w:firstLine="360"/>
        <w:jc w:val="both"/>
        <w:rPr>
          <w:rFonts w:ascii="Times New Roman" w:eastAsia="Calibri" w:hAnsi="Times New Roman"/>
          <w:bCs/>
          <w:sz w:val="24"/>
          <w:szCs w:val="24"/>
          <w:lang w:val="bg-BG" w:eastAsia="bg-BG"/>
        </w:rPr>
      </w:pPr>
      <w:r w:rsidRPr="005B480D">
        <w:rPr>
          <w:rFonts w:ascii="Times New Roman" w:eastAsia="Calibri" w:hAnsi="Times New Roman"/>
          <w:sz w:val="24"/>
          <w:szCs w:val="24"/>
          <w:lang w:val="bg-BG" w:eastAsia="bg-BG"/>
        </w:rPr>
        <w:t xml:space="preserve">Има изградени </w:t>
      </w:r>
      <w:r w:rsidRPr="005B480D">
        <w:rPr>
          <w:rFonts w:ascii="Times New Roman" w:eastAsia="Calibri" w:hAnsi="Times New Roman"/>
          <w:bCs/>
          <w:sz w:val="24"/>
          <w:szCs w:val="24"/>
          <w:lang w:val="bg-BG" w:eastAsia="bg-BG"/>
        </w:rPr>
        <w:t>2бр</w:t>
      </w:r>
      <w:r w:rsidR="00774C9A">
        <w:rPr>
          <w:rFonts w:ascii="Times New Roman" w:eastAsia="Calibri" w:hAnsi="Times New Roman"/>
          <w:bCs/>
          <w:sz w:val="24"/>
          <w:szCs w:val="24"/>
          <w:lang w:val="bg-BG" w:eastAsia="bg-BG"/>
        </w:rPr>
        <w:t>.</w:t>
      </w:r>
      <w:r w:rsidRPr="005B480D">
        <w:rPr>
          <w:rFonts w:ascii="Times New Roman" w:eastAsia="Calibri" w:hAnsi="Times New Roman"/>
          <w:bCs/>
          <w:sz w:val="24"/>
          <w:szCs w:val="24"/>
          <w:lang w:val="bg-BG" w:eastAsia="bg-BG"/>
        </w:rPr>
        <w:t>-</w:t>
      </w:r>
      <w:r w:rsidR="00774C9A">
        <w:rPr>
          <w:rFonts w:ascii="Times New Roman" w:eastAsia="Calibri" w:hAnsi="Times New Roman"/>
          <w:bCs/>
          <w:sz w:val="24"/>
          <w:szCs w:val="24"/>
          <w:lang w:val="bg-BG" w:eastAsia="bg-BG"/>
        </w:rPr>
        <w:t xml:space="preserve"> </w:t>
      </w:r>
      <w:r w:rsidRPr="005B480D">
        <w:rPr>
          <w:rFonts w:ascii="Times New Roman" w:eastAsia="Calibri" w:hAnsi="Times New Roman"/>
          <w:bCs/>
          <w:sz w:val="24"/>
          <w:szCs w:val="24"/>
          <w:lang w:val="bg-BG" w:eastAsia="bg-BG"/>
        </w:rPr>
        <w:t xml:space="preserve">бизнес инкубатори в Бургас  и  Казанлък и 3бр.  клъстера в областите Стара Загора, Бургас и </w:t>
      </w:r>
      <w:r w:rsidR="005B480D" w:rsidRPr="005B480D">
        <w:rPr>
          <w:rFonts w:ascii="Times New Roman" w:eastAsia="Calibri" w:hAnsi="Times New Roman"/>
          <w:bCs/>
          <w:sz w:val="24"/>
          <w:szCs w:val="24"/>
          <w:lang w:val="bg-BG" w:eastAsia="bg-BG"/>
        </w:rPr>
        <w:t>Сливен.</w:t>
      </w:r>
    </w:p>
    <w:p w:rsidR="005B480D" w:rsidRPr="005B480D" w:rsidRDefault="00F25110" w:rsidP="005B480D">
      <w:pPr>
        <w:pStyle w:val="ListParagraph"/>
        <w:numPr>
          <w:ilvl w:val="0"/>
          <w:numId w:val="61"/>
        </w:numPr>
        <w:spacing w:line="360" w:lineRule="auto"/>
        <w:jc w:val="both"/>
        <w:rPr>
          <w:rFonts w:eastAsia="Calibri"/>
          <w:bCs/>
          <w:lang w:val="bg-BG" w:eastAsia="bg-BG"/>
        </w:rPr>
      </w:pPr>
      <w:r w:rsidRPr="005B480D">
        <w:rPr>
          <w:rFonts w:eastAsia="Calibri"/>
          <w:b/>
          <w:i/>
          <w:lang w:val="bg-BG" w:eastAsia="bg-BG"/>
        </w:rPr>
        <w:t>Персонал, зает с НИРД, в бр</w:t>
      </w:r>
    </w:p>
    <w:p w:rsidR="00F25110" w:rsidRPr="005B480D" w:rsidRDefault="00F25110" w:rsidP="00360ABE">
      <w:pPr>
        <w:spacing w:line="360" w:lineRule="auto"/>
        <w:ind w:left="-142" w:firstLine="502"/>
        <w:jc w:val="both"/>
        <w:rPr>
          <w:rFonts w:ascii="Times New Roman" w:eastAsia="Calibri" w:hAnsi="Times New Roman"/>
          <w:bCs/>
          <w:sz w:val="24"/>
          <w:szCs w:val="24"/>
          <w:lang w:val="bg-BG" w:eastAsia="bg-BG"/>
        </w:rPr>
      </w:pPr>
      <w:r w:rsidRPr="005B480D">
        <w:rPr>
          <w:rFonts w:ascii="Times New Roman" w:eastAsia="Calibri" w:hAnsi="Times New Roman"/>
          <w:sz w:val="24"/>
          <w:szCs w:val="24"/>
          <w:lang w:val="bg-BG" w:eastAsia="bg-BG"/>
        </w:rPr>
        <w:t>През 2013г. броят на заетите с НИРД в ЮИР нараства с  35% и достига стойност 1552 бр.,но въпреки това районът изостава по този показател спрямо  по развитите райони.Делът на персонала зает с НИРД в ЮИР спрямо страната е едва 7%.( ЮЗР - 72% , ЮЦР - 9% ,СИР - 10 %).</w:t>
      </w:r>
    </w:p>
    <w:p w:rsidR="00F25110" w:rsidRPr="005B480D" w:rsidRDefault="00F25110" w:rsidP="005B480D">
      <w:pPr>
        <w:pStyle w:val="ListParagraph"/>
        <w:numPr>
          <w:ilvl w:val="0"/>
          <w:numId w:val="61"/>
        </w:numPr>
        <w:spacing w:after="120" w:line="360" w:lineRule="auto"/>
        <w:jc w:val="both"/>
        <w:rPr>
          <w:rFonts w:eastAsia="Calibri"/>
          <w:b/>
          <w:i/>
          <w:lang w:val="bg-BG" w:eastAsia="bg-BG"/>
        </w:rPr>
      </w:pPr>
      <w:r w:rsidRPr="005B480D">
        <w:rPr>
          <w:rFonts w:eastAsia="Calibri"/>
          <w:b/>
          <w:i/>
          <w:lang w:val="bg-BG" w:eastAsia="bg-BG"/>
        </w:rPr>
        <w:t>Количество продадена електроенергия от ВЕИ, в GWh</w:t>
      </w:r>
    </w:p>
    <w:p w:rsidR="00F25110" w:rsidRPr="00BD7BB1" w:rsidRDefault="00F25110" w:rsidP="00B45336">
      <w:pPr>
        <w:spacing w:after="0" w:line="360" w:lineRule="auto"/>
        <w:ind w:left="-142" w:firstLine="502"/>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Електрическата енергия, произведена от възобновяеми източници през 2013г. е 18,9 %. </w:t>
      </w:r>
      <w:r w:rsidRPr="00BD7BB1">
        <w:rPr>
          <w:rFonts w:ascii="Times New Roman" w:eastAsia="Times New Roman" w:hAnsi="Times New Roman"/>
          <w:color w:val="auto"/>
          <w:sz w:val="24"/>
          <w:szCs w:val="24"/>
          <w:lang w:val="bg-BG" w:eastAsia="bg-BG" w:bidi="my-MM"/>
        </w:rPr>
        <w:t>Делът на възобновяемата енергия в брутното крайно потребление на енергия на национално ниво е 19 %.</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bidi="my-MM"/>
        </w:rPr>
        <w:t>През 2013г. е произведена първична енергия  в хил.т.нефтен еквивалент, съответно - водна енергия (без ПАВЕЦ) -</w:t>
      </w:r>
      <w:r w:rsidR="00F96F0A">
        <w:rPr>
          <w:rFonts w:ascii="Times New Roman" w:eastAsia="Times New Roman" w:hAnsi="Times New Roman"/>
          <w:color w:val="auto"/>
          <w:sz w:val="24"/>
          <w:szCs w:val="24"/>
          <w:lang w:val="bg-BG" w:eastAsia="bg-BG" w:bidi="my-MM"/>
        </w:rPr>
        <w:t xml:space="preserve"> </w:t>
      </w:r>
      <w:r w:rsidRPr="00BD7BB1">
        <w:rPr>
          <w:rFonts w:ascii="Times New Roman" w:eastAsia="Times New Roman" w:hAnsi="Times New Roman"/>
          <w:color w:val="auto"/>
          <w:sz w:val="24"/>
          <w:szCs w:val="24"/>
          <w:lang w:val="bg-BG" w:eastAsia="bg-BG" w:bidi="my-MM"/>
        </w:rPr>
        <w:t>351,</w:t>
      </w:r>
      <w:r w:rsidR="00F96F0A">
        <w:rPr>
          <w:rFonts w:ascii="Times New Roman" w:eastAsia="Times New Roman" w:hAnsi="Times New Roman"/>
          <w:color w:val="auto"/>
          <w:sz w:val="24"/>
          <w:szCs w:val="24"/>
          <w:lang w:val="bg-BG" w:eastAsia="bg-BG" w:bidi="my-MM"/>
        </w:rPr>
        <w:t xml:space="preserve"> </w:t>
      </w:r>
      <w:r w:rsidRPr="00BD7BB1">
        <w:rPr>
          <w:rFonts w:ascii="Times New Roman" w:eastAsia="Times New Roman" w:hAnsi="Times New Roman"/>
          <w:color w:val="auto"/>
          <w:sz w:val="24"/>
          <w:szCs w:val="24"/>
          <w:lang w:val="bg-BG" w:eastAsia="bg-BG" w:bidi="my-MM"/>
        </w:rPr>
        <w:t>вятърна енергия -118,</w:t>
      </w:r>
      <w:r w:rsidR="00F96F0A">
        <w:rPr>
          <w:rFonts w:ascii="Times New Roman" w:eastAsia="Times New Roman" w:hAnsi="Times New Roman"/>
          <w:color w:val="auto"/>
          <w:sz w:val="24"/>
          <w:szCs w:val="24"/>
          <w:lang w:val="bg-BG" w:eastAsia="bg-BG" w:bidi="my-MM"/>
        </w:rPr>
        <w:t xml:space="preserve"> </w:t>
      </w:r>
      <w:r w:rsidRPr="00BD7BB1">
        <w:rPr>
          <w:rFonts w:ascii="Times New Roman" w:eastAsia="Times New Roman" w:hAnsi="Times New Roman"/>
          <w:color w:val="auto"/>
          <w:sz w:val="24"/>
          <w:szCs w:val="24"/>
          <w:lang w:val="bg-BG" w:eastAsia="bg-BG" w:bidi="my-MM"/>
        </w:rPr>
        <w:t>слънчева енергия -117,</w:t>
      </w:r>
      <w:r w:rsidR="00F96F0A">
        <w:rPr>
          <w:rFonts w:ascii="Times New Roman" w:eastAsia="Times New Roman" w:hAnsi="Times New Roman"/>
          <w:color w:val="auto"/>
          <w:sz w:val="24"/>
          <w:szCs w:val="24"/>
          <w:lang w:val="bg-BG" w:eastAsia="bg-BG" w:bidi="my-MM"/>
        </w:rPr>
        <w:t xml:space="preserve"> </w:t>
      </w:r>
      <w:r w:rsidRPr="00BD7BB1">
        <w:rPr>
          <w:rFonts w:ascii="Times New Roman" w:eastAsia="Times New Roman" w:hAnsi="Times New Roman"/>
          <w:color w:val="auto"/>
          <w:sz w:val="24"/>
          <w:szCs w:val="24"/>
          <w:lang w:val="bg-BG" w:eastAsia="bg-BG" w:bidi="my-MM"/>
        </w:rPr>
        <w:t>слънчева топлинна енергия</w:t>
      </w:r>
      <w:r w:rsidR="00F96F0A">
        <w:rPr>
          <w:rFonts w:ascii="Times New Roman" w:eastAsia="Times New Roman" w:hAnsi="Times New Roman"/>
          <w:color w:val="auto"/>
          <w:sz w:val="24"/>
          <w:szCs w:val="24"/>
          <w:lang w:val="bg-BG" w:eastAsia="bg-BG" w:bidi="my-MM"/>
        </w:rPr>
        <w:t xml:space="preserve"> </w:t>
      </w:r>
      <w:r w:rsidRPr="00BD7BB1">
        <w:rPr>
          <w:rFonts w:ascii="Times New Roman" w:eastAsia="Times New Roman" w:hAnsi="Times New Roman"/>
          <w:color w:val="auto"/>
          <w:sz w:val="24"/>
          <w:szCs w:val="24"/>
          <w:lang w:val="bg-BG" w:eastAsia="bg-BG" w:bidi="my-MM"/>
        </w:rPr>
        <w:t>- 19,</w:t>
      </w:r>
      <w:r w:rsidR="00F96F0A">
        <w:rPr>
          <w:rFonts w:ascii="Times New Roman" w:eastAsia="Times New Roman" w:hAnsi="Times New Roman"/>
          <w:color w:val="auto"/>
          <w:sz w:val="24"/>
          <w:szCs w:val="24"/>
          <w:lang w:val="bg-BG" w:eastAsia="bg-BG" w:bidi="my-MM"/>
        </w:rPr>
        <w:t xml:space="preserve"> </w:t>
      </w:r>
      <w:r w:rsidRPr="00BD7BB1">
        <w:rPr>
          <w:rFonts w:ascii="Times New Roman" w:eastAsia="Times New Roman" w:hAnsi="Times New Roman"/>
          <w:color w:val="auto"/>
          <w:sz w:val="24"/>
          <w:szCs w:val="24"/>
          <w:lang w:val="bg-BG" w:eastAsia="bg-BG" w:bidi="my-MM"/>
        </w:rPr>
        <w:t>геотермална енергия</w:t>
      </w:r>
      <w:r w:rsidR="00F96F0A">
        <w:rPr>
          <w:rFonts w:ascii="Times New Roman" w:eastAsia="Times New Roman" w:hAnsi="Times New Roman"/>
          <w:color w:val="auto"/>
          <w:sz w:val="24"/>
          <w:szCs w:val="24"/>
          <w:lang w:val="bg-BG" w:eastAsia="bg-BG" w:bidi="my-MM"/>
        </w:rPr>
        <w:t xml:space="preserve"> </w:t>
      </w:r>
      <w:r w:rsidRPr="00BD7BB1">
        <w:rPr>
          <w:rFonts w:ascii="Times New Roman" w:eastAsia="Times New Roman" w:hAnsi="Times New Roman"/>
          <w:color w:val="auto"/>
          <w:sz w:val="24"/>
          <w:szCs w:val="24"/>
          <w:lang w:val="bg-BG" w:eastAsia="bg-BG" w:bidi="my-MM"/>
        </w:rPr>
        <w:t>- 33.</w:t>
      </w:r>
    </w:p>
    <w:p w:rsidR="00D37E51" w:rsidRDefault="00F25110" w:rsidP="00D37E51">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color w:val="auto"/>
          <w:sz w:val="24"/>
          <w:szCs w:val="24"/>
          <w:lang w:val="bg-BG" w:eastAsia="bg-BG" w:bidi="my-MM"/>
        </w:rPr>
        <w:t>През 2012 г. производството и потреблението на енергия от възобновяеми източници (ВИ) в страната значително се увеличи, което доведе до постигане през 2012 г. на задължителната национална цел от 16 % дял на енергия от ВИ в брутното крайно потребление на енергия.  За постигането на задължителната национална цел на Република България от 16% общ дял на енергия от ВЕИ в брутното крайно потребление на енергия, включително 10% дял на енергията от ВЕИ в транспорта, е разработен и се изпълнява Национален план за действие за енергията от възобновяеми източници за периода 2010-2020 г.</w:t>
      </w:r>
    </w:p>
    <w:p w:rsidR="003506D7" w:rsidRDefault="00F25110" w:rsidP="003506D7">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color w:val="auto"/>
          <w:sz w:val="24"/>
          <w:szCs w:val="24"/>
          <w:lang w:val="bg-BG" w:eastAsia="bg-BG"/>
        </w:rPr>
        <w:t>През отчетната година в ЮИР са предприети мер</w:t>
      </w:r>
      <w:r w:rsidR="00D2769A">
        <w:rPr>
          <w:rFonts w:ascii="Times New Roman" w:eastAsia="Times New Roman" w:hAnsi="Times New Roman"/>
          <w:color w:val="auto"/>
          <w:sz w:val="24"/>
          <w:szCs w:val="24"/>
          <w:lang w:val="bg-BG" w:eastAsia="bg-BG"/>
        </w:rPr>
        <w:t>к</w:t>
      </w:r>
      <w:r w:rsidRPr="00BD7BB1">
        <w:rPr>
          <w:rFonts w:ascii="Times New Roman" w:eastAsia="Times New Roman" w:hAnsi="Times New Roman"/>
          <w:color w:val="auto"/>
          <w:sz w:val="24"/>
          <w:szCs w:val="24"/>
          <w:lang w:val="bg-BG" w:eastAsia="bg-BG"/>
        </w:rPr>
        <w:t xml:space="preserve">и за </w:t>
      </w:r>
      <w:r w:rsidRPr="00BD7BB1">
        <w:rPr>
          <w:rFonts w:ascii="Times New Roman" w:eastAsia="Times New Roman" w:hAnsi="Times New Roman"/>
          <w:b/>
          <w:color w:val="auto"/>
          <w:sz w:val="24"/>
          <w:szCs w:val="24"/>
          <w:lang w:val="bg-BG" w:eastAsia="bg-BG"/>
        </w:rPr>
        <w:t xml:space="preserve">повишаване ефективността на предприятията и развитие на благоприятна бизнес среда </w:t>
      </w:r>
      <w:r w:rsidRPr="00BD7BB1">
        <w:rPr>
          <w:rFonts w:ascii="Times New Roman" w:eastAsia="Times New Roman" w:hAnsi="Times New Roman"/>
          <w:color w:val="auto"/>
          <w:sz w:val="24"/>
          <w:szCs w:val="24"/>
          <w:lang w:val="bg-BG" w:eastAsia="bg-BG"/>
        </w:rPr>
        <w:t xml:space="preserve">за модернизация на </w:t>
      </w:r>
      <w:r w:rsidRPr="00BD7BB1">
        <w:rPr>
          <w:rFonts w:ascii="Times New Roman" w:eastAsia="Times New Roman" w:hAnsi="Times New Roman"/>
          <w:color w:val="auto"/>
          <w:sz w:val="24"/>
          <w:szCs w:val="24"/>
          <w:lang w:val="bg-BG" w:eastAsia="bg-BG"/>
        </w:rPr>
        <w:lastRenderedPageBreak/>
        <w:t>производствено оборудване, снижаване на енергоемкостта на производството, насърчаване на бизнес-кооперирането и създаването на клъстери.</w:t>
      </w:r>
    </w:p>
    <w:p w:rsidR="003506D7" w:rsidRDefault="00F25110" w:rsidP="003506D7">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color w:val="auto"/>
          <w:sz w:val="24"/>
          <w:szCs w:val="24"/>
          <w:lang w:val="bg-BG" w:eastAsia="bg-BG"/>
        </w:rPr>
        <w:t xml:space="preserve">Подкрепа за изпълнението на </w:t>
      </w:r>
      <w:r w:rsidR="00AC3793">
        <w:rPr>
          <w:rFonts w:ascii="Times New Roman" w:eastAsia="Times New Roman" w:hAnsi="Times New Roman"/>
          <w:color w:val="auto"/>
          <w:sz w:val="24"/>
          <w:szCs w:val="24"/>
          <w:lang w:val="bg-BG" w:eastAsia="bg-BG"/>
        </w:rPr>
        <w:t>Приоритет</w:t>
      </w:r>
      <w:r w:rsidRPr="00BD7BB1">
        <w:rPr>
          <w:rFonts w:ascii="Times New Roman" w:eastAsia="Times New Roman" w:hAnsi="Times New Roman"/>
          <w:color w:val="auto"/>
          <w:sz w:val="24"/>
          <w:szCs w:val="24"/>
          <w:lang w:val="bg-BG" w:eastAsia="bg-BG"/>
        </w:rPr>
        <w:t xml:space="preserve"> 1 осигурява </w:t>
      </w:r>
      <w:r w:rsidRPr="00BD7BB1">
        <w:rPr>
          <w:rFonts w:ascii="Times New Roman" w:eastAsia="Times New Roman" w:hAnsi="Times New Roman"/>
          <w:bCs/>
          <w:i/>
          <w:color w:val="auto"/>
          <w:sz w:val="24"/>
          <w:szCs w:val="24"/>
          <w:lang w:val="ru-RU" w:eastAsia="bg-BG"/>
        </w:rPr>
        <w:t>Приоритетна ос 2</w:t>
      </w:r>
      <w:r w:rsidRPr="00BD7BB1">
        <w:rPr>
          <w:rFonts w:ascii="Times New Roman" w:eastAsia="Times New Roman" w:hAnsi="Times New Roman"/>
          <w:bCs/>
          <w:i/>
          <w:color w:val="auto"/>
          <w:sz w:val="24"/>
          <w:szCs w:val="24"/>
          <w:lang w:val="ru-RU" w:eastAsia="bg-BG"/>
        </w:rPr>
        <w:br/>
        <w:t>„Повишаване ефективността на предприятията и развитие на благоприятна бизнес среда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Cs/>
          <w:i/>
          <w:color w:val="auto"/>
          <w:sz w:val="24"/>
          <w:szCs w:val="24"/>
          <w:lang w:val="ru-RU" w:eastAsia="bg-BG"/>
        </w:rPr>
        <w:t xml:space="preserve"> на </w:t>
      </w:r>
      <w:r w:rsidRPr="00BD7BB1">
        <w:rPr>
          <w:rFonts w:ascii="Times New Roman" w:eastAsia="Times New Roman" w:hAnsi="Times New Roman"/>
          <w:bCs/>
          <w:color w:val="auto"/>
          <w:sz w:val="24"/>
          <w:szCs w:val="24"/>
          <w:lang w:val="ru-RU" w:eastAsia="bg-BG"/>
        </w:rPr>
        <w:t>ОП „Развитие на конкурентоспособността на българската икономика” 2007-2013г. Сключените договори на територията на Югоизточен</w:t>
      </w:r>
      <w:r w:rsidR="00F334FD">
        <w:rPr>
          <w:rFonts w:ascii="Times New Roman" w:eastAsia="Times New Roman" w:hAnsi="Times New Roman"/>
          <w:bCs/>
          <w:color w:val="auto"/>
          <w:sz w:val="24"/>
          <w:szCs w:val="24"/>
          <w:lang w:val="ru-RU" w:eastAsia="bg-BG"/>
        </w:rPr>
        <w:t xml:space="preserve"> район</w:t>
      </w:r>
      <w:r w:rsidRPr="00BD7BB1">
        <w:rPr>
          <w:rFonts w:ascii="Times New Roman" w:eastAsia="Times New Roman" w:hAnsi="Times New Roman"/>
          <w:bCs/>
          <w:color w:val="auto"/>
          <w:sz w:val="24"/>
          <w:szCs w:val="24"/>
          <w:lang w:val="ru-RU" w:eastAsia="bg-BG"/>
        </w:rPr>
        <w:t xml:space="preserve">  по да</w:t>
      </w:r>
      <w:r w:rsidR="00F334FD">
        <w:rPr>
          <w:rFonts w:ascii="Times New Roman" w:eastAsia="Times New Roman" w:hAnsi="Times New Roman"/>
          <w:bCs/>
          <w:color w:val="auto"/>
          <w:sz w:val="24"/>
          <w:szCs w:val="24"/>
          <w:lang w:val="ru-RU" w:eastAsia="bg-BG"/>
        </w:rPr>
        <w:t>н</w:t>
      </w:r>
      <w:r w:rsidRPr="00BD7BB1">
        <w:rPr>
          <w:rFonts w:ascii="Times New Roman" w:eastAsia="Times New Roman" w:hAnsi="Times New Roman"/>
          <w:bCs/>
          <w:color w:val="auto"/>
          <w:sz w:val="24"/>
          <w:szCs w:val="24"/>
          <w:lang w:val="ru-RU" w:eastAsia="bg-BG"/>
        </w:rPr>
        <w:t>ни на Управляващия орган на програмата  са общо 267 бр. на стойност - 172,827 млн.лв., от които изплатени са 103,643млн.лв.</w:t>
      </w:r>
      <w:r w:rsidR="00E041AA">
        <w:rPr>
          <w:rFonts w:ascii="Times New Roman" w:eastAsia="Times New Roman" w:hAnsi="Times New Roman"/>
          <w:bCs/>
          <w:color w:val="auto"/>
          <w:sz w:val="24"/>
          <w:szCs w:val="24"/>
          <w:lang w:val="ru-RU" w:eastAsia="bg-BG"/>
        </w:rPr>
        <w:t xml:space="preserve"> </w:t>
      </w:r>
      <w:r w:rsidRPr="00BD7BB1">
        <w:rPr>
          <w:rFonts w:ascii="Times New Roman" w:eastAsia="Times New Roman" w:hAnsi="Times New Roman"/>
          <w:bCs/>
          <w:color w:val="auto"/>
          <w:sz w:val="24"/>
          <w:szCs w:val="24"/>
          <w:lang w:val="ru-RU" w:eastAsia="bg-BG"/>
        </w:rPr>
        <w:t>В процес на изпълнение са 61 договора, прекратените са 39, а изпълнените са 167 бр. Най- много проекти са договорени на територията на област Стара Загора -130 бр.,следва област- Бургас -78 бр.,и за областите Сливен и Ямбол, съответно 37</w:t>
      </w:r>
      <w:r w:rsidR="00E041AA">
        <w:rPr>
          <w:rFonts w:ascii="Times New Roman" w:eastAsia="Times New Roman" w:hAnsi="Times New Roman"/>
          <w:bCs/>
          <w:color w:val="auto"/>
          <w:sz w:val="24"/>
          <w:szCs w:val="24"/>
          <w:lang w:val="ru-RU" w:eastAsia="bg-BG"/>
        </w:rPr>
        <w:t xml:space="preserve"> </w:t>
      </w:r>
      <w:r w:rsidRPr="00BD7BB1">
        <w:rPr>
          <w:rFonts w:ascii="Times New Roman" w:eastAsia="Times New Roman" w:hAnsi="Times New Roman"/>
          <w:bCs/>
          <w:color w:val="auto"/>
          <w:sz w:val="24"/>
          <w:szCs w:val="24"/>
          <w:lang w:val="ru-RU" w:eastAsia="bg-BG"/>
        </w:rPr>
        <w:t>бр. и 22</w:t>
      </w:r>
      <w:r w:rsidR="00E041AA">
        <w:rPr>
          <w:rFonts w:ascii="Times New Roman" w:eastAsia="Times New Roman" w:hAnsi="Times New Roman"/>
          <w:bCs/>
          <w:color w:val="auto"/>
          <w:sz w:val="24"/>
          <w:szCs w:val="24"/>
          <w:lang w:val="ru-RU" w:eastAsia="bg-BG"/>
        </w:rPr>
        <w:t xml:space="preserve"> </w:t>
      </w:r>
      <w:r w:rsidRPr="00BD7BB1">
        <w:rPr>
          <w:rFonts w:ascii="Times New Roman" w:eastAsia="Times New Roman" w:hAnsi="Times New Roman"/>
          <w:bCs/>
          <w:color w:val="auto"/>
          <w:sz w:val="24"/>
          <w:szCs w:val="24"/>
          <w:lang w:val="ru-RU" w:eastAsia="bg-BG"/>
        </w:rPr>
        <w:t>бр.</w:t>
      </w:r>
    </w:p>
    <w:p w:rsidR="003506D7" w:rsidRDefault="00F25110" w:rsidP="003506D7">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iCs/>
          <w:color w:val="auto"/>
          <w:sz w:val="24"/>
          <w:szCs w:val="24"/>
          <w:lang w:val="bg-BG" w:eastAsia="bg-BG"/>
        </w:rPr>
        <w:t xml:space="preserve">Процедура </w:t>
      </w:r>
      <w:r w:rsidRPr="00BD7BB1">
        <w:rPr>
          <w:rFonts w:ascii="Times New Roman" w:eastAsia="Times New Roman" w:hAnsi="Times New Roman"/>
          <w:i/>
          <w:iCs/>
          <w:color w:val="auto"/>
          <w:sz w:val="24"/>
          <w:szCs w:val="24"/>
          <w:lang w:val="bg-BG" w:eastAsia="bg-BG"/>
        </w:rPr>
        <w:t>„Технологична модернизация в малки и средни предприятия”</w:t>
      </w:r>
      <w:r w:rsidRPr="00BD7BB1">
        <w:rPr>
          <w:rFonts w:ascii="Times New Roman" w:eastAsia="Times New Roman" w:hAnsi="Times New Roman"/>
          <w:iCs/>
          <w:color w:val="auto"/>
          <w:sz w:val="24"/>
          <w:szCs w:val="24"/>
          <w:lang w:val="bg-BG" w:eastAsia="bg-BG"/>
        </w:rPr>
        <w:t xml:space="preserve"> на Приоритет 2 от програмата са сключени най-висок брой  договори - 44 на обща стойност - 30 512 млн.лв. с изплатени средства – 24 595 млн.лв., от тях изпълнени 38бр., 6 прекратени и в процес на изпълнение 1бр.</w:t>
      </w:r>
    </w:p>
    <w:p w:rsidR="003506D7" w:rsidRDefault="00F25110" w:rsidP="003506D7">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bCs/>
          <w:iCs/>
          <w:color w:val="auto"/>
          <w:sz w:val="24"/>
          <w:szCs w:val="24"/>
          <w:lang w:val="ru-RU" w:eastAsia="bg-BG"/>
        </w:rPr>
        <w:t xml:space="preserve">По процедура </w:t>
      </w:r>
      <w:r w:rsidRPr="00BD7BB1">
        <w:rPr>
          <w:rFonts w:ascii="Times New Roman" w:eastAsia="Times New Roman" w:hAnsi="Times New Roman"/>
          <w:bCs/>
          <w:iCs/>
          <w:color w:val="auto"/>
          <w:sz w:val="24"/>
          <w:szCs w:val="24"/>
          <w:lang w:eastAsia="bg-BG"/>
        </w:rPr>
        <w:t xml:space="preserve"> </w:t>
      </w:r>
      <w:r w:rsidRPr="00BD7BB1">
        <w:rPr>
          <w:rFonts w:ascii="Times New Roman" w:eastAsia="Times New Roman" w:hAnsi="Times New Roman"/>
          <w:i/>
          <w:iCs/>
          <w:color w:val="auto"/>
          <w:sz w:val="24"/>
          <w:szCs w:val="24"/>
          <w:lang w:val="bg-BG" w:eastAsia="bg-BG"/>
        </w:rPr>
        <w:t>„</w:t>
      </w:r>
      <w:r w:rsidRPr="00BD7BB1">
        <w:rPr>
          <w:rFonts w:ascii="Times New Roman" w:eastAsia="Times New Roman" w:hAnsi="Times New Roman"/>
          <w:bCs/>
          <w:i/>
          <w:iCs/>
          <w:color w:val="auto"/>
          <w:sz w:val="24"/>
          <w:szCs w:val="24"/>
          <w:lang w:val="ru-RU" w:eastAsia="bg-BG"/>
        </w:rPr>
        <w:t>Подкрепа за създаване и развитие на бизнес-инкубатори</w:t>
      </w:r>
      <w:r w:rsidRPr="00BD7BB1">
        <w:rPr>
          <w:rFonts w:ascii="Times New Roman" w:eastAsia="Times New Roman" w:hAnsi="Times New Roman"/>
          <w:bCs/>
          <w:i/>
          <w:iCs/>
          <w:color w:val="auto"/>
          <w:sz w:val="24"/>
          <w:szCs w:val="24"/>
          <w:lang w:eastAsia="bg-BG"/>
        </w:rPr>
        <w:t>”</w:t>
      </w:r>
      <w:r w:rsidRPr="00BD7BB1">
        <w:rPr>
          <w:rFonts w:ascii="Times New Roman" w:eastAsia="Times New Roman" w:hAnsi="Times New Roman"/>
          <w:bCs/>
          <w:i/>
          <w:iCs/>
          <w:color w:val="auto"/>
          <w:sz w:val="24"/>
          <w:szCs w:val="24"/>
          <w:lang w:val="bg-BG" w:eastAsia="bg-BG"/>
        </w:rPr>
        <w:t xml:space="preserve"> </w:t>
      </w:r>
      <w:r w:rsidRPr="00BD7BB1">
        <w:rPr>
          <w:rFonts w:ascii="Times New Roman" w:eastAsia="Times New Roman" w:hAnsi="Times New Roman"/>
          <w:bCs/>
          <w:iCs/>
          <w:color w:val="auto"/>
          <w:sz w:val="24"/>
          <w:szCs w:val="24"/>
          <w:lang w:val="bg-BG" w:eastAsia="bg-BG"/>
        </w:rPr>
        <w:t>се</w:t>
      </w:r>
      <w:r w:rsidRPr="00BD7BB1">
        <w:rPr>
          <w:rFonts w:ascii="Times New Roman" w:eastAsia="Times New Roman" w:hAnsi="Times New Roman"/>
          <w:bCs/>
          <w:i/>
          <w:iCs/>
          <w:color w:val="auto"/>
          <w:sz w:val="24"/>
          <w:szCs w:val="24"/>
          <w:lang w:val="bg-BG" w:eastAsia="bg-BG"/>
        </w:rPr>
        <w:t xml:space="preserve"> </w:t>
      </w:r>
      <w:r w:rsidRPr="00BD7BB1">
        <w:rPr>
          <w:rFonts w:ascii="Times New Roman" w:eastAsia="Times New Roman" w:hAnsi="Times New Roman"/>
          <w:bCs/>
          <w:iCs/>
          <w:color w:val="auto"/>
          <w:sz w:val="24"/>
          <w:szCs w:val="24"/>
          <w:lang w:val="bg-BG" w:eastAsia="bg-BG"/>
        </w:rPr>
        <w:t>изпълняват два проекта</w:t>
      </w:r>
      <w:r w:rsidRPr="00BD7BB1">
        <w:rPr>
          <w:rFonts w:ascii="Times New Roman" w:eastAsia="Times New Roman" w:hAnsi="Times New Roman"/>
          <w:bCs/>
          <w:i/>
          <w:iCs/>
          <w:color w:val="auto"/>
          <w:sz w:val="24"/>
          <w:szCs w:val="24"/>
          <w:lang w:val="bg-BG" w:eastAsia="bg-BG"/>
        </w:rPr>
        <w:t xml:space="preserve"> </w:t>
      </w:r>
      <w:r w:rsidRPr="00BD7BB1">
        <w:rPr>
          <w:rFonts w:ascii="Times New Roman" w:eastAsia="Times New Roman" w:hAnsi="Times New Roman"/>
          <w:bCs/>
          <w:iCs/>
          <w:color w:val="auto"/>
          <w:sz w:val="24"/>
          <w:szCs w:val="24"/>
          <w:lang w:val="bg-BG" w:eastAsia="bg-BG"/>
        </w:rPr>
        <w:t>в областите Бургас и Стара Загора на стойност 2,398 млн.лв., от които изплатени 1,062 млн.лв.</w:t>
      </w:r>
    </w:p>
    <w:p w:rsidR="003506D7" w:rsidRDefault="00F25110" w:rsidP="003506D7">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bCs/>
          <w:iCs/>
          <w:color w:val="auto"/>
          <w:sz w:val="24"/>
          <w:szCs w:val="24"/>
          <w:lang w:val="bg-BG" w:eastAsia="bg-BG"/>
        </w:rPr>
        <w:t xml:space="preserve">По процедура </w:t>
      </w:r>
      <w:r w:rsidRPr="00BD7BB1">
        <w:rPr>
          <w:rFonts w:ascii="Times New Roman" w:eastAsia="Times New Roman" w:hAnsi="Times New Roman"/>
          <w:bCs/>
          <w:iCs/>
          <w:color w:val="auto"/>
          <w:sz w:val="24"/>
          <w:szCs w:val="24"/>
          <w:lang w:val="ru-RU" w:eastAsia="bg-BG"/>
        </w:rPr>
        <w:t>„</w:t>
      </w:r>
      <w:r w:rsidRPr="00BD7BB1">
        <w:rPr>
          <w:rFonts w:ascii="Times New Roman" w:eastAsia="Times New Roman" w:hAnsi="Times New Roman"/>
          <w:bCs/>
          <w:i/>
          <w:iCs/>
          <w:color w:val="auto"/>
          <w:sz w:val="24"/>
          <w:szCs w:val="24"/>
          <w:lang w:val="ru-RU" w:eastAsia="bg-BG"/>
        </w:rPr>
        <w:t>Инвестиции</w:t>
      </w:r>
      <w:r w:rsidRPr="00BD7BB1">
        <w:rPr>
          <w:rFonts w:ascii="Times New Roman" w:eastAsia="Times New Roman" w:hAnsi="Times New Roman"/>
          <w:b/>
          <w:bCs/>
          <w:iCs/>
          <w:color w:val="auto"/>
          <w:sz w:val="24"/>
          <w:szCs w:val="24"/>
          <w:lang w:val="ru-RU" w:eastAsia="bg-BG"/>
        </w:rPr>
        <w:t xml:space="preserve"> </w:t>
      </w:r>
      <w:r w:rsidRPr="00BD7BB1">
        <w:rPr>
          <w:rFonts w:ascii="Times New Roman" w:eastAsia="Times New Roman" w:hAnsi="Times New Roman"/>
          <w:bCs/>
          <w:i/>
          <w:iCs/>
          <w:color w:val="auto"/>
          <w:sz w:val="24"/>
          <w:szCs w:val="24"/>
          <w:lang w:val="ru-RU" w:eastAsia="bg-BG"/>
        </w:rPr>
        <w:t>в</w:t>
      </w:r>
      <w:r w:rsidRPr="00BD7BB1">
        <w:rPr>
          <w:rFonts w:ascii="Times New Roman" w:eastAsia="Times New Roman" w:hAnsi="Times New Roman"/>
          <w:b/>
          <w:bCs/>
          <w:iCs/>
          <w:color w:val="auto"/>
          <w:sz w:val="24"/>
          <w:szCs w:val="24"/>
          <w:lang w:val="ru-RU" w:eastAsia="bg-BG"/>
        </w:rPr>
        <w:t xml:space="preserve"> „</w:t>
      </w:r>
      <w:r w:rsidRPr="00BD7BB1">
        <w:rPr>
          <w:rFonts w:ascii="Times New Roman" w:eastAsia="Times New Roman" w:hAnsi="Times New Roman"/>
          <w:bCs/>
          <w:i/>
          <w:iCs/>
          <w:color w:val="auto"/>
          <w:sz w:val="24"/>
          <w:szCs w:val="24"/>
          <w:lang w:val="ru-RU" w:eastAsia="bg-BG"/>
        </w:rPr>
        <w:t>зелена</w:t>
      </w:r>
      <w:r w:rsidRPr="00BD7BB1">
        <w:rPr>
          <w:rFonts w:ascii="Times New Roman" w:eastAsia="Times New Roman" w:hAnsi="Times New Roman"/>
          <w:b/>
          <w:bCs/>
          <w:iCs/>
          <w:color w:val="auto"/>
          <w:sz w:val="24"/>
          <w:szCs w:val="24"/>
          <w:lang w:val="ru-RU" w:eastAsia="bg-BG"/>
        </w:rPr>
        <w:t xml:space="preserve"> </w:t>
      </w:r>
      <w:r w:rsidRPr="00BD7BB1">
        <w:rPr>
          <w:rFonts w:ascii="Times New Roman" w:eastAsia="Times New Roman" w:hAnsi="Times New Roman"/>
          <w:bCs/>
          <w:i/>
          <w:iCs/>
          <w:color w:val="auto"/>
          <w:sz w:val="24"/>
          <w:szCs w:val="24"/>
          <w:lang w:val="ru-RU" w:eastAsia="bg-BG"/>
        </w:rPr>
        <w:t>индустрия</w:t>
      </w:r>
      <w:r w:rsidRPr="00BD7BB1">
        <w:rPr>
          <w:rFonts w:ascii="Times New Roman" w:eastAsia="Times New Roman" w:hAnsi="Times New Roman"/>
          <w:b/>
          <w:bCs/>
          <w:iCs/>
          <w:color w:val="auto"/>
          <w:sz w:val="24"/>
          <w:szCs w:val="24"/>
          <w:lang w:val="ru-RU" w:eastAsia="bg-BG"/>
        </w:rPr>
        <w:t xml:space="preserve">“ </w:t>
      </w:r>
      <w:r w:rsidRPr="00BD7BB1">
        <w:rPr>
          <w:rFonts w:ascii="Times New Roman" w:eastAsia="Times New Roman" w:hAnsi="Times New Roman"/>
          <w:bCs/>
          <w:iCs/>
          <w:color w:val="auto"/>
          <w:sz w:val="24"/>
          <w:szCs w:val="24"/>
          <w:lang w:val="ru-RU" w:eastAsia="bg-BG"/>
        </w:rPr>
        <w:t>са</w:t>
      </w:r>
      <w:r w:rsidRPr="00BD7BB1">
        <w:rPr>
          <w:rFonts w:ascii="Times New Roman" w:eastAsia="Times New Roman" w:hAnsi="Times New Roman"/>
          <w:b/>
          <w:bCs/>
          <w:iCs/>
          <w:color w:val="auto"/>
          <w:sz w:val="24"/>
          <w:szCs w:val="24"/>
          <w:lang w:val="ru-RU" w:eastAsia="bg-BG"/>
        </w:rPr>
        <w:t xml:space="preserve"> </w:t>
      </w:r>
      <w:r w:rsidRPr="00BD7BB1">
        <w:rPr>
          <w:rFonts w:ascii="Times New Roman" w:eastAsia="Times New Roman" w:hAnsi="Times New Roman"/>
          <w:bCs/>
          <w:iCs/>
          <w:color w:val="auto"/>
          <w:sz w:val="24"/>
          <w:szCs w:val="24"/>
          <w:lang w:val="ru-RU" w:eastAsia="bg-BG"/>
        </w:rPr>
        <w:t>сключени 7 проекта на стойност 17,093 млн.лв., изплатени -14,568 млн.лв., изпълнени – 6 бр., в процес на изпълнение -1</w:t>
      </w:r>
      <w:r w:rsidR="003506D7">
        <w:rPr>
          <w:rFonts w:ascii="Times New Roman" w:eastAsia="Times New Roman" w:hAnsi="Times New Roman"/>
          <w:bCs/>
          <w:iCs/>
          <w:color w:val="auto"/>
          <w:sz w:val="24"/>
          <w:szCs w:val="24"/>
          <w:lang w:val="ru-RU" w:eastAsia="bg-BG"/>
        </w:rPr>
        <w:t xml:space="preserve">бр.  </w:t>
      </w:r>
      <w:r w:rsidRPr="00BD7BB1">
        <w:rPr>
          <w:rFonts w:ascii="Times New Roman" w:eastAsia="Times New Roman" w:hAnsi="Times New Roman"/>
          <w:bCs/>
          <w:iCs/>
          <w:color w:val="auto"/>
          <w:sz w:val="24"/>
          <w:szCs w:val="24"/>
          <w:lang w:val="ru-RU" w:eastAsia="bg-BG"/>
        </w:rPr>
        <w:t>проект.</w:t>
      </w:r>
    </w:p>
    <w:p w:rsidR="003506D7" w:rsidRDefault="00F25110" w:rsidP="003506D7">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color w:val="auto"/>
          <w:sz w:val="24"/>
          <w:szCs w:val="24"/>
          <w:lang w:val="bg-BG" w:eastAsia="bg-BG"/>
        </w:rPr>
        <w:t>По данни на Асоциация на българските клъстери в ЮИР има 3  клъстера в областите Стара Загора, Бургас и Сливен, което се  обуславя от наличието на традиционн</w:t>
      </w:r>
      <w:r w:rsidR="00E041AA">
        <w:rPr>
          <w:rFonts w:ascii="Times New Roman" w:eastAsia="Times New Roman" w:hAnsi="Times New Roman"/>
          <w:color w:val="auto"/>
          <w:sz w:val="24"/>
          <w:szCs w:val="24"/>
          <w:lang w:val="bg-BG" w:eastAsia="bg-BG"/>
        </w:rPr>
        <w:t>и</w:t>
      </w:r>
      <w:r w:rsidRPr="00BD7BB1">
        <w:rPr>
          <w:rFonts w:ascii="Times New Roman" w:eastAsia="Times New Roman" w:hAnsi="Times New Roman"/>
          <w:color w:val="auto"/>
          <w:sz w:val="24"/>
          <w:szCs w:val="24"/>
          <w:lang w:val="bg-BG" w:eastAsia="bg-BG"/>
        </w:rPr>
        <w:t xml:space="preserve"> за областите  производства като шивашка промишленост в Сливен, IT/електроника в Стара Загора и туризма в Бургас.</w:t>
      </w:r>
    </w:p>
    <w:p w:rsidR="008804A2" w:rsidRDefault="00F25110" w:rsidP="008804A2">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color w:val="auto"/>
          <w:sz w:val="24"/>
          <w:szCs w:val="24"/>
          <w:lang w:val="bg-BG" w:eastAsia="bg-BG"/>
        </w:rPr>
        <w:t xml:space="preserve">В подкрепа за развитието на клъстерите в България по ОП „Конкурентоспособност“ е открита процедура за кандидатстване. Основната цел на процедурата е да допринесе за създаването и развитието на клъстери в България чрез предоставянето на подкрепа за изграждане и укрепване на административния и управленски капацитет на клъстера, развитие на продуктите и услугите, разширяване на пазарните позиции, привличане на нови членове на клъстера, както и насърчаване на инвестициите в съвременни технологии и </w:t>
      </w:r>
      <w:r w:rsidRPr="00BD7BB1">
        <w:rPr>
          <w:rFonts w:ascii="Times New Roman" w:eastAsia="Times New Roman" w:hAnsi="Times New Roman"/>
          <w:color w:val="auto"/>
          <w:sz w:val="24"/>
          <w:szCs w:val="24"/>
          <w:lang w:val="bg-BG" w:eastAsia="bg-BG"/>
        </w:rPr>
        <w:lastRenderedPageBreak/>
        <w:t xml:space="preserve">оборудване за общи клъстерни дейности. </w:t>
      </w:r>
      <w:r w:rsidRPr="00BD7BB1">
        <w:rPr>
          <w:rFonts w:ascii="Times New Roman" w:eastAsia="Times New Roman" w:hAnsi="Times New Roman"/>
          <w:bCs/>
          <w:color w:val="auto"/>
          <w:sz w:val="24"/>
          <w:szCs w:val="24"/>
          <w:lang w:val="bg-BG" w:eastAsia="bg-BG"/>
        </w:rPr>
        <w:t>От Оперативната програма са предоставени допълнително  10 млн. лева за наддоговаряне по процедура „Подкрепа за развитието на клъстерите в България”.</w:t>
      </w:r>
      <w:r w:rsidR="00810DA4">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По този начин общият размер на безвъзмездната финансова помощ (БФП) по процедурата за </w:t>
      </w:r>
      <w:r w:rsidRPr="00BD7BB1">
        <w:rPr>
          <w:rFonts w:ascii="Times New Roman" w:eastAsia="Times New Roman" w:hAnsi="Times New Roman"/>
          <w:b/>
          <w:bCs/>
          <w:color w:val="auto"/>
          <w:sz w:val="24"/>
          <w:szCs w:val="24"/>
          <w:lang w:val="bg-BG" w:eastAsia="bg-BG"/>
        </w:rPr>
        <w:t xml:space="preserve">подкрепа за развитието на клъстерите в България </w:t>
      </w:r>
      <w:r w:rsidRPr="00BD7BB1">
        <w:rPr>
          <w:rFonts w:ascii="Times New Roman" w:eastAsia="Times New Roman" w:hAnsi="Times New Roman"/>
          <w:color w:val="auto"/>
          <w:sz w:val="24"/>
          <w:szCs w:val="24"/>
          <w:lang w:val="bg-BG" w:eastAsia="bg-BG"/>
        </w:rPr>
        <w:t xml:space="preserve">се увеличава от </w:t>
      </w:r>
      <w:r w:rsidRPr="00BD7BB1">
        <w:rPr>
          <w:rFonts w:ascii="Times New Roman" w:eastAsia="Times New Roman" w:hAnsi="Times New Roman"/>
          <w:b/>
          <w:bCs/>
          <w:color w:val="auto"/>
          <w:sz w:val="24"/>
          <w:szCs w:val="24"/>
          <w:lang w:val="bg-BG" w:eastAsia="bg-BG"/>
        </w:rPr>
        <w:t>19 558 300 </w:t>
      </w:r>
      <w:r w:rsidRPr="00BD7BB1">
        <w:rPr>
          <w:rFonts w:ascii="Times New Roman" w:eastAsia="Times New Roman" w:hAnsi="Times New Roman"/>
          <w:color w:val="auto"/>
          <w:sz w:val="24"/>
          <w:szCs w:val="24"/>
          <w:lang w:val="bg-BG" w:eastAsia="bg-BG"/>
        </w:rPr>
        <w:t xml:space="preserve">лева на </w:t>
      </w:r>
      <w:r w:rsidRPr="00BD7BB1">
        <w:rPr>
          <w:rFonts w:ascii="Times New Roman" w:eastAsia="Times New Roman" w:hAnsi="Times New Roman"/>
          <w:b/>
          <w:bCs/>
          <w:color w:val="auto"/>
          <w:sz w:val="24"/>
          <w:szCs w:val="24"/>
          <w:lang w:val="bg-BG" w:eastAsia="bg-BG"/>
        </w:rPr>
        <w:t>29 558 300 </w:t>
      </w:r>
      <w:r w:rsidRPr="00BD7BB1">
        <w:rPr>
          <w:rFonts w:ascii="Times New Roman" w:eastAsia="Times New Roman" w:hAnsi="Times New Roman"/>
          <w:color w:val="auto"/>
          <w:sz w:val="24"/>
          <w:szCs w:val="24"/>
          <w:lang w:val="bg-BG" w:eastAsia="bg-BG"/>
        </w:rPr>
        <w:t>лева. Процедурата се реализира с финансовата подкрепа на Европейския съюз чрез Европейския фонд за регионално развитие.</w:t>
      </w:r>
      <w:r w:rsidR="00810DA4">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Към момента няма регистрирани проекти  на територията на ЮИР по това направление и като цяло остава неоползотворен потенциала на </w:t>
      </w:r>
      <w:r w:rsidRPr="00BD7BB1">
        <w:rPr>
          <w:rFonts w:ascii="Times New Roman" w:eastAsia="Times New Roman" w:hAnsi="Times New Roman"/>
          <w:b/>
          <w:color w:val="auto"/>
          <w:sz w:val="24"/>
          <w:szCs w:val="24"/>
          <w:lang w:val="bg-BG" w:eastAsia="bg-BG"/>
        </w:rPr>
        <w:t>клъстерирането</w:t>
      </w:r>
      <w:r w:rsidRPr="00BD7BB1">
        <w:rPr>
          <w:rFonts w:ascii="Times New Roman" w:eastAsia="Times New Roman" w:hAnsi="Times New Roman"/>
          <w:color w:val="auto"/>
          <w:sz w:val="24"/>
          <w:szCs w:val="24"/>
          <w:lang w:val="bg-BG" w:eastAsia="bg-BG"/>
        </w:rPr>
        <w:t xml:space="preserve"> за осъществяване на технологичен трансфер, разпространение на иновации, споделяне на ресурси и разширяване на пазари.</w:t>
      </w:r>
    </w:p>
    <w:p w:rsidR="008804A2" w:rsidRDefault="00F25110" w:rsidP="008804A2">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color w:val="auto"/>
          <w:sz w:val="24"/>
          <w:szCs w:val="24"/>
          <w:lang w:val="bg-BG" w:eastAsia="bg-BG"/>
        </w:rPr>
        <w:t>Приоритетът  получава подкрепа и чрез реализацията на следния проект по  Програмата „Югоизточна Европа“:</w:t>
      </w:r>
    </w:p>
    <w:p w:rsidR="008804A2" w:rsidRDefault="00F25110" w:rsidP="008804A2">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b/>
          <w:color w:val="auto"/>
          <w:sz w:val="24"/>
          <w:szCs w:val="24"/>
          <w:lang w:val="bg-BG" w:eastAsia="bg-BG"/>
        </w:rPr>
        <w:t>Проект „JEWEL“</w:t>
      </w:r>
      <w:r w:rsidRPr="00BD7BB1">
        <w:rPr>
          <w:rFonts w:ascii="Times New Roman" w:eastAsia="Times New Roman" w:hAnsi="Times New Roman"/>
          <w:color w:val="auto"/>
          <w:sz w:val="24"/>
          <w:szCs w:val="24"/>
          <w:lang w:val="bg-BG" w:eastAsia="bg-BG"/>
        </w:rPr>
        <w:t xml:space="preserve">  на община  Сливен в партньорство с община Перуджа от Италия и общини от Гърция, Румъния, Албания и Хърватска с цел предлагане иновативни подходи за справяне с градските центрове. Общата стойност на проекта, ко</w:t>
      </w:r>
      <w:r w:rsidR="0005121F">
        <w:rPr>
          <w:rFonts w:ascii="Times New Roman" w:eastAsia="Times New Roman" w:hAnsi="Times New Roman"/>
          <w:color w:val="auto"/>
          <w:sz w:val="24"/>
          <w:szCs w:val="24"/>
          <w:lang w:val="bg-BG" w:eastAsia="bg-BG"/>
        </w:rPr>
        <w:t>й</w:t>
      </w:r>
      <w:r w:rsidRPr="00BD7BB1">
        <w:rPr>
          <w:rFonts w:ascii="Times New Roman" w:eastAsia="Times New Roman" w:hAnsi="Times New Roman"/>
          <w:color w:val="auto"/>
          <w:sz w:val="24"/>
          <w:szCs w:val="24"/>
          <w:lang w:val="bg-BG" w:eastAsia="bg-BG"/>
        </w:rPr>
        <w:t>то е в процес на реализиране  е 1 962 272,24  евро.  JEWEL създава  предпоставка за активна политика в подкрепа на бизнеса и предприемачеството. В резултат са финансирани интервенции в   капацитета на местната общност в областта на планирането. В процесите на стратегическото планиране са включени млади предприемачи, желаещи да започнат свой самостоятелен бизнес от ЮИР.</w:t>
      </w:r>
      <w:r w:rsidRPr="00BD7BB1">
        <w:rPr>
          <w:rFonts w:ascii="Times New Roman" w:eastAsia="Times New Roman" w:hAnsi="Times New Roman"/>
          <w:b/>
          <w:color w:val="auto"/>
          <w:sz w:val="24"/>
          <w:szCs w:val="24"/>
          <w:lang w:val="bg-BG" w:eastAsia="bg-BG"/>
        </w:rPr>
        <w:t xml:space="preserve">  </w:t>
      </w:r>
    </w:p>
    <w:p w:rsidR="008804A2" w:rsidRDefault="00F25110" w:rsidP="008804A2">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color w:val="auto"/>
          <w:sz w:val="24"/>
          <w:szCs w:val="24"/>
          <w:lang w:val="bg-BG" w:eastAsia="bg-BG"/>
        </w:rPr>
        <w:t xml:space="preserve">За изпълнение на приоритета от съществено значение е развитието на изследователската дейност и използване на иновации и нови технологии в предприятията от ЮИР. </w:t>
      </w:r>
    </w:p>
    <w:p w:rsidR="008804A2" w:rsidRDefault="00F25110" w:rsidP="008804A2">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color w:val="auto"/>
          <w:sz w:val="24"/>
          <w:szCs w:val="24"/>
          <w:lang w:val="bg-BG" w:eastAsia="bg-BG"/>
        </w:rPr>
        <w:t>По това направление се предвижда да се подкрепят дейности, свързани с внедряване на нови и високотехнологични решения и насърчаване реализацията на пазарноориентирани проекти. Поставя се акцент върху създаването на нови високопродуктивни и технологични предприятия, както и върху подпомагане въвеждането на системи за управление на качеството в предприятията. От особено значение  за района е  разширяване на сътрудничеството между ВУЗ, изследователските организации и предприятията на територията му.</w:t>
      </w:r>
    </w:p>
    <w:p w:rsidR="00F25110" w:rsidRPr="00BD7BB1" w:rsidRDefault="00F25110" w:rsidP="008804A2">
      <w:pPr>
        <w:autoSpaceDE w:val="0"/>
        <w:autoSpaceDN w:val="0"/>
        <w:adjustRightInd w:val="0"/>
        <w:spacing w:after="0" w:line="360" w:lineRule="auto"/>
        <w:ind w:left="-142" w:firstLine="502"/>
        <w:jc w:val="both"/>
        <w:rPr>
          <w:rFonts w:ascii="Times New Roman" w:eastAsia="Times New Roman" w:hAnsi="Times New Roman"/>
          <w:color w:val="auto"/>
          <w:sz w:val="24"/>
          <w:szCs w:val="24"/>
          <w:lang w:val="bg-BG" w:eastAsia="bg-BG" w:bidi="my-MM"/>
        </w:rPr>
      </w:pPr>
      <w:r w:rsidRPr="00BD7BB1">
        <w:rPr>
          <w:rFonts w:ascii="Times New Roman" w:eastAsia="Times New Roman" w:hAnsi="Times New Roman"/>
          <w:color w:val="auto"/>
          <w:sz w:val="24"/>
          <w:szCs w:val="24"/>
          <w:lang w:val="bg-BG" w:eastAsia="bg-BG"/>
        </w:rPr>
        <w:lastRenderedPageBreak/>
        <w:t xml:space="preserve">Сключените договори и направените  инвестиции от предприятията в Югоизточен район по ОП „Конкурентоспособност“ са от съществено значение за подобряване на икономическата среда, внедряване на иновации и откриване на нови работни места. През 2014г. в ЮИР продължават да се изпълняват мерки  за </w:t>
      </w:r>
      <w:r w:rsidRPr="00BD7BB1">
        <w:rPr>
          <w:rFonts w:ascii="Times New Roman" w:eastAsia="Times New Roman" w:hAnsi="Times New Roman"/>
          <w:b/>
          <w:color w:val="auto"/>
          <w:sz w:val="24"/>
          <w:szCs w:val="24"/>
          <w:lang w:val="bg-BG" w:eastAsia="bg-BG"/>
        </w:rPr>
        <w:t xml:space="preserve">развитие на икономика, базирана на знанието и иновационните дейности, </w:t>
      </w:r>
      <w:r w:rsidRPr="00BD7BB1">
        <w:rPr>
          <w:rFonts w:ascii="Times New Roman" w:eastAsia="Times New Roman" w:hAnsi="Times New Roman"/>
          <w:color w:val="auto"/>
          <w:sz w:val="24"/>
          <w:szCs w:val="24"/>
          <w:lang w:val="bg-BG" w:eastAsia="bg-BG"/>
        </w:rPr>
        <w:t xml:space="preserve">повишаване на иновационния потенциал на съществуващите предприятия  и насърчаване на иновациите в икономиката. Подкрепа за изпълнението на приоритета осигурява Приоритетна ос 1 </w:t>
      </w:r>
      <w:r w:rsidRPr="00BD7BB1">
        <w:rPr>
          <w:rFonts w:ascii="Times New Roman" w:eastAsia="Times New Roman" w:hAnsi="Times New Roman"/>
          <w:bCs/>
          <w:i/>
          <w:color w:val="auto"/>
          <w:sz w:val="24"/>
          <w:szCs w:val="24"/>
          <w:lang w:val="ru-RU" w:eastAsia="bg-BG"/>
        </w:rPr>
        <w:t>„Развитие на икономика базирана на знанието и иновативни дейности</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Cs/>
          <w:i/>
          <w:color w:val="auto"/>
          <w:sz w:val="24"/>
          <w:szCs w:val="24"/>
          <w:lang w:val="ru-RU" w:eastAsia="bg-BG"/>
        </w:rPr>
        <w:t xml:space="preserve"> на </w:t>
      </w:r>
      <w:r w:rsidRPr="00BD7BB1">
        <w:rPr>
          <w:rFonts w:ascii="Times New Roman" w:eastAsia="Times New Roman" w:hAnsi="Times New Roman"/>
          <w:bCs/>
          <w:color w:val="auto"/>
          <w:sz w:val="24"/>
          <w:szCs w:val="24"/>
          <w:lang w:val="ru-RU" w:eastAsia="bg-BG"/>
        </w:rPr>
        <w:t>ОП „Развитие на конкурентоспособността на българската икономика” 2007-2013г.</w:t>
      </w:r>
      <w:r w:rsidRPr="00BD7BB1">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По данни на Управляващия орган на програмата са </w:t>
      </w:r>
      <w:r w:rsidRPr="00BD7BB1">
        <w:rPr>
          <w:rFonts w:ascii="Times New Roman" w:eastAsia="Times New Roman" w:hAnsi="Times New Roman"/>
          <w:bCs/>
          <w:color w:val="auto"/>
          <w:sz w:val="24"/>
          <w:szCs w:val="24"/>
          <w:lang w:val="ru-RU" w:eastAsia="bg-BG"/>
        </w:rPr>
        <w:t>сключени 38 бр. договори за безвъзмездна финансова помощ на територията на област Стара Загора, а за останалите области проектите са както следва: Бургас -9 бр.,</w:t>
      </w:r>
      <w:r w:rsidR="0005121F">
        <w:rPr>
          <w:rFonts w:ascii="Times New Roman" w:eastAsia="Times New Roman" w:hAnsi="Times New Roman"/>
          <w:bCs/>
          <w:color w:val="auto"/>
          <w:sz w:val="24"/>
          <w:szCs w:val="24"/>
          <w:lang w:val="ru-RU" w:eastAsia="bg-BG"/>
        </w:rPr>
        <w:t xml:space="preserve"> </w:t>
      </w:r>
      <w:r w:rsidRPr="00BD7BB1">
        <w:rPr>
          <w:rFonts w:ascii="Times New Roman" w:eastAsia="Times New Roman" w:hAnsi="Times New Roman"/>
          <w:bCs/>
          <w:color w:val="auto"/>
          <w:sz w:val="24"/>
          <w:szCs w:val="24"/>
          <w:lang w:val="ru-RU" w:eastAsia="bg-BG"/>
        </w:rPr>
        <w:t>Сливен- 4бр. и Ямбол-5 бр.</w:t>
      </w:r>
      <w:r w:rsidR="0005121F">
        <w:rPr>
          <w:rFonts w:ascii="Times New Roman" w:eastAsia="Times New Roman" w:hAnsi="Times New Roman"/>
          <w:bCs/>
          <w:color w:val="auto"/>
          <w:sz w:val="24"/>
          <w:szCs w:val="24"/>
          <w:lang w:val="ru-RU" w:eastAsia="bg-BG"/>
        </w:rPr>
        <w:t xml:space="preserve"> </w:t>
      </w:r>
      <w:r w:rsidRPr="00BD7BB1">
        <w:rPr>
          <w:rFonts w:ascii="Times New Roman" w:eastAsia="Times New Roman" w:hAnsi="Times New Roman"/>
          <w:bCs/>
          <w:color w:val="auto"/>
          <w:sz w:val="24"/>
          <w:szCs w:val="24"/>
          <w:lang w:val="ru-RU" w:eastAsia="bg-BG"/>
        </w:rPr>
        <w:t>Стойността на договорите е 55,699 млн.лв.</w:t>
      </w:r>
      <w:r w:rsidR="0005121F">
        <w:rPr>
          <w:rFonts w:ascii="Times New Roman" w:eastAsia="Times New Roman" w:hAnsi="Times New Roman"/>
          <w:bCs/>
          <w:color w:val="auto"/>
          <w:sz w:val="24"/>
          <w:szCs w:val="24"/>
          <w:lang w:val="ru-RU" w:eastAsia="bg-BG"/>
        </w:rPr>
        <w:t>,</w:t>
      </w:r>
      <w:r w:rsidRPr="00BD7BB1">
        <w:rPr>
          <w:rFonts w:ascii="Times New Roman" w:eastAsia="Times New Roman" w:hAnsi="Times New Roman"/>
          <w:bCs/>
          <w:color w:val="auto"/>
          <w:sz w:val="24"/>
          <w:szCs w:val="24"/>
          <w:lang w:val="ru-RU" w:eastAsia="bg-BG"/>
        </w:rPr>
        <w:t xml:space="preserve"> от която 27,844 млн.лв. са изплатени. Продължават да се изпълняват 32бр. бр. проекти, 18 бр. са приключени, а 6 бр. са прекратени.</w:t>
      </w:r>
    </w:p>
    <w:p w:rsidR="00F25110" w:rsidRPr="00BD7BB1" w:rsidRDefault="00F25110" w:rsidP="00F25110">
      <w:pPr>
        <w:spacing w:after="0" w:line="360" w:lineRule="auto"/>
        <w:ind w:firstLine="709"/>
        <w:jc w:val="both"/>
        <w:rPr>
          <w:rFonts w:ascii="Times New Roman" w:eastAsia="Times New Roman" w:hAnsi="Times New Roman"/>
          <w:iCs/>
          <w:color w:val="auto"/>
          <w:sz w:val="24"/>
          <w:szCs w:val="24"/>
          <w:lang w:val="bg-BG" w:eastAsia="bg-BG"/>
        </w:rPr>
      </w:pPr>
      <w:r w:rsidRPr="00BD7BB1">
        <w:rPr>
          <w:rFonts w:ascii="Times New Roman" w:eastAsia="Times New Roman" w:hAnsi="Times New Roman"/>
          <w:color w:val="auto"/>
          <w:sz w:val="24"/>
          <w:szCs w:val="24"/>
          <w:lang w:val="bg-BG" w:eastAsia="bg-BG"/>
        </w:rPr>
        <w:t xml:space="preserve">Само по Процедура </w:t>
      </w:r>
      <w:r w:rsidRPr="00BD7BB1">
        <w:rPr>
          <w:rFonts w:ascii="Times New Roman" w:eastAsia="Times New Roman" w:hAnsi="Times New Roman"/>
          <w:i/>
          <w:color w:val="auto"/>
          <w:sz w:val="24"/>
          <w:szCs w:val="24"/>
          <w:lang w:val="bg-BG" w:eastAsia="bg-BG"/>
        </w:rPr>
        <w:t>„</w:t>
      </w:r>
      <w:r w:rsidRPr="00BD7BB1">
        <w:rPr>
          <w:rFonts w:ascii="Times New Roman" w:eastAsia="Times New Roman" w:hAnsi="Times New Roman"/>
          <w:i/>
          <w:iCs/>
          <w:color w:val="auto"/>
          <w:sz w:val="24"/>
          <w:szCs w:val="24"/>
          <w:lang w:val="bg-BG" w:eastAsia="bg-BG"/>
        </w:rPr>
        <w:t>Подкрепа за научноизследователската и развойна дейност на българските предприятия“</w:t>
      </w:r>
      <w:r w:rsidRPr="00BD7BB1">
        <w:rPr>
          <w:rFonts w:ascii="Times New Roman" w:eastAsia="Times New Roman" w:hAnsi="Times New Roman"/>
          <w:iCs/>
          <w:color w:val="auto"/>
          <w:sz w:val="24"/>
          <w:szCs w:val="24"/>
          <w:lang w:val="bg-BG" w:eastAsia="bg-BG"/>
        </w:rPr>
        <w:t xml:space="preserve"> броят на  проектите в процес на изпълнение е  27</w:t>
      </w:r>
      <w:r w:rsidR="0005121F">
        <w:rPr>
          <w:rFonts w:ascii="Times New Roman" w:eastAsia="Times New Roman" w:hAnsi="Times New Roman"/>
          <w:iCs/>
          <w:color w:val="auto"/>
          <w:sz w:val="24"/>
          <w:szCs w:val="24"/>
          <w:lang w:val="bg-BG" w:eastAsia="bg-BG"/>
        </w:rPr>
        <w:t xml:space="preserve"> </w:t>
      </w:r>
      <w:r w:rsidRPr="00BD7BB1">
        <w:rPr>
          <w:rFonts w:ascii="Times New Roman" w:eastAsia="Times New Roman" w:hAnsi="Times New Roman"/>
          <w:iCs/>
          <w:color w:val="auto"/>
          <w:sz w:val="24"/>
          <w:szCs w:val="24"/>
          <w:lang w:val="bg-BG" w:eastAsia="bg-BG"/>
        </w:rPr>
        <w:t>бр.</w:t>
      </w:r>
      <w:r w:rsidRPr="00BD7BB1">
        <w:rPr>
          <w:rFonts w:ascii="Times New Roman" w:eastAsia="Times New Roman" w:hAnsi="Times New Roman"/>
          <w:color w:val="auto"/>
          <w:sz w:val="24"/>
          <w:szCs w:val="24"/>
          <w:lang w:val="bg-BG" w:eastAsia="bg-BG"/>
        </w:rPr>
        <w:t xml:space="preserve"> на стойност - </w:t>
      </w:r>
      <w:r w:rsidRPr="00BD7BB1">
        <w:rPr>
          <w:rFonts w:ascii="Times New Roman" w:eastAsia="Times New Roman" w:hAnsi="Times New Roman"/>
          <w:iCs/>
          <w:color w:val="auto"/>
          <w:sz w:val="24"/>
          <w:szCs w:val="24"/>
          <w:lang w:val="bg-BG" w:eastAsia="bg-BG"/>
        </w:rPr>
        <w:t>32 740 млн.лв.</w:t>
      </w:r>
    </w:p>
    <w:p w:rsidR="00F25110" w:rsidRPr="00BD7BB1" w:rsidRDefault="00F25110" w:rsidP="00F25110">
      <w:pPr>
        <w:spacing w:after="0" w:line="360" w:lineRule="auto"/>
        <w:ind w:firstLine="720"/>
        <w:contextualSpacing/>
        <w:jc w:val="both"/>
        <w:rPr>
          <w:rFonts w:ascii="Times New Roman" w:eastAsia="Times New Roman" w:hAnsi="Times New Roman"/>
          <w:b/>
          <w:color w:val="auto"/>
          <w:sz w:val="24"/>
          <w:szCs w:val="24"/>
          <w:u w:val="single"/>
          <w:lang w:eastAsia="bg-BG"/>
        </w:rPr>
      </w:pPr>
      <w:r w:rsidRPr="00BD7BB1">
        <w:rPr>
          <w:rFonts w:ascii="Times New Roman" w:eastAsia="Times New Roman" w:hAnsi="Times New Roman"/>
          <w:iCs/>
          <w:color w:val="auto"/>
          <w:sz w:val="24"/>
          <w:szCs w:val="24"/>
          <w:lang w:val="bg-BG" w:eastAsia="bg-BG"/>
        </w:rPr>
        <w:t>Целта на проектите се изразява в създаване на нова бизнес инфраструктура и модернизиране на съществуващата, в т.ч.внедряване в производството иновативни продукти и предоставяне на иновативни услуги. Като резултат от изпълнените проекти - увеличен брой на високо иновативните, пазарно-ориентирани предприятия в българската икономика.</w:t>
      </w:r>
    </w:p>
    <w:p w:rsidR="00F25110" w:rsidRPr="00BD7BB1" w:rsidRDefault="00F25110" w:rsidP="00F25110">
      <w:pPr>
        <w:spacing w:afterLines="200" w:after="480" w:line="360" w:lineRule="auto"/>
        <w:ind w:firstLine="708"/>
        <w:contextualSpacing/>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color w:val="auto"/>
          <w:sz w:val="24"/>
          <w:szCs w:val="24"/>
          <w:lang w:val="bg-BG" w:eastAsia="bg-BG"/>
        </w:rPr>
        <w:t xml:space="preserve">В подкрепа на Приоритет 1 са и проектите, свързани с </w:t>
      </w:r>
      <w:r w:rsidRPr="00BD7BB1">
        <w:rPr>
          <w:rFonts w:ascii="Times New Roman" w:eastAsia="Times New Roman" w:hAnsi="Times New Roman"/>
          <w:bCs/>
          <w:color w:val="auto"/>
          <w:sz w:val="24"/>
          <w:szCs w:val="24"/>
          <w:lang w:val="bg-BG" w:eastAsia="bg-BG"/>
        </w:rPr>
        <w:t xml:space="preserve">подобряване на енергийната ефективност и използване на потенциала на Югоизточен район за производство на енергия от ВЕИ. </w:t>
      </w:r>
    </w:p>
    <w:p w:rsidR="00F25110" w:rsidRPr="00BD7BB1" w:rsidRDefault="00F25110" w:rsidP="00F25110">
      <w:pPr>
        <w:spacing w:afterLines="200" w:after="480" w:line="360" w:lineRule="auto"/>
        <w:ind w:firstLine="708"/>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Голяма  част от  територията на Югоизточен район  по южната му граница попада в зона, където съществуват природни условия за  използване на слънчевата енергия за производство на ел. енергия. Област Сливен попада в район, характеризиращ се със сравнително висока средна продължителност на слънчевото греене. Слънчевото отопление е конкурентно в сравнение с нагряването на вода чрез електричество. </w:t>
      </w:r>
    </w:p>
    <w:p w:rsidR="00F25110" w:rsidRPr="00BD7BB1" w:rsidRDefault="00F25110" w:rsidP="00F25110">
      <w:pPr>
        <w:spacing w:afterLines="200" w:after="480" w:line="360" w:lineRule="auto"/>
        <w:ind w:firstLine="708"/>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lastRenderedPageBreak/>
        <w:t>Подкрепа за въвеждане на енергоспестяващи технологии и използването на възобновяеми енергийни източници се осигурява от следните Оперативни програми и фондове:</w:t>
      </w:r>
    </w:p>
    <w:p w:rsidR="008804A2" w:rsidRDefault="00F25110" w:rsidP="008804A2">
      <w:pPr>
        <w:pStyle w:val="ListParagraph"/>
        <w:numPr>
          <w:ilvl w:val="0"/>
          <w:numId w:val="62"/>
        </w:numPr>
        <w:spacing w:afterLines="200" w:after="480" w:line="360" w:lineRule="auto"/>
        <w:jc w:val="both"/>
        <w:rPr>
          <w:rFonts w:eastAsia="Calibri"/>
          <w:i/>
          <w:lang w:val="bg-BG"/>
        </w:rPr>
      </w:pPr>
      <w:r w:rsidRPr="008804A2">
        <w:rPr>
          <w:rFonts w:eastAsia="Calibri"/>
          <w:i/>
          <w:lang w:val="bg-BG"/>
        </w:rPr>
        <w:t>Оперативна програма „Развитие на конкурентоспособността на българската икономика 2007-2013”;</w:t>
      </w:r>
    </w:p>
    <w:p w:rsidR="008804A2" w:rsidRDefault="00F25110" w:rsidP="008804A2">
      <w:pPr>
        <w:pStyle w:val="ListParagraph"/>
        <w:numPr>
          <w:ilvl w:val="0"/>
          <w:numId w:val="62"/>
        </w:numPr>
        <w:spacing w:afterLines="200" w:after="480" w:line="360" w:lineRule="auto"/>
        <w:jc w:val="both"/>
        <w:rPr>
          <w:rFonts w:eastAsia="Calibri"/>
          <w:i/>
          <w:lang w:val="bg-BG"/>
        </w:rPr>
      </w:pPr>
      <w:r w:rsidRPr="008804A2">
        <w:rPr>
          <w:rFonts w:eastAsia="Calibri"/>
          <w:i/>
          <w:lang w:val="bg-BG"/>
        </w:rPr>
        <w:t>Оперативна програма „Регионално развитие 2007-2013”;</w:t>
      </w:r>
    </w:p>
    <w:p w:rsidR="008804A2" w:rsidRDefault="00F25110" w:rsidP="008804A2">
      <w:pPr>
        <w:pStyle w:val="ListParagraph"/>
        <w:numPr>
          <w:ilvl w:val="0"/>
          <w:numId w:val="62"/>
        </w:numPr>
        <w:spacing w:afterLines="200" w:after="480" w:line="360" w:lineRule="auto"/>
        <w:jc w:val="both"/>
        <w:rPr>
          <w:rFonts w:eastAsia="Calibri"/>
          <w:i/>
          <w:lang w:val="bg-BG"/>
        </w:rPr>
      </w:pPr>
      <w:r w:rsidRPr="008804A2">
        <w:rPr>
          <w:rFonts w:eastAsia="Calibri"/>
          <w:i/>
          <w:lang w:val="bg-BG"/>
        </w:rPr>
        <w:t xml:space="preserve">Програмата за развитие </w:t>
      </w:r>
      <w:r w:rsidR="008804A2">
        <w:rPr>
          <w:rFonts w:eastAsia="Calibri"/>
          <w:i/>
          <w:lang w:val="bg-BG"/>
        </w:rPr>
        <w:t>на селските райони 2007-2013г.</w:t>
      </w:r>
      <w:r w:rsidR="0005121F">
        <w:rPr>
          <w:rFonts w:eastAsia="Calibri"/>
          <w:i/>
          <w:lang w:val="bg-BG"/>
        </w:rPr>
        <w:t xml:space="preserve"> </w:t>
      </w:r>
      <w:r w:rsidRPr="008804A2">
        <w:rPr>
          <w:rFonts w:eastAsia="Calibri"/>
          <w:i/>
          <w:lang w:val="bg-BG"/>
        </w:rPr>
        <w:t>мерки-121,123,311,312,321</w:t>
      </w:r>
    </w:p>
    <w:p w:rsidR="008804A2" w:rsidRDefault="00F25110" w:rsidP="008804A2">
      <w:pPr>
        <w:pStyle w:val="ListParagraph"/>
        <w:numPr>
          <w:ilvl w:val="0"/>
          <w:numId w:val="62"/>
        </w:numPr>
        <w:spacing w:afterLines="200" w:after="480" w:line="360" w:lineRule="auto"/>
        <w:jc w:val="both"/>
        <w:rPr>
          <w:rFonts w:eastAsia="Calibri"/>
          <w:i/>
          <w:lang w:val="bg-BG"/>
        </w:rPr>
      </w:pPr>
      <w:r w:rsidRPr="008804A2">
        <w:rPr>
          <w:rFonts w:eastAsia="Calibri"/>
          <w:i/>
          <w:lang w:val="bg-BG"/>
        </w:rPr>
        <w:t>Кредитна линия за енергийна ефективност и възобновяема енергия;</w:t>
      </w:r>
    </w:p>
    <w:p w:rsidR="008804A2" w:rsidRDefault="00F25110" w:rsidP="008804A2">
      <w:pPr>
        <w:pStyle w:val="ListParagraph"/>
        <w:numPr>
          <w:ilvl w:val="0"/>
          <w:numId w:val="62"/>
        </w:numPr>
        <w:spacing w:afterLines="200" w:after="480" w:line="360" w:lineRule="auto"/>
        <w:jc w:val="both"/>
        <w:rPr>
          <w:rFonts w:eastAsia="Calibri"/>
          <w:i/>
          <w:lang w:val="bg-BG"/>
        </w:rPr>
      </w:pPr>
      <w:r w:rsidRPr="008804A2">
        <w:rPr>
          <w:rFonts w:eastAsia="Calibri"/>
          <w:i/>
          <w:lang w:val="bg-BG"/>
        </w:rPr>
        <w:t>Кредитна линия на ЕС/ЕБВР за енергийна ефективност в България;</w:t>
      </w:r>
    </w:p>
    <w:p w:rsidR="008804A2" w:rsidRDefault="00F25110" w:rsidP="008804A2">
      <w:pPr>
        <w:pStyle w:val="ListParagraph"/>
        <w:numPr>
          <w:ilvl w:val="0"/>
          <w:numId w:val="62"/>
        </w:numPr>
        <w:spacing w:afterLines="200" w:after="480" w:line="360" w:lineRule="auto"/>
        <w:jc w:val="both"/>
        <w:rPr>
          <w:rFonts w:eastAsia="Calibri"/>
          <w:i/>
          <w:lang w:val="bg-BG"/>
        </w:rPr>
      </w:pPr>
      <w:r w:rsidRPr="008804A2">
        <w:rPr>
          <w:rFonts w:eastAsia="Calibri"/>
          <w:i/>
          <w:lang w:val="bg-BG"/>
        </w:rPr>
        <w:t>Кредитна линия за енергийна ефективност в бита;</w:t>
      </w:r>
    </w:p>
    <w:p w:rsidR="008804A2" w:rsidRDefault="00F25110" w:rsidP="008804A2">
      <w:pPr>
        <w:pStyle w:val="ListParagraph"/>
        <w:numPr>
          <w:ilvl w:val="0"/>
          <w:numId w:val="62"/>
        </w:numPr>
        <w:spacing w:afterLines="200" w:after="480" w:line="360" w:lineRule="auto"/>
        <w:jc w:val="both"/>
        <w:rPr>
          <w:rFonts w:eastAsia="Calibri"/>
          <w:i/>
          <w:lang w:val="bg-BG"/>
        </w:rPr>
      </w:pPr>
      <w:r w:rsidRPr="008804A2">
        <w:rPr>
          <w:rFonts w:eastAsia="Calibri"/>
          <w:i/>
          <w:lang w:val="bg-BG"/>
        </w:rPr>
        <w:t xml:space="preserve">Фонд „Енергийна ефективност и възобновяеми източници“; </w:t>
      </w:r>
    </w:p>
    <w:p w:rsidR="008804A2" w:rsidRDefault="00F25110" w:rsidP="008804A2">
      <w:pPr>
        <w:pStyle w:val="ListParagraph"/>
        <w:numPr>
          <w:ilvl w:val="0"/>
          <w:numId w:val="62"/>
        </w:numPr>
        <w:spacing w:afterLines="200" w:after="480" w:line="360" w:lineRule="auto"/>
        <w:jc w:val="both"/>
        <w:rPr>
          <w:rFonts w:eastAsia="Calibri"/>
          <w:i/>
          <w:lang w:val="bg-BG"/>
        </w:rPr>
      </w:pPr>
      <w:r w:rsidRPr="008804A2">
        <w:rPr>
          <w:rFonts w:eastAsia="Calibri"/>
          <w:i/>
          <w:lang w:val="bg-BG"/>
        </w:rPr>
        <w:t xml:space="preserve">Национална схема за зелени инвестиции;  </w:t>
      </w:r>
    </w:p>
    <w:p w:rsidR="008804A2" w:rsidRDefault="00F25110" w:rsidP="008804A2">
      <w:pPr>
        <w:pStyle w:val="ListParagraph"/>
        <w:numPr>
          <w:ilvl w:val="0"/>
          <w:numId w:val="62"/>
        </w:numPr>
        <w:spacing w:afterLines="200" w:after="480" w:line="360" w:lineRule="auto"/>
        <w:jc w:val="both"/>
        <w:rPr>
          <w:rFonts w:eastAsia="Calibri"/>
          <w:i/>
          <w:lang w:val="bg-BG"/>
        </w:rPr>
      </w:pPr>
      <w:r w:rsidRPr="008804A2">
        <w:rPr>
          <w:rFonts w:eastAsia="Calibri"/>
          <w:i/>
          <w:lang w:val="bg-BG"/>
        </w:rPr>
        <w:t>Национален доверителен екофонд;</w:t>
      </w:r>
    </w:p>
    <w:p w:rsidR="008804A2" w:rsidRDefault="00F25110" w:rsidP="008804A2">
      <w:pPr>
        <w:pStyle w:val="ListParagraph"/>
        <w:numPr>
          <w:ilvl w:val="0"/>
          <w:numId w:val="62"/>
        </w:numPr>
        <w:spacing w:afterLines="200" w:after="480" w:line="360" w:lineRule="auto"/>
        <w:jc w:val="both"/>
        <w:rPr>
          <w:rFonts w:eastAsia="Calibri"/>
          <w:i/>
          <w:lang w:val="bg-BG"/>
        </w:rPr>
      </w:pPr>
      <w:r w:rsidRPr="008804A2">
        <w:rPr>
          <w:rFonts w:eastAsia="Calibri"/>
          <w:i/>
          <w:lang w:val="bg-BG"/>
        </w:rPr>
        <w:t>Международен фонд Козлодуй;</w:t>
      </w:r>
      <w:r w:rsidR="0005121F">
        <w:rPr>
          <w:rFonts w:eastAsia="Calibri"/>
          <w:i/>
          <w:lang w:val="bg-BG"/>
        </w:rPr>
        <w:t xml:space="preserve"> </w:t>
      </w:r>
      <w:r w:rsidRPr="008804A2">
        <w:rPr>
          <w:rFonts w:eastAsia="Calibri"/>
          <w:i/>
          <w:lang w:val="bg-BG"/>
        </w:rPr>
        <w:t>Предприятие за управление на дейностите по опазване на околната среда</w:t>
      </w:r>
      <w:r w:rsidR="008804A2">
        <w:rPr>
          <w:rFonts w:eastAsia="Calibri"/>
          <w:i/>
          <w:lang w:val="bg-BG"/>
        </w:rPr>
        <w:t>;</w:t>
      </w:r>
    </w:p>
    <w:p w:rsidR="00F25110" w:rsidRPr="008804A2" w:rsidRDefault="00F25110" w:rsidP="00F25110">
      <w:pPr>
        <w:pStyle w:val="ListParagraph"/>
        <w:numPr>
          <w:ilvl w:val="0"/>
          <w:numId w:val="62"/>
        </w:numPr>
        <w:spacing w:afterLines="200" w:after="480" w:line="360" w:lineRule="auto"/>
        <w:jc w:val="both"/>
        <w:rPr>
          <w:rFonts w:eastAsia="Calibri"/>
          <w:i/>
          <w:lang w:val="bg-BG"/>
        </w:rPr>
      </w:pPr>
      <w:r w:rsidRPr="008804A2">
        <w:rPr>
          <w:rFonts w:eastAsia="Calibri"/>
          <w:i/>
          <w:lang w:val="bg-BG"/>
        </w:rPr>
        <w:t>Финансовия механизъм на ЕИП за 2009-2014 (Програма: Енергийна ефективност и възобновяеми енергийни източници)</w:t>
      </w:r>
      <w:r w:rsidR="0005121F">
        <w:rPr>
          <w:rFonts w:eastAsia="Calibri"/>
          <w:i/>
          <w:lang w:val="bg-BG"/>
        </w:rPr>
        <w:t>.</w:t>
      </w:r>
      <w:r w:rsidRPr="008804A2">
        <w:rPr>
          <w:rFonts w:eastAsia="Calibri"/>
          <w:lang w:val="bg-BG"/>
        </w:rPr>
        <w:t xml:space="preserve"> Изпълняват се следните проекти по това направление:</w:t>
      </w:r>
    </w:p>
    <w:p w:rsidR="00F25110" w:rsidRPr="002E1F34" w:rsidRDefault="00F25110" w:rsidP="008804A2">
      <w:pPr>
        <w:pStyle w:val="ListParagraph"/>
        <w:numPr>
          <w:ilvl w:val="0"/>
          <w:numId w:val="63"/>
        </w:numPr>
        <w:spacing w:afterLines="200" w:after="480" w:line="360" w:lineRule="auto"/>
        <w:jc w:val="both"/>
        <w:rPr>
          <w:rFonts w:eastAsia="Calibri"/>
          <w:lang w:val="bg-BG"/>
        </w:rPr>
      </w:pPr>
      <w:r w:rsidRPr="002E1F34">
        <w:rPr>
          <w:lang w:val="bg-BG" w:eastAsia="bg-BG"/>
        </w:rPr>
        <w:t>„Интелигентна</w:t>
      </w:r>
      <w:r w:rsidR="0005121F">
        <w:rPr>
          <w:lang w:val="bg-BG" w:eastAsia="bg-BG"/>
        </w:rPr>
        <w:t xml:space="preserve"> </w:t>
      </w:r>
      <w:r w:rsidRPr="002E1F34">
        <w:rPr>
          <w:lang w:val="bg-BG" w:eastAsia="bg-BG"/>
        </w:rPr>
        <w:t xml:space="preserve"> Енергия – Европа“ Целенасочени действия за ефективно спестяване на енергия в домакинствата Научен парк – </w:t>
      </w:r>
      <w:r w:rsidRPr="002E1F34">
        <w:rPr>
          <w:lang w:eastAsia="bg-BG"/>
        </w:rPr>
        <w:t xml:space="preserve">AREA, </w:t>
      </w:r>
      <w:r w:rsidRPr="002E1F34">
        <w:rPr>
          <w:lang w:val="bg-BG" w:eastAsia="bg-BG"/>
        </w:rPr>
        <w:t>Триест, Италия - водещ партньор, община Бургас – партньор</w:t>
      </w:r>
      <w:r w:rsidR="0005121F">
        <w:rPr>
          <w:lang w:val="bg-BG" w:eastAsia="bg-BG"/>
        </w:rPr>
        <w:t>,</w:t>
      </w:r>
      <w:r w:rsidRPr="002E1F34">
        <w:rPr>
          <w:lang w:val="bg-BG" w:eastAsia="bg-BG"/>
        </w:rPr>
        <w:t xml:space="preserve"> в процес на изпълнение на стойност 62 515 евро.</w:t>
      </w:r>
    </w:p>
    <w:p w:rsidR="00F25110" w:rsidRPr="002E1F34" w:rsidRDefault="00F25110" w:rsidP="008804A2">
      <w:pPr>
        <w:pStyle w:val="ListParagraph"/>
        <w:numPr>
          <w:ilvl w:val="0"/>
          <w:numId w:val="63"/>
        </w:numPr>
        <w:spacing w:afterLines="200" w:after="480" w:line="360" w:lineRule="auto"/>
        <w:jc w:val="both"/>
        <w:rPr>
          <w:rFonts w:eastAsia="Calibri"/>
          <w:lang w:val="bg-BG"/>
        </w:rPr>
      </w:pPr>
      <w:r w:rsidRPr="002E1F34">
        <w:rPr>
          <w:lang w:val="bg-BG"/>
        </w:rPr>
        <w:t>„МБАЛ и Медицински център - I, гр. Карнобат”</w:t>
      </w:r>
      <w:r w:rsidRPr="002E1F34">
        <w:rPr>
          <w:lang w:val="bg-BG" w:eastAsia="bg-BG"/>
        </w:rPr>
        <w:t xml:space="preserve"> , Международен фонд Козлодуй</w:t>
      </w:r>
      <w:r w:rsidRPr="002E1F34">
        <w:rPr>
          <w:lang w:val="bg-BG"/>
        </w:rPr>
        <w:t xml:space="preserve"> в процес на изпълнение през 2014 г., на стойност- 354 162,99 евро.</w:t>
      </w:r>
    </w:p>
    <w:p w:rsidR="00F25110" w:rsidRPr="002E1F34" w:rsidRDefault="00F25110" w:rsidP="008804A2">
      <w:pPr>
        <w:pStyle w:val="ListParagraph"/>
        <w:numPr>
          <w:ilvl w:val="0"/>
          <w:numId w:val="63"/>
        </w:numPr>
        <w:spacing w:afterLines="200" w:after="480" w:line="360" w:lineRule="auto"/>
        <w:jc w:val="both"/>
        <w:rPr>
          <w:rFonts w:eastAsia="Calibri"/>
          <w:lang w:val="bg-BG"/>
        </w:rPr>
      </w:pPr>
      <w:r w:rsidRPr="002E1F34">
        <w:rPr>
          <w:lang w:val="bg-BG"/>
        </w:rPr>
        <w:t>„Осъществяване на мерки за енергийна ефективност на сграда на Общинска администрация град Раднево“</w:t>
      </w:r>
      <w:r w:rsidRPr="002E1F34">
        <w:rPr>
          <w:lang w:val="bg-BG" w:eastAsia="bg-BG"/>
        </w:rPr>
        <w:t xml:space="preserve"> Международен фонд Козлодуй</w:t>
      </w:r>
      <w:r w:rsidRPr="002E1F34">
        <w:rPr>
          <w:lang w:val="bg-BG"/>
        </w:rPr>
        <w:t xml:space="preserve"> в процес на изпълнение през 2014 г., на стойност- </w:t>
      </w:r>
      <w:r w:rsidRPr="002E1F34">
        <w:rPr>
          <w:lang w:val="bg-BG" w:eastAsia="bg-BG"/>
        </w:rPr>
        <w:t xml:space="preserve">605 661,66 лв. </w:t>
      </w:r>
    </w:p>
    <w:p w:rsidR="00F25110" w:rsidRPr="002E1F34" w:rsidRDefault="00F25110" w:rsidP="008804A2">
      <w:pPr>
        <w:pStyle w:val="ListParagraph"/>
        <w:numPr>
          <w:ilvl w:val="0"/>
          <w:numId w:val="63"/>
        </w:numPr>
        <w:spacing w:afterLines="200" w:after="480" w:line="360" w:lineRule="auto"/>
        <w:jc w:val="both"/>
        <w:rPr>
          <w:rFonts w:eastAsia="Calibri"/>
          <w:lang w:val="bg-BG"/>
        </w:rPr>
      </w:pPr>
      <w:r w:rsidRPr="002E1F34">
        <w:rPr>
          <w:lang w:val="bg-BG"/>
        </w:rPr>
        <w:lastRenderedPageBreak/>
        <w:t>„Енергийно-ефективна реконструкция на общинско улично осветление на територията на община Стара Загора”</w:t>
      </w:r>
      <w:r w:rsidRPr="002E1F34">
        <w:rPr>
          <w:lang w:val="bg-BG" w:eastAsia="bg-BG"/>
        </w:rPr>
        <w:t>, Международен фонд Козлодуй</w:t>
      </w:r>
      <w:r w:rsidRPr="002E1F34">
        <w:rPr>
          <w:lang w:val="bg-BG"/>
        </w:rPr>
        <w:t xml:space="preserve"> в процес на изпълнение през 2014 г., на стойност</w:t>
      </w:r>
      <w:r w:rsidR="0005121F">
        <w:rPr>
          <w:lang w:val="bg-BG"/>
        </w:rPr>
        <w:t xml:space="preserve"> </w:t>
      </w:r>
      <w:r w:rsidRPr="002E1F34">
        <w:rPr>
          <w:lang w:val="bg-BG"/>
        </w:rPr>
        <w:t>- 1 310 514 евро.</w:t>
      </w:r>
    </w:p>
    <w:p w:rsidR="00454603" w:rsidRDefault="00454603" w:rsidP="00F25110">
      <w:pPr>
        <w:spacing w:after="0" w:line="360" w:lineRule="auto"/>
        <w:jc w:val="both"/>
        <w:rPr>
          <w:rFonts w:ascii="Times New Roman" w:eastAsia="Times New Roman" w:hAnsi="Times New Roman"/>
          <w:b/>
          <w:i/>
          <w:color w:val="auto"/>
          <w:sz w:val="24"/>
          <w:szCs w:val="24"/>
          <w:lang w:val="bg-BG" w:eastAsia="bg-BG"/>
        </w:rPr>
      </w:pPr>
    </w:p>
    <w:p w:rsidR="00F25110" w:rsidRPr="00454603" w:rsidRDefault="00F25110" w:rsidP="00F25110">
      <w:pPr>
        <w:spacing w:after="0" w:line="360" w:lineRule="auto"/>
        <w:jc w:val="both"/>
        <w:rPr>
          <w:rFonts w:ascii="Times New Roman" w:eastAsia="Times New Roman" w:hAnsi="Times New Roman"/>
          <w:b/>
          <w:color w:val="9B2D1F" w:themeColor="accent2"/>
          <w:sz w:val="24"/>
          <w:szCs w:val="24"/>
          <w:lang w:val="bg-BG" w:eastAsia="bg-BG"/>
        </w:rPr>
      </w:pPr>
      <w:r w:rsidRPr="00454603">
        <w:rPr>
          <w:rFonts w:ascii="Times New Roman" w:eastAsia="Times New Roman" w:hAnsi="Times New Roman"/>
          <w:b/>
          <w:i/>
          <w:color w:val="9B2D1F" w:themeColor="accent2"/>
          <w:sz w:val="24"/>
          <w:szCs w:val="24"/>
          <w:lang w:val="bg-BG" w:eastAsia="bg-BG"/>
        </w:rPr>
        <w:t xml:space="preserve"> Приоритет 2.</w:t>
      </w:r>
      <w:r w:rsidRPr="00454603">
        <w:rPr>
          <w:rFonts w:ascii="Times New Roman" w:eastAsia="Times New Roman" w:hAnsi="Times New Roman"/>
          <w:b/>
          <w:color w:val="9B2D1F" w:themeColor="accent2"/>
          <w:sz w:val="24"/>
          <w:szCs w:val="24"/>
          <w:lang w:val="bg-BG" w:eastAsia="bg-BG"/>
        </w:rPr>
        <w:t xml:space="preserve"> Развитие на устойчиви форми на туризъм и на културните и творческите индустрии в Югоизточен район.</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Туризмът е приоритетен отрасъл за района. Неговият потенциал се доказва от приноса му към брутния вътрешен продукт, износа и валутните приходи, както и създаването на работни места. Югоизточен район заедно със Североизточен са определящи за туристическото развитие на България. Те се отличават с най-висок среден престой на посетителите, най-висока заетост, средни приходи от едно легло, като резултат на средното равнище на приходите от 1 нощувка.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Туризмът продължава да заема водещо място в икономиката на Югоизточния район на основата на благоприятните природни фактори, изградената туристическа база и инфраструктура и традиционния опит в предоставянето на сезонни туристически услуги.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За развитието на туризма в Югоизточен район са предвидени мерки, свързани със:</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Стимулиране развитието на специфични за района видове туризъм; Опазване и валоризация на недвижими, движими и нематериални културни ценности; Разработване и реализиране на регионален маркетинг и реклама на туристическите продукти; Развитие на културните и творческите индустрии в района.</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За измерване степента на изпълнение  на </w:t>
      </w:r>
      <w:r w:rsidRPr="00BD7BB1">
        <w:rPr>
          <w:rFonts w:ascii="Times New Roman" w:eastAsia="Times New Roman" w:hAnsi="Times New Roman"/>
          <w:b/>
          <w:color w:val="auto"/>
          <w:sz w:val="24"/>
          <w:szCs w:val="24"/>
          <w:lang w:val="bg-BG" w:eastAsia="bg-BG"/>
        </w:rPr>
        <w:t xml:space="preserve">приоритет 2 </w:t>
      </w:r>
      <w:r w:rsidRPr="00BD7BB1">
        <w:rPr>
          <w:rFonts w:ascii="Times New Roman" w:eastAsia="Times New Roman" w:hAnsi="Times New Roman"/>
          <w:color w:val="auto"/>
          <w:sz w:val="24"/>
          <w:szCs w:val="24"/>
          <w:lang w:val="bg-BG" w:eastAsia="bg-BG"/>
        </w:rPr>
        <w:t>към</w:t>
      </w:r>
      <w:r w:rsidRPr="00BD7BB1">
        <w:rPr>
          <w:rFonts w:ascii="Times New Roman" w:eastAsia="Times New Roman" w:hAnsi="Times New Roman"/>
          <w:b/>
          <w:color w:val="auto"/>
          <w:sz w:val="24"/>
          <w:szCs w:val="24"/>
          <w:lang w:val="bg-BG" w:eastAsia="bg-BG"/>
        </w:rPr>
        <w:t xml:space="preserve"> Стратегическа цел 1 </w:t>
      </w:r>
      <w:r w:rsidRPr="00BD7BB1">
        <w:rPr>
          <w:rFonts w:ascii="Times New Roman" w:eastAsia="Times New Roman" w:hAnsi="Times New Roman"/>
          <w:color w:val="auto"/>
          <w:sz w:val="24"/>
          <w:szCs w:val="24"/>
          <w:lang w:val="bg-BG" w:eastAsia="bg-BG"/>
        </w:rPr>
        <w:t xml:space="preserve">  е определен набор от  специфични индикатори за наблюдение:</w:t>
      </w:r>
    </w:p>
    <w:p w:rsidR="00F25110" w:rsidRPr="00715BD6" w:rsidRDefault="00F25110" w:rsidP="00715BD6">
      <w:pPr>
        <w:pStyle w:val="ListParagraph"/>
        <w:numPr>
          <w:ilvl w:val="0"/>
          <w:numId w:val="61"/>
        </w:numPr>
        <w:autoSpaceDE w:val="0"/>
        <w:autoSpaceDN w:val="0"/>
        <w:adjustRightInd w:val="0"/>
        <w:spacing w:line="360" w:lineRule="auto"/>
        <w:jc w:val="both"/>
        <w:rPr>
          <w:b/>
          <w:i/>
          <w:lang w:val="bg-BG" w:eastAsia="bg-BG"/>
        </w:rPr>
      </w:pPr>
      <w:r w:rsidRPr="00715BD6">
        <w:rPr>
          <w:rFonts w:eastAsia="Calibri"/>
          <w:b/>
          <w:i/>
          <w:lang w:val="bg-BG" w:eastAsia="bg-BG"/>
        </w:rPr>
        <w:t>Реализирани приходи от нощувки в средствата за подслон и местата за настаняване, в млн. лв.</w:t>
      </w:r>
    </w:p>
    <w:p w:rsidR="00715BD6" w:rsidRDefault="00F25110" w:rsidP="00715BD6">
      <w:pPr>
        <w:autoSpaceDE w:val="0"/>
        <w:autoSpaceDN w:val="0"/>
        <w:adjustRightInd w:val="0"/>
        <w:spacing w:after="0" w:line="360" w:lineRule="auto"/>
        <w:jc w:val="both"/>
        <w:rPr>
          <w:rFonts w:ascii="Times New Roman" w:eastAsia="Times New Roman" w:hAnsi="Times New Roman"/>
          <w:bCs/>
          <w:iCs/>
          <w:color w:val="auto"/>
          <w:sz w:val="24"/>
          <w:szCs w:val="24"/>
          <w:lang w:val="ru-RU" w:eastAsia="bg-BG"/>
        </w:rPr>
      </w:pPr>
      <w:r w:rsidRPr="00BD7BB1">
        <w:rPr>
          <w:rFonts w:ascii="Times New Roman" w:eastAsia="Times New Roman" w:hAnsi="Times New Roman"/>
          <w:color w:val="auto"/>
          <w:sz w:val="24"/>
          <w:szCs w:val="24"/>
          <w:lang w:val="bg-BG" w:eastAsia="bg-BG"/>
        </w:rPr>
        <w:t>Районът заема</w:t>
      </w:r>
      <w:r w:rsidRPr="00BD7BB1">
        <w:rPr>
          <w:rFonts w:ascii="Times New Roman" w:eastAsia="Times New Roman" w:hAnsi="Times New Roman"/>
          <w:bCs/>
          <w:iCs/>
          <w:color w:val="auto"/>
          <w:sz w:val="24"/>
          <w:szCs w:val="24"/>
          <w:lang w:val="bg-BG" w:eastAsia="bg-BG"/>
        </w:rPr>
        <w:t xml:space="preserve"> водещо място в страната сред районите от ниво 2,</w:t>
      </w:r>
      <w:r w:rsidRPr="00BD7BB1">
        <w:rPr>
          <w:rFonts w:ascii="Times New Roman" w:eastAsia="Times New Roman" w:hAnsi="Times New Roman"/>
          <w:b/>
          <w:bCs/>
          <w:i/>
          <w:iCs/>
          <w:color w:val="auto"/>
          <w:sz w:val="24"/>
          <w:szCs w:val="24"/>
          <w:lang w:val="bg-BG" w:eastAsia="bg-BG"/>
        </w:rPr>
        <w:t xml:space="preserve">  </w:t>
      </w:r>
      <w:r w:rsidRPr="00BD7BB1">
        <w:rPr>
          <w:rFonts w:ascii="Times New Roman" w:eastAsia="Times New Roman" w:hAnsi="Times New Roman"/>
          <w:bCs/>
          <w:iCs/>
          <w:color w:val="auto"/>
          <w:sz w:val="24"/>
          <w:szCs w:val="24"/>
          <w:lang w:val="bg-BG" w:eastAsia="bg-BG"/>
        </w:rPr>
        <w:t xml:space="preserve">с  приходи през 2014г. в размер на 368 565 576 лв., съставляващи 36,9 % от общите приходи  за страната. </w:t>
      </w:r>
      <w:r w:rsidRPr="00BD7BB1">
        <w:rPr>
          <w:rFonts w:ascii="Times New Roman" w:eastAsia="Times New Roman" w:hAnsi="Times New Roman"/>
          <w:bCs/>
          <w:iCs/>
          <w:color w:val="auto"/>
          <w:sz w:val="24"/>
          <w:szCs w:val="24"/>
          <w:lang w:val="ru-RU" w:eastAsia="bg-BG"/>
        </w:rPr>
        <w:t xml:space="preserve">( </w:t>
      </w:r>
      <w:r w:rsidRPr="00BD7BB1">
        <w:rPr>
          <w:rFonts w:ascii="Times New Roman" w:eastAsia="Times New Roman" w:hAnsi="Times New Roman"/>
          <w:bCs/>
          <w:iCs/>
          <w:color w:val="auto"/>
          <w:sz w:val="24"/>
          <w:szCs w:val="24"/>
          <w:lang w:val="bg-BG" w:eastAsia="bg-BG"/>
        </w:rPr>
        <w:t>998 344 818 лв.</w:t>
      </w:r>
      <w:r w:rsidR="00715BD6">
        <w:rPr>
          <w:rFonts w:ascii="Times New Roman" w:eastAsia="Times New Roman" w:hAnsi="Times New Roman"/>
          <w:bCs/>
          <w:iCs/>
          <w:color w:val="auto"/>
          <w:sz w:val="24"/>
          <w:szCs w:val="24"/>
          <w:lang w:val="ru-RU" w:eastAsia="bg-BG"/>
        </w:rPr>
        <w:t>).</w:t>
      </w:r>
    </w:p>
    <w:p w:rsidR="00F25110" w:rsidRPr="00715BD6" w:rsidRDefault="00F25110" w:rsidP="00715BD6">
      <w:pPr>
        <w:pStyle w:val="ListParagraph"/>
        <w:numPr>
          <w:ilvl w:val="0"/>
          <w:numId w:val="61"/>
        </w:numPr>
        <w:autoSpaceDE w:val="0"/>
        <w:autoSpaceDN w:val="0"/>
        <w:adjustRightInd w:val="0"/>
        <w:spacing w:line="360" w:lineRule="auto"/>
        <w:jc w:val="both"/>
        <w:rPr>
          <w:bCs/>
          <w:iCs/>
          <w:lang w:val="ru-RU" w:eastAsia="bg-BG"/>
        </w:rPr>
      </w:pPr>
      <w:r w:rsidRPr="00715BD6">
        <w:rPr>
          <w:rFonts w:eastAsia="Calibri"/>
          <w:b/>
          <w:i/>
          <w:lang w:val="bg-BG" w:eastAsia="bg-BG"/>
        </w:rPr>
        <w:t>Създадени/подобрени туристически атракции, в б</w:t>
      </w:r>
      <w:r w:rsidRPr="00715BD6">
        <w:rPr>
          <w:rFonts w:eastAsia="Calibri"/>
          <w:b/>
          <w:lang w:val="bg-BG" w:eastAsia="bg-BG"/>
        </w:rPr>
        <w:t>р</w:t>
      </w:r>
      <w:r w:rsidRPr="00715BD6">
        <w:rPr>
          <w:rFonts w:eastAsia="Calibri"/>
          <w:b/>
          <w:sz w:val="20"/>
          <w:lang w:val="bg-BG" w:eastAsia="bg-BG"/>
        </w:rPr>
        <w:t>.</w:t>
      </w:r>
    </w:p>
    <w:p w:rsidR="00715BD6" w:rsidRDefault="00F25110" w:rsidP="00715BD6">
      <w:pPr>
        <w:autoSpaceDE w:val="0"/>
        <w:autoSpaceDN w:val="0"/>
        <w:adjustRightInd w:val="0"/>
        <w:spacing w:line="360" w:lineRule="auto"/>
        <w:jc w:val="both"/>
        <w:rPr>
          <w:rFonts w:ascii="Times New Roman" w:eastAsia="Calibri" w:hAnsi="Times New Roman"/>
          <w:sz w:val="24"/>
          <w:szCs w:val="24"/>
          <w:lang w:val="bg-BG" w:eastAsia="bg-BG"/>
        </w:rPr>
      </w:pPr>
      <w:r w:rsidRPr="00715BD6">
        <w:rPr>
          <w:rFonts w:ascii="Times New Roman" w:eastAsia="Calibri" w:hAnsi="Times New Roman"/>
          <w:sz w:val="24"/>
          <w:szCs w:val="24"/>
          <w:lang w:val="bg-BG" w:eastAsia="bg-BG"/>
        </w:rPr>
        <w:t>По</w:t>
      </w:r>
      <w:r w:rsidRPr="00715BD6">
        <w:rPr>
          <w:rFonts w:eastAsia="Calibri"/>
          <w:sz w:val="24"/>
          <w:szCs w:val="24"/>
          <w:lang w:val="bg-BG" w:eastAsia="bg-BG"/>
        </w:rPr>
        <w:t xml:space="preserve"> </w:t>
      </w:r>
      <w:r w:rsidRPr="00715BD6">
        <w:rPr>
          <w:rFonts w:ascii="Times New Roman" w:eastAsia="Calibri" w:hAnsi="Times New Roman"/>
          <w:sz w:val="24"/>
          <w:szCs w:val="24"/>
          <w:lang w:val="bg-BG" w:eastAsia="bg-BG"/>
        </w:rPr>
        <w:t>подадена</w:t>
      </w:r>
      <w:r w:rsidRPr="00715BD6">
        <w:rPr>
          <w:rFonts w:eastAsia="Calibri"/>
          <w:sz w:val="24"/>
          <w:szCs w:val="24"/>
          <w:lang w:val="bg-BG" w:eastAsia="bg-BG"/>
        </w:rPr>
        <w:t xml:space="preserve"> </w:t>
      </w:r>
      <w:r w:rsidRPr="00715BD6">
        <w:rPr>
          <w:rFonts w:ascii="Times New Roman" w:eastAsia="Calibri" w:hAnsi="Times New Roman"/>
          <w:sz w:val="24"/>
          <w:szCs w:val="24"/>
          <w:lang w:val="bg-BG" w:eastAsia="bg-BG"/>
        </w:rPr>
        <w:t>информация</w:t>
      </w:r>
      <w:r w:rsidRPr="00715BD6">
        <w:rPr>
          <w:rFonts w:eastAsia="Calibri"/>
          <w:sz w:val="24"/>
          <w:szCs w:val="24"/>
          <w:lang w:val="bg-BG" w:eastAsia="bg-BG"/>
        </w:rPr>
        <w:t xml:space="preserve"> </w:t>
      </w:r>
      <w:r w:rsidRPr="00715BD6">
        <w:rPr>
          <w:rFonts w:ascii="Times New Roman" w:eastAsia="Calibri" w:hAnsi="Times New Roman"/>
          <w:sz w:val="24"/>
          <w:szCs w:val="24"/>
          <w:lang w:val="bg-BG" w:eastAsia="bg-BG"/>
        </w:rPr>
        <w:t>от</w:t>
      </w:r>
      <w:r w:rsidRPr="00715BD6">
        <w:rPr>
          <w:rFonts w:eastAsia="Calibri"/>
          <w:sz w:val="24"/>
          <w:szCs w:val="24"/>
          <w:lang w:val="bg-BG" w:eastAsia="bg-BG"/>
        </w:rPr>
        <w:t xml:space="preserve"> </w:t>
      </w:r>
      <w:r w:rsidRPr="00715BD6">
        <w:rPr>
          <w:rFonts w:ascii="Times New Roman" w:eastAsia="Calibri" w:hAnsi="Times New Roman"/>
          <w:sz w:val="24"/>
          <w:szCs w:val="24"/>
          <w:lang w:val="bg-BG" w:eastAsia="bg-BG"/>
        </w:rPr>
        <w:t>общините</w:t>
      </w:r>
      <w:r w:rsidRPr="00715BD6">
        <w:rPr>
          <w:rFonts w:eastAsia="Calibri"/>
          <w:sz w:val="24"/>
          <w:szCs w:val="24"/>
          <w:lang w:val="bg-BG" w:eastAsia="bg-BG"/>
        </w:rPr>
        <w:t xml:space="preserve"> </w:t>
      </w:r>
      <w:r w:rsidRPr="00715BD6">
        <w:rPr>
          <w:rFonts w:ascii="Times New Roman" w:eastAsia="Calibri" w:hAnsi="Times New Roman"/>
          <w:sz w:val="24"/>
          <w:szCs w:val="24"/>
          <w:lang w:val="bg-BG" w:eastAsia="bg-BG"/>
        </w:rPr>
        <w:t>в</w:t>
      </w:r>
      <w:r w:rsidRPr="00715BD6">
        <w:rPr>
          <w:rFonts w:eastAsia="Calibri"/>
          <w:sz w:val="24"/>
          <w:szCs w:val="24"/>
          <w:lang w:val="bg-BG" w:eastAsia="bg-BG"/>
        </w:rPr>
        <w:t xml:space="preserve"> </w:t>
      </w:r>
      <w:r w:rsidRPr="00715BD6">
        <w:rPr>
          <w:rFonts w:ascii="Times New Roman" w:eastAsia="Calibri" w:hAnsi="Times New Roman"/>
          <w:sz w:val="24"/>
          <w:szCs w:val="24"/>
          <w:lang w:val="bg-BG" w:eastAsia="bg-BG"/>
        </w:rPr>
        <w:t>ЮИР</w:t>
      </w:r>
      <w:r w:rsidRPr="00715BD6">
        <w:rPr>
          <w:rFonts w:eastAsia="Calibri"/>
          <w:sz w:val="24"/>
          <w:szCs w:val="24"/>
          <w:lang w:val="bg-BG" w:eastAsia="bg-BG"/>
        </w:rPr>
        <w:t xml:space="preserve"> </w:t>
      </w:r>
      <w:r w:rsidRPr="00715BD6">
        <w:rPr>
          <w:rFonts w:ascii="Times New Roman" w:eastAsia="Calibri" w:hAnsi="Times New Roman"/>
          <w:sz w:val="24"/>
          <w:szCs w:val="24"/>
          <w:lang w:val="bg-BG" w:eastAsia="bg-BG"/>
        </w:rPr>
        <w:t>създадените</w:t>
      </w:r>
      <w:r w:rsidRPr="00715BD6">
        <w:rPr>
          <w:rFonts w:eastAsia="Calibri"/>
          <w:sz w:val="24"/>
          <w:szCs w:val="24"/>
          <w:lang w:val="bg-BG" w:eastAsia="bg-BG"/>
        </w:rPr>
        <w:t>/</w:t>
      </w:r>
      <w:r w:rsidRPr="00715BD6">
        <w:rPr>
          <w:rFonts w:ascii="Times New Roman" w:eastAsia="Calibri" w:hAnsi="Times New Roman"/>
          <w:sz w:val="24"/>
          <w:szCs w:val="24"/>
          <w:lang w:val="bg-BG" w:eastAsia="bg-BG"/>
        </w:rPr>
        <w:t>подобрени</w:t>
      </w:r>
      <w:r w:rsidRPr="00715BD6">
        <w:rPr>
          <w:rFonts w:eastAsia="Calibri"/>
          <w:sz w:val="24"/>
          <w:szCs w:val="24"/>
          <w:lang w:val="bg-BG" w:eastAsia="bg-BG"/>
        </w:rPr>
        <w:t xml:space="preserve"> </w:t>
      </w:r>
      <w:r w:rsidRPr="00715BD6">
        <w:rPr>
          <w:rFonts w:ascii="Times New Roman" w:eastAsia="Calibri" w:hAnsi="Times New Roman"/>
          <w:sz w:val="24"/>
          <w:szCs w:val="24"/>
          <w:lang w:val="bg-BG" w:eastAsia="bg-BG"/>
        </w:rPr>
        <w:t>туристически</w:t>
      </w:r>
      <w:r w:rsidRPr="00715BD6">
        <w:rPr>
          <w:rFonts w:eastAsia="Calibri"/>
          <w:sz w:val="24"/>
          <w:szCs w:val="24"/>
          <w:lang w:val="bg-BG" w:eastAsia="bg-BG"/>
        </w:rPr>
        <w:t xml:space="preserve"> </w:t>
      </w:r>
      <w:r w:rsidRPr="00715BD6">
        <w:rPr>
          <w:rFonts w:ascii="Times New Roman" w:eastAsia="Calibri" w:hAnsi="Times New Roman"/>
          <w:sz w:val="24"/>
          <w:szCs w:val="24"/>
          <w:lang w:val="bg-BG" w:eastAsia="bg-BG"/>
        </w:rPr>
        <w:t>атракции</w:t>
      </w:r>
      <w:r w:rsidRPr="00715BD6">
        <w:rPr>
          <w:rFonts w:eastAsia="Calibri"/>
          <w:sz w:val="24"/>
          <w:szCs w:val="24"/>
          <w:lang w:val="bg-BG" w:eastAsia="bg-BG"/>
        </w:rPr>
        <w:t xml:space="preserve"> </w:t>
      </w:r>
      <w:r w:rsidRPr="00715BD6">
        <w:rPr>
          <w:rFonts w:ascii="Times New Roman" w:eastAsia="Calibri" w:hAnsi="Times New Roman"/>
          <w:sz w:val="24"/>
          <w:szCs w:val="24"/>
          <w:lang w:val="bg-BG" w:eastAsia="bg-BG"/>
        </w:rPr>
        <w:t>са</w:t>
      </w:r>
      <w:r w:rsidRPr="00715BD6">
        <w:rPr>
          <w:rFonts w:eastAsia="Calibri"/>
          <w:sz w:val="24"/>
          <w:szCs w:val="24"/>
          <w:lang w:val="bg-BG" w:eastAsia="bg-BG"/>
        </w:rPr>
        <w:t xml:space="preserve"> </w:t>
      </w:r>
      <w:r w:rsidRPr="00715BD6">
        <w:rPr>
          <w:rFonts w:ascii="Times New Roman" w:eastAsia="Calibri" w:hAnsi="Times New Roman"/>
          <w:sz w:val="24"/>
          <w:szCs w:val="24"/>
          <w:lang w:val="bg-BG" w:eastAsia="bg-BG"/>
        </w:rPr>
        <w:t>както</w:t>
      </w:r>
      <w:r w:rsidRPr="00715BD6">
        <w:rPr>
          <w:rFonts w:eastAsia="Calibri"/>
          <w:sz w:val="24"/>
          <w:szCs w:val="24"/>
          <w:lang w:val="bg-BG" w:eastAsia="bg-BG"/>
        </w:rPr>
        <w:t xml:space="preserve"> </w:t>
      </w:r>
      <w:r w:rsidRPr="00715BD6">
        <w:rPr>
          <w:rFonts w:ascii="Times New Roman" w:eastAsia="Calibri" w:hAnsi="Times New Roman"/>
          <w:sz w:val="24"/>
          <w:szCs w:val="24"/>
          <w:lang w:val="bg-BG" w:eastAsia="bg-BG"/>
        </w:rPr>
        <w:t>следва</w:t>
      </w:r>
      <w:r w:rsidRPr="00715BD6">
        <w:rPr>
          <w:rFonts w:eastAsia="Calibri"/>
          <w:sz w:val="24"/>
          <w:szCs w:val="24"/>
          <w:lang w:val="bg-BG" w:eastAsia="bg-BG"/>
        </w:rPr>
        <w:t xml:space="preserve"> :  </w:t>
      </w:r>
      <w:r w:rsidRPr="00715BD6">
        <w:rPr>
          <w:rFonts w:ascii="Times New Roman" w:eastAsia="Calibri" w:hAnsi="Times New Roman"/>
          <w:sz w:val="24"/>
          <w:szCs w:val="24"/>
          <w:lang w:val="bg-BG" w:eastAsia="bg-BG"/>
        </w:rPr>
        <w:t xml:space="preserve">община </w:t>
      </w:r>
      <w:r w:rsidRPr="00715BD6">
        <w:rPr>
          <w:rFonts w:ascii="Times New Roman" w:eastAsia="Calibri" w:hAnsi="Times New Roman"/>
          <w:b/>
          <w:sz w:val="24"/>
          <w:szCs w:val="24"/>
          <w:lang w:val="bg-BG" w:eastAsia="bg-BG"/>
        </w:rPr>
        <w:t>Бургас</w:t>
      </w:r>
      <w:r w:rsidRPr="00715BD6">
        <w:rPr>
          <w:rFonts w:ascii="Times New Roman" w:eastAsia="Calibri" w:hAnsi="Times New Roman"/>
          <w:sz w:val="24"/>
          <w:szCs w:val="24"/>
          <w:lang w:val="bg-BG" w:eastAsia="bg-BG"/>
        </w:rPr>
        <w:t xml:space="preserve">- 1бр., </w:t>
      </w:r>
      <w:r w:rsidRPr="00715BD6">
        <w:rPr>
          <w:rFonts w:ascii="Times New Roman" w:eastAsia="Calibri" w:hAnsi="Times New Roman"/>
          <w:b/>
          <w:sz w:val="24"/>
          <w:szCs w:val="24"/>
          <w:lang w:val="bg-BG" w:eastAsia="bg-BG"/>
        </w:rPr>
        <w:t>област Бургас</w:t>
      </w:r>
      <w:r w:rsidRPr="00715BD6">
        <w:rPr>
          <w:rFonts w:ascii="Times New Roman" w:eastAsia="Calibri" w:hAnsi="Times New Roman"/>
          <w:sz w:val="24"/>
          <w:szCs w:val="24"/>
          <w:lang w:val="bg-BG" w:eastAsia="bg-BG"/>
        </w:rPr>
        <w:t xml:space="preserve"> -1 бр. </w:t>
      </w:r>
      <w:r w:rsidRPr="00715BD6">
        <w:rPr>
          <w:rFonts w:ascii="Times New Roman" w:eastAsia="Calibri" w:hAnsi="Times New Roman"/>
          <w:b/>
          <w:sz w:val="24"/>
          <w:szCs w:val="24"/>
          <w:lang w:val="bg-BG" w:eastAsia="bg-BG"/>
        </w:rPr>
        <w:t>Елхово</w:t>
      </w:r>
      <w:r w:rsidRPr="00715BD6">
        <w:rPr>
          <w:rFonts w:ascii="Times New Roman" w:eastAsia="Calibri" w:hAnsi="Times New Roman"/>
          <w:sz w:val="24"/>
          <w:szCs w:val="24"/>
          <w:lang w:val="bg-BG" w:eastAsia="bg-BG"/>
        </w:rPr>
        <w:t xml:space="preserve">- 2 бр., </w:t>
      </w:r>
      <w:r w:rsidRPr="00715BD6">
        <w:rPr>
          <w:rFonts w:ascii="Times New Roman" w:eastAsia="Calibri" w:hAnsi="Times New Roman"/>
          <w:b/>
          <w:sz w:val="24"/>
          <w:szCs w:val="24"/>
          <w:lang w:val="bg-BG" w:eastAsia="bg-BG"/>
        </w:rPr>
        <w:lastRenderedPageBreak/>
        <w:t xml:space="preserve">Карнобат </w:t>
      </w:r>
      <w:r w:rsidRPr="00715BD6">
        <w:rPr>
          <w:rFonts w:ascii="Times New Roman" w:eastAsia="Calibri" w:hAnsi="Times New Roman"/>
          <w:sz w:val="24"/>
          <w:szCs w:val="24"/>
          <w:lang w:val="bg-BG" w:eastAsia="bg-BG"/>
        </w:rPr>
        <w:t xml:space="preserve">-1бр., </w:t>
      </w:r>
      <w:r w:rsidRPr="00715BD6">
        <w:rPr>
          <w:rFonts w:ascii="Times New Roman" w:eastAsia="Calibri" w:hAnsi="Times New Roman"/>
          <w:b/>
          <w:sz w:val="24"/>
          <w:szCs w:val="24"/>
          <w:lang w:val="bg-BG" w:eastAsia="bg-BG"/>
        </w:rPr>
        <w:t>Поморие</w:t>
      </w:r>
      <w:r w:rsidRPr="00715BD6">
        <w:rPr>
          <w:rFonts w:ascii="Times New Roman" w:eastAsia="Calibri" w:hAnsi="Times New Roman"/>
          <w:sz w:val="24"/>
          <w:szCs w:val="24"/>
          <w:lang w:val="bg-BG" w:eastAsia="bg-BG"/>
        </w:rPr>
        <w:t xml:space="preserve">-1 бр., </w:t>
      </w:r>
      <w:r w:rsidRPr="00715BD6">
        <w:rPr>
          <w:rFonts w:ascii="Times New Roman" w:eastAsia="Calibri" w:hAnsi="Times New Roman"/>
          <w:b/>
          <w:sz w:val="24"/>
          <w:szCs w:val="24"/>
          <w:lang w:val="bg-BG" w:eastAsia="bg-BG"/>
        </w:rPr>
        <w:t>Ямбол</w:t>
      </w:r>
      <w:r w:rsidRPr="00715BD6">
        <w:rPr>
          <w:rFonts w:ascii="Times New Roman" w:eastAsia="Calibri" w:hAnsi="Times New Roman"/>
          <w:sz w:val="24"/>
          <w:szCs w:val="24"/>
          <w:lang w:val="bg-BG" w:eastAsia="bg-BG"/>
        </w:rPr>
        <w:t xml:space="preserve">- 2бр., </w:t>
      </w:r>
      <w:r w:rsidRPr="00715BD6">
        <w:rPr>
          <w:rFonts w:ascii="Times New Roman" w:eastAsia="Calibri" w:hAnsi="Times New Roman"/>
          <w:b/>
          <w:sz w:val="24"/>
          <w:szCs w:val="24"/>
          <w:lang w:val="bg-BG" w:eastAsia="bg-BG"/>
        </w:rPr>
        <w:t>Казанлък</w:t>
      </w:r>
      <w:r w:rsidRPr="00715BD6">
        <w:rPr>
          <w:rFonts w:ascii="Times New Roman" w:eastAsia="Calibri" w:hAnsi="Times New Roman"/>
          <w:sz w:val="24"/>
          <w:szCs w:val="24"/>
          <w:lang w:val="bg-BG" w:eastAsia="bg-BG"/>
        </w:rPr>
        <w:t xml:space="preserve"> -41 бр., </w:t>
      </w:r>
      <w:r w:rsidRPr="00715BD6">
        <w:rPr>
          <w:rFonts w:ascii="Times New Roman" w:eastAsia="Calibri" w:hAnsi="Times New Roman"/>
          <w:b/>
          <w:sz w:val="24"/>
          <w:szCs w:val="24"/>
          <w:lang w:val="bg-BG" w:eastAsia="bg-BG"/>
        </w:rPr>
        <w:t>Гурково</w:t>
      </w:r>
      <w:r w:rsidRPr="00715BD6">
        <w:rPr>
          <w:rFonts w:ascii="Times New Roman" w:eastAsia="Calibri" w:hAnsi="Times New Roman"/>
          <w:sz w:val="24"/>
          <w:szCs w:val="24"/>
          <w:lang w:val="bg-BG" w:eastAsia="bg-BG"/>
        </w:rPr>
        <w:t xml:space="preserve"> -1бр.,Несебър -2 бр.,</w:t>
      </w:r>
      <w:r w:rsidR="00BA6B71">
        <w:rPr>
          <w:rFonts w:ascii="Times New Roman" w:eastAsia="Calibri" w:hAnsi="Times New Roman"/>
          <w:sz w:val="24"/>
          <w:szCs w:val="24"/>
          <w:lang w:val="bg-BG" w:eastAsia="bg-BG"/>
        </w:rPr>
        <w:t xml:space="preserve"> </w:t>
      </w:r>
      <w:r w:rsidRPr="00715BD6">
        <w:rPr>
          <w:rFonts w:ascii="Times New Roman" w:eastAsia="Calibri" w:hAnsi="Times New Roman"/>
          <w:b/>
          <w:sz w:val="24"/>
          <w:szCs w:val="24"/>
          <w:lang w:val="bg-BG" w:eastAsia="bg-BG"/>
        </w:rPr>
        <w:t xml:space="preserve">Стралджа </w:t>
      </w:r>
      <w:r w:rsidRPr="00715BD6">
        <w:rPr>
          <w:rFonts w:ascii="Times New Roman" w:eastAsia="Calibri" w:hAnsi="Times New Roman"/>
          <w:sz w:val="24"/>
          <w:szCs w:val="24"/>
          <w:lang w:val="bg-BG" w:eastAsia="bg-BG"/>
        </w:rPr>
        <w:t xml:space="preserve">-1 бр., </w:t>
      </w:r>
      <w:r w:rsidRPr="00715BD6">
        <w:rPr>
          <w:rFonts w:ascii="Times New Roman" w:eastAsia="Calibri" w:hAnsi="Times New Roman"/>
          <w:b/>
          <w:sz w:val="24"/>
          <w:szCs w:val="24"/>
          <w:lang w:val="bg-BG" w:eastAsia="bg-BG"/>
        </w:rPr>
        <w:t>Павел баня</w:t>
      </w:r>
      <w:r w:rsidRPr="00715BD6">
        <w:rPr>
          <w:rFonts w:ascii="Times New Roman" w:eastAsia="Calibri" w:hAnsi="Times New Roman"/>
          <w:sz w:val="24"/>
          <w:szCs w:val="24"/>
          <w:lang w:val="bg-BG" w:eastAsia="bg-BG"/>
        </w:rPr>
        <w:t>- 3бр.,</w:t>
      </w:r>
      <w:r w:rsidRPr="00715BD6">
        <w:rPr>
          <w:rFonts w:ascii="Times New Roman" w:eastAsia="Calibri" w:hAnsi="Times New Roman"/>
          <w:b/>
          <w:sz w:val="24"/>
          <w:szCs w:val="24"/>
          <w:lang w:val="bg-BG" w:eastAsia="bg-BG"/>
        </w:rPr>
        <w:t>Руен</w:t>
      </w:r>
      <w:r w:rsidRPr="00715BD6">
        <w:rPr>
          <w:rFonts w:ascii="Times New Roman" w:eastAsia="Calibri" w:hAnsi="Times New Roman"/>
          <w:sz w:val="24"/>
          <w:szCs w:val="24"/>
          <w:lang w:val="bg-BG" w:eastAsia="bg-BG"/>
        </w:rPr>
        <w:t xml:space="preserve"> - 1 бр.,</w:t>
      </w:r>
      <w:r w:rsidRPr="00715BD6">
        <w:rPr>
          <w:rFonts w:ascii="Times New Roman" w:eastAsia="Calibri" w:hAnsi="Times New Roman"/>
          <w:b/>
          <w:sz w:val="24"/>
          <w:szCs w:val="24"/>
          <w:lang w:val="bg-BG" w:eastAsia="bg-BG"/>
        </w:rPr>
        <w:t>Созопол</w:t>
      </w:r>
      <w:r w:rsidRPr="00715BD6">
        <w:rPr>
          <w:rFonts w:ascii="Times New Roman" w:eastAsia="Calibri" w:hAnsi="Times New Roman"/>
          <w:sz w:val="24"/>
          <w:szCs w:val="24"/>
          <w:lang w:val="bg-BG" w:eastAsia="bg-BG"/>
        </w:rPr>
        <w:t xml:space="preserve"> - 4 бр.,</w:t>
      </w:r>
      <w:r w:rsidRPr="00715BD6">
        <w:rPr>
          <w:rFonts w:ascii="Times New Roman" w:eastAsia="Calibri" w:hAnsi="Times New Roman"/>
          <w:b/>
          <w:sz w:val="24"/>
          <w:szCs w:val="24"/>
          <w:lang w:val="bg-BG" w:eastAsia="bg-BG"/>
        </w:rPr>
        <w:t>Стара Загора</w:t>
      </w:r>
      <w:r w:rsidRPr="00715BD6">
        <w:rPr>
          <w:rFonts w:ascii="Times New Roman" w:eastAsia="Calibri" w:hAnsi="Times New Roman"/>
          <w:sz w:val="24"/>
          <w:szCs w:val="24"/>
          <w:lang w:val="bg-BG" w:eastAsia="bg-BG"/>
        </w:rPr>
        <w:t xml:space="preserve"> -1 бр.,</w:t>
      </w:r>
      <w:r w:rsidR="00BA6B71">
        <w:rPr>
          <w:rFonts w:ascii="Times New Roman" w:eastAsia="Calibri" w:hAnsi="Times New Roman"/>
          <w:sz w:val="24"/>
          <w:szCs w:val="24"/>
          <w:lang w:val="bg-BG" w:eastAsia="bg-BG"/>
        </w:rPr>
        <w:t xml:space="preserve"> </w:t>
      </w:r>
      <w:r w:rsidRPr="00715BD6">
        <w:rPr>
          <w:rFonts w:ascii="Times New Roman" w:eastAsia="Calibri" w:hAnsi="Times New Roman"/>
          <w:b/>
          <w:sz w:val="24"/>
          <w:szCs w:val="24"/>
          <w:lang w:val="bg-BG" w:eastAsia="bg-BG"/>
        </w:rPr>
        <w:t>Твърдица</w:t>
      </w:r>
      <w:r w:rsidRPr="00715BD6">
        <w:rPr>
          <w:rFonts w:ascii="Times New Roman" w:eastAsia="Calibri" w:hAnsi="Times New Roman"/>
          <w:sz w:val="24"/>
          <w:szCs w:val="24"/>
          <w:lang w:val="bg-BG" w:eastAsia="bg-BG"/>
        </w:rPr>
        <w:t xml:space="preserve">- 8 бр., </w:t>
      </w:r>
      <w:r w:rsidRPr="00715BD6">
        <w:rPr>
          <w:rFonts w:ascii="Times New Roman" w:eastAsia="Calibri" w:hAnsi="Times New Roman"/>
          <w:b/>
          <w:sz w:val="24"/>
          <w:szCs w:val="24"/>
          <w:lang w:val="bg-BG" w:eastAsia="bg-BG"/>
        </w:rPr>
        <w:t>Царево</w:t>
      </w:r>
      <w:r w:rsidR="00715BD6" w:rsidRPr="00715BD6">
        <w:rPr>
          <w:rFonts w:ascii="Times New Roman" w:eastAsia="Calibri" w:hAnsi="Times New Roman"/>
          <w:sz w:val="24"/>
          <w:szCs w:val="24"/>
          <w:lang w:val="bg-BG" w:eastAsia="bg-BG"/>
        </w:rPr>
        <w:t xml:space="preserve"> -2 бр.</w:t>
      </w:r>
    </w:p>
    <w:p w:rsidR="00F25110" w:rsidRPr="00715BD6" w:rsidRDefault="00F25110" w:rsidP="00715BD6">
      <w:pPr>
        <w:pStyle w:val="ListParagraph"/>
        <w:numPr>
          <w:ilvl w:val="0"/>
          <w:numId w:val="61"/>
        </w:numPr>
        <w:autoSpaceDE w:val="0"/>
        <w:autoSpaceDN w:val="0"/>
        <w:adjustRightInd w:val="0"/>
        <w:spacing w:line="360" w:lineRule="auto"/>
        <w:jc w:val="both"/>
        <w:rPr>
          <w:rFonts w:eastAsia="Calibri"/>
          <w:color w:val="000000" w:themeColor="text1"/>
          <w:lang w:val="bg-BG" w:eastAsia="bg-BG"/>
        </w:rPr>
      </w:pPr>
      <w:r w:rsidRPr="00715BD6">
        <w:rPr>
          <w:rFonts w:eastAsia="Calibri"/>
          <w:b/>
          <w:i/>
          <w:lang w:val="bg-BG" w:eastAsia="bg-BG"/>
        </w:rPr>
        <w:t>Създадени туристически дестинации на база културно-историческо наследство,</w:t>
      </w:r>
      <w:r w:rsidR="00BA6B71">
        <w:rPr>
          <w:rFonts w:eastAsia="Calibri"/>
          <w:b/>
          <w:i/>
          <w:lang w:val="bg-BG" w:eastAsia="bg-BG"/>
        </w:rPr>
        <w:t xml:space="preserve"> </w:t>
      </w:r>
      <w:r w:rsidRPr="00715BD6">
        <w:rPr>
          <w:rFonts w:eastAsia="Calibri"/>
          <w:b/>
          <w:i/>
          <w:lang w:val="bg-BG" w:eastAsia="bg-BG"/>
        </w:rPr>
        <w:t>в бр.</w:t>
      </w:r>
    </w:p>
    <w:p w:rsidR="00F25110" w:rsidRPr="00BD7BB1" w:rsidRDefault="00F25110" w:rsidP="00715BD6">
      <w:pPr>
        <w:spacing w:after="120" w:line="360" w:lineRule="auto"/>
        <w:ind w:firstLine="360"/>
        <w:jc w:val="both"/>
        <w:rPr>
          <w:rFonts w:ascii="Times New Roman" w:eastAsia="Calibri" w:hAnsi="Times New Roman"/>
          <w:color w:val="auto"/>
          <w:sz w:val="24"/>
          <w:szCs w:val="24"/>
          <w:lang w:val="bg-BG" w:eastAsia="bg-BG"/>
        </w:rPr>
      </w:pPr>
      <w:r w:rsidRPr="00BD7BB1">
        <w:rPr>
          <w:rFonts w:ascii="Times New Roman" w:eastAsia="Calibri" w:hAnsi="Times New Roman"/>
          <w:color w:val="auto"/>
          <w:sz w:val="24"/>
          <w:szCs w:val="24"/>
          <w:lang w:val="bg-BG" w:eastAsia="bg-BG"/>
        </w:rPr>
        <w:t xml:space="preserve">По подадена информация от общините в  ЮИР създадените туристически дестинации на база културно-историческо наследство са както следва: </w:t>
      </w:r>
      <w:r w:rsidRPr="00BD7BB1">
        <w:rPr>
          <w:rFonts w:ascii="Times New Roman" w:eastAsia="Calibri" w:hAnsi="Times New Roman"/>
          <w:b/>
          <w:color w:val="auto"/>
          <w:sz w:val="24"/>
          <w:szCs w:val="24"/>
          <w:lang w:val="bg-BG" w:eastAsia="bg-BG"/>
        </w:rPr>
        <w:t>Айтос</w:t>
      </w:r>
      <w:r w:rsidR="00BA6B71">
        <w:rPr>
          <w:rFonts w:ascii="Times New Roman" w:eastAsia="Calibri" w:hAnsi="Times New Roman"/>
          <w:b/>
          <w:color w:val="auto"/>
          <w:sz w:val="24"/>
          <w:szCs w:val="24"/>
          <w:lang w:val="bg-BG" w:eastAsia="bg-BG"/>
        </w:rPr>
        <w:t xml:space="preserve"> </w:t>
      </w:r>
      <w:r w:rsidRPr="00BD7BB1">
        <w:rPr>
          <w:rFonts w:ascii="Times New Roman" w:eastAsia="Calibri" w:hAnsi="Times New Roman"/>
          <w:color w:val="auto"/>
          <w:sz w:val="24"/>
          <w:szCs w:val="24"/>
          <w:lang w:val="bg-BG" w:eastAsia="bg-BG"/>
        </w:rPr>
        <w:t xml:space="preserve">- 7 бр. туристически пакета, </w:t>
      </w:r>
      <w:r w:rsidRPr="00BD7BB1">
        <w:rPr>
          <w:rFonts w:ascii="Times New Roman" w:eastAsia="Calibri" w:hAnsi="Times New Roman"/>
          <w:b/>
          <w:color w:val="auto"/>
          <w:sz w:val="24"/>
          <w:szCs w:val="24"/>
          <w:lang w:val="bg-BG" w:eastAsia="bg-BG"/>
        </w:rPr>
        <w:t xml:space="preserve">Камено </w:t>
      </w:r>
      <w:r w:rsidRPr="00BD7BB1">
        <w:rPr>
          <w:rFonts w:ascii="Times New Roman" w:eastAsia="Calibri" w:hAnsi="Times New Roman"/>
          <w:color w:val="auto"/>
          <w:sz w:val="24"/>
          <w:szCs w:val="24"/>
          <w:lang w:val="bg-BG" w:eastAsia="bg-BG"/>
        </w:rPr>
        <w:t xml:space="preserve">-1бр., </w:t>
      </w:r>
      <w:r w:rsidRPr="00BD7BB1">
        <w:rPr>
          <w:rFonts w:ascii="Times New Roman" w:eastAsia="Calibri" w:hAnsi="Times New Roman"/>
          <w:b/>
          <w:color w:val="auto"/>
          <w:sz w:val="24"/>
          <w:szCs w:val="24"/>
          <w:lang w:val="bg-BG" w:eastAsia="bg-BG"/>
        </w:rPr>
        <w:t>Раднево</w:t>
      </w:r>
      <w:r w:rsidRPr="00BD7BB1">
        <w:rPr>
          <w:rFonts w:ascii="Times New Roman" w:eastAsia="Calibri" w:hAnsi="Times New Roman"/>
          <w:color w:val="auto"/>
          <w:sz w:val="24"/>
          <w:szCs w:val="24"/>
          <w:lang w:val="bg-BG" w:eastAsia="bg-BG"/>
        </w:rPr>
        <w:t xml:space="preserve"> -1бр., </w:t>
      </w:r>
      <w:r w:rsidRPr="00BD7BB1">
        <w:rPr>
          <w:rFonts w:ascii="Times New Roman" w:eastAsia="Calibri" w:hAnsi="Times New Roman"/>
          <w:b/>
          <w:color w:val="auto"/>
          <w:sz w:val="24"/>
          <w:szCs w:val="24"/>
          <w:lang w:val="bg-BG" w:eastAsia="bg-BG"/>
        </w:rPr>
        <w:t>Болярово</w:t>
      </w:r>
      <w:r w:rsidRPr="00BD7BB1">
        <w:rPr>
          <w:rFonts w:ascii="Times New Roman" w:eastAsia="Calibri" w:hAnsi="Times New Roman"/>
          <w:color w:val="auto"/>
          <w:sz w:val="24"/>
          <w:szCs w:val="24"/>
          <w:lang w:val="bg-BG" w:eastAsia="bg-BG"/>
        </w:rPr>
        <w:t xml:space="preserve"> -1бр.,</w:t>
      </w:r>
      <w:r w:rsidR="00BA6B71">
        <w:rPr>
          <w:rFonts w:ascii="Times New Roman" w:eastAsia="Calibri" w:hAnsi="Times New Roman"/>
          <w:color w:val="auto"/>
          <w:sz w:val="24"/>
          <w:szCs w:val="24"/>
          <w:lang w:val="bg-BG" w:eastAsia="bg-BG"/>
        </w:rPr>
        <w:t xml:space="preserve"> </w:t>
      </w:r>
      <w:r w:rsidRPr="00BD7BB1">
        <w:rPr>
          <w:rFonts w:ascii="Times New Roman" w:eastAsia="Calibri" w:hAnsi="Times New Roman"/>
          <w:b/>
          <w:color w:val="auto"/>
          <w:sz w:val="24"/>
          <w:szCs w:val="24"/>
          <w:lang w:val="bg-BG" w:eastAsia="bg-BG"/>
        </w:rPr>
        <w:t>Казанлък</w:t>
      </w:r>
      <w:r w:rsidR="00BA6B71">
        <w:rPr>
          <w:rFonts w:ascii="Times New Roman" w:eastAsia="Calibri" w:hAnsi="Times New Roman"/>
          <w:b/>
          <w:color w:val="auto"/>
          <w:sz w:val="24"/>
          <w:szCs w:val="24"/>
          <w:lang w:val="bg-BG" w:eastAsia="bg-BG"/>
        </w:rPr>
        <w:t xml:space="preserve"> </w:t>
      </w:r>
      <w:r w:rsidRPr="00BD7BB1">
        <w:rPr>
          <w:rFonts w:ascii="Times New Roman" w:eastAsia="Calibri" w:hAnsi="Times New Roman"/>
          <w:color w:val="auto"/>
          <w:sz w:val="24"/>
          <w:szCs w:val="24"/>
          <w:lang w:val="bg-BG" w:eastAsia="bg-BG"/>
        </w:rPr>
        <w:t>-</w:t>
      </w:r>
      <w:r w:rsidR="00BA6B71">
        <w:rPr>
          <w:rFonts w:ascii="Times New Roman" w:eastAsia="Calibri"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30бр.,</w:t>
      </w:r>
      <w:r w:rsidRPr="00BD7BB1">
        <w:rPr>
          <w:rFonts w:ascii="Times New Roman" w:eastAsia="Calibri" w:hAnsi="Times New Roman"/>
          <w:b/>
          <w:color w:val="auto"/>
          <w:sz w:val="24"/>
          <w:szCs w:val="24"/>
          <w:lang w:val="bg-BG" w:eastAsia="bg-BG"/>
        </w:rPr>
        <w:t xml:space="preserve"> Павел баня</w:t>
      </w:r>
      <w:r w:rsidR="00BA6B71">
        <w:rPr>
          <w:rFonts w:ascii="Times New Roman" w:eastAsia="Calibri" w:hAnsi="Times New Roman"/>
          <w:b/>
          <w:color w:val="auto"/>
          <w:sz w:val="24"/>
          <w:szCs w:val="24"/>
          <w:lang w:val="bg-BG" w:eastAsia="bg-BG"/>
        </w:rPr>
        <w:t xml:space="preserve"> </w:t>
      </w:r>
      <w:r w:rsidRPr="00BD7BB1">
        <w:rPr>
          <w:rFonts w:ascii="Times New Roman" w:eastAsia="Calibri" w:hAnsi="Times New Roman"/>
          <w:color w:val="auto"/>
          <w:sz w:val="24"/>
          <w:szCs w:val="24"/>
          <w:lang w:val="bg-BG" w:eastAsia="bg-BG"/>
        </w:rPr>
        <w:t>- 2бр.,</w:t>
      </w:r>
      <w:r w:rsidRPr="00BD7BB1">
        <w:rPr>
          <w:rFonts w:ascii="Times New Roman" w:eastAsia="Calibri" w:hAnsi="Times New Roman"/>
          <w:b/>
          <w:color w:val="auto"/>
          <w:sz w:val="24"/>
          <w:szCs w:val="24"/>
          <w:lang w:val="bg-BG" w:eastAsia="bg-BG"/>
        </w:rPr>
        <w:t xml:space="preserve"> Руен</w:t>
      </w:r>
      <w:r w:rsidRPr="00BD7BB1">
        <w:rPr>
          <w:rFonts w:ascii="Times New Roman" w:eastAsia="Calibri" w:hAnsi="Times New Roman"/>
          <w:color w:val="auto"/>
          <w:sz w:val="24"/>
          <w:szCs w:val="24"/>
          <w:lang w:val="bg-BG" w:eastAsia="bg-BG"/>
        </w:rPr>
        <w:t xml:space="preserve"> – 1 бр.,</w:t>
      </w:r>
      <w:r w:rsidRPr="00BD7BB1">
        <w:rPr>
          <w:rFonts w:ascii="Times New Roman" w:eastAsia="Calibri" w:hAnsi="Times New Roman"/>
          <w:b/>
          <w:color w:val="auto"/>
          <w:sz w:val="24"/>
          <w:szCs w:val="24"/>
          <w:lang w:val="bg-BG" w:eastAsia="bg-BG"/>
        </w:rPr>
        <w:t xml:space="preserve"> Стара Загора</w:t>
      </w:r>
      <w:r w:rsidRPr="00BD7BB1">
        <w:rPr>
          <w:rFonts w:ascii="Times New Roman" w:eastAsia="Calibri" w:hAnsi="Times New Roman"/>
          <w:color w:val="auto"/>
          <w:sz w:val="24"/>
          <w:szCs w:val="24"/>
          <w:lang w:val="bg-BG" w:eastAsia="bg-BG"/>
        </w:rPr>
        <w:t xml:space="preserve"> -2 бр.,</w:t>
      </w:r>
      <w:r w:rsidRPr="00BD7BB1">
        <w:rPr>
          <w:rFonts w:ascii="Times New Roman" w:eastAsia="Calibri" w:hAnsi="Times New Roman"/>
          <w:b/>
          <w:color w:val="auto"/>
          <w:sz w:val="24"/>
          <w:szCs w:val="24"/>
          <w:lang w:val="bg-BG" w:eastAsia="bg-BG"/>
        </w:rPr>
        <w:t xml:space="preserve"> Твърдица</w:t>
      </w:r>
      <w:r w:rsidR="00BA6B71">
        <w:rPr>
          <w:rFonts w:ascii="Times New Roman" w:eastAsia="Calibri" w:hAnsi="Times New Roman"/>
          <w:b/>
          <w:color w:val="auto"/>
          <w:sz w:val="24"/>
          <w:szCs w:val="24"/>
          <w:lang w:val="bg-BG" w:eastAsia="bg-BG"/>
        </w:rPr>
        <w:t xml:space="preserve"> </w:t>
      </w:r>
      <w:r w:rsidRPr="00BD7BB1">
        <w:rPr>
          <w:rFonts w:ascii="Times New Roman" w:eastAsia="Calibri" w:hAnsi="Times New Roman"/>
          <w:b/>
          <w:color w:val="auto"/>
          <w:sz w:val="24"/>
          <w:szCs w:val="24"/>
          <w:lang w:val="bg-BG" w:eastAsia="bg-BG"/>
        </w:rPr>
        <w:t xml:space="preserve">- </w:t>
      </w:r>
      <w:r w:rsidRPr="00BD7BB1">
        <w:rPr>
          <w:rFonts w:ascii="Times New Roman" w:eastAsia="Calibri" w:hAnsi="Times New Roman"/>
          <w:color w:val="auto"/>
          <w:sz w:val="24"/>
          <w:szCs w:val="24"/>
          <w:lang w:val="bg-BG" w:eastAsia="bg-BG"/>
        </w:rPr>
        <w:t>3 бр.,</w:t>
      </w:r>
      <w:r w:rsidRPr="00BD7BB1">
        <w:rPr>
          <w:rFonts w:ascii="Times New Roman" w:eastAsia="Calibri" w:hAnsi="Times New Roman"/>
          <w:b/>
          <w:color w:val="auto"/>
          <w:sz w:val="24"/>
          <w:szCs w:val="24"/>
          <w:lang w:val="bg-BG" w:eastAsia="bg-BG"/>
        </w:rPr>
        <w:t xml:space="preserve">Тунджа </w:t>
      </w:r>
      <w:r w:rsidRPr="00BD7BB1">
        <w:rPr>
          <w:rFonts w:ascii="Times New Roman" w:eastAsia="Calibri" w:hAnsi="Times New Roman"/>
          <w:color w:val="auto"/>
          <w:sz w:val="24"/>
          <w:szCs w:val="24"/>
          <w:lang w:val="bg-BG" w:eastAsia="bg-BG"/>
        </w:rPr>
        <w:t>-</w:t>
      </w:r>
      <w:r w:rsidR="00BA6B71">
        <w:rPr>
          <w:rFonts w:ascii="Times New Roman" w:eastAsia="Calibri"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2 бр.,</w:t>
      </w:r>
      <w:r w:rsidRPr="00BD7BB1">
        <w:rPr>
          <w:rFonts w:ascii="Times New Roman" w:eastAsia="Calibri" w:hAnsi="Times New Roman"/>
          <w:b/>
          <w:color w:val="auto"/>
          <w:sz w:val="24"/>
          <w:szCs w:val="24"/>
          <w:lang w:val="bg-BG" w:eastAsia="bg-BG"/>
        </w:rPr>
        <w:t xml:space="preserve"> Царево</w:t>
      </w:r>
      <w:r w:rsidRPr="00BD7BB1">
        <w:rPr>
          <w:rFonts w:ascii="Times New Roman" w:eastAsia="Calibri" w:hAnsi="Times New Roman"/>
          <w:color w:val="auto"/>
          <w:sz w:val="24"/>
          <w:szCs w:val="24"/>
          <w:lang w:val="bg-BG" w:eastAsia="bg-BG"/>
        </w:rPr>
        <w:t xml:space="preserve"> -</w:t>
      </w:r>
      <w:r w:rsidR="00BA6B71">
        <w:rPr>
          <w:rFonts w:ascii="Times New Roman" w:eastAsia="Calibri"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2 бр.</w:t>
      </w:r>
    </w:p>
    <w:p w:rsidR="00F25110" w:rsidRPr="00715BD6" w:rsidRDefault="00F25110" w:rsidP="00715BD6">
      <w:pPr>
        <w:pStyle w:val="ListParagraph"/>
        <w:numPr>
          <w:ilvl w:val="0"/>
          <w:numId w:val="61"/>
        </w:numPr>
        <w:spacing w:after="120" w:line="360" w:lineRule="auto"/>
        <w:jc w:val="both"/>
        <w:rPr>
          <w:rFonts w:eastAsia="Calibri"/>
          <w:b/>
          <w:i/>
          <w:lang w:val="bg-BG" w:eastAsia="bg-BG"/>
        </w:rPr>
      </w:pPr>
      <w:r w:rsidRPr="00715BD6">
        <w:rPr>
          <w:rFonts w:eastAsia="Calibri"/>
          <w:b/>
          <w:i/>
          <w:lang w:val="bg-BG" w:eastAsia="bg-BG"/>
        </w:rPr>
        <w:t>Създадени и/</w:t>
      </w:r>
      <w:r w:rsidR="0031049C">
        <w:rPr>
          <w:rFonts w:eastAsia="Calibri"/>
          <w:b/>
          <w:i/>
          <w:lang w:val="bg-BG" w:eastAsia="bg-BG"/>
        </w:rPr>
        <w:t>и</w:t>
      </w:r>
      <w:r w:rsidRPr="00715BD6">
        <w:rPr>
          <w:rFonts w:eastAsia="Calibri"/>
          <w:b/>
          <w:i/>
          <w:lang w:val="bg-BG" w:eastAsia="bg-BG"/>
        </w:rPr>
        <w:t>ли подновени/ремонтирани средства за подслон, в %</w:t>
      </w:r>
      <w:r w:rsidR="00BA6B71">
        <w:rPr>
          <w:rFonts w:eastAsia="Calibri"/>
          <w:b/>
          <w:i/>
          <w:lang w:val="bg-BG" w:eastAsia="bg-BG"/>
        </w:rPr>
        <w:t>.</w:t>
      </w:r>
      <w:r w:rsidRPr="00715BD6">
        <w:rPr>
          <w:rFonts w:eastAsia="Calibri"/>
          <w:lang w:val="bg-BG" w:eastAsia="bg-BG"/>
        </w:rPr>
        <w:t xml:space="preserve"> </w:t>
      </w:r>
    </w:p>
    <w:p w:rsidR="00715BD6" w:rsidRDefault="00F25110" w:rsidP="00715BD6">
      <w:pPr>
        <w:spacing w:after="120" w:line="360" w:lineRule="auto"/>
        <w:jc w:val="both"/>
        <w:rPr>
          <w:rFonts w:ascii="Times New Roman" w:eastAsia="Calibri" w:hAnsi="Times New Roman"/>
          <w:color w:val="auto"/>
          <w:sz w:val="24"/>
          <w:szCs w:val="24"/>
          <w:lang w:val="bg-BG" w:eastAsia="bg-BG"/>
        </w:rPr>
      </w:pPr>
      <w:r w:rsidRPr="00BD7BB1">
        <w:rPr>
          <w:rFonts w:ascii="Times New Roman" w:eastAsia="Calibri" w:hAnsi="Times New Roman"/>
          <w:color w:val="auto"/>
          <w:sz w:val="24"/>
          <w:szCs w:val="24"/>
          <w:lang w:val="bg-BG" w:eastAsia="bg-BG"/>
        </w:rPr>
        <w:t>По подадена информация от общините в  ЮИР</w:t>
      </w:r>
      <w:r w:rsidRPr="00BD7BB1">
        <w:rPr>
          <w:rFonts w:ascii="Times New Roman" w:eastAsia="Calibri" w:hAnsi="Times New Roman"/>
          <w:b/>
          <w:i/>
          <w:color w:val="auto"/>
          <w:sz w:val="24"/>
          <w:szCs w:val="24"/>
          <w:lang w:val="bg-BG" w:eastAsia="bg-BG"/>
        </w:rPr>
        <w:t xml:space="preserve"> </w:t>
      </w:r>
      <w:r w:rsidRPr="00BD7BB1">
        <w:rPr>
          <w:rFonts w:ascii="Times New Roman" w:eastAsia="Calibri" w:hAnsi="Times New Roman"/>
          <w:color w:val="auto"/>
          <w:sz w:val="24"/>
          <w:szCs w:val="24"/>
          <w:lang w:val="bg-BG" w:eastAsia="bg-BG"/>
        </w:rPr>
        <w:t>създадените и/</w:t>
      </w:r>
      <w:r w:rsidR="0031049C">
        <w:rPr>
          <w:rFonts w:ascii="Times New Roman" w:eastAsia="Calibri" w:hAnsi="Times New Roman"/>
          <w:color w:val="auto"/>
          <w:sz w:val="24"/>
          <w:szCs w:val="24"/>
          <w:lang w:val="bg-BG" w:eastAsia="bg-BG"/>
        </w:rPr>
        <w:t>и</w:t>
      </w:r>
      <w:r w:rsidRPr="00BD7BB1">
        <w:rPr>
          <w:rFonts w:ascii="Times New Roman" w:eastAsia="Calibri" w:hAnsi="Times New Roman"/>
          <w:color w:val="auto"/>
          <w:sz w:val="24"/>
          <w:szCs w:val="24"/>
          <w:lang w:val="bg-BG" w:eastAsia="bg-BG"/>
        </w:rPr>
        <w:t xml:space="preserve">ли подновени/ремонтирани средства за подслон са както следва: </w:t>
      </w:r>
      <w:r w:rsidRPr="00BD7BB1">
        <w:rPr>
          <w:rFonts w:ascii="Times New Roman" w:eastAsia="Times New Roman" w:hAnsi="Times New Roman"/>
          <w:b/>
          <w:color w:val="auto"/>
          <w:sz w:val="24"/>
          <w:szCs w:val="24"/>
          <w:lang w:val="bg-BG" w:eastAsia="bg-BG"/>
        </w:rPr>
        <w:t>община Бургас -</w:t>
      </w:r>
      <w:r w:rsidRPr="00BD7BB1">
        <w:rPr>
          <w:rFonts w:ascii="Times New Roman" w:eastAsia="Times New Roman" w:hAnsi="Times New Roman"/>
          <w:color w:val="auto"/>
          <w:sz w:val="24"/>
          <w:szCs w:val="24"/>
          <w:lang w:val="bg-BG" w:eastAsia="bg-BG"/>
        </w:rPr>
        <w:t xml:space="preserve">17 бр.(14%) новосъздадени и категоризирани средства за подслон, извършени от частни инвеститори  </w:t>
      </w:r>
      <w:r w:rsidRPr="00BD7BB1">
        <w:rPr>
          <w:rFonts w:ascii="Times New Roman" w:eastAsia="Calibri"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община Гурково -</w:t>
      </w:r>
      <w:r w:rsidRPr="00BD7BB1">
        <w:rPr>
          <w:rFonts w:ascii="Times New Roman" w:eastAsia="Calibri" w:hAnsi="Times New Roman"/>
          <w:color w:val="auto"/>
          <w:sz w:val="24"/>
          <w:szCs w:val="24"/>
          <w:lang w:val="bg-BG" w:eastAsia="bg-BG"/>
        </w:rPr>
        <w:t xml:space="preserve"> Реновирани съоръжения и места за отдих</w:t>
      </w:r>
      <w:r w:rsidR="0031049C">
        <w:rPr>
          <w:rFonts w:ascii="Times New Roman" w:eastAsia="Calibri"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- 80%</w:t>
      </w:r>
      <w:r w:rsidR="0031049C">
        <w:rPr>
          <w:rFonts w:ascii="Times New Roman" w:eastAsia="Calibri" w:hAnsi="Times New Roman"/>
          <w:color w:val="auto"/>
          <w:sz w:val="24"/>
          <w:szCs w:val="24"/>
          <w:lang w:val="bg-BG" w:eastAsia="bg-BG"/>
        </w:rPr>
        <w:t>,</w:t>
      </w:r>
      <w:r w:rsidRPr="00BD7BB1">
        <w:rPr>
          <w:rFonts w:ascii="Times New Roman" w:eastAsia="Calibri" w:hAnsi="Times New Roman"/>
          <w:color w:val="auto"/>
          <w:sz w:val="24"/>
          <w:szCs w:val="24"/>
          <w:lang w:val="bg-BG" w:eastAsia="bg-BG"/>
        </w:rPr>
        <w:t xml:space="preserve"> </w:t>
      </w:r>
      <w:r w:rsidRPr="00BD7BB1">
        <w:rPr>
          <w:rFonts w:ascii="Times New Roman" w:eastAsia="Calibri" w:hAnsi="Times New Roman"/>
          <w:b/>
          <w:color w:val="auto"/>
          <w:sz w:val="24"/>
          <w:szCs w:val="24"/>
          <w:lang w:val="bg-BG" w:eastAsia="bg-BG"/>
        </w:rPr>
        <w:t xml:space="preserve">община  Павел баня - </w:t>
      </w:r>
      <w:r w:rsidRPr="00BD7BB1">
        <w:rPr>
          <w:rFonts w:ascii="Times New Roman" w:eastAsia="Calibri" w:hAnsi="Times New Roman"/>
          <w:color w:val="auto"/>
          <w:sz w:val="24"/>
          <w:szCs w:val="24"/>
          <w:lang w:val="bg-BG" w:eastAsia="bg-BG"/>
        </w:rPr>
        <w:t xml:space="preserve">Частни къщи за гости ( 25%), </w:t>
      </w:r>
      <w:r w:rsidRPr="00BD7BB1">
        <w:rPr>
          <w:rFonts w:ascii="Times New Roman" w:eastAsia="Calibri" w:hAnsi="Times New Roman"/>
          <w:b/>
          <w:color w:val="auto"/>
          <w:sz w:val="24"/>
          <w:szCs w:val="24"/>
          <w:lang w:val="bg-BG" w:eastAsia="bg-BG"/>
        </w:rPr>
        <w:t>община  Стара Загора</w:t>
      </w:r>
      <w:r w:rsidR="0031049C">
        <w:rPr>
          <w:rFonts w:ascii="Times New Roman" w:eastAsia="Calibri" w:hAnsi="Times New Roman"/>
          <w:b/>
          <w:color w:val="auto"/>
          <w:sz w:val="24"/>
          <w:szCs w:val="24"/>
          <w:lang w:val="bg-BG" w:eastAsia="bg-BG"/>
        </w:rPr>
        <w:t xml:space="preserve"> </w:t>
      </w:r>
      <w:r w:rsidRPr="00BD7BB1">
        <w:rPr>
          <w:rFonts w:ascii="Times New Roman" w:eastAsia="Calibri" w:hAnsi="Times New Roman"/>
          <w:b/>
          <w:color w:val="auto"/>
          <w:sz w:val="24"/>
          <w:szCs w:val="24"/>
          <w:lang w:val="bg-BG" w:eastAsia="bg-BG"/>
        </w:rPr>
        <w:t>-</w:t>
      </w:r>
      <w:r w:rsidR="0031049C">
        <w:rPr>
          <w:rFonts w:ascii="Times New Roman" w:eastAsia="Calibri" w:hAnsi="Times New Roman"/>
          <w:b/>
          <w:color w:val="auto"/>
          <w:sz w:val="24"/>
          <w:szCs w:val="24"/>
          <w:lang w:val="bg-BG" w:eastAsia="bg-BG"/>
        </w:rPr>
        <w:t xml:space="preserve"> </w:t>
      </w:r>
      <w:r w:rsidRPr="00BD7BB1">
        <w:rPr>
          <w:rFonts w:ascii="Times New Roman" w:eastAsia="Calibri" w:hAnsi="Times New Roman"/>
          <w:b/>
          <w:color w:val="auto"/>
          <w:sz w:val="24"/>
          <w:szCs w:val="24"/>
          <w:lang w:val="bg-BG" w:eastAsia="bg-BG"/>
        </w:rPr>
        <w:t>с</w:t>
      </w:r>
      <w:r w:rsidRPr="00BD7BB1">
        <w:rPr>
          <w:rFonts w:ascii="Times New Roman" w:eastAsia="Calibri" w:hAnsi="Times New Roman"/>
          <w:color w:val="auto"/>
          <w:sz w:val="24"/>
          <w:szCs w:val="24"/>
          <w:lang w:val="bg-BG" w:eastAsia="bg-BG"/>
        </w:rPr>
        <w:t xml:space="preserve">ъздадени: стаи за гости във Военен клуб; стаи за гости „Тодорови“; мотел „Тера“ - 57 бр., </w:t>
      </w:r>
      <w:r w:rsidRPr="00BD7BB1">
        <w:rPr>
          <w:rFonts w:ascii="Times New Roman" w:eastAsia="Calibri" w:hAnsi="Times New Roman"/>
          <w:b/>
          <w:color w:val="auto"/>
          <w:sz w:val="24"/>
          <w:szCs w:val="24"/>
          <w:lang w:val="bg-BG" w:eastAsia="bg-BG"/>
        </w:rPr>
        <w:t>община Твърдица</w:t>
      </w:r>
      <w:r w:rsidRPr="00BD7BB1">
        <w:rPr>
          <w:rFonts w:ascii="Times New Roman" w:eastAsia="Calibri" w:hAnsi="Times New Roman"/>
          <w:color w:val="auto"/>
          <w:sz w:val="24"/>
          <w:szCs w:val="24"/>
          <w:lang w:val="bg-BG" w:eastAsia="bg-BG"/>
        </w:rPr>
        <w:t xml:space="preserve"> -</w:t>
      </w:r>
      <w:r w:rsidR="0031049C">
        <w:rPr>
          <w:rFonts w:ascii="Times New Roman" w:eastAsia="Calibri"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Комплекс „Чилиците”, Къща за гости „Панорама”, Къща за гости „</w:t>
      </w:r>
      <w:r w:rsidR="00715BD6">
        <w:rPr>
          <w:rFonts w:ascii="Times New Roman" w:eastAsia="Calibri" w:hAnsi="Times New Roman"/>
          <w:color w:val="auto"/>
          <w:sz w:val="24"/>
          <w:szCs w:val="24"/>
          <w:lang w:val="bg-BG" w:eastAsia="bg-BG"/>
        </w:rPr>
        <w:t>Квел”, Комплекс „Аглика палас”.</w:t>
      </w:r>
    </w:p>
    <w:p w:rsidR="00F25110" w:rsidRPr="00715BD6" w:rsidRDefault="00F25110" w:rsidP="00715BD6">
      <w:pPr>
        <w:pStyle w:val="ListParagraph"/>
        <w:numPr>
          <w:ilvl w:val="0"/>
          <w:numId w:val="61"/>
        </w:numPr>
        <w:spacing w:after="120" w:line="360" w:lineRule="auto"/>
        <w:jc w:val="both"/>
        <w:rPr>
          <w:rFonts w:eastAsia="Calibri"/>
          <w:lang w:val="bg-BG" w:eastAsia="bg-BG"/>
        </w:rPr>
      </w:pPr>
      <w:r w:rsidRPr="00715BD6">
        <w:rPr>
          <w:rFonts w:eastAsia="Calibri"/>
          <w:b/>
          <w:i/>
          <w:lang w:val="bg-BG" w:eastAsia="bg-BG"/>
        </w:rPr>
        <w:t>Увеличаване броя на заетите в сектора на туризма, в %</w:t>
      </w:r>
      <w:r w:rsidR="0031049C">
        <w:rPr>
          <w:rFonts w:eastAsia="Calibri"/>
          <w:b/>
          <w:i/>
          <w:lang w:val="bg-BG" w:eastAsia="bg-BG"/>
        </w:rPr>
        <w:t>.</w:t>
      </w:r>
    </w:p>
    <w:p w:rsidR="00715BD6" w:rsidRDefault="00F25110" w:rsidP="00715BD6">
      <w:pPr>
        <w:spacing w:after="12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Съгласно информация на Световен съвет за туризъм и пътувания през 2014 г. броят на директно заетите в туристическата индустрия в България през 2014 г. е бил 103 000 души или с 3% повече спрямо 2013 г. Броят на заетите директно и индиректно в туристическата индустрия в България през 2014 г. е бил  362 000 души и</w:t>
      </w:r>
      <w:r w:rsidR="00715BD6">
        <w:rPr>
          <w:rFonts w:ascii="Times New Roman" w:eastAsia="Times New Roman" w:hAnsi="Times New Roman"/>
          <w:color w:val="auto"/>
          <w:sz w:val="24"/>
          <w:szCs w:val="24"/>
          <w:lang w:val="bg-BG" w:eastAsia="bg-BG"/>
        </w:rPr>
        <w:t>ли с 1.7% повече спрямо 2013 г.</w:t>
      </w:r>
    </w:p>
    <w:p w:rsidR="00F25110" w:rsidRPr="00715BD6" w:rsidRDefault="00F25110" w:rsidP="00715BD6">
      <w:pPr>
        <w:pStyle w:val="ListParagraph"/>
        <w:numPr>
          <w:ilvl w:val="0"/>
          <w:numId w:val="61"/>
        </w:numPr>
        <w:spacing w:after="120" w:line="360" w:lineRule="auto"/>
        <w:jc w:val="both"/>
        <w:rPr>
          <w:lang w:val="bg-BG" w:eastAsia="bg-BG"/>
        </w:rPr>
      </w:pPr>
      <w:r w:rsidRPr="00715BD6">
        <w:rPr>
          <w:rFonts w:eastAsia="Calibri"/>
          <w:b/>
          <w:i/>
          <w:lang w:val="bg-BG" w:eastAsia="bg-BG"/>
        </w:rPr>
        <w:t>Брой заети в  хотелиерство и ресторантьорство, в хил.</w:t>
      </w:r>
    </w:p>
    <w:p w:rsidR="00715BD6" w:rsidRDefault="00F25110" w:rsidP="00715BD6">
      <w:pPr>
        <w:spacing w:after="12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Броят на заетите лица в сектор „Хотелиерство и ресторантьорство” са налични  за  2013г.  по данни на НСИ. В </w:t>
      </w:r>
      <w:r w:rsidRPr="00BD7BB1">
        <w:rPr>
          <w:rFonts w:ascii="Times New Roman" w:eastAsia="Times New Roman" w:hAnsi="Times New Roman"/>
          <w:b/>
          <w:color w:val="auto"/>
          <w:sz w:val="24"/>
          <w:szCs w:val="24"/>
          <w:lang w:val="bg-BG" w:eastAsia="bg-BG"/>
        </w:rPr>
        <w:t>ЮИР заетите лица  са 26 823 бр.</w:t>
      </w:r>
      <w:r w:rsidRPr="00BD7BB1">
        <w:rPr>
          <w:rFonts w:ascii="Times New Roman" w:eastAsia="Times New Roman" w:hAnsi="Times New Roman"/>
          <w:color w:val="auto"/>
          <w:sz w:val="24"/>
          <w:szCs w:val="24"/>
          <w:lang w:val="bg-BG" w:eastAsia="bg-BG"/>
        </w:rPr>
        <w:t>, в ЮЗР - 49 857 бр, ЮЦР</w:t>
      </w:r>
      <w:r w:rsidR="0031049C">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w:t>
      </w:r>
      <w:r w:rsidR="0031049C">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22 510 бр.,</w:t>
      </w:r>
      <w:r w:rsidR="0031049C">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СИР -</w:t>
      </w:r>
      <w:r w:rsidR="0031049C">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21458 бр.</w:t>
      </w:r>
      <w:r w:rsidR="00715BD6">
        <w:rPr>
          <w:rFonts w:ascii="Times New Roman" w:eastAsia="Times New Roman" w:hAnsi="Times New Roman"/>
          <w:color w:val="auto"/>
          <w:sz w:val="24"/>
          <w:szCs w:val="24"/>
          <w:lang w:val="bg-BG" w:eastAsia="bg-BG"/>
        </w:rPr>
        <w:t>,</w:t>
      </w:r>
      <w:r w:rsidR="0031049C">
        <w:rPr>
          <w:rFonts w:ascii="Times New Roman" w:eastAsia="Times New Roman" w:hAnsi="Times New Roman"/>
          <w:color w:val="auto"/>
          <w:sz w:val="24"/>
          <w:szCs w:val="24"/>
          <w:lang w:val="bg-BG" w:eastAsia="bg-BG"/>
        </w:rPr>
        <w:t xml:space="preserve"> </w:t>
      </w:r>
      <w:r w:rsidR="00715BD6">
        <w:rPr>
          <w:rFonts w:ascii="Times New Roman" w:eastAsia="Times New Roman" w:hAnsi="Times New Roman"/>
          <w:color w:val="auto"/>
          <w:sz w:val="24"/>
          <w:szCs w:val="24"/>
          <w:lang w:val="bg-BG" w:eastAsia="bg-BG"/>
        </w:rPr>
        <w:t>СЦР -10 143бр., СЗР - 8 015бр.</w:t>
      </w:r>
    </w:p>
    <w:p w:rsidR="00F25110" w:rsidRPr="00715BD6" w:rsidRDefault="00F25110" w:rsidP="00715BD6">
      <w:pPr>
        <w:pStyle w:val="ListParagraph"/>
        <w:numPr>
          <w:ilvl w:val="0"/>
          <w:numId w:val="61"/>
        </w:numPr>
        <w:spacing w:after="120" w:line="360" w:lineRule="auto"/>
        <w:jc w:val="both"/>
        <w:rPr>
          <w:lang w:val="bg-BG" w:eastAsia="bg-BG"/>
        </w:rPr>
      </w:pPr>
      <w:r w:rsidRPr="00715BD6">
        <w:rPr>
          <w:rFonts w:eastAsia="Calibri"/>
          <w:b/>
          <w:i/>
          <w:lang w:val="bg-BG" w:eastAsia="bg-BG"/>
        </w:rPr>
        <w:t>Нарастване на реализираните приходи от посещения на музеи.</w:t>
      </w:r>
    </w:p>
    <w:p w:rsidR="00F25110" w:rsidRPr="00BD7BB1" w:rsidRDefault="00F25110" w:rsidP="0031049C">
      <w:pPr>
        <w:spacing w:after="120" w:line="360" w:lineRule="auto"/>
        <w:ind w:firstLine="360"/>
        <w:contextualSpacing/>
        <w:jc w:val="both"/>
        <w:rPr>
          <w:rFonts w:ascii="Times New Roman" w:eastAsia="Calibri" w:hAnsi="Times New Roman"/>
          <w:color w:val="auto"/>
          <w:sz w:val="24"/>
          <w:szCs w:val="24"/>
          <w:lang w:val="bg-BG" w:eastAsia="bg-BG"/>
        </w:rPr>
      </w:pPr>
      <w:r w:rsidRPr="00BD7BB1">
        <w:rPr>
          <w:rFonts w:ascii="Times New Roman" w:eastAsia="Times New Roman" w:hAnsi="Times New Roman"/>
          <w:color w:val="auto"/>
          <w:sz w:val="24"/>
          <w:szCs w:val="24"/>
          <w:lang w:val="bg-BG" w:eastAsia="bg-BG"/>
        </w:rPr>
        <w:lastRenderedPageBreak/>
        <w:t>Индикаторът не може да бъде обобщен на ниво район.</w:t>
      </w:r>
      <w:r w:rsidR="0031049C">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По подадена информация от общините, приходите от посещения на музеи са нарастнали както следва:</w:t>
      </w:r>
      <w:r w:rsidRPr="00BD7BB1">
        <w:rPr>
          <w:rFonts w:ascii="Times New Roman" w:eastAsia="Times New Roman" w:hAnsi="Times New Roman"/>
          <w:color w:val="auto"/>
          <w:sz w:val="24"/>
          <w:szCs w:val="24"/>
          <w:lang w:val="bg-BG" w:eastAsia="bg-BG"/>
        </w:rPr>
        <w:tab/>
        <w:t xml:space="preserve">В </w:t>
      </w:r>
      <w:r w:rsidRPr="00BD7BB1">
        <w:rPr>
          <w:rFonts w:ascii="Times New Roman" w:eastAsia="Calibri" w:hAnsi="Times New Roman"/>
          <w:b/>
          <w:color w:val="auto"/>
          <w:sz w:val="24"/>
          <w:szCs w:val="24"/>
          <w:lang w:val="bg-BG" w:eastAsia="bg-BG"/>
        </w:rPr>
        <w:t>община Раднево</w:t>
      </w:r>
      <w:r w:rsidRPr="00BD7BB1">
        <w:rPr>
          <w:rFonts w:ascii="Times New Roman" w:eastAsia="Calibri" w:hAnsi="Times New Roman"/>
          <w:color w:val="auto"/>
          <w:sz w:val="24"/>
          <w:szCs w:val="24"/>
          <w:lang w:val="bg-BG" w:eastAsia="bg-BG"/>
        </w:rPr>
        <w:t xml:space="preserve"> - Археологически парк „Нов живот за миналото” - създаден през 2013 г.  с доходи през 2013 г. - 1324 лв.;  </w:t>
      </w:r>
      <w:r w:rsidRPr="00BD7BB1">
        <w:rPr>
          <w:rFonts w:ascii="Times New Roman" w:eastAsia="Calibri" w:hAnsi="Times New Roman"/>
          <w:b/>
          <w:color w:val="auto"/>
          <w:sz w:val="24"/>
          <w:szCs w:val="24"/>
          <w:lang w:val="bg-BG" w:eastAsia="bg-BG"/>
        </w:rPr>
        <w:t>община Чирпан -</w:t>
      </w:r>
      <w:r w:rsidRPr="00BD7BB1">
        <w:rPr>
          <w:rFonts w:ascii="Times New Roman" w:eastAsia="Calibri" w:hAnsi="Times New Roman"/>
          <w:color w:val="auto"/>
          <w:sz w:val="24"/>
          <w:szCs w:val="24"/>
          <w:lang w:val="bg-BG" w:eastAsia="bg-BG"/>
        </w:rPr>
        <w:t xml:space="preserve"> Къща музей „Пейо Крачолов Яворов”– нарастване с 23 % на приходите; </w:t>
      </w:r>
      <w:r w:rsidRPr="00BD7BB1">
        <w:rPr>
          <w:rFonts w:ascii="Times New Roman" w:eastAsia="Calibri" w:hAnsi="Times New Roman"/>
          <w:b/>
          <w:color w:val="auto"/>
          <w:sz w:val="24"/>
          <w:szCs w:val="24"/>
          <w:lang w:val="bg-BG" w:eastAsia="bg-BG"/>
        </w:rPr>
        <w:t>община Ямбол -</w:t>
      </w:r>
      <w:r w:rsidRPr="00BD7BB1">
        <w:rPr>
          <w:rFonts w:ascii="Times New Roman" w:eastAsia="Calibri" w:hAnsi="Times New Roman"/>
          <w:color w:val="auto"/>
          <w:sz w:val="24"/>
          <w:szCs w:val="24"/>
          <w:lang w:val="bg-BG" w:eastAsia="bg-BG"/>
        </w:rPr>
        <w:t xml:space="preserve"> проект „Подобряване и популяризиране на водещи туристически атракции” води до нарастване на приходите с 30%; </w:t>
      </w:r>
      <w:r w:rsidRPr="00BD7BB1">
        <w:rPr>
          <w:rFonts w:ascii="Times New Roman" w:eastAsia="Calibri" w:hAnsi="Times New Roman"/>
          <w:b/>
          <w:color w:val="auto"/>
          <w:sz w:val="24"/>
          <w:szCs w:val="24"/>
          <w:lang w:val="bg-BG" w:eastAsia="bg-BG"/>
        </w:rPr>
        <w:t xml:space="preserve">община Казанлък -      </w:t>
      </w:r>
      <w:r w:rsidRPr="00BD7BB1">
        <w:rPr>
          <w:rFonts w:ascii="Times New Roman" w:eastAsia="Calibri" w:hAnsi="Times New Roman"/>
          <w:color w:val="auto"/>
          <w:sz w:val="24"/>
          <w:szCs w:val="24"/>
          <w:lang w:val="bg-BG" w:eastAsia="bg-BG"/>
        </w:rPr>
        <w:t>Осигурен достъп за лица с увреждания</w:t>
      </w:r>
      <w:r w:rsidRPr="00BD7BB1">
        <w:rPr>
          <w:rFonts w:ascii="Times New Roman" w:eastAsia="Calibri" w:hAnsi="Times New Roman"/>
          <w:b/>
          <w:color w:val="auto"/>
          <w:sz w:val="24"/>
          <w:szCs w:val="24"/>
          <w:lang w:val="bg-BG" w:eastAsia="bg-BG"/>
        </w:rPr>
        <w:t xml:space="preserve">   </w:t>
      </w:r>
      <w:r w:rsidRPr="00BD7BB1">
        <w:rPr>
          <w:rFonts w:ascii="Times New Roman" w:eastAsia="Calibri" w:hAnsi="Times New Roman"/>
          <w:color w:val="auto"/>
          <w:sz w:val="24"/>
          <w:szCs w:val="24"/>
          <w:lang w:val="bg-BG" w:eastAsia="bg-BG"/>
        </w:rPr>
        <w:t xml:space="preserve">до Исторически музей „Искра”; </w:t>
      </w:r>
      <w:r w:rsidRPr="00BD7BB1">
        <w:rPr>
          <w:rFonts w:ascii="Times New Roman" w:eastAsia="Calibri" w:hAnsi="Times New Roman"/>
          <w:b/>
          <w:color w:val="auto"/>
          <w:sz w:val="24"/>
          <w:szCs w:val="24"/>
          <w:lang w:val="bg-BG" w:eastAsia="bg-BG"/>
        </w:rPr>
        <w:t>община Стралджа</w:t>
      </w:r>
      <w:r w:rsidRPr="00BD7BB1">
        <w:rPr>
          <w:rFonts w:ascii="Times New Roman" w:eastAsia="Calibri" w:hAnsi="Times New Roman"/>
          <w:color w:val="auto"/>
          <w:sz w:val="24"/>
          <w:szCs w:val="24"/>
          <w:lang w:val="bg-BG" w:eastAsia="bg-BG"/>
        </w:rPr>
        <w:t xml:space="preserve"> - нарастване на реализираните приходи от посещения на музеи с 4,6 % ; </w:t>
      </w:r>
      <w:r w:rsidRPr="00BD7BB1">
        <w:rPr>
          <w:rFonts w:ascii="Times New Roman" w:eastAsia="Calibri" w:hAnsi="Times New Roman"/>
          <w:b/>
          <w:color w:val="auto"/>
          <w:sz w:val="24"/>
          <w:szCs w:val="24"/>
          <w:lang w:val="bg-BG" w:eastAsia="bg-BG"/>
        </w:rPr>
        <w:t xml:space="preserve">община  Павел баня - </w:t>
      </w:r>
      <w:r w:rsidRPr="00BD7BB1">
        <w:rPr>
          <w:rFonts w:ascii="Times New Roman" w:eastAsia="Calibri" w:hAnsi="Times New Roman"/>
          <w:color w:val="auto"/>
          <w:sz w:val="24"/>
          <w:szCs w:val="24"/>
          <w:lang w:val="bg-BG" w:eastAsia="bg-BG"/>
        </w:rPr>
        <w:t>Къща музей „Чудомир”; Музей -  В.Левски, „Джананова къща” -</w:t>
      </w:r>
      <w:r w:rsidR="0031049C">
        <w:rPr>
          <w:rFonts w:ascii="Times New Roman" w:eastAsia="Calibri"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с.</w:t>
      </w:r>
      <w:r w:rsidR="0031049C">
        <w:rPr>
          <w:rFonts w:ascii="Times New Roman" w:eastAsia="Calibri"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 xml:space="preserve">Габарево - нарастване на реализираните приходи с 36%; </w:t>
      </w:r>
      <w:r w:rsidRPr="00BD7BB1">
        <w:rPr>
          <w:rFonts w:ascii="Times New Roman" w:eastAsia="Calibri" w:hAnsi="Times New Roman"/>
          <w:b/>
          <w:color w:val="auto"/>
          <w:sz w:val="24"/>
          <w:szCs w:val="24"/>
          <w:lang w:val="bg-BG" w:eastAsia="bg-BG"/>
        </w:rPr>
        <w:t>община  Стара Загора</w:t>
      </w:r>
      <w:r w:rsidR="0031049C">
        <w:rPr>
          <w:rFonts w:ascii="Times New Roman" w:eastAsia="Calibri" w:hAnsi="Times New Roman"/>
          <w:b/>
          <w:color w:val="auto"/>
          <w:sz w:val="24"/>
          <w:szCs w:val="24"/>
          <w:lang w:val="bg-BG" w:eastAsia="bg-BG"/>
        </w:rPr>
        <w:t xml:space="preserve"> </w:t>
      </w:r>
      <w:r w:rsidRPr="00BD7BB1">
        <w:rPr>
          <w:rFonts w:ascii="Times New Roman" w:eastAsia="Calibri" w:hAnsi="Times New Roman"/>
          <w:b/>
          <w:color w:val="auto"/>
          <w:sz w:val="24"/>
          <w:szCs w:val="24"/>
          <w:lang w:val="bg-BG" w:eastAsia="bg-BG"/>
        </w:rPr>
        <w:t>-</w:t>
      </w:r>
      <w:r w:rsidRPr="00BD7BB1">
        <w:rPr>
          <w:rFonts w:ascii="Times New Roman" w:eastAsia="Calibri" w:hAnsi="Times New Roman"/>
          <w:color w:val="auto"/>
          <w:sz w:val="24"/>
          <w:szCs w:val="24"/>
          <w:lang w:val="bg-BG" w:eastAsia="bg-BG"/>
        </w:rPr>
        <w:t>Регионален исторически музей Ст. Загора, в т.ч. всички музейни обекти към него</w:t>
      </w:r>
      <w:r w:rsidR="0031049C">
        <w:rPr>
          <w:rFonts w:ascii="Times New Roman" w:eastAsia="Calibri"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 нарастване с 2,5% ( 2013 г. - 43 569 лв. 2014 г.- 44 636 лв.);</w:t>
      </w:r>
    </w:p>
    <w:p w:rsidR="00F25110" w:rsidRPr="00BD7BB1" w:rsidRDefault="00F25110" w:rsidP="00F25110">
      <w:pPr>
        <w:spacing w:after="120" w:line="360" w:lineRule="auto"/>
        <w:contextualSpacing/>
        <w:jc w:val="both"/>
        <w:rPr>
          <w:rFonts w:ascii="Times New Roman" w:eastAsia="Calibri" w:hAnsi="Times New Roman"/>
          <w:color w:val="auto"/>
          <w:sz w:val="24"/>
          <w:szCs w:val="24"/>
          <w:lang w:val="bg-BG" w:eastAsia="bg-BG"/>
        </w:rPr>
      </w:pPr>
      <w:r w:rsidRPr="00BD7BB1">
        <w:rPr>
          <w:rFonts w:ascii="Times New Roman" w:eastAsia="Calibri" w:hAnsi="Times New Roman"/>
          <w:b/>
          <w:color w:val="auto"/>
          <w:sz w:val="24"/>
          <w:szCs w:val="24"/>
          <w:lang w:val="bg-BG" w:eastAsia="bg-BG"/>
        </w:rPr>
        <w:t>община Твърдица -</w:t>
      </w:r>
      <w:r w:rsidR="0031049C">
        <w:rPr>
          <w:rFonts w:ascii="Times New Roman" w:eastAsia="Calibri" w:hAnsi="Times New Roman"/>
          <w:b/>
          <w:color w:val="auto"/>
          <w:sz w:val="24"/>
          <w:szCs w:val="24"/>
          <w:lang w:val="bg-BG" w:eastAsia="bg-BG"/>
        </w:rPr>
        <w:t xml:space="preserve"> </w:t>
      </w:r>
      <w:r w:rsidRPr="00BD7BB1">
        <w:rPr>
          <w:rFonts w:ascii="Times New Roman" w:eastAsia="Calibri" w:hAnsi="Times New Roman"/>
          <w:color w:val="auto"/>
          <w:sz w:val="24"/>
          <w:szCs w:val="24"/>
          <w:lang w:val="bg-BG" w:eastAsia="bg-BG"/>
        </w:rPr>
        <w:t xml:space="preserve">нарастване с 5 %; </w:t>
      </w:r>
      <w:r w:rsidRPr="00BD7BB1">
        <w:rPr>
          <w:rFonts w:ascii="Times New Roman" w:eastAsia="Calibri" w:hAnsi="Times New Roman"/>
          <w:b/>
          <w:color w:val="auto"/>
          <w:sz w:val="24"/>
          <w:szCs w:val="24"/>
          <w:lang w:val="bg-BG" w:eastAsia="bg-BG"/>
        </w:rPr>
        <w:t>община Сливен</w:t>
      </w:r>
      <w:r w:rsidRPr="00BD7BB1">
        <w:rPr>
          <w:rFonts w:ascii="Times New Roman" w:eastAsia="Calibri" w:hAnsi="Times New Roman"/>
          <w:color w:val="auto"/>
          <w:sz w:val="24"/>
          <w:szCs w:val="24"/>
          <w:lang w:val="bg-BG" w:eastAsia="bg-BG"/>
        </w:rPr>
        <w:t xml:space="preserve"> -</w:t>
      </w:r>
      <w:r w:rsidR="0031049C">
        <w:rPr>
          <w:rFonts w:ascii="Times New Roman" w:eastAsia="Calibri"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нарастване с  30% на посетителите през 2014</w:t>
      </w:r>
      <w:r w:rsidR="0031049C">
        <w:rPr>
          <w:rFonts w:ascii="Times New Roman" w:eastAsia="Calibri"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г. спрямо 2013</w:t>
      </w:r>
      <w:r w:rsidR="0031049C">
        <w:rPr>
          <w:rFonts w:ascii="Times New Roman" w:eastAsia="Calibri" w:hAnsi="Times New Roman"/>
          <w:color w:val="auto"/>
          <w:sz w:val="24"/>
          <w:szCs w:val="24"/>
          <w:lang w:val="bg-BG" w:eastAsia="bg-BG"/>
        </w:rPr>
        <w:t xml:space="preserve"> </w:t>
      </w:r>
      <w:r w:rsidRPr="00BD7BB1">
        <w:rPr>
          <w:rFonts w:ascii="Times New Roman" w:eastAsia="Calibri" w:hAnsi="Times New Roman"/>
          <w:color w:val="auto"/>
          <w:sz w:val="24"/>
          <w:szCs w:val="24"/>
          <w:lang w:val="bg-BG" w:eastAsia="bg-BG"/>
        </w:rPr>
        <w:t>г.</w:t>
      </w:r>
    </w:p>
    <w:p w:rsidR="00F25110" w:rsidRPr="00BD7BB1" w:rsidRDefault="00F25110" w:rsidP="00715BD6">
      <w:pPr>
        <w:autoSpaceDE w:val="0"/>
        <w:autoSpaceDN w:val="0"/>
        <w:adjustRightInd w:val="0"/>
        <w:spacing w:after="0" w:line="360" w:lineRule="auto"/>
        <w:ind w:firstLine="720"/>
        <w:jc w:val="both"/>
        <w:rPr>
          <w:rFonts w:ascii="Times New Roman" w:eastAsia="Times New Roman" w:hAnsi="Times New Roman"/>
          <w:i/>
          <w:color w:val="auto"/>
          <w:sz w:val="24"/>
          <w:szCs w:val="24"/>
          <w:lang w:val="bg-BG" w:eastAsia="bg-BG"/>
        </w:rPr>
      </w:pPr>
      <w:r w:rsidRPr="00BD7BB1">
        <w:rPr>
          <w:rFonts w:ascii="Times New Roman" w:eastAsia="Times New Roman" w:hAnsi="Times New Roman"/>
          <w:color w:val="auto"/>
          <w:sz w:val="24"/>
          <w:szCs w:val="24"/>
          <w:lang w:val="bg-BG" w:eastAsia="bg-BG"/>
        </w:rPr>
        <w:t xml:space="preserve">За изпълнението  на  специфичните цели по </w:t>
      </w:r>
      <w:r w:rsidRPr="00BD7BB1">
        <w:rPr>
          <w:rFonts w:ascii="Times New Roman" w:eastAsia="Times New Roman" w:hAnsi="Times New Roman"/>
          <w:b/>
          <w:color w:val="auto"/>
          <w:sz w:val="24"/>
          <w:szCs w:val="24"/>
          <w:lang w:val="bg-BG" w:eastAsia="bg-BG"/>
        </w:rPr>
        <w:t xml:space="preserve">Приоритет 2 </w:t>
      </w:r>
      <w:r w:rsidRPr="00BD7BB1">
        <w:rPr>
          <w:rFonts w:ascii="Times New Roman" w:eastAsia="Times New Roman" w:hAnsi="Times New Roman"/>
          <w:color w:val="auto"/>
          <w:sz w:val="24"/>
          <w:szCs w:val="24"/>
          <w:lang w:val="bg-BG" w:eastAsia="bg-BG"/>
        </w:rPr>
        <w:t>допринасят  проектите по</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Оперативна програма „Регионално Развитие“ - </w:t>
      </w:r>
      <w:r w:rsidRPr="00BD7BB1">
        <w:rPr>
          <w:rFonts w:ascii="Times New Roman" w:eastAsia="Times New Roman" w:hAnsi="Times New Roman"/>
          <w:b/>
          <w:color w:val="auto"/>
          <w:sz w:val="24"/>
          <w:szCs w:val="24"/>
          <w:lang w:val="bg-BG" w:eastAsia="bg-BG"/>
        </w:rPr>
        <w:t xml:space="preserve">Приоритетна ос 3 </w:t>
      </w:r>
      <w:r w:rsidRPr="00BD7BB1">
        <w:rPr>
          <w:rFonts w:ascii="Times New Roman" w:eastAsia="Times New Roman" w:hAnsi="Times New Roman"/>
          <w:b/>
          <w:i/>
          <w:color w:val="auto"/>
          <w:sz w:val="24"/>
          <w:szCs w:val="24"/>
          <w:lang w:val="bg-BG" w:eastAsia="bg-BG"/>
        </w:rPr>
        <w:t>:</w:t>
      </w:r>
      <w:r w:rsidRPr="00BD7BB1">
        <w:rPr>
          <w:rFonts w:ascii="Times New Roman" w:eastAsia="Times New Roman" w:hAnsi="Times New Roman"/>
          <w:i/>
          <w:color w:val="auto"/>
          <w:sz w:val="24"/>
          <w:szCs w:val="24"/>
          <w:lang w:val="bg-BG" w:eastAsia="bg-BG"/>
        </w:rPr>
        <w:t xml:space="preserve"> Устойчиво развитие на туризма:</w:t>
      </w:r>
    </w:p>
    <w:p w:rsidR="00F25110" w:rsidRPr="00BD7BB1" w:rsidRDefault="00F25110" w:rsidP="00F25110">
      <w:pPr>
        <w:autoSpaceDE w:val="0"/>
        <w:autoSpaceDN w:val="0"/>
        <w:adjustRightInd w:val="0"/>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Операция 3.1 Подобряване на туристическите атракции и свързаната с тях инфраструктура</w:t>
      </w:r>
    </w:p>
    <w:p w:rsidR="00F25110" w:rsidRPr="00BD7BB1" w:rsidRDefault="00F25110" w:rsidP="00F25110">
      <w:pPr>
        <w:autoSpaceDE w:val="0"/>
        <w:autoSpaceDN w:val="0"/>
        <w:adjustRightInd w:val="0"/>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Операция 3.2 Развитие на регионалния туристически продукт и маркетинг на дестинациите</w:t>
      </w:r>
    </w:p>
    <w:p w:rsidR="00F25110" w:rsidRPr="00BD7BB1" w:rsidRDefault="00F25110" w:rsidP="00F25110">
      <w:pPr>
        <w:autoSpaceDE w:val="0"/>
        <w:autoSpaceDN w:val="0"/>
        <w:adjustRightInd w:val="0"/>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Операция   3.3 Национален туристически маркетинг.</w:t>
      </w:r>
    </w:p>
    <w:p w:rsidR="00F25110" w:rsidRPr="00BD7BB1" w:rsidRDefault="00F25110" w:rsidP="00F25110">
      <w:pPr>
        <w:autoSpaceDE w:val="0"/>
        <w:autoSpaceDN w:val="0"/>
        <w:adjustRightInd w:val="0"/>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По данни на УО на ОПРР, договорените средства в Югоизточен район към 15.03.2015 г. по Приоритетна ос 3: Устойчиво развитие на туризма  са в размер на </w:t>
      </w:r>
      <w:r w:rsidRPr="00BD7BB1">
        <w:rPr>
          <w:rFonts w:ascii="Times New Roman" w:eastAsia="Times New Roman" w:hAnsi="Times New Roman"/>
          <w:b/>
          <w:color w:val="auto"/>
          <w:sz w:val="24"/>
          <w:szCs w:val="24"/>
          <w:lang w:val="bg-BG" w:eastAsia="bg-BG"/>
        </w:rPr>
        <w:t>35,4 млн.лв.</w:t>
      </w:r>
      <w:r w:rsidRPr="00BD7BB1">
        <w:rPr>
          <w:rFonts w:ascii="Times New Roman" w:eastAsia="Times New Roman" w:hAnsi="Times New Roman"/>
          <w:color w:val="auto"/>
          <w:sz w:val="24"/>
          <w:szCs w:val="24"/>
          <w:lang w:val="bg-BG" w:eastAsia="bg-BG"/>
        </w:rPr>
        <w:t xml:space="preserve"> Проектите, в процес на изпълнение или приключени към края на 2014 г., разпределени по области в Югоизточен район са :</w:t>
      </w:r>
    </w:p>
    <w:p w:rsidR="00F25110" w:rsidRPr="00715BD6" w:rsidRDefault="00F25110" w:rsidP="00F25110">
      <w:pPr>
        <w:autoSpaceDE w:val="0"/>
        <w:autoSpaceDN w:val="0"/>
        <w:adjustRightInd w:val="0"/>
        <w:spacing w:after="0" w:line="360" w:lineRule="auto"/>
        <w:ind w:firstLine="708"/>
        <w:jc w:val="both"/>
        <w:rPr>
          <w:rFonts w:ascii="Times New Roman" w:eastAsia="Times New Roman" w:hAnsi="Times New Roman"/>
          <w:i/>
          <w:color w:val="auto"/>
          <w:sz w:val="24"/>
          <w:szCs w:val="24"/>
          <w:lang w:val="bg-BG" w:eastAsia="bg-BG"/>
        </w:rPr>
      </w:pPr>
      <w:r w:rsidRPr="00715BD6">
        <w:rPr>
          <w:rFonts w:ascii="Times New Roman" w:eastAsia="Times New Roman" w:hAnsi="Times New Roman"/>
          <w:b/>
          <w:i/>
          <w:color w:val="auto"/>
          <w:sz w:val="24"/>
          <w:szCs w:val="24"/>
          <w:lang w:val="bg-BG" w:eastAsia="bg-BG"/>
        </w:rPr>
        <w:t>Област Бургас:</w:t>
      </w:r>
      <w:r w:rsidRPr="00715BD6">
        <w:rPr>
          <w:rFonts w:ascii="Times New Roman" w:eastAsia="Times New Roman" w:hAnsi="Times New Roman"/>
          <w:i/>
          <w:color w:val="auto"/>
          <w:sz w:val="24"/>
          <w:szCs w:val="24"/>
          <w:lang w:val="bg-BG" w:eastAsia="bg-BG"/>
        </w:rPr>
        <w:t xml:space="preserve">  </w:t>
      </w:r>
    </w:p>
    <w:p w:rsidR="00715BD6" w:rsidRDefault="00F25110" w:rsidP="00715BD6">
      <w:pPr>
        <w:pStyle w:val="ListParagraph"/>
        <w:numPr>
          <w:ilvl w:val="0"/>
          <w:numId w:val="61"/>
        </w:numPr>
        <w:autoSpaceDE w:val="0"/>
        <w:autoSpaceDN w:val="0"/>
        <w:adjustRightInd w:val="0"/>
        <w:spacing w:line="360" w:lineRule="auto"/>
        <w:ind w:left="0" w:firstLine="360"/>
        <w:jc w:val="both"/>
        <w:rPr>
          <w:lang w:val="bg-BG" w:eastAsia="bg-BG"/>
        </w:rPr>
      </w:pPr>
      <w:r w:rsidRPr="00715BD6">
        <w:rPr>
          <w:lang w:val="bg-BG" w:eastAsia="bg-BG"/>
        </w:rPr>
        <w:t xml:space="preserve">В  процес на изпълнение е Проект  „Културно-историческото наследство на о-в „Света Анастасия“ и град Бургас - атрактивна и конкурентоспособна туристическа атракция“,  на стойност - 5 491 031 лв. Общата цел на проекта е да подпомогне устойчивото социално - икономическо развитие на Община Бургас, посредством </w:t>
      </w:r>
      <w:r w:rsidRPr="00715BD6">
        <w:rPr>
          <w:lang w:val="bg-BG" w:eastAsia="bg-BG"/>
        </w:rPr>
        <w:lastRenderedPageBreak/>
        <w:t xml:space="preserve">повишаване на туристическия потенциал за развитие и маркетинг на конкурентоспособни туристически продукти, основани на богатото природно и културно-историческо наследство; </w:t>
      </w:r>
    </w:p>
    <w:p w:rsidR="00715BD6" w:rsidRDefault="00F25110" w:rsidP="00715BD6">
      <w:pPr>
        <w:pStyle w:val="ListParagraph"/>
        <w:numPr>
          <w:ilvl w:val="0"/>
          <w:numId w:val="61"/>
        </w:numPr>
        <w:autoSpaceDE w:val="0"/>
        <w:autoSpaceDN w:val="0"/>
        <w:adjustRightInd w:val="0"/>
        <w:spacing w:line="360" w:lineRule="auto"/>
        <w:ind w:left="0" w:firstLine="360"/>
        <w:jc w:val="both"/>
        <w:rPr>
          <w:lang w:val="bg-BG" w:eastAsia="bg-BG"/>
        </w:rPr>
      </w:pPr>
      <w:r w:rsidRPr="00715BD6">
        <w:rPr>
          <w:lang w:val="bg-BG" w:eastAsia="bg-BG"/>
        </w:rPr>
        <w:t xml:space="preserve">Проект „Магията на древността и красотата на природата от Бургаския залив до Странджа“, с бенефициент - община Бургас, на стойност - 363 453 лв. Основната цел на проекта е интегрирано управление и ефективен маркетинг на туристическия потенциал на общините Бургас, Приморско, Малко Търново, Средец и Камено в подкрепа на устойчивото развитие на региона и утвърждаването му като конкурентоспособна туристическа дестинация. Проектът има за цел да създаде интегриран туристически продукт, обхващащ и петте общини и отразяващ техните специфични регионални особености, което ще позволи целенасоченото и контролирано развитие на всички културни, природни и археологически ресурси в региона и да бъдат привлечени повече туристи. През 2014 година проектът  включва участие на общините още на международните борси, изложения и панаири, като </w:t>
      </w:r>
      <w:r w:rsidR="0031049C">
        <w:rPr>
          <w:lang w:val="bg-BG" w:eastAsia="bg-BG"/>
        </w:rPr>
        <w:t>„</w:t>
      </w:r>
      <w:r w:rsidRPr="00715BD6">
        <w:rPr>
          <w:lang w:val="bg-BG" w:eastAsia="bg-BG"/>
        </w:rPr>
        <w:t>TRAVEL/UTAZAS</w:t>
      </w:r>
      <w:r w:rsidR="0031049C">
        <w:rPr>
          <w:lang w:val="bg-BG" w:eastAsia="bg-BG"/>
        </w:rPr>
        <w:t>“</w:t>
      </w:r>
      <w:r w:rsidRPr="00715BD6">
        <w:rPr>
          <w:lang w:val="bg-BG" w:eastAsia="bg-BG"/>
        </w:rPr>
        <w:t xml:space="preserve"> - Будапеща, Унгария  27.02</w:t>
      </w:r>
      <w:r w:rsidR="0031049C">
        <w:rPr>
          <w:lang w:val="bg-BG" w:eastAsia="bg-BG"/>
        </w:rPr>
        <w:t xml:space="preserve"> </w:t>
      </w:r>
      <w:r w:rsidRPr="00715BD6">
        <w:rPr>
          <w:lang w:val="bg-BG" w:eastAsia="bg-BG"/>
        </w:rPr>
        <w:t>-</w:t>
      </w:r>
      <w:r w:rsidR="0031049C">
        <w:rPr>
          <w:lang w:val="bg-BG" w:eastAsia="bg-BG"/>
        </w:rPr>
        <w:t xml:space="preserve"> </w:t>
      </w:r>
      <w:r w:rsidRPr="00715BD6">
        <w:rPr>
          <w:lang w:val="bg-BG" w:eastAsia="bg-BG"/>
        </w:rPr>
        <w:t xml:space="preserve">02.03.2014 г.; </w:t>
      </w:r>
      <w:r w:rsidR="0031049C">
        <w:rPr>
          <w:lang w:val="bg-BG" w:eastAsia="bg-BG"/>
        </w:rPr>
        <w:t>„</w:t>
      </w:r>
      <w:r w:rsidRPr="00715BD6">
        <w:rPr>
          <w:lang w:val="bg-BG" w:eastAsia="bg-BG"/>
        </w:rPr>
        <w:t>ITB</w:t>
      </w:r>
      <w:r w:rsidR="0031049C">
        <w:rPr>
          <w:lang w:val="bg-BG" w:eastAsia="bg-BG"/>
        </w:rPr>
        <w:t>“</w:t>
      </w:r>
      <w:r w:rsidRPr="00715BD6">
        <w:rPr>
          <w:lang w:val="bg-BG" w:eastAsia="bg-BG"/>
        </w:rPr>
        <w:t xml:space="preserve"> - Берлин, Германия, за периода 05-09.03.2014 г.; </w:t>
      </w:r>
      <w:r w:rsidR="0031049C">
        <w:rPr>
          <w:lang w:val="bg-BG" w:eastAsia="bg-BG"/>
        </w:rPr>
        <w:t>„</w:t>
      </w:r>
      <w:r w:rsidRPr="00715BD6">
        <w:rPr>
          <w:lang w:val="bg-BG" w:eastAsia="bg-BG"/>
        </w:rPr>
        <w:t>ТТR</w:t>
      </w:r>
      <w:r w:rsidR="0031049C">
        <w:rPr>
          <w:lang w:val="bg-BG" w:eastAsia="bg-BG"/>
        </w:rPr>
        <w:t>“</w:t>
      </w:r>
      <w:r w:rsidRPr="00715BD6">
        <w:rPr>
          <w:lang w:val="bg-BG" w:eastAsia="bg-BG"/>
        </w:rPr>
        <w:t xml:space="preserve"> - Букурещ, Румъния за периода 13</w:t>
      </w:r>
      <w:r w:rsidR="0031049C">
        <w:rPr>
          <w:lang w:val="bg-BG" w:eastAsia="bg-BG"/>
        </w:rPr>
        <w:t xml:space="preserve"> </w:t>
      </w:r>
      <w:r w:rsidRPr="00715BD6">
        <w:rPr>
          <w:lang w:val="bg-BG" w:eastAsia="bg-BG"/>
        </w:rPr>
        <w:t>-</w:t>
      </w:r>
      <w:r w:rsidR="0031049C">
        <w:rPr>
          <w:lang w:val="bg-BG" w:eastAsia="bg-BG"/>
        </w:rPr>
        <w:t xml:space="preserve"> </w:t>
      </w:r>
      <w:r w:rsidRPr="00715BD6">
        <w:rPr>
          <w:lang w:val="bg-BG" w:eastAsia="bg-BG"/>
        </w:rPr>
        <w:t>16.03.2014г., както и на Туристическите изложения в София, Велико Търново и Бургас.</w:t>
      </w:r>
    </w:p>
    <w:p w:rsidR="00715BD6" w:rsidRDefault="00F25110" w:rsidP="00715BD6">
      <w:pPr>
        <w:pStyle w:val="ListParagraph"/>
        <w:numPr>
          <w:ilvl w:val="0"/>
          <w:numId w:val="61"/>
        </w:numPr>
        <w:autoSpaceDE w:val="0"/>
        <w:autoSpaceDN w:val="0"/>
        <w:adjustRightInd w:val="0"/>
        <w:spacing w:line="360" w:lineRule="auto"/>
        <w:ind w:left="0" w:firstLine="360"/>
        <w:jc w:val="both"/>
        <w:rPr>
          <w:lang w:val="bg-BG" w:eastAsia="bg-BG"/>
        </w:rPr>
      </w:pPr>
      <w:r w:rsidRPr="00715BD6">
        <w:rPr>
          <w:lang w:val="bg-BG" w:eastAsia="bg-BG"/>
        </w:rPr>
        <w:t>По ОП „Регионално развитие“, Приоритетна ос 1: „</w:t>
      </w:r>
      <w:r w:rsidRPr="00715BD6">
        <w:rPr>
          <w:i/>
          <w:lang w:val="bg-BG" w:eastAsia="bg-BG"/>
        </w:rPr>
        <w:t>Устойчиво и интегрирано градско развитие“,</w:t>
      </w:r>
      <w:r w:rsidRPr="00715BD6">
        <w:rPr>
          <w:lang w:val="bg-BG" w:eastAsia="bg-BG"/>
        </w:rPr>
        <w:t xml:space="preserve"> схема „</w:t>
      </w:r>
      <w:r w:rsidRPr="00715BD6">
        <w:rPr>
          <w:i/>
          <w:lang w:val="bg-BG" w:eastAsia="bg-BG"/>
        </w:rPr>
        <w:t>Подкрепа за създаване и промотиране на иновативни културни събития“,</w:t>
      </w:r>
      <w:r w:rsidRPr="00715BD6">
        <w:rPr>
          <w:lang w:val="bg-BG" w:eastAsia="bg-BG"/>
        </w:rPr>
        <w:t xml:space="preserve"> през 2013</w:t>
      </w:r>
      <w:r w:rsidR="00384F9A">
        <w:rPr>
          <w:lang w:val="bg-BG" w:eastAsia="bg-BG"/>
        </w:rPr>
        <w:t xml:space="preserve"> </w:t>
      </w:r>
      <w:r w:rsidRPr="00715BD6">
        <w:rPr>
          <w:lang w:val="bg-BG" w:eastAsia="bg-BG"/>
        </w:rPr>
        <w:t xml:space="preserve">г. е регистриран проект - „Подготовка и провеждане на иновативно културно събитие - Да съживим традициите в Карнобат“ с бенефициент община Карнобат. Общият  бюджет на проекта възлиза на стойност 523 271лв. и има за цел повишаване привлекателността на общината, чрез нови форми на традиционните изяви и създаването на „културна марка” на региона.  </w:t>
      </w:r>
    </w:p>
    <w:p w:rsidR="00715BD6" w:rsidRDefault="00F25110" w:rsidP="00715BD6">
      <w:pPr>
        <w:pStyle w:val="ListParagraph"/>
        <w:numPr>
          <w:ilvl w:val="0"/>
          <w:numId w:val="61"/>
        </w:numPr>
        <w:autoSpaceDE w:val="0"/>
        <w:autoSpaceDN w:val="0"/>
        <w:adjustRightInd w:val="0"/>
        <w:spacing w:line="360" w:lineRule="auto"/>
        <w:ind w:left="0" w:firstLine="360"/>
        <w:jc w:val="both"/>
        <w:rPr>
          <w:lang w:val="bg-BG" w:eastAsia="bg-BG"/>
        </w:rPr>
      </w:pPr>
      <w:r w:rsidRPr="00715BD6">
        <w:rPr>
          <w:lang w:val="bg-BG" w:eastAsia="bg-BG"/>
        </w:rPr>
        <w:t>По ОП Регионално развитие  в община Карнобат се реализира проект  „Реставрация, консервация и експониране на Крепост Маркели и изграждане на техническа инфраструктура към нея. Развитие на туристическа атракция Средновековен парк Маркели“,  стойност на проекта - 3 225 793 лв.</w:t>
      </w:r>
      <w:r w:rsidRPr="00715BD6">
        <w:rPr>
          <w:rFonts w:ascii="Verdana" w:hAnsi="Verdana"/>
          <w:sz w:val="16"/>
          <w:szCs w:val="16"/>
          <w:lang w:val="bg-BG" w:eastAsia="bg-BG"/>
        </w:rPr>
        <w:t xml:space="preserve"> </w:t>
      </w:r>
      <w:r w:rsidRPr="00715BD6">
        <w:rPr>
          <w:lang w:val="bg-BG" w:eastAsia="bg-BG"/>
        </w:rPr>
        <w:t xml:space="preserve">Целта на проекта  е </w:t>
      </w:r>
      <w:r w:rsidRPr="00715BD6">
        <w:rPr>
          <w:rFonts w:ascii="Verdana" w:hAnsi="Verdana"/>
          <w:sz w:val="16"/>
          <w:szCs w:val="16"/>
          <w:lang w:val="bg-BG" w:eastAsia="bg-BG"/>
        </w:rPr>
        <w:t xml:space="preserve"> </w:t>
      </w:r>
      <w:r w:rsidRPr="00715BD6">
        <w:rPr>
          <w:lang w:val="bg-BG" w:eastAsia="bg-BG"/>
        </w:rPr>
        <w:t>интегриране на културно - исторически и природни туристически ресурси на територията на община Карнобат в устойчив, специфичен за региона комплексен туристически продукт „Средновековен Парк Маркели“;</w:t>
      </w:r>
    </w:p>
    <w:p w:rsidR="00715BD6" w:rsidRDefault="00F25110" w:rsidP="00715BD6">
      <w:pPr>
        <w:pStyle w:val="ListParagraph"/>
        <w:numPr>
          <w:ilvl w:val="0"/>
          <w:numId w:val="61"/>
        </w:numPr>
        <w:autoSpaceDE w:val="0"/>
        <w:autoSpaceDN w:val="0"/>
        <w:adjustRightInd w:val="0"/>
        <w:spacing w:line="360" w:lineRule="auto"/>
        <w:ind w:left="0" w:firstLine="360"/>
        <w:jc w:val="both"/>
        <w:rPr>
          <w:lang w:val="bg-BG" w:eastAsia="bg-BG"/>
        </w:rPr>
      </w:pPr>
      <w:r w:rsidRPr="00715BD6">
        <w:rPr>
          <w:lang w:val="bg-BG" w:eastAsia="bg-BG"/>
        </w:rPr>
        <w:lastRenderedPageBreak/>
        <w:t>Проект „Деултум - врата към загадъчната Странджа” - община Средец, стойност на проекта - 2 784 041 лв. Проектът цели създаване и промоция на модерна туристическа инфраструктура и развитието на туристически атракции в Община Средец в подкрепа на балансирано устойчиво развитие на туризма в Бургаски регион;</w:t>
      </w:r>
    </w:p>
    <w:p w:rsidR="00F25110" w:rsidRPr="00715BD6" w:rsidRDefault="00F25110" w:rsidP="00715BD6">
      <w:pPr>
        <w:pStyle w:val="ListParagraph"/>
        <w:numPr>
          <w:ilvl w:val="0"/>
          <w:numId w:val="61"/>
        </w:numPr>
        <w:autoSpaceDE w:val="0"/>
        <w:autoSpaceDN w:val="0"/>
        <w:adjustRightInd w:val="0"/>
        <w:spacing w:line="360" w:lineRule="auto"/>
        <w:ind w:left="0" w:firstLine="360"/>
        <w:jc w:val="both"/>
        <w:rPr>
          <w:lang w:val="bg-BG" w:eastAsia="bg-BG"/>
        </w:rPr>
      </w:pPr>
      <w:r w:rsidRPr="00715BD6">
        <w:rPr>
          <w:lang w:val="bg-BG" w:eastAsia="bg-BG"/>
        </w:rPr>
        <w:t>Проект „Иновативен маркетингов подход за развитие на регионален туристически продукт”  на стойност  433 394 лв. Общата цел на проекта е повишаване ефективността на регионалния маркетинг в Централен Черноморски регион (Несебър-Бяла-Долни чифлик) чрез прилагане на иновативен маркетингов подход за развитие на регионален туристически продукт; </w:t>
      </w:r>
    </w:p>
    <w:p w:rsidR="00715BD6" w:rsidRDefault="00F25110" w:rsidP="00715BD6">
      <w:pPr>
        <w:pStyle w:val="ListParagraph"/>
        <w:numPr>
          <w:ilvl w:val="0"/>
          <w:numId w:val="61"/>
        </w:numPr>
        <w:autoSpaceDE w:val="0"/>
        <w:autoSpaceDN w:val="0"/>
        <w:adjustRightInd w:val="0"/>
        <w:spacing w:line="360" w:lineRule="auto"/>
        <w:ind w:left="-284" w:firstLine="644"/>
        <w:jc w:val="both"/>
        <w:rPr>
          <w:lang w:val="bg-BG" w:eastAsia="bg-BG"/>
        </w:rPr>
      </w:pPr>
      <w:r w:rsidRPr="00715BD6">
        <w:rPr>
          <w:lang w:val="bg-BG" w:eastAsia="bg-BG"/>
        </w:rPr>
        <w:t>Проект „Вяра в Несебър“, с бенефициент община Несебър, на стойност 1 643 230 лв. Основната цел на проекта е развитие на конкурентоспособни туристически атракции в община Несебър, основани на културно-историческото наследство на района, които имат потенциала да привлекат значителен брой туристи, чрез предлагане на уникални и специфични само за това място услуги и туристически продукти;</w:t>
      </w:r>
    </w:p>
    <w:p w:rsidR="00715BD6" w:rsidRDefault="00F25110" w:rsidP="00715BD6">
      <w:pPr>
        <w:pStyle w:val="ListParagraph"/>
        <w:numPr>
          <w:ilvl w:val="0"/>
          <w:numId w:val="61"/>
        </w:numPr>
        <w:autoSpaceDE w:val="0"/>
        <w:autoSpaceDN w:val="0"/>
        <w:adjustRightInd w:val="0"/>
        <w:spacing w:line="360" w:lineRule="auto"/>
        <w:ind w:left="-284" w:firstLine="644"/>
        <w:jc w:val="both"/>
        <w:rPr>
          <w:lang w:val="bg-BG" w:eastAsia="bg-BG"/>
        </w:rPr>
      </w:pPr>
      <w:r w:rsidRPr="00715BD6">
        <w:rPr>
          <w:lang w:val="bg-BG" w:eastAsia="bg-BG"/>
        </w:rPr>
        <w:t xml:space="preserve">Проект </w:t>
      </w:r>
      <w:r w:rsidRPr="00715BD6">
        <w:rPr>
          <w:rFonts w:ascii="Perpetua" w:hAnsi="Perpetua" w:cs="Perpetua"/>
          <w:lang w:val="bg-BG" w:eastAsia="bg-BG"/>
        </w:rPr>
        <w:t>„</w:t>
      </w:r>
      <w:r w:rsidRPr="00715BD6">
        <w:rPr>
          <w:lang w:val="bg-BG" w:eastAsia="bg-BG"/>
        </w:rPr>
        <w:t>Интеграция на културно-историческите ценности и диверсификация на туристическите продукти на територията на община Созопол</w:t>
      </w:r>
      <w:r w:rsidRPr="00715BD6">
        <w:rPr>
          <w:rFonts w:ascii="Perpetua" w:hAnsi="Perpetua" w:cs="Perpetua"/>
          <w:lang w:val="bg-BG" w:eastAsia="bg-BG"/>
        </w:rPr>
        <w:t>“</w:t>
      </w:r>
      <w:r w:rsidRPr="00715BD6">
        <w:rPr>
          <w:rFonts w:ascii="Verdana" w:hAnsi="Verdana"/>
          <w:sz w:val="16"/>
          <w:szCs w:val="16"/>
          <w:lang w:val="bg-BG" w:eastAsia="bg-BG"/>
        </w:rPr>
        <w:t xml:space="preserve"> </w:t>
      </w:r>
      <w:r w:rsidRPr="00715BD6">
        <w:rPr>
          <w:lang w:val="bg-BG" w:eastAsia="bg-BG"/>
        </w:rPr>
        <w:t>с бенефициент  - община Созопол, на стойност -</w:t>
      </w:r>
      <w:r w:rsidR="00384F9A">
        <w:rPr>
          <w:lang w:val="bg-BG" w:eastAsia="bg-BG"/>
        </w:rPr>
        <w:t xml:space="preserve"> </w:t>
      </w:r>
      <w:r w:rsidRPr="00715BD6">
        <w:rPr>
          <w:lang w:val="bg-BG" w:eastAsia="bg-BG"/>
        </w:rPr>
        <w:t>1</w:t>
      </w:r>
      <w:r w:rsidRPr="00715BD6">
        <w:rPr>
          <w:rFonts w:ascii="Perpetua" w:hAnsi="Perpetua" w:cs="Perpetua"/>
          <w:lang w:val="bg-BG" w:eastAsia="bg-BG"/>
        </w:rPr>
        <w:t> </w:t>
      </w:r>
      <w:r w:rsidRPr="00715BD6">
        <w:rPr>
          <w:lang w:val="bg-BG" w:eastAsia="bg-BG"/>
        </w:rPr>
        <w:t>040</w:t>
      </w:r>
      <w:r w:rsidRPr="00715BD6">
        <w:rPr>
          <w:rFonts w:ascii="Perpetua" w:hAnsi="Perpetua" w:cs="Perpetua"/>
          <w:lang w:val="bg-BG" w:eastAsia="bg-BG"/>
        </w:rPr>
        <w:t> </w:t>
      </w:r>
      <w:r w:rsidRPr="00715BD6">
        <w:rPr>
          <w:lang w:val="bg-BG" w:eastAsia="bg-BG"/>
        </w:rPr>
        <w:t>786 лв. Основната цел на проекта е повишаване на икономическата ефективност и качеството на предлаганите туристически продукти и услуги чрез утвърждаване на иновативни мултиплицируеми нови форми за алтернативен туризъм и развиване на качествена широкообхватна и териториално диверсифицирана туристическа анимация и цифрова интерпретация;</w:t>
      </w:r>
    </w:p>
    <w:p w:rsidR="005170D0" w:rsidRPr="005170D0" w:rsidRDefault="00F25110" w:rsidP="00F25110">
      <w:pPr>
        <w:pStyle w:val="ListParagraph"/>
        <w:numPr>
          <w:ilvl w:val="0"/>
          <w:numId w:val="61"/>
        </w:numPr>
        <w:autoSpaceDE w:val="0"/>
        <w:autoSpaceDN w:val="0"/>
        <w:adjustRightInd w:val="0"/>
        <w:spacing w:line="360" w:lineRule="auto"/>
        <w:ind w:left="-284" w:firstLine="644"/>
        <w:jc w:val="both"/>
        <w:rPr>
          <w:lang w:val="bg-BG" w:eastAsia="bg-BG"/>
        </w:rPr>
      </w:pPr>
      <w:r w:rsidRPr="00715BD6">
        <w:rPr>
          <w:lang w:val="bg-BG" w:eastAsia="bg-BG"/>
        </w:rPr>
        <w:t>Проект „Развитие на регионален туристически продукт и маркетинг на туристически район Поморийски залив и Източна Стара планина“, с бенефициент  - община Поморие, на стойност - 487 296 лв.  Целта на проекта  се състои в създаване на комплексен туристически продукт в туристически район Поморийски залив и Източна Стара планина, увеличаване броя на туристите и техния престой, устойчиво развитие на интегриран туристически продукт на база разнообразието от природни и антропогенни дадености на района и подобряване на неговото качество, създаване и укрепване на рамка за развитието на туризма, на основата на широко партньорство;</w:t>
      </w:r>
      <w:r w:rsidRPr="00715BD6">
        <w:rPr>
          <w:b/>
          <w:u w:val="single"/>
          <w:lang w:val="bg-BG" w:eastAsia="bg-BG"/>
        </w:rPr>
        <w:t xml:space="preserve"> </w:t>
      </w:r>
    </w:p>
    <w:p w:rsidR="005170D0" w:rsidRDefault="005170D0" w:rsidP="005170D0">
      <w:pPr>
        <w:autoSpaceDE w:val="0"/>
        <w:autoSpaceDN w:val="0"/>
        <w:adjustRightInd w:val="0"/>
        <w:spacing w:line="360" w:lineRule="auto"/>
        <w:ind w:left="-284"/>
        <w:jc w:val="both"/>
        <w:rPr>
          <w:rFonts w:ascii="Times New Roman" w:hAnsi="Times New Roman"/>
          <w:b/>
          <w:i/>
          <w:lang w:val="bg-BG" w:eastAsia="bg-BG"/>
        </w:rPr>
      </w:pPr>
    </w:p>
    <w:p w:rsidR="00F25110" w:rsidRPr="005170D0" w:rsidRDefault="00F25110" w:rsidP="005170D0">
      <w:pPr>
        <w:autoSpaceDE w:val="0"/>
        <w:autoSpaceDN w:val="0"/>
        <w:adjustRightInd w:val="0"/>
        <w:spacing w:line="360" w:lineRule="auto"/>
        <w:ind w:left="-284"/>
        <w:jc w:val="both"/>
        <w:rPr>
          <w:lang w:val="bg-BG" w:eastAsia="bg-BG"/>
        </w:rPr>
      </w:pPr>
      <w:r w:rsidRPr="005170D0">
        <w:rPr>
          <w:rFonts w:ascii="Times New Roman" w:hAnsi="Times New Roman"/>
          <w:b/>
          <w:i/>
          <w:lang w:val="bg-BG" w:eastAsia="bg-BG"/>
        </w:rPr>
        <w:t>Област</w:t>
      </w:r>
      <w:r w:rsidRPr="005170D0">
        <w:rPr>
          <w:b/>
          <w:i/>
          <w:lang w:val="bg-BG" w:eastAsia="bg-BG"/>
        </w:rPr>
        <w:t xml:space="preserve"> </w:t>
      </w:r>
      <w:r w:rsidRPr="005170D0">
        <w:rPr>
          <w:rFonts w:ascii="Times New Roman" w:hAnsi="Times New Roman"/>
          <w:b/>
          <w:i/>
          <w:lang w:val="bg-BG" w:eastAsia="bg-BG"/>
        </w:rPr>
        <w:t>Стара</w:t>
      </w:r>
      <w:r w:rsidRPr="005170D0">
        <w:rPr>
          <w:b/>
          <w:i/>
          <w:lang w:val="bg-BG" w:eastAsia="bg-BG"/>
        </w:rPr>
        <w:t xml:space="preserve"> </w:t>
      </w:r>
      <w:r w:rsidRPr="005170D0">
        <w:rPr>
          <w:rFonts w:ascii="Times New Roman" w:hAnsi="Times New Roman"/>
          <w:b/>
          <w:i/>
          <w:lang w:val="bg-BG" w:eastAsia="bg-BG"/>
        </w:rPr>
        <w:t>Загора</w:t>
      </w:r>
      <w:r w:rsidRPr="005170D0">
        <w:rPr>
          <w:b/>
          <w:i/>
          <w:lang w:val="bg-BG" w:eastAsia="bg-BG"/>
        </w:rPr>
        <w:t>:</w:t>
      </w:r>
      <w:r w:rsidRPr="005170D0">
        <w:rPr>
          <w:b/>
          <w:lang w:val="bg-BG" w:eastAsia="bg-BG"/>
        </w:rPr>
        <w:t xml:space="preserve">  </w:t>
      </w:r>
    </w:p>
    <w:p w:rsidR="00715BD6" w:rsidRDefault="00F25110" w:rsidP="00715BD6">
      <w:pPr>
        <w:pStyle w:val="ListParagraph"/>
        <w:numPr>
          <w:ilvl w:val="0"/>
          <w:numId w:val="64"/>
        </w:numPr>
        <w:spacing w:line="360" w:lineRule="auto"/>
        <w:ind w:left="-284" w:firstLine="644"/>
        <w:jc w:val="both"/>
        <w:rPr>
          <w:lang w:val="bg-BG" w:eastAsia="bg-BG"/>
        </w:rPr>
      </w:pPr>
      <w:r w:rsidRPr="00715BD6">
        <w:rPr>
          <w:lang w:val="bg-BG" w:eastAsia="bg-BG"/>
        </w:rPr>
        <w:lastRenderedPageBreak/>
        <w:t>Проект „Превръщане на културно-исторически паметници от античния период на Стара Загора в туристическа атракция“, с бенефициент  община Стара Загора, на стойност 4 281 942 лв. Основната цел на проекта е да се експонира и развие културно -</w:t>
      </w:r>
      <w:r w:rsidR="00384F9A">
        <w:rPr>
          <w:lang w:val="bg-BG" w:eastAsia="bg-BG"/>
        </w:rPr>
        <w:t xml:space="preserve"> </w:t>
      </w:r>
      <w:r w:rsidRPr="00715BD6">
        <w:rPr>
          <w:lang w:val="bg-BG" w:eastAsia="bg-BG"/>
        </w:rPr>
        <w:t>историческата забележителност - разкритата част от Античния град Августа Траяна в центъра на Стара Загора, като едновременно се превърне в атрактивна туристическа дестинация, предлагаща по-висококачествен и разнообразен туристически продукт и по-равномерно разпределение на ползите от туризма не само в региона, но и в цялата страна;</w:t>
      </w:r>
    </w:p>
    <w:p w:rsidR="005170D0" w:rsidRPr="005170D0" w:rsidRDefault="00F25110" w:rsidP="005170D0">
      <w:pPr>
        <w:pStyle w:val="ListParagraph"/>
        <w:numPr>
          <w:ilvl w:val="0"/>
          <w:numId w:val="64"/>
        </w:numPr>
        <w:spacing w:line="360" w:lineRule="auto"/>
        <w:ind w:left="-284" w:firstLine="644"/>
        <w:jc w:val="both"/>
        <w:rPr>
          <w:lang w:val="bg-BG" w:eastAsia="bg-BG"/>
        </w:rPr>
      </w:pPr>
      <w:r w:rsidRPr="00715BD6">
        <w:rPr>
          <w:lang w:val="bg-BG" w:eastAsia="bg-BG"/>
        </w:rPr>
        <w:t>Проект „Античното наследство на Тракия”, на стойност 470 672 лв. Общата цел на настоящия Проект е да подкрепи и увеличи интереса към конкурентоспособни туристически атракции на територията на общините Стара Загора - Нова Загора - Раднево, които ще допринесат за диверсификация на туристическият продукт, намаляване на териториалната концентрация и по</w:t>
      </w:r>
      <w:r w:rsidR="00384F9A">
        <w:rPr>
          <w:lang w:val="bg-BG" w:eastAsia="bg-BG"/>
        </w:rPr>
        <w:t xml:space="preserve"> </w:t>
      </w:r>
      <w:r w:rsidRPr="00715BD6">
        <w:rPr>
          <w:lang w:val="bg-BG" w:eastAsia="bg-BG"/>
        </w:rPr>
        <w:t>-</w:t>
      </w:r>
      <w:r w:rsidR="00384F9A">
        <w:rPr>
          <w:lang w:val="bg-BG" w:eastAsia="bg-BG"/>
        </w:rPr>
        <w:t xml:space="preserve"> </w:t>
      </w:r>
      <w:r w:rsidRPr="00715BD6">
        <w:rPr>
          <w:lang w:val="bg-BG" w:eastAsia="bg-BG"/>
        </w:rPr>
        <w:t>равномерно разпределение на ползите от туризма.</w:t>
      </w:r>
      <w:r w:rsidRPr="00715BD6">
        <w:rPr>
          <w:b/>
          <w:lang w:val="bg-BG" w:eastAsia="bg-BG"/>
        </w:rPr>
        <w:t xml:space="preserve"> </w:t>
      </w:r>
    </w:p>
    <w:p w:rsidR="005170D0" w:rsidRDefault="005170D0" w:rsidP="005170D0">
      <w:pPr>
        <w:spacing w:line="360" w:lineRule="auto"/>
        <w:ind w:left="-284"/>
        <w:jc w:val="both"/>
        <w:rPr>
          <w:rFonts w:ascii="Times New Roman" w:hAnsi="Times New Roman"/>
          <w:b/>
          <w:i/>
          <w:lang w:val="bg-BG" w:eastAsia="bg-BG"/>
        </w:rPr>
      </w:pPr>
    </w:p>
    <w:p w:rsidR="005170D0" w:rsidRDefault="00F25110" w:rsidP="005170D0">
      <w:pPr>
        <w:spacing w:line="360" w:lineRule="auto"/>
        <w:ind w:left="-284"/>
        <w:jc w:val="both"/>
        <w:rPr>
          <w:rFonts w:ascii="Cambria" w:hAnsi="Cambria"/>
          <w:lang w:val="bg-BG" w:eastAsia="bg-BG"/>
        </w:rPr>
      </w:pPr>
      <w:r w:rsidRPr="005170D0">
        <w:rPr>
          <w:rFonts w:ascii="Times New Roman" w:hAnsi="Times New Roman"/>
          <w:b/>
          <w:i/>
          <w:lang w:val="bg-BG" w:eastAsia="bg-BG"/>
        </w:rPr>
        <w:t>Област</w:t>
      </w:r>
      <w:r w:rsidRPr="005170D0">
        <w:rPr>
          <w:b/>
          <w:i/>
          <w:lang w:val="bg-BG" w:eastAsia="bg-BG"/>
        </w:rPr>
        <w:t xml:space="preserve"> </w:t>
      </w:r>
      <w:r w:rsidRPr="005170D0">
        <w:rPr>
          <w:rFonts w:ascii="Times New Roman" w:hAnsi="Times New Roman"/>
          <w:b/>
          <w:i/>
          <w:lang w:val="bg-BG" w:eastAsia="bg-BG"/>
        </w:rPr>
        <w:t>Сливен</w:t>
      </w:r>
      <w:r w:rsidRPr="005170D0">
        <w:rPr>
          <w:b/>
          <w:i/>
          <w:lang w:val="bg-BG" w:eastAsia="bg-BG"/>
        </w:rPr>
        <w:t>:</w:t>
      </w:r>
      <w:r w:rsidRPr="005170D0">
        <w:rPr>
          <w:b/>
          <w:lang w:val="bg-BG" w:eastAsia="bg-BG"/>
        </w:rPr>
        <w:t xml:space="preserve">  </w:t>
      </w:r>
    </w:p>
    <w:p w:rsidR="005170D0" w:rsidRPr="005170D0" w:rsidRDefault="00F25110" w:rsidP="005170D0">
      <w:pPr>
        <w:pStyle w:val="ListParagraph"/>
        <w:numPr>
          <w:ilvl w:val="0"/>
          <w:numId w:val="64"/>
        </w:numPr>
        <w:spacing w:line="360" w:lineRule="auto"/>
        <w:ind w:left="-284" w:firstLine="644"/>
        <w:jc w:val="both"/>
        <w:rPr>
          <w:rFonts w:asciiTheme="minorHAnsi" w:eastAsiaTheme="minorHAnsi" w:hAnsiTheme="minorHAnsi"/>
          <w:color w:val="000000" w:themeColor="text1"/>
          <w:sz w:val="22"/>
          <w:szCs w:val="20"/>
          <w:lang w:val="bg-BG" w:eastAsia="bg-BG"/>
        </w:rPr>
      </w:pPr>
      <w:r w:rsidRPr="005170D0">
        <w:rPr>
          <w:lang w:val="bg-BG" w:eastAsia="bg-BG"/>
        </w:rPr>
        <w:t xml:space="preserve">Проект „Регион Сливен - кръстопът на традиции, </w:t>
      </w:r>
      <w:r w:rsidR="00384F9A">
        <w:rPr>
          <w:lang w:val="bg-BG" w:eastAsia="bg-BG"/>
        </w:rPr>
        <w:t xml:space="preserve"> </w:t>
      </w:r>
      <w:r w:rsidRPr="005170D0">
        <w:rPr>
          <w:lang w:val="bg-BG" w:eastAsia="bg-BG"/>
        </w:rPr>
        <w:t>култури и епохи“, с бенефициент - община Сливен, на стойност 486 824 лв.</w:t>
      </w:r>
      <w:r w:rsidRPr="005170D0">
        <w:rPr>
          <w:rFonts w:ascii="Verdana" w:hAnsi="Verdana"/>
          <w:sz w:val="16"/>
          <w:szCs w:val="16"/>
          <w:lang w:val="bg-BG" w:eastAsia="bg-BG"/>
        </w:rPr>
        <w:t xml:space="preserve"> </w:t>
      </w:r>
      <w:r w:rsidRPr="005170D0">
        <w:rPr>
          <w:lang w:val="bg-BG" w:eastAsia="bg-BG"/>
        </w:rPr>
        <w:t>Настоящият проект има за цел да увеличи интереса на туристите към територията на общините Сливен - Котел - Твърдица, което ще допринесе за диверсификация на туристическият продукт и по-равномерно разпределение на ползите от туризма. Осъществяването на проекта ще доведе до преки положителни ползи за туристическия сектор - повишаване на броя на туристите, популяризиране на региона като ваканционна дестинация и повишаването на разпознаваемостта на нейните туристическите атракции, намаляване диспропорциите;</w:t>
      </w:r>
    </w:p>
    <w:p w:rsidR="005170D0" w:rsidRPr="005170D0" w:rsidRDefault="00F25110" w:rsidP="005170D0">
      <w:pPr>
        <w:pStyle w:val="ListParagraph"/>
        <w:numPr>
          <w:ilvl w:val="0"/>
          <w:numId w:val="64"/>
        </w:numPr>
        <w:spacing w:line="360" w:lineRule="auto"/>
        <w:ind w:left="-284" w:firstLine="644"/>
        <w:jc w:val="both"/>
        <w:rPr>
          <w:rFonts w:asciiTheme="minorHAnsi" w:eastAsiaTheme="minorHAnsi" w:hAnsiTheme="minorHAnsi"/>
          <w:color w:val="000000" w:themeColor="text1"/>
          <w:sz w:val="22"/>
          <w:szCs w:val="20"/>
          <w:lang w:val="bg-BG" w:eastAsia="bg-BG"/>
        </w:rPr>
      </w:pPr>
      <w:r w:rsidRPr="005170D0">
        <w:rPr>
          <w:lang w:val="bg-BG" w:eastAsia="bg-BG"/>
        </w:rPr>
        <w:t>Проект „Пътуване през времето, във времето и с времето - интегриран проект за развитие на природни, културни и исторически атракции и туристическа  инфраструктура  в  Сливен”  на стойност 5 035 570 лв. Общата цел на проектното предложение е да допринесе за подобряване, обновяване и доразвиване на съществуващите туристически атракции на територията на гр. Сливен, както и да се възстанови, укрепи и развие културно-историческата забележителност - историческата крепост „Туида” като цялостен, атрактивен туристически продукт.</w:t>
      </w:r>
    </w:p>
    <w:p w:rsidR="005170D0" w:rsidRPr="005170D0" w:rsidRDefault="005170D0" w:rsidP="005170D0">
      <w:pPr>
        <w:pStyle w:val="ListParagraph"/>
        <w:spacing w:line="360" w:lineRule="auto"/>
        <w:ind w:left="360"/>
        <w:jc w:val="both"/>
        <w:rPr>
          <w:rFonts w:asciiTheme="minorHAnsi" w:eastAsiaTheme="minorHAnsi" w:hAnsiTheme="minorHAnsi"/>
          <w:color w:val="000000" w:themeColor="text1"/>
          <w:sz w:val="22"/>
          <w:szCs w:val="20"/>
          <w:lang w:val="bg-BG" w:eastAsia="bg-BG"/>
        </w:rPr>
      </w:pPr>
    </w:p>
    <w:p w:rsidR="005170D0" w:rsidRDefault="00F25110" w:rsidP="005170D0">
      <w:pPr>
        <w:spacing w:line="360" w:lineRule="auto"/>
        <w:ind w:left="-284"/>
        <w:jc w:val="both"/>
        <w:rPr>
          <w:rFonts w:ascii="Cambria" w:hAnsi="Cambria"/>
          <w:lang w:val="bg-BG" w:eastAsia="bg-BG"/>
        </w:rPr>
      </w:pPr>
      <w:r w:rsidRPr="005170D0">
        <w:rPr>
          <w:rFonts w:ascii="Times New Roman" w:hAnsi="Times New Roman"/>
          <w:b/>
          <w:i/>
          <w:lang w:val="bg-BG" w:eastAsia="bg-BG"/>
        </w:rPr>
        <w:t>Област</w:t>
      </w:r>
      <w:r w:rsidRPr="005170D0">
        <w:rPr>
          <w:b/>
          <w:i/>
          <w:lang w:val="bg-BG" w:eastAsia="bg-BG"/>
        </w:rPr>
        <w:t xml:space="preserve"> </w:t>
      </w:r>
      <w:r w:rsidRPr="005170D0">
        <w:rPr>
          <w:rFonts w:ascii="Times New Roman" w:hAnsi="Times New Roman"/>
          <w:b/>
          <w:i/>
          <w:lang w:val="bg-BG" w:eastAsia="bg-BG"/>
        </w:rPr>
        <w:t>Ямбол</w:t>
      </w:r>
      <w:r w:rsidRPr="005170D0">
        <w:rPr>
          <w:b/>
          <w:i/>
          <w:lang w:val="bg-BG" w:eastAsia="bg-BG"/>
        </w:rPr>
        <w:t>:</w:t>
      </w:r>
      <w:r w:rsidRPr="005170D0">
        <w:rPr>
          <w:b/>
          <w:u w:val="single"/>
          <w:lang w:val="bg-BG" w:eastAsia="bg-BG"/>
        </w:rPr>
        <w:t xml:space="preserve"> </w:t>
      </w:r>
      <w:r w:rsidRPr="005170D0">
        <w:rPr>
          <w:lang w:val="bg-BG" w:eastAsia="bg-BG"/>
        </w:rPr>
        <w:t xml:space="preserve"> </w:t>
      </w:r>
    </w:p>
    <w:p w:rsidR="00F25110" w:rsidRPr="005170D0" w:rsidRDefault="00F25110" w:rsidP="005170D0">
      <w:pPr>
        <w:pStyle w:val="ListParagraph"/>
        <w:numPr>
          <w:ilvl w:val="0"/>
          <w:numId w:val="64"/>
        </w:numPr>
        <w:spacing w:line="360" w:lineRule="auto"/>
        <w:ind w:left="-284" w:firstLine="644"/>
        <w:jc w:val="both"/>
        <w:rPr>
          <w:rFonts w:asciiTheme="minorHAnsi" w:eastAsiaTheme="minorHAnsi" w:hAnsiTheme="minorHAnsi"/>
          <w:color w:val="000000" w:themeColor="text1"/>
          <w:sz w:val="22"/>
          <w:szCs w:val="20"/>
          <w:lang w:val="bg-BG" w:eastAsia="bg-BG"/>
        </w:rPr>
      </w:pPr>
      <w:r w:rsidRPr="005170D0">
        <w:rPr>
          <w:lang w:val="bg-BG" w:eastAsia="bg-BG"/>
        </w:rPr>
        <w:lastRenderedPageBreak/>
        <w:t>Проект „Подобряване и популяризиране на водещи туристически атракции в Ямбол“, стойност на проекта – 5 670 093 лв. Общата цел на проекта е да се повиши конкурентоспособността и се диверсифицира икономиката на общините Ямбол и Тунджа чрез създаване на условия за развитие на цялостен продукт на културния туризъм, като по този начин се спомага за устойчивото развитие на района;</w:t>
      </w:r>
    </w:p>
    <w:p w:rsidR="00F25110" w:rsidRPr="00295466" w:rsidRDefault="00F25110" w:rsidP="00295466">
      <w:pPr>
        <w:pStyle w:val="ListParagraph"/>
        <w:numPr>
          <w:ilvl w:val="0"/>
          <w:numId w:val="64"/>
        </w:numPr>
        <w:autoSpaceDE w:val="0"/>
        <w:autoSpaceDN w:val="0"/>
        <w:adjustRightInd w:val="0"/>
        <w:spacing w:line="360" w:lineRule="auto"/>
        <w:ind w:left="0" w:firstLine="360"/>
        <w:jc w:val="both"/>
        <w:rPr>
          <w:b/>
          <w:lang w:val="bg-BG" w:eastAsia="bg-BG"/>
        </w:rPr>
      </w:pPr>
      <w:r w:rsidRPr="00295466">
        <w:rPr>
          <w:lang w:val="bg-BG" w:eastAsia="bg-BG"/>
        </w:rPr>
        <w:t>Проект „Тонзос - Магията на Тунджа - маркетинг на туристическа дестинация  „Тунджа - Ямбол - Стралджа – Болярово“, с бенефициент – община Тунджа,  на стойност 305 866 лв. Основна цел: да насърчи създаването и развитието на единен регионален туристически продукт и повишаване ефективността на регионалния маркетинг на територията на общините Тунджа, Ямбол, Стралджа и Болярово, основаващ се на базата на общи културни, природни, географски, социално-икономически и други ресурси.</w:t>
      </w:r>
    </w:p>
    <w:p w:rsidR="00F25110" w:rsidRPr="00BD7BB1" w:rsidRDefault="00F25110" w:rsidP="00295466">
      <w:pPr>
        <w:autoSpaceDE w:val="0"/>
        <w:autoSpaceDN w:val="0"/>
        <w:adjustRightInd w:val="0"/>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b/>
          <w:color w:val="auto"/>
          <w:sz w:val="24"/>
          <w:szCs w:val="24"/>
          <w:lang w:val="bg-BG" w:eastAsia="bg-BG"/>
        </w:rPr>
        <w:t xml:space="preserve">По инициатива JESSICA са сключени 2 договора за финансиране:                </w:t>
      </w:r>
    </w:p>
    <w:p w:rsidR="00F25110" w:rsidRPr="00295466" w:rsidRDefault="00F25110" w:rsidP="00295466">
      <w:pPr>
        <w:pStyle w:val="ListParagraph"/>
        <w:numPr>
          <w:ilvl w:val="0"/>
          <w:numId w:val="64"/>
        </w:numPr>
        <w:autoSpaceDE w:val="0"/>
        <w:autoSpaceDN w:val="0"/>
        <w:adjustRightInd w:val="0"/>
        <w:spacing w:line="360" w:lineRule="auto"/>
        <w:ind w:left="0" w:firstLine="360"/>
        <w:jc w:val="both"/>
        <w:rPr>
          <w:lang w:val="bg-BG" w:eastAsia="bg-BG"/>
        </w:rPr>
      </w:pPr>
      <w:r w:rsidRPr="00295466">
        <w:rPr>
          <w:lang w:val="bg-BG" w:eastAsia="bg-BG"/>
        </w:rPr>
        <w:t>Изграждане на подземен атракцион в гр. Бургас .Чрез реновирането на пустеещата подземна територия на укритието ще бъде създаден изцяло нов туристически продукт. Защитното съоръжение се  предвижда  да се превърне в уникален по рода си за България атракцион, съчетаващ галерии, аквариуми, помещения, пресъздаващи типични български занаятчийски домове и много други.  Предвижда се проектът да бъде финансиран по Оперативна програма „Региони в растеж“ 2014-2020 г.</w:t>
      </w:r>
    </w:p>
    <w:p w:rsidR="00E90A69" w:rsidRDefault="00F25110" w:rsidP="00E90A69">
      <w:pPr>
        <w:pStyle w:val="ListParagraph"/>
        <w:numPr>
          <w:ilvl w:val="0"/>
          <w:numId w:val="64"/>
        </w:numPr>
        <w:spacing w:before="100" w:beforeAutospacing="1" w:after="100" w:afterAutospacing="1" w:line="360" w:lineRule="auto"/>
        <w:ind w:left="0" w:firstLine="360"/>
        <w:jc w:val="both"/>
        <w:rPr>
          <w:lang w:val="bg-BG" w:eastAsia="bg-BG"/>
        </w:rPr>
      </w:pPr>
      <w:r w:rsidRPr="00295466">
        <w:rPr>
          <w:lang w:val="bg-BG" w:eastAsia="bg-BG"/>
        </w:rPr>
        <w:t>Експо център „Флора“</w:t>
      </w:r>
      <w:r w:rsidR="00384F9A">
        <w:rPr>
          <w:lang w:val="bg-BG" w:eastAsia="bg-BG"/>
        </w:rPr>
        <w:t xml:space="preserve"> </w:t>
      </w:r>
      <w:r w:rsidRPr="00295466">
        <w:rPr>
          <w:lang w:val="bg-BG" w:eastAsia="bg-BG"/>
        </w:rPr>
        <w:t>в гр. Бургас на стойност 3 473 000 лв.</w:t>
      </w:r>
      <w:r w:rsidR="00295466">
        <w:rPr>
          <w:lang w:val="bg-BG" w:eastAsia="bg-BG"/>
        </w:rPr>
        <w:t xml:space="preserve"> </w:t>
      </w:r>
      <w:r w:rsidRPr="00295466">
        <w:rPr>
          <w:lang w:val="bg-BG" w:eastAsia="bg-BG"/>
        </w:rPr>
        <w:t>Центърът е официално открит на 20 май 2015г. и е с потенциал да се превърне в предпочитана туристическа дестинация.</w:t>
      </w:r>
      <w:r w:rsidR="00384F9A">
        <w:rPr>
          <w:lang w:val="bg-BG" w:eastAsia="bg-BG"/>
        </w:rPr>
        <w:t xml:space="preserve"> </w:t>
      </w:r>
      <w:r w:rsidRPr="00295466">
        <w:rPr>
          <w:lang w:val="bg-BG" w:eastAsia="bg-BG"/>
        </w:rPr>
        <w:t xml:space="preserve"> През летните месеци  центърът ще посреща интересни пътуващи изложби на световно известни музеи.</w:t>
      </w:r>
      <w:r w:rsidR="00384F9A">
        <w:rPr>
          <w:lang w:val="bg-BG" w:eastAsia="bg-BG"/>
        </w:rPr>
        <w:t xml:space="preserve"> </w:t>
      </w:r>
      <w:r w:rsidRPr="00295466">
        <w:rPr>
          <w:lang w:val="bg-BG" w:eastAsia="bg-BG"/>
        </w:rPr>
        <w:t xml:space="preserve"> Залите на центъра ще бъдат мултифункционални и ще могат да се използват за частни и корпоративни празненства, конференции, музикални и арт представления. Експозиционен център „Флора” е с изключително иновативна архитектура, изграден с екологични материали и енергоефективни модули, което го прави едно от най-модерните съоръжения в България. „Флора Бургас” разполага със собствена фотоволтаична централа, която произвежда електроенергия за нуждите на експозиционния център. Фасадните повърхности са покрити с вечнозелена растителност, която се поддържа от модерна система за напояване. Част от покрива е превърнат в зелена градина, аранжирана с декоративни камъни. Зеленият покрив допринася за плавното вписване на обекта в парковата среда. Основната цел на проекта е създаване на условия за </w:t>
      </w:r>
      <w:r w:rsidRPr="00295466">
        <w:rPr>
          <w:lang w:val="bg-BG" w:eastAsia="bg-BG"/>
        </w:rPr>
        <w:lastRenderedPageBreak/>
        <w:t>развитие на конгресен и бизнес туризъм, както и осигуряване на подходяща база за привличане на водещи световни музейни експозиции в Бургас.</w:t>
      </w:r>
    </w:p>
    <w:p w:rsidR="00F25110" w:rsidRPr="00E90A69" w:rsidRDefault="00F25110" w:rsidP="00E90A69">
      <w:pPr>
        <w:spacing w:before="100" w:beforeAutospacing="1" w:after="100" w:afterAutospacing="1" w:line="360" w:lineRule="auto"/>
        <w:ind w:firstLine="360"/>
        <w:jc w:val="both"/>
        <w:rPr>
          <w:sz w:val="24"/>
          <w:szCs w:val="24"/>
          <w:lang w:val="bg-BG" w:eastAsia="bg-BG"/>
        </w:rPr>
      </w:pPr>
      <w:r w:rsidRPr="00E90A69">
        <w:rPr>
          <w:rFonts w:ascii="Times New Roman" w:hAnsi="Times New Roman"/>
          <w:sz w:val="24"/>
          <w:szCs w:val="24"/>
          <w:lang w:val="bg-BG" w:eastAsia="bg-BG"/>
        </w:rPr>
        <w:t xml:space="preserve">По </w:t>
      </w:r>
      <w:r w:rsidRPr="00E90A69">
        <w:rPr>
          <w:rFonts w:ascii="Times New Roman" w:hAnsi="Times New Roman"/>
          <w:b/>
          <w:sz w:val="24"/>
          <w:szCs w:val="24"/>
          <w:lang w:val="bg-BG" w:eastAsia="bg-BG"/>
        </w:rPr>
        <w:t xml:space="preserve">Оперативна програма за междурегионално сътрудничество INTERREG IVC  </w:t>
      </w:r>
      <w:r w:rsidRPr="00E90A69">
        <w:rPr>
          <w:rFonts w:ascii="Times New Roman" w:hAnsi="Times New Roman"/>
          <w:sz w:val="24"/>
          <w:szCs w:val="24"/>
          <w:lang w:val="bg-BG" w:eastAsia="bg-BG"/>
        </w:rPr>
        <w:t>се  изпълнява проект „Роля на културата и културното наследство в регионалните политики за устойчивост на туризма</w:t>
      </w:r>
      <w:r w:rsidR="00E90A69" w:rsidRPr="00E90A69">
        <w:rPr>
          <w:rFonts w:ascii="Times New Roman" w:hAnsi="Times New Roman"/>
          <w:sz w:val="24"/>
          <w:szCs w:val="24"/>
          <w:lang w:val="bg-BG" w:eastAsia="bg-BG"/>
        </w:rPr>
        <w:t xml:space="preserve"> </w:t>
      </w:r>
      <w:r w:rsidRPr="00E90A69">
        <w:rPr>
          <w:rFonts w:ascii="Times New Roman" w:hAnsi="Times New Roman"/>
          <w:sz w:val="24"/>
          <w:szCs w:val="24"/>
          <w:lang w:val="bg-BG" w:eastAsia="bg-BG"/>
        </w:rPr>
        <w:t>- CHARTS“.  Бюджетът на проекта възлиза на 1 491 591 евро, а  бенефициент</w:t>
      </w:r>
      <w:r w:rsidRPr="00E90A69">
        <w:rPr>
          <w:sz w:val="24"/>
          <w:szCs w:val="24"/>
          <w:lang w:val="bg-BG" w:eastAsia="bg-BG"/>
        </w:rPr>
        <w:t xml:space="preserve"> </w:t>
      </w:r>
      <w:r w:rsidRPr="00E90A69">
        <w:rPr>
          <w:rFonts w:ascii="Times New Roman" w:hAnsi="Times New Roman"/>
          <w:sz w:val="24"/>
          <w:szCs w:val="24"/>
          <w:lang w:val="bg-BG" w:eastAsia="bg-BG"/>
        </w:rPr>
        <w:t>е</w:t>
      </w:r>
      <w:r w:rsidRPr="00E90A69">
        <w:rPr>
          <w:sz w:val="24"/>
          <w:szCs w:val="24"/>
          <w:lang w:val="bg-BG" w:eastAsia="bg-BG"/>
        </w:rPr>
        <w:t xml:space="preserve"> </w:t>
      </w:r>
      <w:r w:rsidRPr="00E90A69">
        <w:rPr>
          <w:rFonts w:ascii="Times New Roman" w:hAnsi="Times New Roman"/>
          <w:sz w:val="24"/>
          <w:szCs w:val="24"/>
          <w:lang w:val="bg-BG" w:eastAsia="bg-BG"/>
        </w:rPr>
        <w:t>Сдружението</w:t>
      </w:r>
      <w:r w:rsidRPr="00E90A69">
        <w:rPr>
          <w:sz w:val="24"/>
          <w:szCs w:val="24"/>
          <w:lang w:val="bg-BG" w:eastAsia="bg-BG"/>
        </w:rPr>
        <w:t xml:space="preserve"> </w:t>
      </w:r>
      <w:r w:rsidRPr="00E90A69">
        <w:rPr>
          <w:rFonts w:ascii="Times New Roman" w:hAnsi="Times New Roman"/>
          <w:sz w:val="24"/>
          <w:szCs w:val="24"/>
          <w:lang w:val="bg-BG" w:eastAsia="bg-BG"/>
        </w:rPr>
        <w:t>на</w:t>
      </w:r>
      <w:r w:rsidRPr="00E90A69">
        <w:rPr>
          <w:sz w:val="24"/>
          <w:szCs w:val="24"/>
          <w:lang w:val="bg-BG" w:eastAsia="bg-BG"/>
        </w:rPr>
        <w:t xml:space="preserve"> </w:t>
      </w:r>
      <w:r w:rsidRPr="00E90A69">
        <w:rPr>
          <w:rFonts w:ascii="Times New Roman" w:hAnsi="Times New Roman"/>
          <w:sz w:val="24"/>
          <w:szCs w:val="24"/>
          <w:lang w:val="bg-BG" w:eastAsia="bg-BG"/>
        </w:rPr>
        <w:t>общините</w:t>
      </w:r>
      <w:r w:rsidRPr="00E90A69">
        <w:rPr>
          <w:sz w:val="24"/>
          <w:szCs w:val="24"/>
          <w:lang w:val="bg-BG" w:eastAsia="bg-BG"/>
        </w:rPr>
        <w:t xml:space="preserve"> </w:t>
      </w:r>
      <w:r w:rsidRPr="00E90A69">
        <w:rPr>
          <w:rFonts w:ascii="Times New Roman" w:hAnsi="Times New Roman"/>
          <w:sz w:val="24"/>
          <w:szCs w:val="24"/>
          <w:lang w:val="bg-BG" w:eastAsia="bg-BG"/>
        </w:rPr>
        <w:t>от</w:t>
      </w:r>
      <w:r w:rsidRPr="00E90A69">
        <w:rPr>
          <w:sz w:val="24"/>
          <w:szCs w:val="24"/>
          <w:lang w:val="bg-BG" w:eastAsia="bg-BG"/>
        </w:rPr>
        <w:t xml:space="preserve"> </w:t>
      </w:r>
      <w:r w:rsidRPr="00E90A69">
        <w:rPr>
          <w:rFonts w:ascii="Times New Roman" w:hAnsi="Times New Roman"/>
          <w:sz w:val="24"/>
          <w:szCs w:val="24"/>
          <w:lang w:val="bg-BG" w:eastAsia="bg-BG"/>
        </w:rPr>
        <w:t>Югоизточен</w:t>
      </w:r>
      <w:r w:rsidRPr="00E90A69">
        <w:rPr>
          <w:sz w:val="24"/>
          <w:szCs w:val="24"/>
          <w:lang w:val="bg-BG" w:eastAsia="bg-BG"/>
        </w:rPr>
        <w:t xml:space="preserve"> </w:t>
      </w:r>
      <w:r w:rsidRPr="00E90A69">
        <w:rPr>
          <w:rFonts w:ascii="Times New Roman" w:hAnsi="Times New Roman"/>
          <w:sz w:val="24"/>
          <w:szCs w:val="24"/>
          <w:lang w:val="bg-BG" w:eastAsia="bg-BG"/>
        </w:rPr>
        <w:t>регион</w:t>
      </w:r>
      <w:r w:rsidRPr="00E90A69">
        <w:rPr>
          <w:sz w:val="24"/>
          <w:szCs w:val="24"/>
          <w:lang w:val="bg-BG" w:eastAsia="bg-BG"/>
        </w:rPr>
        <w:t xml:space="preserve"> /</w:t>
      </w:r>
      <w:r w:rsidRPr="00E90A69">
        <w:rPr>
          <w:rFonts w:ascii="Times New Roman" w:hAnsi="Times New Roman"/>
          <w:sz w:val="24"/>
          <w:szCs w:val="24"/>
          <w:lang w:val="bg-BG" w:eastAsia="bg-BG"/>
        </w:rPr>
        <w:t>Водеща</w:t>
      </w:r>
      <w:r w:rsidRPr="00E90A69">
        <w:rPr>
          <w:sz w:val="24"/>
          <w:szCs w:val="24"/>
          <w:lang w:val="bg-BG" w:eastAsia="bg-BG"/>
        </w:rPr>
        <w:t xml:space="preserve"> </w:t>
      </w:r>
      <w:r w:rsidRPr="00E90A69">
        <w:rPr>
          <w:rFonts w:ascii="Times New Roman" w:hAnsi="Times New Roman"/>
          <w:sz w:val="24"/>
          <w:szCs w:val="24"/>
          <w:lang w:val="bg-BG" w:eastAsia="bg-BG"/>
        </w:rPr>
        <w:t>организация</w:t>
      </w:r>
      <w:r w:rsidRPr="00E90A69">
        <w:rPr>
          <w:sz w:val="24"/>
          <w:szCs w:val="24"/>
          <w:lang w:val="bg-BG" w:eastAsia="bg-BG"/>
        </w:rPr>
        <w:t xml:space="preserve"> - </w:t>
      </w:r>
      <w:r w:rsidRPr="00E90A69">
        <w:rPr>
          <w:rFonts w:ascii="Times New Roman" w:hAnsi="Times New Roman"/>
          <w:sz w:val="24"/>
          <w:szCs w:val="24"/>
          <w:lang w:val="bg-BG" w:eastAsia="bg-BG"/>
        </w:rPr>
        <w:t>Община</w:t>
      </w:r>
      <w:r w:rsidRPr="00E90A69">
        <w:rPr>
          <w:sz w:val="24"/>
          <w:szCs w:val="24"/>
          <w:lang w:val="bg-BG" w:eastAsia="bg-BG"/>
        </w:rPr>
        <w:t xml:space="preserve"> </w:t>
      </w:r>
      <w:r w:rsidRPr="00E90A69">
        <w:rPr>
          <w:rFonts w:ascii="Times New Roman" w:hAnsi="Times New Roman"/>
          <w:sz w:val="24"/>
          <w:szCs w:val="24"/>
          <w:lang w:val="bg-BG" w:eastAsia="bg-BG"/>
        </w:rPr>
        <w:t>Бургас</w:t>
      </w:r>
      <w:r w:rsidRPr="00E90A69">
        <w:rPr>
          <w:sz w:val="24"/>
          <w:szCs w:val="24"/>
          <w:lang w:val="bg-BG" w:eastAsia="bg-BG"/>
        </w:rPr>
        <w:t xml:space="preserve"> </w:t>
      </w:r>
      <w:r w:rsidRPr="00E90A69">
        <w:rPr>
          <w:rFonts w:ascii="Times New Roman" w:hAnsi="Times New Roman"/>
          <w:sz w:val="24"/>
          <w:szCs w:val="24"/>
          <w:lang w:val="bg-BG" w:eastAsia="bg-BG"/>
        </w:rPr>
        <w:t>в</w:t>
      </w:r>
      <w:r w:rsidRPr="00E90A69">
        <w:rPr>
          <w:sz w:val="24"/>
          <w:szCs w:val="24"/>
          <w:lang w:val="bg-BG" w:eastAsia="bg-BG"/>
        </w:rPr>
        <w:t xml:space="preserve"> </w:t>
      </w:r>
      <w:r w:rsidRPr="00E90A69">
        <w:rPr>
          <w:rFonts w:ascii="Times New Roman" w:hAnsi="Times New Roman"/>
          <w:sz w:val="24"/>
          <w:szCs w:val="24"/>
          <w:lang w:val="bg-BG" w:eastAsia="bg-BG"/>
        </w:rPr>
        <w:t>партньорство</w:t>
      </w:r>
      <w:r w:rsidRPr="00E90A69">
        <w:rPr>
          <w:sz w:val="24"/>
          <w:szCs w:val="24"/>
          <w:lang w:val="bg-BG" w:eastAsia="bg-BG"/>
        </w:rPr>
        <w:t xml:space="preserve"> </w:t>
      </w:r>
      <w:r w:rsidRPr="00E90A69">
        <w:rPr>
          <w:rFonts w:ascii="Times New Roman" w:hAnsi="Times New Roman"/>
          <w:sz w:val="24"/>
          <w:szCs w:val="24"/>
          <w:lang w:val="bg-BG" w:eastAsia="bg-BG"/>
        </w:rPr>
        <w:t>с</w:t>
      </w:r>
      <w:r w:rsidRPr="00E90A69">
        <w:rPr>
          <w:sz w:val="24"/>
          <w:szCs w:val="24"/>
          <w:lang w:val="bg-BG" w:eastAsia="bg-BG"/>
        </w:rPr>
        <w:t xml:space="preserve"> </w:t>
      </w:r>
      <w:r w:rsidRPr="00E90A69">
        <w:rPr>
          <w:rFonts w:ascii="Times New Roman" w:hAnsi="Times New Roman"/>
          <w:sz w:val="24"/>
          <w:szCs w:val="24"/>
          <w:lang w:val="bg-BG" w:eastAsia="bg-BG"/>
        </w:rPr>
        <w:t>общините</w:t>
      </w:r>
      <w:r w:rsidRPr="00E90A69">
        <w:rPr>
          <w:sz w:val="24"/>
          <w:szCs w:val="24"/>
          <w:lang w:val="bg-BG" w:eastAsia="bg-BG"/>
        </w:rPr>
        <w:t xml:space="preserve"> </w:t>
      </w:r>
      <w:r w:rsidRPr="00E90A69">
        <w:rPr>
          <w:rFonts w:ascii="Times New Roman" w:hAnsi="Times New Roman"/>
          <w:sz w:val="24"/>
          <w:szCs w:val="24"/>
          <w:lang w:val="bg-BG" w:eastAsia="bg-BG"/>
        </w:rPr>
        <w:t>Стара</w:t>
      </w:r>
      <w:r w:rsidRPr="00E90A69">
        <w:rPr>
          <w:sz w:val="24"/>
          <w:szCs w:val="24"/>
          <w:lang w:val="bg-BG" w:eastAsia="bg-BG"/>
        </w:rPr>
        <w:t xml:space="preserve"> </w:t>
      </w:r>
      <w:r w:rsidRPr="00E90A69">
        <w:rPr>
          <w:rFonts w:ascii="Times New Roman" w:hAnsi="Times New Roman"/>
          <w:sz w:val="24"/>
          <w:szCs w:val="24"/>
          <w:lang w:val="bg-BG" w:eastAsia="bg-BG"/>
        </w:rPr>
        <w:t>Загора</w:t>
      </w:r>
      <w:r w:rsidRPr="00E90A69">
        <w:rPr>
          <w:sz w:val="24"/>
          <w:szCs w:val="24"/>
          <w:lang w:val="bg-BG" w:eastAsia="bg-BG"/>
        </w:rPr>
        <w:t xml:space="preserve">, </w:t>
      </w:r>
      <w:r w:rsidRPr="00E90A69">
        <w:rPr>
          <w:rFonts w:ascii="Times New Roman" w:hAnsi="Times New Roman"/>
          <w:sz w:val="24"/>
          <w:szCs w:val="24"/>
          <w:lang w:val="bg-BG" w:eastAsia="bg-BG"/>
        </w:rPr>
        <w:t>Ямбол</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Сливен</w:t>
      </w:r>
      <w:r w:rsidRPr="00E90A69">
        <w:rPr>
          <w:sz w:val="24"/>
          <w:szCs w:val="24"/>
          <w:lang w:val="bg-BG" w:eastAsia="bg-BG"/>
        </w:rPr>
        <w:t xml:space="preserve">  </w:t>
      </w:r>
      <w:r w:rsidRPr="00E90A69">
        <w:rPr>
          <w:rFonts w:ascii="Times New Roman" w:hAnsi="Times New Roman"/>
          <w:sz w:val="24"/>
          <w:szCs w:val="24"/>
          <w:lang w:val="bg-BG" w:eastAsia="bg-BG"/>
        </w:rPr>
        <w:t>с</w:t>
      </w:r>
      <w:r w:rsidRPr="00E90A69">
        <w:rPr>
          <w:sz w:val="24"/>
          <w:szCs w:val="24"/>
          <w:lang w:val="bg-BG" w:eastAsia="bg-BG"/>
        </w:rPr>
        <w:t xml:space="preserve">  13 </w:t>
      </w:r>
      <w:r w:rsidRPr="00E90A69">
        <w:rPr>
          <w:rFonts w:ascii="Times New Roman" w:hAnsi="Times New Roman"/>
          <w:sz w:val="24"/>
          <w:szCs w:val="24"/>
          <w:lang w:val="bg-BG" w:eastAsia="bg-BG"/>
        </w:rPr>
        <w:t>партньора</w:t>
      </w:r>
      <w:r w:rsidRPr="00E90A69">
        <w:rPr>
          <w:sz w:val="24"/>
          <w:szCs w:val="24"/>
          <w:lang w:val="bg-BG" w:eastAsia="bg-BG"/>
        </w:rPr>
        <w:t xml:space="preserve"> </w:t>
      </w:r>
      <w:r w:rsidRPr="00E90A69">
        <w:rPr>
          <w:rFonts w:ascii="Times New Roman" w:hAnsi="Times New Roman"/>
          <w:sz w:val="24"/>
          <w:szCs w:val="24"/>
          <w:lang w:val="bg-BG" w:eastAsia="bg-BG"/>
        </w:rPr>
        <w:t>от</w:t>
      </w:r>
      <w:r w:rsidRPr="00E90A69">
        <w:rPr>
          <w:sz w:val="24"/>
          <w:szCs w:val="24"/>
          <w:lang w:val="bg-BG" w:eastAsia="bg-BG"/>
        </w:rPr>
        <w:t xml:space="preserve"> 11 </w:t>
      </w:r>
      <w:r w:rsidRPr="00E90A69">
        <w:rPr>
          <w:rFonts w:ascii="Times New Roman" w:hAnsi="Times New Roman"/>
          <w:sz w:val="24"/>
          <w:szCs w:val="24"/>
          <w:lang w:val="bg-BG" w:eastAsia="bg-BG"/>
        </w:rPr>
        <w:t>страни</w:t>
      </w:r>
      <w:r w:rsidRPr="00E90A69">
        <w:rPr>
          <w:sz w:val="24"/>
          <w:szCs w:val="24"/>
          <w:lang w:val="bg-BG" w:eastAsia="bg-BG"/>
        </w:rPr>
        <w:t xml:space="preserve"> /</w:t>
      </w:r>
      <w:r w:rsidR="00384F9A">
        <w:rPr>
          <w:rFonts w:ascii="Cambria" w:hAnsi="Cambria"/>
          <w:sz w:val="24"/>
          <w:szCs w:val="24"/>
          <w:lang w:val="bg-BG" w:eastAsia="bg-BG"/>
        </w:rPr>
        <w:t>.</w:t>
      </w:r>
      <w:r w:rsidRPr="00E90A69">
        <w:rPr>
          <w:bCs/>
          <w:sz w:val="24"/>
          <w:szCs w:val="24"/>
          <w:lang w:val="bg-BG" w:eastAsia="bg-BG"/>
        </w:rPr>
        <w:t xml:space="preserve"> </w:t>
      </w:r>
      <w:r w:rsidRPr="00E90A69">
        <w:rPr>
          <w:rFonts w:ascii="Times New Roman" w:hAnsi="Times New Roman"/>
          <w:bCs/>
          <w:sz w:val="24"/>
          <w:szCs w:val="24"/>
          <w:lang w:val="bg-BG" w:eastAsia="bg-BG"/>
        </w:rPr>
        <w:t>Целта</w:t>
      </w:r>
      <w:r w:rsidRPr="00E90A69">
        <w:rPr>
          <w:bCs/>
          <w:sz w:val="24"/>
          <w:szCs w:val="24"/>
          <w:lang w:val="bg-BG" w:eastAsia="bg-BG"/>
        </w:rPr>
        <w:t xml:space="preserve"> </w:t>
      </w:r>
      <w:r w:rsidRPr="00E90A69">
        <w:rPr>
          <w:rFonts w:ascii="Times New Roman" w:hAnsi="Times New Roman"/>
          <w:bCs/>
          <w:sz w:val="24"/>
          <w:szCs w:val="24"/>
          <w:lang w:val="bg-BG" w:eastAsia="bg-BG"/>
        </w:rPr>
        <w:t>на</w:t>
      </w:r>
      <w:r w:rsidRPr="00E90A69">
        <w:rPr>
          <w:bCs/>
          <w:sz w:val="24"/>
          <w:szCs w:val="24"/>
          <w:lang w:val="bg-BG" w:eastAsia="bg-BG"/>
        </w:rPr>
        <w:t xml:space="preserve"> </w:t>
      </w:r>
      <w:r w:rsidRPr="00E90A69">
        <w:rPr>
          <w:rFonts w:ascii="Times New Roman" w:hAnsi="Times New Roman"/>
          <w:bCs/>
          <w:sz w:val="24"/>
          <w:szCs w:val="24"/>
          <w:lang w:val="bg-BG" w:eastAsia="bg-BG"/>
        </w:rPr>
        <w:t>проекта</w:t>
      </w:r>
      <w:r w:rsidRPr="00E90A69">
        <w:rPr>
          <w:bCs/>
          <w:sz w:val="24"/>
          <w:szCs w:val="24"/>
          <w:lang w:val="bg-BG" w:eastAsia="bg-BG"/>
        </w:rPr>
        <w:t xml:space="preserve"> </w:t>
      </w:r>
      <w:r w:rsidRPr="00E90A69">
        <w:rPr>
          <w:rFonts w:ascii="Times New Roman" w:hAnsi="Times New Roman"/>
          <w:bCs/>
          <w:sz w:val="24"/>
          <w:szCs w:val="24"/>
          <w:lang w:val="bg-BG" w:eastAsia="bg-BG"/>
        </w:rPr>
        <w:t>е</w:t>
      </w:r>
      <w:r w:rsidRPr="00E90A69">
        <w:rPr>
          <w:bCs/>
          <w:sz w:val="24"/>
          <w:szCs w:val="24"/>
          <w:lang w:val="bg-BG" w:eastAsia="bg-BG"/>
        </w:rPr>
        <w:t xml:space="preserve">  </w:t>
      </w:r>
      <w:r w:rsidRPr="00E90A69">
        <w:rPr>
          <w:rFonts w:ascii="Times New Roman" w:hAnsi="Times New Roman"/>
          <w:bCs/>
          <w:sz w:val="24"/>
          <w:szCs w:val="24"/>
          <w:lang w:val="bg-BG" w:eastAsia="bg-BG"/>
        </w:rPr>
        <w:t>да</w:t>
      </w:r>
      <w:r w:rsidRPr="00E90A69">
        <w:rPr>
          <w:bCs/>
          <w:sz w:val="24"/>
          <w:szCs w:val="24"/>
          <w:lang w:val="bg-BG" w:eastAsia="bg-BG"/>
        </w:rPr>
        <w:t xml:space="preserve"> </w:t>
      </w:r>
      <w:r w:rsidRPr="00E90A69">
        <w:rPr>
          <w:rFonts w:ascii="Times New Roman" w:hAnsi="Times New Roman"/>
          <w:bCs/>
          <w:sz w:val="24"/>
          <w:szCs w:val="24"/>
          <w:lang w:val="bg-BG" w:eastAsia="bg-BG"/>
        </w:rPr>
        <w:t>се</w:t>
      </w:r>
      <w:r w:rsidRPr="00E90A69">
        <w:rPr>
          <w:b/>
          <w:bCs/>
          <w:sz w:val="24"/>
          <w:szCs w:val="24"/>
          <w:lang w:val="bg-BG" w:eastAsia="bg-BG"/>
        </w:rPr>
        <w:t xml:space="preserve"> </w:t>
      </w:r>
      <w:r w:rsidRPr="00E90A69">
        <w:rPr>
          <w:rFonts w:ascii="Times New Roman" w:hAnsi="Times New Roman"/>
          <w:sz w:val="24"/>
          <w:szCs w:val="24"/>
          <w:lang w:val="bg-BG" w:eastAsia="bg-BG"/>
        </w:rPr>
        <w:t>наградят</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да</w:t>
      </w:r>
      <w:r w:rsidRPr="00E90A69">
        <w:rPr>
          <w:sz w:val="24"/>
          <w:szCs w:val="24"/>
          <w:lang w:val="bg-BG" w:eastAsia="bg-BG"/>
        </w:rPr>
        <w:t xml:space="preserve"> </w:t>
      </w:r>
      <w:r w:rsidRPr="00E90A69">
        <w:rPr>
          <w:rFonts w:ascii="Times New Roman" w:hAnsi="Times New Roman"/>
          <w:sz w:val="24"/>
          <w:szCs w:val="24"/>
          <w:lang w:val="bg-BG" w:eastAsia="bg-BG"/>
        </w:rPr>
        <w:t>се</w:t>
      </w:r>
      <w:r w:rsidRPr="00E90A69">
        <w:rPr>
          <w:sz w:val="24"/>
          <w:szCs w:val="24"/>
          <w:lang w:val="bg-BG" w:eastAsia="bg-BG"/>
        </w:rPr>
        <w:t xml:space="preserve"> </w:t>
      </w:r>
      <w:r w:rsidRPr="00E90A69">
        <w:rPr>
          <w:rFonts w:ascii="Times New Roman" w:hAnsi="Times New Roman"/>
          <w:sz w:val="24"/>
          <w:szCs w:val="24"/>
          <w:lang w:val="bg-BG" w:eastAsia="bg-BG"/>
        </w:rPr>
        <w:t>използват</w:t>
      </w:r>
      <w:r w:rsidRPr="00E90A69">
        <w:rPr>
          <w:sz w:val="24"/>
          <w:szCs w:val="24"/>
          <w:lang w:val="bg-BG" w:eastAsia="bg-BG"/>
        </w:rPr>
        <w:t xml:space="preserve"> </w:t>
      </w:r>
      <w:r w:rsidRPr="00E90A69">
        <w:rPr>
          <w:rFonts w:ascii="Times New Roman" w:hAnsi="Times New Roman"/>
          <w:sz w:val="24"/>
          <w:szCs w:val="24"/>
          <w:lang w:val="bg-BG" w:eastAsia="bg-BG"/>
        </w:rPr>
        <w:t>постиженията</w:t>
      </w:r>
      <w:r w:rsidRPr="00E90A69">
        <w:rPr>
          <w:sz w:val="24"/>
          <w:szCs w:val="24"/>
          <w:lang w:val="bg-BG" w:eastAsia="bg-BG"/>
        </w:rPr>
        <w:t xml:space="preserve">, </w:t>
      </w:r>
      <w:r w:rsidRPr="00E90A69">
        <w:rPr>
          <w:rFonts w:ascii="Times New Roman" w:hAnsi="Times New Roman"/>
          <w:sz w:val="24"/>
          <w:szCs w:val="24"/>
          <w:lang w:val="bg-BG" w:eastAsia="bg-BG"/>
        </w:rPr>
        <w:t>методите</w:t>
      </w:r>
      <w:r w:rsidRPr="00E90A69">
        <w:rPr>
          <w:sz w:val="24"/>
          <w:szCs w:val="24"/>
          <w:lang w:val="bg-BG" w:eastAsia="bg-BG"/>
        </w:rPr>
        <w:t xml:space="preserve">, </w:t>
      </w:r>
      <w:r w:rsidRPr="00E90A69">
        <w:rPr>
          <w:rFonts w:ascii="Times New Roman" w:hAnsi="Times New Roman"/>
          <w:sz w:val="24"/>
          <w:szCs w:val="24"/>
          <w:lang w:val="bg-BG" w:eastAsia="bg-BG"/>
        </w:rPr>
        <w:t>резултатите</w:t>
      </w:r>
      <w:r w:rsidRPr="00E90A69">
        <w:rPr>
          <w:sz w:val="24"/>
          <w:szCs w:val="24"/>
          <w:lang w:val="bg-BG" w:eastAsia="bg-BG"/>
        </w:rPr>
        <w:t xml:space="preserve">, </w:t>
      </w:r>
      <w:r w:rsidRPr="00E90A69">
        <w:rPr>
          <w:rFonts w:ascii="Times New Roman" w:hAnsi="Times New Roman"/>
          <w:sz w:val="24"/>
          <w:szCs w:val="24"/>
          <w:lang w:val="bg-BG" w:eastAsia="bg-BG"/>
        </w:rPr>
        <w:t>политиките</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стратегиите</w:t>
      </w:r>
      <w:r w:rsidRPr="00E90A69">
        <w:rPr>
          <w:sz w:val="24"/>
          <w:szCs w:val="24"/>
          <w:lang w:val="bg-BG" w:eastAsia="bg-BG"/>
        </w:rPr>
        <w:t xml:space="preserve"> </w:t>
      </w:r>
      <w:r w:rsidRPr="00E90A69">
        <w:rPr>
          <w:rFonts w:ascii="Times New Roman" w:hAnsi="Times New Roman"/>
          <w:sz w:val="24"/>
          <w:szCs w:val="24"/>
          <w:lang w:val="bg-BG" w:eastAsia="bg-BG"/>
        </w:rPr>
        <w:t>на</w:t>
      </w:r>
      <w:r w:rsidRPr="00E90A69">
        <w:rPr>
          <w:sz w:val="24"/>
          <w:szCs w:val="24"/>
          <w:lang w:val="bg-BG" w:eastAsia="bg-BG"/>
        </w:rPr>
        <w:t xml:space="preserve"> </w:t>
      </w:r>
      <w:r w:rsidRPr="00E90A69">
        <w:rPr>
          <w:rFonts w:ascii="Times New Roman" w:hAnsi="Times New Roman"/>
          <w:sz w:val="24"/>
          <w:szCs w:val="24"/>
          <w:lang w:val="bg-BG" w:eastAsia="bg-BG"/>
        </w:rPr>
        <w:t>предишни</w:t>
      </w:r>
      <w:r w:rsidRPr="00E90A69">
        <w:rPr>
          <w:sz w:val="24"/>
          <w:szCs w:val="24"/>
          <w:lang w:val="bg-BG" w:eastAsia="bg-BG"/>
        </w:rPr>
        <w:t xml:space="preserve"> </w:t>
      </w:r>
      <w:r w:rsidRPr="00E90A69">
        <w:rPr>
          <w:rFonts w:ascii="Times New Roman" w:hAnsi="Times New Roman"/>
          <w:sz w:val="24"/>
          <w:szCs w:val="24"/>
          <w:lang w:val="bg-BG" w:eastAsia="bg-BG"/>
        </w:rPr>
        <w:t>проекти</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инициативи</w:t>
      </w:r>
      <w:r w:rsidRPr="00E90A69">
        <w:rPr>
          <w:sz w:val="24"/>
          <w:szCs w:val="24"/>
          <w:lang w:val="bg-BG" w:eastAsia="bg-BG"/>
        </w:rPr>
        <w:t xml:space="preserve"> </w:t>
      </w:r>
      <w:r w:rsidRPr="00E90A69">
        <w:rPr>
          <w:rFonts w:ascii="Times New Roman" w:hAnsi="Times New Roman"/>
          <w:sz w:val="24"/>
          <w:szCs w:val="24"/>
          <w:lang w:val="bg-BG" w:eastAsia="bg-BG"/>
        </w:rPr>
        <w:t>в</w:t>
      </w:r>
      <w:r w:rsidRPr="00E90A69">
        <w:rPr>
          <w:sz w:val="24"/>
          <w:szCs w:val="24"/>
          <w:lang w:val="bg-BG" w:eastAsia="bg-BG"/>
        </w:rPr>
        <w:t xml:space="preserve"> </w:t>
      </w:r>
      <w:r w:rsidRPr="00E90A69">
        <w:rPr>
          <w:rFonts w:ascii="Times New Roman" w:hAnsi="Times New Roman"/>
          <w:sz w:val="24"/>
          <w:szCs w:val="24"/>
          <w:lang w:val="bg-BG" w:eastAsia="bg-BG"/>
        </w:rPr>
        <w:t>областта</w:t>
      </w:r>
      <w:r w:rsidRPr="00E90A69">
        <w:rPr>
          <w:sz w:val="24"/>
          <w:szCs w:val="24"/>
          <w:lang w:val="bg-BG" w:eastAsia="bg-BG"/>
        </w:rPr>
        <w:t xml:space="preserve"> </w:t>
      </w:r>
      <w:r w:rsidRPr="00E90A69">
        <w:rPr>
          <w:rFonts w:ascii="Times New Roman" w:hAnsi="Times New Roman"/>
          <w:sz w:val="24"/>
          <w:szCs w:val="24"/>
          <w:lang w:val="bg-BG" w:eastAsia="bg-BG"/>
        </w:rPr>
        <w:t>на</w:t>
      </w:r>
      <w:r w:rsidRPr="00E90A69">
        <w:rPr>
          <w:sz w:val="24"/>
          <w:szCs w:val="24"/>
          <w:lang w:val="bg-BG" w:eastAsia="bg-BG"/>
        </w:rPr>
        <w:t xml:space="preserve"> </w:t>
      </w:r>
      <w:r w:rsidRPr="00E90A69">
        <w:rPr>
          <w:rFonts w:ascii="Times New Roman" w:hAnsi="Times New Roman"/>
          <w:sz w:val="24"/>
          <w:szCs w:val="24"/>
          <w:lang w:val="bg-BG" w:eastAsia="bg-BG"/>
        </w:rPr>
        <w:t>културата</w:t>
      </w:r>
      <w:r w:rsidRPr="00E90A69">
        <w:rPr>
          <w:sz w:val="24"/>
          <w:szCs w:val="24"/>
          <w:lang w:val="bg-BG" w:eastAsia="bg-BG"/>
        </w:rPr>
        <w:t xml:space="preserve">, </w:t>
      </w:r>
      <w:r w:rsidRPr="00E90A69">
        <w:rPr>
          <w:rFonts w:ascii="Times New Roman" w:hAnsi="Times New Roman"/>
          <w:sz w:val="24"/>
          <w:szCs w:val="24"/>
          <w:lang w:val="bg-BG" w:eastAsia="bg-BG"/>
        </w:rPr>
        <w:t>наследството</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стратегиите</w:t>
      </w:r>
      <w:r w:rsidRPr="00E90A69">
        <w:rPr>
          <w:sz w:val="24"/>
          <w:szCs w:val="24"/>
          <w:lang w:val="bg-BG" w:eastAsia="bg-BG"/>
        </w:rPr>
        <w:t xml:space="preserve"> </w:t>
      </w:r>
      <w:r w:rsidRPr="00E90A69">
        <w:rPr>
          <w:rFonts w:ascii="Times New Roman" w:hAnsi="Times New Roman"/>
          <w:sz w:val="24"/>
          <w:szCs w:val="24"/>
          <w:lang w:val="bg-BG" w:eastAsia="bg-BG"/>
        </w:rPr>
        <w:t>за</w:t>
      </w:r>
      <w:r w:rsidRPr="00E90A69">
        <w:rPr>
          <w:sz w:val="24"/>
          <w:szCs w:val="24"/>
          <w:lang w:val="bg-BG" w:eastAsia="bg-BG"/>
        </w:rPr>
        <w:t xml:space="preserve"> </w:t>
      </w:r>
      <w:r w:rsidRPr="00E90A69">
        <w:rPr>
          <w:rFonts w:ascii="Times New Roman" w:hAnsi="Times New Roman"/>
          <w:sz w:val="24"/>
          <w:szCs w:val="24"/>
          <w:lang w:val="bg-BG" w:eastAsia="bg-BG"/>
        </w:rPr>
        <w:t>устойчиво</w:t>
      </w:r>
      <w:r w:rsidRPr="00E90A69">
        <w:rPr>
          <w:sz w:val="24"/>
          <w:szCs w:val="24"/>
          <w:lang w:val="bg-BG" w:eastAsia="bg-BG"/>
        </w:rPr>
        <w:t xml:space="preserve"> </w:t>
      </w:r>
      <w:r w:rsidRPr="00E90A69">
        <w:rPr>
          <w:rFonts w:ascii="Times New Roman" w:hAnsi="Times New Roman"/>
          <w:sz w:val="24"/>
          <w:szCs w:val="24"/>
          <w:lang w:val="bg-BG" w:eastAsia="bg-BG"/>
        </w:rPr>
        <w:t>развитие</w:t>
      </w:r>
      <w:r w:rsidRPr="00E90A69">
        <w:rPr>
          <w:sz w:val="24"/>
          <w:szCs w:val="24"/>
          <w:lang w:val="bg-BG" w:eastAsia="bg-BG"/>
        </w:rPr>
        <w:t xml:space="preserve"> </w:t>
      </w:r>
      <w:r w:rsidRPr="00E90A69">
        <w:rPr>
          <w:rFonts w:ascii="Times New Roman" w:hAnsi="Times New Roman"/>
          <w:sz w:val="24"/>
          <w:szCs w:val="24"/>
          <w:lang w:val="bg-BG" w:eastAsia="bg-BG"/>
        </w:rPr>
        <w:t>на</w:t>
      </w:r>
      <w:r w:rsidRPr="00E90A69">
        <w:rPr>
          <w:sz w:val="24"/>
          <w:szCs w:val="24"/>
          <w:lang w:val="bg-BG" w:eastAsia="bg-BG"/>
        </w:rPr>
        <w:t xml:space="preserve"> </w:t>
      </w:r>
      <w:r w:rsidRPr="00E90A69">
        <w:rPr>
          <w:rFonts w:ascii="Times New Roman" w:hAnsi="Times New Roman"/>
          <w:sz w:val="24"/>
          <w:szCs w:val="24"/>
          <w:lang w:val="bg-BG" w:eastAsia="bg-BG"/>
        </w:rPr>
        <w:t>туризма</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да</w:t>
      </w:r>
      <w:r w:rsidRPr="00E90A69">
        <w:rPr>
          <w:sz w:val="24"/>
          <w:szCs w:val="24"/>
          <w:lang w:val="bg-BG" w:eastAsia="bg-BG"/>
        </w:rPr>
        <w:t xml:space="preserve"> </w:t>
      </w:r>
      <w:r w:rsidRPr="00E90A69">
        <w:rPr>
          <w:rFonts w:ascii="Times New Roman" w:hAnsi="Times New Roman"/>
          <w:sz w:val="24"/>
          <w:szCs w:val="24"/>
          <w:lang w:val="bg-BG" w:eastAsia="bg-BG"/>
        </w:rPr>
        <w:t>се</w:t>
      </w:r>
      <w:r w:rsidRPr="00E90A69">
        <w:rPr>
          <w:sz w:val="24"/>
          <w:szCs w:val="24"/>
          <w:lang w:val="bg-BG" w:eastAsia="bg-BG"/>
        </w:rPr>
        <w:t xml:space="preserve"> </w:t>
      </w:r>
      <w:r w:rsidRPr="00E90A69">
        <w:rPr>
          <w:rFonts w:ascii="Times New Roman" w:hAnsi="Times New Roman"/>
          <w:sz w:val="24"/>
          <w:szCs w:val="24"/>
          <w:lang w:val="bg-BG" w:eastAsia="bg-BG"/>
        </w:rPr>
        <w:t>трансферират</w:t>
      </w:r>
      <w:r w:rsidRPr="00E90A69">
        <w:rPr>
          <w:sz w:val="24"/>
          <w:szCs w:val="24"/>
          <w:lang w:val="bg-BG" w:eastAsia="bg-BG"/>
        </w:rPr>
        <w:t xml:space="preserve"> </w:t>
      </w:r>
      <w:r w:rsidRPr="00E90A69">
        <w:rPr>
          <w:rFonts w:ascii="Times New Roman" w:hAnsi="Times New Roman"/>
          <w:sz w:val="24"/>
          <w:szCs w:val="24"/>
          <w:lang w:val="bg-BG" w:eastAsia="bg-BG"/>
        </w:rPr>
        <w:t>съответните</w:t>
      </w:r>
      <w:r w:rsidRPr="00E90A69">
        <w:rPr>
          <w:sz w:val="24"/>
          <w:szCs w:val="24"/>
          <w:lang w:val="bg-BG" w:eastAsia="bg-BG"/>
        </w:rPr>
        <w:t xml:space="preserve"> </w:t>
      </w:r>
      <w:r w:rsidRPr="00E90A69">
        <w:rPr>
          <w:rFonts w:ascii="Times New Roman" w:hAnsi="Times New Roman"/>
          <w:sz w:val="24"/>
          <w:szCs w:val="24"/>
          <w:lang w:val="bg-BG" w:eastAsia="bg-BG"/>
        </w:rPr>
        <w:t>добри</w:t>
      </w:r>
      <w:r w:rsidRPr="00E90A69">
        <w:rPr>
          <w:sz w:val="24"/>
          <w:szCs w:val="24"/>
          <w:lang w:val="bg-BG" w:eastAsia="bg-BG"/>
        </w:rPr>
        <w:t xml:space="preserve"> </w:t>
      </w:r>
      <w:r w:rsidRPr="00E90A69">
        <w:rPr>
          <w:rFonts w:ascii="Times New Roman" w:hAnsi="Times New Roman"/>
          <w:sz w:val="24"/>
          <w:szCs w:val="24"/>
          <w:lang w:val="bg-BG" w:eastAsia="bg-BG"/>
        </w:rPr>
        <w:t>практики</w:t>
      </w:r>
      <w:r w:rsidRPr="00E90A69">
        <w:rPr>
          <w:sz w:val="24"/>
          <w:szCs w:val="24"/>
          <w:lang w:val="bg-BG" w:eastAsia="bg-BG"/>
        </w:rPr>
        <w:t xml:space="preserve"> </w:t>
      </w:r>
      <w:r w:rsidRPr="00E90A69">
        <w:rPr>
          <w:rFonts w:ascii="Times New Roman" w:hAnsi="Times New Roman"/>
          <w:sz w:val="24"/>
          <w:szCs w:val="24"/>
          <w:lang w:val="bg-BG" w:eastAsia="bg-BG"/>
        </w:rPr>
        <w:t>между</w:t>
      </w:r>
      <w:r w:rsidRPr="00E90A69">
        <w:rPr>
          <w:sz w:val="24"/>
          <w:szCs w:val="24"/>
          <w:lang w:val="bg-BG" w:eastAsia="bg-BG"/>
        </w:rPr>
        <w:t xml:space="preserve"> </w:t>
      </w:r>
      <w:r w:rsidRPr="00E90A69">
        <w:rPr>
          <w:rFonts w:ascii="Times New Roman" w:hAnsi="Times New Roman"/>
          <w:sz w:val="24"/>
          <w:szCs w:val="24"/>
          <w:lang w:val="bg-BG" w:eastAsia="bg-BG"/>
        </w:rPr>
        <w:t>участващите</w:t>
      </w:r>
      <w:r w:rsidRPr="00E90A69">
        <w:rPr>
          <w:sz w:val="24"/>
          <w:szCs w:val="24"/>
          <w:lang w:val="bg-BG" w:eastAsia="bg-BG"/>
        </w:rPr>
        <w:t xml:space="preserve"> </w:t>
      </w:r>
      <w:r w:rsidRPr="00E90A69">
        <w:rPr>
          <w:rFonts w:ascii="Times New Roman" w:hAnsi="Times New Roman"/>
          <w:sz w:val="24"/>
          <w:szCs w:val="24"/>
          <w:lang w:val="bg-BG" w:eastAsia="bg-BG"/>
        </w:rPr>
        <w:t>региони</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на</w:t>
      </w:r>
      <w:r w:rsidRPr="00E90A69">
        <w:rPr>
          <w:sz w:val="24"/>
          <w:szCs w:val="24"/>
          <w:lang w:val="bg-BG" w:eastAsia="bg-BG"/>
        </w:rPr>
        <w:t xml:space="preserve"> </w:t>
      </w:r>
      <w:r w:rsidRPr="00E90A69">
        <w:rPr>
          <w:rFonts w:ascii="Times New Roman" w:hAnsi="Times New Roman"/>
          <w:sz w:val="24"/>
          <w:szCs w:val="24"/>
          <w:lang w:val="bg-BG" w:eastAsia="bg-BG"/>
        </w:rPr>
        <w:t>европейско</w:t>
      </w:r>
      <w:r w:rsidRPr="00E90A69">
        <w:rPr>
          <w:sz w:val="24"/>
          <w:szCs w:val="24"/>
          <w:lang w:val="bg-BG" w:eastAsia="bg-BG"/>
        </w:rPr>
        <w:t xml:space="preserve"> </w:t>
      </w:r>
      <w:r w:rsidRPr="00E90A69">
        <w:rPr>
          <w:rFonts w:ascii="Times New Roman" w:hAnsi="Times New Roman"/>
          <w:sz w:val="24"/>
          <w:szCs w:val="24"/>
          <w:lang w:val="bg-BG" w:eastAsia="bg-BG"/>
        </w:rPr>
        <w:t>ниво</w:t>
      </w:r>
      <w:r w:rsidRPr="00E90A69">
        <w:rPr>
          <w:sz w:val="24"/>
          <w:szCs w:val="24"/>
          <w:lang w:val="bg-BG" w:eastAsia="bg-BG"/>
        </w:rPr>
        <w:t xml:space="preserve">. </w:t>
      </w:r>
      <w:r w:rsidRPr="00E90A69">
        <w:rPr>
          <w:rFonts w:ascii="Times New Roman" w:hAnsi="Times New Roman"/>
          <w:sz w:val="24"/>
          <w:szCs w:val="24"/>
          <w:lang w:val="bg-BG" w:eastAsia="bg-BG"/>
        </w:rPr>
        <w:t>В</w:t>
      </w:r>
      <w:r w:rsidRPr="00E90A69">
        <w:rPr>
          <w:sz w:val="24"/>
          <w:szCs w:val="24"/>
          <w:lang w:val="bg-BG" w:eastAsia="bg-BG"/>
        </w:rPr>
        <w:t xml:space="preserve"> </w:t>
      </w:r>
      <w:r w:rsidRPr="00E90A69">
        <w:rPr>
          <w:rFonts w:ascii="Times New Roman" w:hAnsi="Times New Roman"/>
          <w:sz w:val="24"/>
          <w:szCs w:val="24"/>
          <w:lang w:val="bg-BG" w:eastAsia="bg-BG"/>
        </w:rPr>
        <w:t>рамките</w:t>
      </w:r>
      <w:r w:rsidRPr="00E90A69">
        <w:rPr>
          <w:sz w:val="24"/>
          <w:szCs w:val="24"/>
          <w:lang w:val="bg-BG" w:eastAsia="bg-BG"/>
        </w:rPr>
        <w:t xml:space="preserve"> </w:t>
      </w:r>
      <w:r w:rsidRPr="00E90A69">
        <w:rPr>
          <w:rFonts w:ascii="Times New Roman" w:hAnsi="Times New Roman"/>
          <w:sz w:val="24"/>
          <w:szCs w:val="24"/>
          <w:lang w:val="bg-BG" w:eastAsia="bg-BG"/>
        </w:rPr>
        <w:t>на</w:t>
      </w:r>
      <w:r w:rsidRPr="00E90A69">
        <w:rPr>
          <w:sz w:val="24"/>
          <w:szCs w:val="24"/>
          <w:lang w:val="bg-BG" w:eastAsia="bg-BG"/>
        </w:rPr>
        <w:t xml:space="preserve"> </w:t>
      </w:r>
      <w:r w:rsidRPr="00E90A69">
        <w:rPr>
          <w:rFonts w:ascii="Times New Roman" w:hAnsi="Times New Roman"/>
          <w:sz w:val="24"/>
          <w:szCs w:val="24"/>
          <w:lang w:val="bg-BG" w:eastAsia="bg-BG"/>
        </w:rPr>
        <w:t>проекта</w:t>
      </w:r>
      <w:r w:rsidRPr="00E90A69">
        <w:rPr>
          <w:sz w:val="24"/>
          <w:szCs w:val="24"/>
          <w:lang w:val="bg-BG" w:eastAsia="bg-BG"/>
        </w:rPr>
        <w:t xml:space="preserve"> </w:t>
      </w:r>
      <w:r w:rsidRPr="00E90A69">
        <w:rPr>
          <w:rFonts w:ascii="Times New Roman" w:hAnsi="Times New Roman"/>
          <w:sz w:val="24"/>
          <w:szCs w:val="24"/>
          <w:lang w:val="bg-BG" w:eastAsia="bg-BG"/>
        </w:rPr>
        <w:t>е</w:t>
      </w:r>
      <w:r w:rsidRPr="00E90A69">
        <w:rPr>
          <w:sz w:val="24"/>
          <w:szCs w:val="24"/>
          <w:lang w:val="bg-BG" w:eastAsia="bg-BG"/>
        </w:rPr>
        <w:t xml:space="preserve"> </w:t>
      </w:r>
      <w:r w:rsidRPr="00E90A69">
        <w:rPr>
          <w:rFonts w:ascii="Times New Roman" w:hAnsi="Times New Roman"/>
          <w:sz w:val="24"/>
          <w:szCs w:val="24"/>
          <w:lang w:val="bg-BG" w:eastAsia="bg-BG"/>
        </w:rPr>
        <w:t>изработен</w:t>
      </w:r>
      <w:r w:rsidRPr="00E90A69">
        <w:rPr>
          <w:sz w:val="24"/>
          <w:szCs w:val="24"/>
          <w:lang w:val="bg-BG" w:eastAsia="bg-BG"/>
        </w:rPr>
        <w:t xml:space="preserve"> </w:t>
      </w:r>
      <w:r w:rsidRPr="00E90A69">
        <w:rPr>
          <w:rFonts w:ascii="Times New Roman" w:hAnsi="Times New Roman"/>
          <w:sz w:val="24"/>
          <w:szCs w:val="24"/>
          <w:lang w:val="bg-BG" w:eastAsia="bg-BG"/>
        </w:rPr>
        <w:t>план</w:t>
      </w:r>
      <w:r w:rsidRPr="00E90A69">
        <w:rPr>
          <w:sz w:val="24"/>
          <w:szCs w:val="24"/>
          <w:lang w:val="bg-BG" w:eastAsia="bg-BG"/>
        </w:rPr>
        <w:t xml:space="preserve"> </w:t>
      </w:r>
      <w:r w:rsidRPr="00E90A69">
        <w:rPr>
          <w:rFonts w:ascii="Times New Roman" w:hAnsi="Times New Roman"/>
          <w:sz w:val="24"/>
          <w:szCs w:val="24"/>
          <w:lang w:val="bg-BG" w:eastAsia="bg-BG"/>
        </w:rPr>
        <w:t>за</w:t>
      </w:r>
      <w:r w:rsidRPr="00E90A69">
        <w:rPr>
          <w:sz w:val="24"/>
          <w:szCs w:val="24"/>
          <w:lang w:val="bg-BG" w:eastAsia="bg-BG"/>
        </w:rPr>
        <w:t xml:space="preserve"> </w:t>
      </w:r>
      <w:r w:rsidRPr="00E90A69">
        <w:rPr>
          <w:rFonts w:ascii="Times New Roman" w:hAnsi="Times New Roman"/>
          <w:sz w:val="24"/>
          <w:szCs w:val="24"/>
          <w:lang w:val="bg-BG" w:eastAsia="bg-BG"/>
        </w:rPr>
        <w:t>устойчиво</w:t>
      </w:r>
      <w:r w:rsidRPr="00E90A69">
        <w:rPr>
          <w:sz w:val="24"/>
          <w:szCs w:val="24"/>
          <w:lang w:val="bg-BG" w:eastAsia="bg-BG"/>
        </w:rPr>
        <w:t xml:space="preserve"> </w:t>
      </w:r>
      <w:r w:rsidRPr="00E90A69">
        <w:rPr>
          <w:rFonts w:ascii="Times New Roman" w:hAnsi="Times New Roman"/>
          <w:sz w:val="24"/>
          <w:szCs w:val="24"/>
          <w:lang w:val="bg-BG" w:eastAsia="bg-BG"/>
        </w:rPr>
        <w:t>развитие</w:t>
      </w:r>
      <w:r w:rsidRPr="00E90A69">
        <w:rPr>
          <w:sz w:val="24"/>
          <w:szCs w:val="24"/>
          <w:lang w:val="bg-BG" w:eastAsia="bg-BG"/>
        </w:rPr>
        <w:t xml:space="preserve"> </w:t>
      </w:r>
      <w:r w:rsidRPr="00E90A69">
        <w:rPr>
          <w:rFonts w:ascii="Times New Roman" w:hAnsi="Times New Roman"/>
          <w:sz w:val="24"/>
          <w:szCs w:val="24"/>
          <w:lang w:val="bg-BG" w:eastAsia="bg-BG"/>
        </w:rPr>
        <w:t>на</w:t>
      </w:r>
      <w:r w:rsidRPr="00E90A69">
        <w:rPr>
          <w:sz w:val="24"/>
          <w:szCs w:val="24"/>
          <w:lang w:val="bg-BG" w:eastAsia="bg-BG"/>
        </w:rPr>
        <w:t xml:space="preserve"> </w:t>
      </w:r>
      <w:r w:rsidRPr="00E90A69">
        <w:rPr>
          <w:rFonts w:ascii="Times New Roman" w:hAnsi="Times New Roman"/>
          <w:sz w:val="24"/>
          <w:szCs w:val="24"/>
          <w:lang w:val="bg-BG" w:eastAsia="bg-BG"/>
        </w:rPr>
        <w:t>туризма</w:t>
      </w:r>
      <w:r w:rsidRPr="00E90A69">
        <w:rPr>
          <w:sz w:val="24"/>
          <w:szCs w:val="24"/>
          <w:lang w:val="bg-BG" w:eastAsia="bg-BG"/>
        </w:rPr>
        <w:t xml:space="preserve"> </w:t>
      </w:r>
      <w:r w:rsidRPr="00E90A69">
        <w:rPr>
          <w:rFonts w:ascii="Times New Roman" w:hAnsi="Times New Roman"/>
          <w:sz w:val="24"/>
          <w:szCs w:val="24"/>
          <w:lang w:val="bg-BG" w:eastAsia="bg-BG"/>
        </w:rPr>
        <w:t>в</w:t>
      </w:r>
      <w:r w:rsidRPr="00E90A69">
        <w:rPr>
          <w:sz w:val="24"/>
          <w:szCs w:val="24"/>
          <w:lang w:val="bg-BG" w:eastAsia="bg-BG"/>
        </w:rPr>
        <w:t xml:space="preserve"> </w:t>
      </w:r>
      <w:r w:rsidRPr="00E90A69">
        <w:rPr>
          <w:rFonts w:ascii="Times New Roman" w:hAnsi="Times New Roman"/>
          <w:sz w:val="24"/>
          <w:szCs w:val="24"/>
          <w:lang w:val="bg-BG" w:eastAsia="bg-BG"/>
        </w:rPr>
        <w:t>община</w:t>
      </w:r>
      <w:r w:rsidRPr="00E90A69">
        <w:rPr>
          <w:sz w:val="24"/>
          <w:szCs w:val="24"/>
          <w:lang w:val="bg-BG" w:eastAsia="bg-BG"/>
        </w:rPr>
        <w:t xml:space="preserve"> </w:t>
      </w:r>
      <w:r w:rsidRPr="00E90A69">
        <w:rPr>
          <w:rFonts w:ascii="Times New Roman" w:hAnsi="Times New Roman"/>
          <w:sz w:val="24"/>
          <w:szCs w:val="24"/>
          <w:lang w:val="bg-BG" w:eastAsia="bg-BG"/>
        </w:rPr>
        <w:t>Бургас</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нейните</w:t>
      </w:r>
      <w:r w:rsidRPr="00E90A69">
        <w:rPr>
          <w:sz w:val="24"/>
          <w:szCs w:val="24"/>
          <w:lang w:val="bg-BG" w:eastAsia="bg-BG"/>
        </w:rPr>
        <w:t xml:space="preserve"> </w:t>
      </w:r>
      <w:r w:rsidRPr="00E90A69">
        <w:rPr>
          <w:rFonts w:ascii="Times New Roman" w:hAnsi="Times New Roman"/>
          <w:sz w:val="24"/>
          <w:szCs w:val="24"/>
          <w:lang w:val="bg-BG" w:eastAsia="bg-BG"/>
        </w:rPr>
        <w:t>партньори</w:t>
      </w:r>
      <w:r w:rsidRPr="00E90A69">
        <w:rPr>
          <w:sz w:val="24"/>
          <w:szCs w:val="24"/>
          <w:lang w:val="bg-BG" w:eastAsia="bg-BG"/>
        </w:rPr>
        <w:t xml:space="preserve"> </w:t>
      </w:r>
      <w:r w:rsidRPr="00E90A69">
        <w:rPr>
          <w:rFonts w:ascii="Times New Roman" w:hAnsi="Times New Roman"/>
          <w:sz w:val="24"/>
          <w:szCs w:val="24"/>
          <w:lang w:val="bg-BG" w:eastAsia="bg-BG"/>
        </w:rPr>
        <w:t>в</w:t>
      </w:r>
      <w:r w:rsidRPr="00E90A69">
        <w:rPr>
          <w:sz w:val="24"/>
          <w:szCs w:val="24"/>
          <w:lang w:val="bg-BG" w:eastAsia="bg-BG"/>
        </w:rPr>
        <w:t xml:space="preserve"> </w:t>
      </w:r>
      <w:r w:rsidRPr="00E90A69">
        <w:rPr>
          <w:rFonts w:ascii="Times New Roman" w:hAnsi="Times New Roman"/>
          <w:sz w:val="24"/>
          <w:szCs w:val="24"/>
          <w:lang w:val="bg-BG" w:eastAsia="bg-BG"/>
        </w:rPr>
        <w:t>Югоизточния</w:t>
      </w:r>
      <w:r w:rsidRPr="00E90A69">
        <w:rPr>
          <w:sz w:val="24"/>
          <w:szCs w:val="24"/>
          <w:lang w:val="bg-BG" w:eastAsia="bg-BG"/>
        </w:rPr>
        <w:t xml:space="preserve"> </w:t>
      </w:r>
      <w:r w:rsidRPr="00E90A69">
        <w:rPr>
          <w:rFonts w:ascii="Times New Roman" w:hAnsi="Times New Roman"/>
          <w:sz w:val="24"/>
          <w:szCs w:val="24"/>
          <w:lang w:val="bg-BG" w:eastAsia="bg-BG"/>
        </w:rPr>
        <w:t>регион</w:t>
      </w:r>
      <w:r w:rsidRPr="00E90A69">
        <w:rPr>
          <w:sz w:val="24"/>
          <w:szCs w:val="24"/>
          <w:lang w:val="bg-BG" w:eastAsia="bg-BG"/>
        </w:rPr>
        <w:t xml:space="preserve">. </w:t>
      </w:r>
      <w:r w:rsidRPr="00E90A69">
        <w:rPr>
          <w:rFonts w:ascii="Times New Roman" w:hAnsi="Times New Roman"/>
          <w:sz w:val="24"/>
          <w:szCs w:val="24"/>
          <w:lang w:val="bg-BG" w:eastAsia="bg-BG"/>
        </w:rPr>
        <w:t>С</w:t>
      </w:r>
      <w:r w:rsidRPr="00E90A69">
        <w:rPr>
          <w:sz w:val="24"/>
          <w:szCs w:val="24"/>
          <w:lang w:val="bg-BG" w:eastAsia="bg-BG"/>
        </w:rPr>
        <w:t xml:space="preserve"> </w:t>
      </w:r>
      <w:r w:rsidRPr="00E90A69">
        <w:rPr>
          <w:rFonts w:ascii="Times New Roman" w:hAnsi="Times New Roman"/>
          <w:sz w:val="24"/>
          <w:szCs w:val="24"/>
          <w:lang w:val="bg-BG" w:eastAsia="bg-BG"/>
        </w:rPr>
        <w:t>негова</w:t>
      </w:r>
      <w:r w:rsidRPr="00E90A69">
        <w:rPr>
          <w:sz w:val="24"/>
          <w:szCs w:val="24"/>
          <w:lang w:val="bg-BG" w:eastAsia="bg-BG"/>
        </w:rPr>
        <w:t xml:space="preserve"> </w:t>
      </w:r>
      <w:r w:rsidRPr="00E90A69">
        <w:rPr>
          <w:rFonts w:ascii="Times New Roman" w:hAnsi="Times New Roman"/>
          <w:sz w:val="24"/>
          <w:szCs w:val="24"/>
          <w:lang w:val="bg-BG" w:eastAsia="bg-BG"/>
        </w:rPr>
        <w:t>помощ</w:t>
      </w:r>
      <w:r w:rsidRPr="00E90A69">
        <w:rPr>
          <w:sz w:val="24"/>
          <w:szCs w:val="24"/>
          <w:lang w:val="bg-BG" w:eastAsia="bg-BG"/>
        </w:rPr>
        <w:t xml:space="preserve"> </w:t>
      </w:r>
      <w:r w:rsidRPr="00E90A69">
        <w:rPr>
          <w:rFonts w:ascii="Times New Roman" w:hAnsi="Times New Roman"/>
          <w:sz w:val="24"/>
          <w:szCs w:val="24"/>
          <w:lang w:val="bg-BG" w:eastAsia="bg-BG"/>
        </w:rPr>
        <w:t>културата</w:t>
      </w:r>
      <w:r w:rsidRPr="00E90A69">
        <w:rPr>
          <w:sz w:val="24"/>
          <w:szCs w:val="24"/>
          <w:lang w:val="bg-BG" w:eastAsia="bg-BG"/>
        </w:rPr>
        <w:t xml:space="preserve">, </w:t>
      </w:r>
      <w:r w:rsidRPr="00E90A69">
        <w:rPr>
          <w:rFonts w:ascii="Times New Roman" w:hAnsi="Times New Roman"/>
          <w:sz w:val="24"/>
          <w:szCs w:val="24"/>
          <w:lang w:val="bg-BG" w:eastAsia="bg-BG"/>
        </w:rPr>
        <w:t>историческото</w:t>
      </w:r>
      <w:r w:rsidRPr="00E90A69">
        <w:rPr>
          <w:sz w:val="24"/>
          <w:szCs w:val="24"/>
          <w:lang w:val="bg-BG" w:eastAsia="bg-BG"/>
        </w:rPr>
        <w:t xml:space="preserve"> </w:t>
      </w:r>
      <w:r w:rsidRPr="00E90A69">
        <w:rPr>
          <w:rFonts w:ascii="Times New Roman" w:hAnsi="Times New Roman"/>
          <w:sz w:val="24"/>
          <w:szCs w:val="24"/>
          <w:lang w:val="bg-BG" w:eastAsia="bg-BG"/>
        </w:rPr>
        <w:t>наследство</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туризмът</w:t>
      </w:r>
      <w:r w:rsidRPr="00E90A69">
        <w:rPr>
          <w:sz w:val="24"/>
          <w:szCs w:val="24"/>
          <w:lang w:val="bg-BG" w:eastAsia="bg-BG"/>
        </w:rPr>
        <w:t xml:space="preserve"> </w:t>
      </w:r>
      <w:r w:rsidRPr="00E90A69">
        <w:rPr>
          <w:rFonts w:ascii="Times New Roman" w:hAnsi="Times New Roman"/>
          <w:sz w:val="24"/>
          <w:szCs w:val="24"/>
          <w:lang w:val="bg-BG" w:eastAsia="bg-BG"/>
        </w:rPr>
        <w:t>могат</w:t>
      </w:r>
      <w:r w:rsidRPr="00E90A69">
        <w:rPr>
          <w:sz w:val="24"/>
          <w:szCs w:val="24"/>
          <w:lang w:val="bg-BG" w:eastAsia="bg-BG"/>
        </w:rPr>
        <w:t xml:space="preserve"> </w:t>
      </w:r>
      <w:r w:rsidRPr="00E90A69">
        <w:rPr>
          <w:rFonts w:ascii="Times New Roman" w:hAnsi="Times New Roman"/>
          <w:sz w:val="24"/>
          <w:szCs w:val="24"/>
          <w:lang w:val="bg-BG" w:eastAsia="bg-BG"/>
        </w:rPr>
        <w:t>да</w:t>
      </w:r>
      <w:r w:rsidRPr="00E90A69">
        <w:rPr>
          <w:sz w:val="24"/>
          <w:szCs w:val="24"/>
          <w:lang w:val="bg-BG" w:eastAsia="bg-BG"/>
        </w:rPr>
        <w:t xml:space="preserve"> </w:t>
      </w:r>
      <w:r w:rsidRPr="00E90A69">
        <w:rPr>
          <w:rFonts w:ascii="Times New Roman" w:hAnsi="Times New Roman"/>
          <w:sz w:val="24"/>
          <w:szCs w:val="24"/>
          <w:lang w:val="bg-BG" w:eastAsia="bg-BG"/>
        </w:rPr>
        <w:t>бъдат</w:t>
      </w:r>
      <w:r w:rsidRPr="00E90A69">
        <w:rPr>
          <w:sz w:val="24"/>
          <w:szCs w:val="24"/>
          <w:lang w:val="bg-BG" w:eastAsia="bg-BG"/>
        </w:rPr>
        <w:t xml:space="preserve"> </w:t>
      </w:r>
      <w:r w:rsidRPr="00E90A69">
        <w:rPr>
          <w:rFonts w:ascii="Times New Roman" w:hAnsi="Times New Roman"/>
          <w:sz w:val="24"/>
          <w:szCs w:val="24"/>
          <w:lang w:val="bg-BG" w:eastAsia="bg-BG"/>
        </w:rPr>
        <w:t>планирани</w:t>
      </w:r>
      <w:r w:rsidRPr="00E90A69">
        <w:rPr>
          <w:sz w:val="24"/>
          <w:szCs w:val="24"/>
          <w:lang w:val="bg-BG" w:eastAsia="bg-BG"/>
        </w:rPr>
        <w:t xml:space="preserve"> </w:t>
      </w:r>
      <w:r w:rsidRPr="00E90A69">
        <w:rPr>
          <w:rFonts w:ascii="Times New Roman" w:hAnsi="Times New Roman"/>
          <w:sz w:val="24"/>
          <w:szCs w:val="24"/>
          <w:lang w:val="bg-BG" w:eastAsia="bg-BG"/>
        </w:rPr>
        <w:t>на</w:t>
      </w:r>
      <w:r w:rsidRPr="00E90A69">
        <w:rPr>
          <w:sz w:val="24"/>
          <w:szCs w:val="24"/>
          <w:lang w:val="bg-BG" w:eastAsia="bg-BG"/>
        </w:rPr>
        <w:t xml:space="preserve"> </w:t>
      </w:r>
      <w:r w:rsidRPr="00E90A69">
        <w:rPr>
          <w:rFonts w:ascii="Times New Roman" w:hAnsi="Times New Roman"/>
          <w:sz w:val="24"/>
          <w:szCs w:val="24"/>
          <w:lang w:val="bg-BG" w:eastAsia="bg-BG"/>
        </w:rPr>
        <w:t>регионално</w:t>
      </w:r>
      <w:r w:rsidRPr="00E90A69">
        <w:rPr>
          <w:sz w:val="24"/>
          <w:szCs w:val="24"/>
          <w:lang w:val="bg-BG" w:eastAsia="bg-BG"/>
        </w:rPr>
        <w:t xml:space="preserve"> </w:t>
      </w:r>
      <w:r w:rsidRPr="00E90A69">
        <w:rPr>
          <w:rFonts w:ascii="Times New Roman" w:hAnsi="Times New Roman"/>
          <w:sz w:val="24"/>
          <w:szCs w:val="24"/>
          <w:lang w:val="bg-BG" w:eastAsia="bg-BG"/>
        </w:rPr>
        <w:t>или</w:t>
      </w:r>
      <w:r w:rsidRPr="00E90A69">
        <w:rPr>
          <w:sz w:val="24"/>
          <w:szCs w:val="24"/>
          <w:lang w:val="bg-BG" w:eastAsia="bg-BG"/>
        </w:rPr>
        <w:t xml:space="preserve"> </w:t>
      </w:r>
      <w:r w:rsidRPr="00E90A69">
        <w:rPr>
          <w:rFonts w:ascii="Times New Roman" w:hAnsi="Times New Roman"/>
          <w:sz w:val="24"/>
          <w:szCs w:val="24"/>
          <w:lang w:val="bg-BG" w:eastAsia="bg-BG"/>
        </w:rPr>
        <w:t>местно</w:t>
      </w:r>
      <w:r w:rsidRPr="00E90A69">
        <w:rPr>
          <w:sz w:val="24"/>
          <w:szCs w:val="24"/>
          <w:lang w:val="bg-BG" w:eastAsia="bg-BG"/>
        </w:rPr>
        <w:t xml:space="preserve"> </w:t>
      </w:r>
      <w:r w:rsidRPr="00E90A69">
        <w:rPr>
          <w:rFonts w:ascii="Times New Roman" w:hAnsi="Times New Roman"/>
          <w:sz w:val="24"/>
          <w:szCs w:val="24"/>
          <w:lang w:val="bg-BG" w:eastAsia="bg-BG"/>
        </w:rPr>
        <w:t>ниво</w:t>
      </w:r>
      <w:r w:rsidRPr="00E90A69">
        <w:rPr>
          <w:sz w:val="24"/>
          <w:szCs w:val="24"/>
          <w:lang w:val="bg-BG" w:eastAsia="bg-BG"/>
        </w:rPr>
        <w:t xml:space="preserve">. </w:t>
      </w:r>
      <w:r w:rsidRPr="00E90A69">
        <w:rPr>
          <w:rFonts w:ascii="Perpetua" w:hAnsi="Perpetua" w:cs="Perpetua"/>
          <w:sz w:val="24"/>
          <w:szCs w:val="24"/>
          <w:lang w:val="bg-BG" w:eastAsia="bg-BG"/>
        </w:rPr>
        <w:t>„</w:t>
      </w:r>
      <w:r w:rsidRPr="00E90A69">
        <w:rPr>
          <w:rFonts w:ascii="Times New Roman" w:hAnsi="Times New Roman"/>
          <w:sz w:val="24"/>
          <w:szCs w:val="24"/>
          <w:lang w:val="bg-BG" w:eastAsia="bg-BG"/>
        </w:rPr>
        <w:t>Пътеводител</w:t>
      </w:r>
      <w:r w:rsidRPr="00E90A69">
        <w:rPr>
          <w:sz w:val="24"/>
          <w:szCs w:val="24"/>
          <w:lang w:val="bg-BG" w:eastAsia="bg-BG"/>
        </w:rPr>
        <w:t xml:space="preserve"> </w:t>
      </w:r>
      <w:r w:rsidRPr="00E90A69">
        <w:rPr>
          <w:rFonts w:ascii="Times New Roman" w:hAnsi="Times New Roman"/>
          <w:sz w:val="24"/>
          <w:szCs w:val="24"/>
          <w:lang w:val="bg-BG" w:eastAsia="bg-BG"/>
        </w:rPr>
        <w:t>на</w:t>
      </w:r>
      <w:r w:rsidRPr="00E90A69">
        <w:rPr>
          <w:sz w:val="24"/>
          <w:szCs w:val="24"/>
          <w:lang w:val="bg-BG" w:eastAsia="bg-BG"/>
        </w:rPr>
        <w:t xml:space="preserve"> </w:t>
      </w:r>
      <w:r w:rsidRPr="00E90A69">
        <w:rPr>
          <w:rFonts w:ascii="Times New Roman" w:hAnsi="Times New Roman"/>
          <w:sz w:val="24"/>
          <w:szCs w:val="24"/>
          <w:lang w:val="bg-BG" w:eastAsia="bg-BG"/>
        </w:rPr>
        <w:t>културно</w:t>
      </w:r>
      <w:r w:rsidRPr="00E90A69">
        <w:rPr>
          <w:sz w:val="24"/>
          <w:szCs w:val="24"/>
          <w:lang w:val="bg-BG" w:eastAsia="bg-BG"/>
        </w:rPr>
        <w:t>-</w:t>
      </w:r>
      <w:r w:rsidRPr="00E90A69">
        <w:rPr>
          <w:rFonts w:ascii="Times New Roman" w:hAnsi="Times New Roman"/>
          <w:sz w:val="24"/>
          <w:szCs w:val="24"/>
          <w:lang w:val="bg-BG" w:eastAsia="bg-BG"/>
        </w:rPr>
        <w:t>историческото</w:t>
      </w:r>
      <w:r w:rsidRPr="00E90A69">
        <w:rPr>
          <w:sz w:val="24"/>
          <w:szCs w:val="24"/>
          <w:lang w:val="bg-BG" w:eastAsia="bg-BG"/>
        </w:rPr>
        <w:t xml:space="preserve"> </w:t>
      </w:r>
      <w:r w:rsidRPr="00E90A69">
        <w:rPr>
          <w:rFonts w:ascii="Times New Roman" w:hAnsi="Times New Roman"/>
          <w:sz w:val="24"/>
          <w:szCs w:val="24"/>
          <w:lang w:val="bg-BG" w:eastAsia="bg-BG"/>
        </w:rPr>
        <w:t>наследство</w:t>
      </w:r>
      <w:r w:rsidRPr="00E90A69">
        <w:rPr>
          <w:sz w:val="24"/>
          <w:szCs w:val="24"/>
          <w:lang w:val="bg-BG" w:eastAsia="bg-BG"/>
        </w:rPr>
        <w:t xml:space="preserve"> </w:t>
      </w:r>
      <w:r w:rsidRPr="00E90A69">
        <w:rPr>
          <w:rFonts w:ascii="Times New Roman" w:hAnsi="Times New Roman"/>
          <w:sz w:val="24"/>
          <w:szCs w:val="24"/>
          <w:lang w:val="bg-BG" w:eastAsia="bg-BG"/>
        </w:rPr>
        <w:t>на</w:t>
      </w:r>
      <w:r w:rsidRPr="00E90A69">
        <w:rPr>
          <w:sz w:val="24"/>
          <w:szCs w:val="24"/>
          <w:lang w:val="bg-BG" w:eastAsia="bg-BG"/>
        </w:rPr>
        <w:t xml:space="preserve"> </w:t>
      </w:r>
      <w:r w:rsidRPr="00E90A69">
        <w:rPr>
          <w:rFonts w:ascii="Times New Roman" w:hAnsi="Times New Roman"/>
          <w:sz w:val="24"/>
          <w:szCs w:val="24"/>
          <w:lang w:val="bg-BG" w:eastAsia="bg-BG"/>
        </w:rPr>
        <w:t>Югоизточен</w:t>
      </w:r>
      <w:r w:rsidRPr="00E90A69">
        <w:rPr>
          <w:sz w:val="24"/>
          <w:szCs w:val="24"/>
          <w:lang w:val="bg-BG" w:eastAsia="bg-BG"/>
        </w:rPr>
        <w:t xml:space="preserve"> </w:t>
      </w:r>
      <w:r w:rsidRPr="00E90A69">
        <w:rPr>
          <w:rFonts w:ascii="Times New Roman" w:hAnsi="Times New Roman"/>
          <w:sz w:val="24"/>
          <w:szCs w:val="24"/>
          <w:lang w:val="bg-BG" w:eastAsia="bg-BG"/>
        </w:rPr>
        <w:t>регион</w:t>
      </w:r>
      <w:r w:rsidRPr="00E90A69">
        <w:rPr>
          <w:rFonts w:ascii="Perpetua" w:hAnsi="Perpetua" w:cs="Perpetua"/>
          <w:sz w:val="24"/>
          <w:szCs w:val="24"/>
          <w:lang w:val="bg-BG" w:eastAsia="bg-BG"/>
        </w:rPr>
        <w:t>”</w:t>
      </w:r>
      <w:r w:rsidRPr="00E90A69">
        <w:rPr>
          <w:sz w:val="24"/>
          <w:szCs w:val="24"/>
          <w:lang w:val="bg-BG" w:eastAsia="bg-BG"/>
        </w:rPr>
        <w:t xml:space="preserve"> </w:t>
      </w:r>
      <w:r w:rsidRPr="00E90A69">
        <w:rPr>
          <w:rFonts w:ascii="Times New Roman" w:hAnsi="Times New Roman"/>
          <w:sz w:val="24"/>
          <w:szCs w:val="24"/>
          <w:lang w:val="bg-BG" w:eastAsia="bg-BG"/>
        </w:rPr>
        <w:t>е</w:t>
      </w:r>
      <w:r w:rsidRPr="00E90A69">
        <w:rPr>
          <w:sz w:val="24"/>
          <w:szCs w:val="24"/>
          <w:lang w:val="bg-BG" w:eastAsia="bg-BG"/>
        </w:rPr>
        <w:t xml:space="preserve"> </w:t>
      </w:r>
      <w:r w:rsidRPr="00E90A69">
        <w:rPr>
          <w:rFonts w:ascii="Times New Roman" w:hAnsi="Times New Roman"/>
          <w:sz w:val="24"/>
          <w:szCs w:val="24"/>
          <w:lang w:val="bg-BG" w:eastAsia="bg-BG"/>
        </w:rPr>
        <w:t>друг</w:t>
      </w:r>
      <w:r w:rsidRPr="00E90A69">
        <w:rPr>
          <w:sz w:val="24"/>
          <w:szCs w:val="24"/>
          <w:lang w:val="bg-BG" w:eastAsia="bg-BG"/>
        </w:rPr>
        <w:t xml:space="preserve"> </w:t>
      </w:r>
      <w:r w:rsidRPr="00E90A69">
        <w:rPr>
          <w:rFonts w:ascii="Times New Roman" w:hAnsi="Times New Roman"/>
          <w:sz w:val="24"/>
          <w:szCs w:val="24"/>
          <w:lang w:val="bg-BG" w:eastAsia="bg-BG"/>
        </w:rPr>
        <w:t>резултат</w:t>
      </w:r>
      <w:r w:rsidRPr="00E90A69">
        <w:rPr>
          <w:sz w:val="24"/>
          <w:szCs w:val="24"/>
          <w:lang w:val="bg-BG" w:eastAsia="bg-BG"/>
        </w:rPr>
        <w:t xml:space="preserve"> </w:t>
      </w:r>
      <w:r w:rsidRPr="00E90A69">
        <w:rPr>
          <w:rFonts w:ascii="Times New Roman" w:hAnsi="Times New Roman"/>
          <w:sz w:val="24"/>
          <w:szCs w:val="24"/>
          <w:lang w:val="bg-BG" w:eastAsia="bg-BG"/>
        </w:rPr>
        <w:t>от</w:t>
      </w:r>
      <w:r w:rsidRPr="00E90A69">
        <w:rPr>
          <w:sz w:val="24"/>
          <w:szCs w:val="24"/>
          <w:lang w:val="bg-BG" w:eastAsia="bg-BG"/>
        </w:rPr>
        <w:t xml:space="preserve"> </w:t>
      </w:r>
      <w:r w:rsidRPr="00E90A69">
        <w:rPr>
          <w:rFonts w:ascii="Times New Roman" w:hAnsi="Times New Roman"/>
          <w:sz w:val="24"/>
          <w:szCs w:val="24"/>
          <w:lang w:val="bg-BG" w:eastAsia="bg-BG"/>
        </w:rPr>
        <w:t>проекта</w:t>
      </w:r>
      <w:r w:rsidRPr="00E90A69">
        <w:rPr>
          <w:sz w:val="24"/>
          <w:szCs w:val="24"/>
          <w:lang w:val="bg-BG" w:eastAsia="bg-BG"/>
        </w:rPr>
        <w:t xml:space="preserve">. </w:t>
      </w:r>
      <w:r w:rsidRPr="00E90A69">
        <w:rPr>
          <w:rFonts w:ascii="Times New Roman" w:hAnsi="Times New Roman"/>
          <w:sz w:val="24"/>
          <w:szCs w:val="24"/>
          <w:lang w:val="bg-BG" w:eastAsia="bg-BG"/>
        </w:rPr>
        <w:t>Изданието</w:t>
      </w:r>
      <w:r w:rsidRPr="00E90A69">
        <w:rPr>
          <w:sz w:val="24"/>
          <w:szCs w:val="24"/>
          <w:lang w:val="bg-BG" w:eastAsia="bg-BG"/>
        </w:rPr>
        <w:t xml:space="preserve"> </w:t>
      </w:r>
      <w:r w:rsidRPr="00E90A69">
        <w:rPr>
          <w:rFonts w:ascii="Times New Roman" w:hAnsi="Times New Roman"/>
          <w:sz w:val="24"/>
          <w:szCs w:val="24"/>
          <w:lang w:val="bg-BG" w:eastAsia="bg-BG"/>
        </w:rPr>
        <w:t>е</w:t>
      </w:r>
      <w:r w:rsidRPr="00E90A69">
        <w:rPr>
          <w:sz w:val="24"/>
          <w:szCs w:val="24"/>
          <w:lang w:val="bg-BG" w:eastAsia="bg-BG"/>
        </w:rPr>
        <w:t xml:space="preserve"> </w:t>
      </w:r>
      <w:r w:rsidRPr="00E90A69">
        <w:rPr>
          <w:rFonts w:ascii="Times New Roman" w:hAnsi="Times New Roman"/>
          <w:sz w:val="24"/>
          <w:szCs w:val="24"/>
          <w:lang w:val="bg-BG" w:eastAsia="bg-BG"/>
        </w:rPr>
        <w:t>с</w:t>
      </w:r>
      <w:r w:rsidRPr="00E90A69">
        <w:rPr>
          <w:sz w:val="24"/>
          <w:szCs w:val="24"/>
          <w:lang w:val="bg-BG" w:eastAsia="bg-BG"/>
        </w:rPr>
        <w:t xml:space="preserve"> </w:t>
      </w:r>
      <w:r w:rsidRPr="00E90A69">
        <w:rPr>
          <w:rFonts w:ascii="Times New Roman" w:hAnsi="Times New Roman"/>
          <w:sz w:val="24"/>
          <w:szCs w:val="24"/>
          <w:lang w:val="bg-BG" w:eastAsia="bg-BG"/>
        </w:rPr>
        <w:t>практическа</w:t>
      </w:r>
      <w:r w:rsidRPr="00E90A69">
        <w:rPr>
          <w:sz w:val="24"/>
          <w:szCs w:val="24"/>
          <w:lang w:val="bg-BG" w:eastAsia="bg-BG"/>
        </w:rPr>
        <w:t xml:space="preserve"> </w:t>
      </w:r>
      <w:r w:rsidRPr="00E90A69">
        <w:rPr>
          <w:rFonts w:ascii="Times New Roman" w:hAnsi="Times New Roman"/>
          <w:sz w:val="24"/>
          <w:szCs w:val="24"/>
          <w:lang w:val="bg-BG" w:eastAsia="bg-BG"/>
        </w:rPr>
        <w:t>насоченост</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е</w:t>
      </w:r>
      <w:r w:rsidRPr="00E90A69">
        <w:rPr>
          <w:sz w:val="24"/>
          <w:szCs w:val="24"/>
          <w:lang w:val="bg-BG" w:eastAsia="bg-BG"/>
        </w:rPr>
        <w:t xml:space="preserve"> </w:t>
      </w:r>
      <w:r w:rsidRPr="00E90A69">
        <w:rPr>
          <w:rFonts w:ascii="Times New Roman" w:hAnsi="Times New Roman"/>
          <w:sz w:val="24"/>
          <w:szCs w:val="24"/>
          <w:lang w:val="bg-BG" w:eastAsia="bg-BG"/>
        </w:rPr>
        <w:t>предназначено</w:t>
      </w:r>
      <w:r w:rsidRPr="00E90A69">
        <w:rPr>
          <w:sz w:val="24"/>
          <w:szCs w:val="24"/>
          <w:lang w:val="bg-BG" w:eastAsia="bg-BG"/>
        </w:rPr>
        <w:t xml:space="preserve"> </w:t>
      </w:r>
      <w:r w:rsidRPr="00E90A69">
        <w:rPr>
          <w:rFonts w:ascii="Times New Roman" w:hAnsi="Times New Roman"/>
          <w:sz w:val="24"/>
          <w:szCs w:val="24"/>
          <w:lang w:val="bg-BG" w:eastAsia="bg-BG"/>
        </w:rPr>
        <w:t>за</w:t>
      </w:r>
      <w:r w:rsidRPr="00E90A69">
        <w:rPr>
          <w:sz w:val="24"/>
          <w:szCs w:val="24"/>
          <w:lang w:val="bg-BG" w:eastAsia="bg-BG"/>
        </w:rPr>
        <w:t xml:space="preserve"> </w:t>
      </w:r>
      <w:r w:rsidRPr="00E90A69">
        <w:rPr>
          <w:rFonts w:ascii="Times New Roman" w:hAnsi="Times New Roman"/>
          <w:sz w:val="24"/>
          <w:szCs w:val="24"/>
          <w:lang w:val="bg-BG" w:eastAsia="bg-BG"/>
        </w:rPr>
        <w:t>гости</w:t>
      </w:r>
      <w:r w:rsidRPr="00E90A69">
        <w:rPr>
          <w:sz w:val="24"/>
          <w:szCs w:val="24"/>
          <w:lang w:val="bg-BG" w:eastAsia="bg-BG"/>
        </w:rPr>
        <w:t xml:space="preserve">, </w:t>
      </w:r>
      <w:r w:rsidRPr="00E90A69">
        <w:rPr>
          <w:rFonts w:ascii="Times New Roman" w:hAnsi="Times New Roman"/>
          <w:sz w:val="24"/>
          <w:szCs w:val="24"/>
          <w:lang w:val="bg-BG" w:eastAsia="bg-BG"/>
        </w:rPr>
        <w:t>туристи</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посетители</w:t>
      </w:r>
      <w:r w:rsidRPr="00E90A69">
        <w:rPr>
          <w:sz w:val="24"/>
          <w:szCs w:val="24"/>
          <w:lang w:val="bg-BG" w:eastAsia="bg-BG"/>
        </w:rPr>
        <w:t xml:space="preserve"> </w:t>
      </w:r>
      <w:r w:rsidRPr="00E90A69">
        <w:rPr>
          <w:rFonts w:ascii="Times New Roman" w:hAnsi="Times New Roman"/>
          <w:sz w:val="24"/>
          <w:szCs w:val="24"/>
          <w:lang w:val="bg-BG" w:eastAsia="bg-BG"/>
        </w:rPr>
        <w:t>на</w:t>
      </w:r>
      <w:r w:rsidRPr="00E90A69">
        <w:rPr>
          <w:sz w:val="24"/>
          <w:szCs w:val="24"/>
          <w:lang w:val="bg-BG" w:eastAsia="bg-BG"/>
        </w:rPr>
        <w:t xml:space="preserve"> </w:t>
      </w:r>
      <w:r w:rsidRPr="00E90A69">
        <w:rPr>
          <w:rFonts w:ascii="Times New Roman" w:hAnsi="Times New Roman"/>
          <w:sz w:val="24"/>
          <w:szCs w:val="24"/>
          <w:lang w:val="bg-BG" w:eastAsia="bg-BG"/>
        </w:rPr>
        <w:t>общините</w:t>
      </w:r>
      <w:r w:rsidRPr="00E90A69">
        <w:rPr>
          <w:sz w:val="24"/>
          <w:szCs w:val="24"/>
          <w:lang w:val="bg-BG" w:eastAsia="bg-BG"/>
        </w:rPr>
        <w:t xml:space="preserve"> </w:t>
      </w:r>
      <w:r w:rsidRPr="00E90A69">
        <w:rPr>
          <w:rFonts w:ascii="Times New Roman" w:hAnsi="Times New Roman"/>
          <w:sz w:val="24"/>
          <w:szCs w:val="24"/>
          <w:lang w:val="bg-BG" w:eastAsia="bg-BG"/>
        </w:rPr>
        <w:t>Бургас</w:t>
      </w:r>
      <w:r w:rsidRPr="00E90A69">
        <w:rPr>
          <w:sz w:val="24"/>
          <w:szCs w:val="24"/>
          <w:lang w:val="bg-BG" w:eastAsia="bg-BG"/>
        </w:rPr>
        <w:t xml:space="preserve">, </w:t>
      </w:r>
      <w:r w:rsidRPr="00E90A69">
        <w:rPr>
          <w:rFonts w:ascii="Times New Roman" w:hAnsi="Times New Roman"/>
          <w:sz w:val="24"/>
          <w:szCs w:val="24"/>
          <w:lang w:val="bg-BG" w:eastAsia="bg-BG"/>
        </w:rPr>
        <w:t>Стара</w:t>
      </w:r>
      <w:r w:rsidRPr="00E90A69">
        <w:rPr>
          <w:sz w:val="24"/>
          <w:szCs w:val="24"/>
          <w:lang w:val="bg-BG" w:eastAsia="bg-BG"/>
        </w:rPr>
        <w:t xml:space="preserve"> </w:t>
      </w:r>
      <w:r w:rsidRPr="00E90A69">
        <w:rPr>
          <w:rFonts w:ascii="Times New Roman" w:hAnsi="Times New Roman"/>
          <w:sz w:val="24"/>
          <w:szCs w:val="24"/>
          <w:lang w:val="bg-BG" w:eastAsia="bg-BG"/>
        </w:rPr>
        <w:t>Загора</w:t>
      </w:r>
      <w:r w:rsidRPr="00E90A69">
        <w:rPr>
          <w:sz w:val="24"/>
          <w:szCs w:val="24"/>
          <w:lang w:val="bg-BG" w:eastAsia="bg-BG"/>
        </w:rPr>
        <w:t xml:space="preserve">, </w:t>
      </w:r>
      <w:r w:rsidRPr="00E90A69">
        <w:rPr>
          <w:rFonts w:ascii="Times New Roman" w:hAnsi="Times New Roman"/>
          <w:sz w:val="24"/>
          <w:szCs w:val="24"/>
          <w:lang w:val="bg-BG" w:eastAsia="bg-BG"/>
        </w:rPr>
        <w:t>Сливен</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Ямбол</w:t>
      </w:r>
      <w:r w:rsidRPr="00E90A69">
        <w:rPr>
          <w:sz w:val="24"/>
          <w:szCs w:val="24"/>
          <w:lang w:val="bg-BG" w:eastAsia="bg-BG"/>
        </w:rPr>
        <w:t xml:space="preserve">. </w:t>
      </w:r>
      <w:r w:rsidRPr="00E90A69">
        <w:rPr>
          <w:rFonts w:ascii="Times New Roman" w:hAnsi="Times New Roman"/>
          <w:sz w:val="24"/>
          <w:szCs w:val="24"/>
          <w:lang w:val="bg-BG" w:eastAsia="bg-BG"/>
        </w:rPr>
        <w:t>В</w:t>
      </w:r>
      <w:r w:rsidRPr="00E90A69">
        <w:rPr>
          <w:sz w:val="24"/>
          <w:szCs w:val="24"/>
          <w:lang w:val="bg-BG" w:eastAsia="bg-BG"/>
        </w:rPr>
        <w:t xml:space="preserve"> </w:t>
      </w:r>
      <w:r w:rsidRPr="00E90A69">
        <w:rPr>
          <w:rFonts w:ascii="Times New Roman" w:hAnsi="Times New Roman"/>
          <w:sz w:val="24"/>
          <w:szCs w:val="24"/>
          <w:lang w:val="bg-BG" w:eastAsia="bg-BG"/>
        </w:rPr>
        <w:t>него</w:t>
      </w:r>
      <w:r w:rsidRPr="00E90A69">
        <w:rPr>
          <w:sz w:val="24"/>
          <w:szCs w:val="24"/>
          <w:lang w:val="bg-BG" w:eastAsia="bg-BG"/>
        </w:rPr>
        <w:t xml:space="preserve"> </w:t>
      </w:r>
      <w:r w:rsidRPr="00E90A69">
        <w:rPr>
          <w:rFonts w:ascii="Times New Roman" w:hAnsi="Times New Roman"/>
          <w:sz w:val="24"/>
          <w:szCs w:val="24"/>
          <w:lang w:val="bg-BG" w:eastAsia="bg-BG"/>
        </w:rPr>
        <w:t>може</w:t>
      </w:r>
      <w:r w:rsidRPr="00E90A69">
        <w:rPr>
          <w:sz w:val="24"/>
          <w:szCs w:val="24"/>
          <w:lang w:val="bg-BG" w:eastAsia="bg-BG"/>
        </w:rPr>
        <w:t xml:space="preserve"> </w:t>
      </w:r>
      <w:r w:rsidRPr="00E90A69">
        <w:rPr>
          <w:rFonts w:ascii="Times New Roman" w:hAnsi="Times New Roman"/>
          <w:sz w:val="24"/>
          <w:szCs w:val="24"/>
          <w:lang w:val="bg-BG" w:eastAsia="bg-BG"/>
        </w:rPr>
        <w:t>да</w:t>
      </w:r>
      <w:r w:rsidRPr="00E90A69">
        <w:rPr>
          <w:sz w:val="24"/>
          <w:szCs w:val="24"/>
          <w:lang w:val="bg-BG" w:eastAsia="bg-BG"/>
        </w:rPr>
        <w:t xml:space="preserve"> </w:t>
      </w:r>
      <w:r w:rsidRPr="00E90A69">
        <w:rPr>
          <w:rFonts w:ascii="Times New Roman" w:hAnsi="Times New Roman"/>
          <w:sz w:val="24"/>
          <w:szCs w:val="24"/>
          <w:lang w:val="bg-BG" w:eastAsia="bg-BG"/>
        </w:rPr>
        <w:t>се</w:t>
      </w:r>
      <w:r w:rsidRPr="00E90A69">
        <w:rPr>
          <w:sz w:val="24"/>
          <w:szCs w:val="24"/>
          <w:lang w:val="bg-BG" w:eastAsia="bg-BG"/>
        </w:rPr>
        <w:t xml:space="preserve"> </w:t>
      </w:r>
      <w:r w:rsidRPr="00E90A69">
        <w:rPr>
          <w:rFonts w:ascii="Times New Roman" w:hAnsi="Times New Roman"/>
          <w:sz w:val="24"/>
          <w:szCs w:val="24"/>
          <w:lang w:val="bg-BG" w:eastAsia="bg-BG"/>
        </w:rPr>
        <w:t>намери</w:t>
      </w:r>
      <w:r w:rsidRPr="00E90A69">
        <w:rPr>
          <w:sz w:val="24"/>
          <w:szCs w:val="24"/>
          <w:lang w:val="bg-BG" w:eastAsia="bg-BG"/>
        </w:rPr>
        <w:t xml:space="preserve"> </w:t>
      </w:r>
      <w:r w:rsidRPr="00E90A69">
        <w:rPr>
          <w:rFonts w:ascii="Times New Roman" w:hAnsi="Times New Roman"/>
          <w:sz w:val="24"/>
          <w:szCs w:val="24"/>
          <w:lang w:val="bg-BG" w:eastAsia="bg-BG"/>
        </w:rPr>
        <w:t>интересна</w:t>
      </w:r>
      <w:r w:rsidRPr="00E90A69">
        <w:rPr>
          <w:sz w:val="24"/>
          <w:szCs w:val="24"/>
          <w:lang w:val="bg-BG" w:eastAsia="bg-BG"/>
        </w:rPr>
        <w:t xml:space="preserve"> </w:t>
      </w:r>
      <w:r w:rsidRPr="00E90A69">
        <w:rPr>
          <w:rFonts w:ascii="Times New Roman" w:hAnsi="Times New Roman"/>
          <w:sz w:val="24"/>
          <w:szCs w:val="24"/>
          <w:lang w:val="bg-BG" w:eastAsia="bg-BG"/>
        </w:rPr>
        <w:t>и</w:t>
      </w:r>
      <w:r w:rsidRPr="00E90A69">
        <w:rPr>
          <w:sz w:val="24"/>
          <w:szCs w:val="24"/>
          <w:lang w:val="bg-BG" w:eastAsia="bg-BG"/>
        </w:rPr>
        <w:t xml:space="preserve"> </w:t>
      </w:r>
      <w:r w:rsidRPr="00E90A69">
        <w:rPr>
          <w:rFonts w:ascii="Times New Roman" w:hAnsi="Times New Roman"/>
          <w:sz w:val="24"/>
          <w:szCs w:val="24"/>
          <w:lang w:val="bg-BG" w:eastAsia="bg-BG"/>
        </w:rPr>
        <w:t>полезна</w:t>
      </w:r>
      <w:r w:rsidRPr="00E90A69">
        <w:rPr>
          <w:sz w:val="24"/>
          <w:szCs w:val="24"/>
          <w:lang w:val="bg-BG" w:eastAsia="bg-BG"/>
        </w:rPr>
        <w:t xml:space="preserve"> </w:t>
      </w:r>
      <w:r w:rsidRPr="00E90A69">
        <w:rPr>
          <w:rFonts w:ascii="Times New Roman" w:hAnsi="Times New Roman"/>
          <w:sz w:val="24"/>
          <w:szCs w:val="24"/>
          <w:lang w:val="bg-BG" w:eastAsia="bg-BG"/>
        </w:rPr>
        <w:t>информация</w:t>
      </w:r>
      <w:r w:rsidRPr="00E90A69">
        <w:rPr>
          <w:sz w:val="24"/>
          <w:szCs w:val="24"/>
          <w:lang w:val="bg-BG" w:eastAsia="bg-BG"/>
        </w:rPr>
        <w:t xml:space="preserve"> </w:t>
      </w:r>
      <w:r w:rsidRPr="00E90A69">
        <w:rPr>
          <w:rFonts w:ascii="Times New Roman" w:hAnsi="Times New Roman"/>
          <w:sz w:val="24"/>
          <w:szCs w:val="24"/>
          <w:lang w:val="bg-BG" w:eastAsia="bg-BG"/>
        </w:rPr>
        <w:t>за</w:t>
      </w:r>
      <w:r w:rsidRPr="00E90A69">
        <w:rPr>
          <w:sz w:val="24"/>
          <w:szCs w:val="24"/>
          <w:lang w:val="bg-BG" w:eastAsia="bg-BG"/>
        </w:rPr>
        <w:t xml:space="preserve"> </w:t>
      </w:r>
      <w:r w:rsidRPr="00E90A69">
        <w:rPr>
          <w:rFonts w:ascii="Times New Roman" w:hAnsi="Times New Roman"/>
          <w:sz w:val="24"/>
          <w:szCs w:val="24"/>
          <w:lang w:val="bg-BG" w:eastAsia="bg-BG"/>
        </w:rPr>
        <w:t>културно</w:t>
      </w:r>
      <w:r w:rsidRPr="00E90A69">
        <w:rPr>
          <w:sz w:val="24"/>
          <w:szCs w:val="24"/>
          <w:lang w:val="bg-BG" w:eastAsia="bg-BG"/>
        </w:rPr>
        <w:t>-</w:t>
      </w:r>
      <w:r w:rsidRPr="00E90A69">
        <w:rPr>
          <w:rFonts w:ascii="Times New Roman" w:hAnsi="Times New Roman"/>
          <w:sz w:val="24"/>
          <w:szCs w:val="24"/>
          <w:lang w:val="bg-BG" w:eastAsia="bg-BG"/>
        </w:rPr>
        <w:t>исторически</w:t>
      </w:r>
      <w:r w:rsidRPr="00E90A69">
        <w:rPr>
          <w:sz w:val="24"/>
          <w:szCs w:val="24"/>
          <w:lang w:val="bg-BG" w:eastAsia="bg-BG"/>
        </w:rPr>
        <w:t xml:space="preserve"> </w:t>
      </w:r>
      <w:r w:rsidRPr="00E90A69">
        <w:rPr>
          <w:rFonts w:ascii="Times New Roman" w:hAnsi="Times New Roman"/>
          <w:sz w:val="24"/>
          <w:szCs w:val="24"/>
          <w:lang w:val="bg-BG" w:eastAsia="bg-BG"/>
        </w:rPr>
        <w:t>забележителности</w:t>
      </w:r>
      <w:r w:rsidRPr="00E90A69">
        <w:rPr>
          <w:sz w:val="24"/>
          <w:szCs w:val="24"/>
          <w:lang w:val="bg-BG" w:eastAsia="bg-BG"/>
        </w:rPr>
        <w:t>,</w:t>
      </w:r>
      <w:r w:rsidR="00142D9E">
        <w:rPr>
          <w:rFonts w:ascii="Cambria" w:hAnsi="Cambria"/>
          <w:sz w:val="24"/>
          <w:szCs w:val="24"/>
          <w:lang w:val="bg-BG" w:eastAsia="bg-BG"/>
        </w:rPr>
        <w:t xml:space="preserve"> </w:t>
      </w:r>
      <w:r w:rsidRPr="00E90A69">
        <w:rPr>
          <w:sz w:val="24"/>
          <w:szCs w:val="24"/>
          <w:lang w:val="bg-BG" w:eastAsia="bg-BG"/>
        </w:rPr>
        <w:t xml:space="preserve"> </w:t>
      </w:r>
      <w:r w:rsidRPr="00E90A69">
        <w:rPr>
          <w:rFonts w:ascii="Times New Roman" w:hAnsi="Times New Roman"/>
          <w:sz w:val="24"/>
          <w:szCs w:val="24"/>
          <w:lang w:val="bg-BG" w:eastAsia="bg-BG"/>
        </w:rPr>
        <w:t>фестивали</w:t>
      </w:r>
      <w:r w:rsidRPr="00E90A69">
        <w:rPr>
          <w:sz w:val="24"/>
          <w:szCs w:val="24"/>
          <w:lang w:val="bg-BG" w:eastAsia="bg-BG"/>
        </w:rPr>
        <w:t>,</w:t>
      </w:r>
      <w:r w:rsidR="00142D9E">
        <w:rPr>
          <w:rFonts w:ascii="Cambria" w:hAnsi="Cambria"/>
          <w:sz w:val="24"/>
          <w:szCs w:val="24"/>
          <w:lang w:val="bg-BG" w:eastAsia="bg-BG"/>
        </w:rPr>
        <w:t xml:space="preserve"> </w:t>
      </w:r>
      <w:r w:rsidRPr="00E90A69">
        <w:rPr>
          <w:sz w:val="24"/>
          <w:szCs w:val="24"/>
          <w:lang w:val="bg-BG" w:eastAsia="bg-BG"/>
        </w:rPr>
        <w:t xml:space="preserve"> </w:t>
      </w:r>
      <w:r w:rsidRPr="00E90A69">
        <w:rPr>
          <w:rFonts w:ascii="Times New Roman" w:hAnsi="Times New Roman"/>
          <w:sz w:val="24"/>
          <w:szCs w:val="24"/>
          <w:lang w:val="bg-BG" w:eastAsia="bg-BG"/>
        </w:rPr>
        <w:t>музеи</w:t>
      </w:r>
      <w:r w:rsidRPr="00E90A69">
        <w:rPr>
          <w:sz w:val="24"/>
          <w:szCs w:val="24"/>
          <w:lang w:val="bg-BG" w:eastAsia="bg-BG"/>
        </w:rPr>
        <w:t>,</w:t>
      </w:r>
      <w:r w:rsidR="00142D9E">
        <w:rPr>
          <w:rFonts w:ascii="Cambria" w:hAnsi="Cambria"/>
          <w:sz w:val="24"/>
          <w:szCs w:val="24"/>
          <w:lang w:val="bg-BG" w:eastAsia="bg-BG"/>
        </w:rPr>
        <w:t xml:space="preserve"> </w:t>
      </w:r>
      <w:r w:rsidRPr="00E90A69">
        <w:rPr>
          <w:sz w:val="24"/>
          <w:szCs w:val="24"/>
          <w:lang w:val="bg-BG" w:eastAsia="bg-BG"/>
        </w:rPr>
        <w:t xml:space="preserve"> </w:t>
      </w:r>
      <w:r w:rsidRPr="00E90A69">
        <w:rPr>
          <w:rFonts w:ascii="Times New Roman" w:hAnsi="Times New Roman"/>
          <w:sz w:val="24"/>
          <w:szCs w:val="24"/>
          <w:lang w:val="bg-BG" w:eastAsia="bg-BG"/>
        </w:rPr>
        <w:t>природни</w:t>
      </w:r>
      <w:r w:rsidRPr="00E90A69">
        <w:rPr>
          <w:sz w:val="24"/>
          <w:szCs w:val="24"/>
          <w:lang w:val="bg-BG" w:eastAsia="bg-BG"/>
        </w:rPr>
        <w:t xml:space="preserve"> </w:t>
      </w:r>
      <w:r w:rsidRPr="00E90A69">
        <w:rPr>
          <w:rFonts w:ascii="Times New Roman" w:hAnsi="Times New Roman"/>
          <w:sz w:val="24"/>
          <w:szCs w:val="24"/>
          <w:lang w:val="bg-BG" w:eastAsia="bg-BG"/>
        </w:rPr>
        <w:t>забележителности</w:t>
      </w:r>
      <w:r w:rsidRPr="00E90A69">
        <w:rPr>
          <w:sz w:val="24"/>
          <w:szCs w:val="24"/>
          <w:lang w:val="bg-BG" w:eastAsia="bg-BG"/>
        </w:rPr>
        <w:t xml:space="preserve">, </w:t>
      </w:r>
      <w:r w:rsidRPr="00E90A69">
        <w:rPr>
          <w:rFonts w:ascii="Times New Roman" w:hAnsi="Times New Roman"/>
          <w:sz w:val="24"/>
          <w:szCs w:val="24"/>
          <w:lang w:val="bg-BG" w:eastAsia="bg-BG"/>
        </w:rPr>
        <w:t>дейности</w:t>
      </w:r>
      <w:r w:rsidRPr="00E90A69">
        <w:rPr>
          <w:sz w:val="24"/>
          <w:szCs w:val="24"/>
          <w:lang w:val="bg-BG" w:eastAsia="bg-BG"/>
        </w:rPr>
        <w:t xml:space="preserve"> </w:t>
      </w:r>
      <w:r w:rsidRPr="00E90A69">
        <w:rPr>
          <w:rFonts w:ascii="Times New Roman" w:hAnsi="Times New Roman"/>
          <w:sz w:val="24"/>
          <w:szCs w:val="24"/>
          <w:lang w:val="bg-BG" w:eastAsia="bg-BG"/>
        </w:rPr>
        <w:t>в</w:t>
      </w:r>
      <w:r w:rsidRPr="00E90A69">
        <w:rPr>
          <w:sz w:val="24"/>
          <w:szCs w:val="24"/>
          <w:lang w:val="bg-BG" w:eastAsia="bg-BG"/>
        </w:rPr>
        <w:t xml:space="preserve"> </w:t>
      </w:r>
      <w:r w:rsidRPr="00E90A69">
        <w:rPr>
          <w:rFonts w:ascii="Times New Roman" w:hAnsi="Times New Roman"/>
          <w:sz w:val="24"/>
          <w:szCs w:val="24"/>
          <w:lang w:val="bg-BG" w:eastAsia="bg-BG"/>
        </w:rPr>
        <w:t>свободното</w:t>
      </w:r>
      <w:r w:rsidRPr="00E90A69">
        <w:rPr>
          <w:sz w:val="24"/>
          <w:szCs w:val="24"/>
          <w:lang w:val="bg-BG" w:eastAsia="bg-BG"/>
        </w:rPr>
        <w:t xml:space="preserve"> </w:t>
      </w:r>
      <w:r w:rsidRPr="00E90A69">
        <w:rPr>
          <w:rFonts w:ascii="Times New Roman" w:hAnsi="Times New Roman"/>
          <w:sz w:val="24"/>
          <w:szCs w:val="24"/>
          <w:lang w:val="bg-BG" w:eastAsia="bg-BG"/>
        </w:rPr>
        <w:t>време</w:t>
      </w:r>
      <w:r w:rsidRPr="00E90A69">
        <w:rPr>
          <w:sz w:val="24"/>
          <w:szCs w:val="24"/>
          <w:lang w:val="bg-BG" w:eastAsia="bg-BG"/>
        </w:rPr>
        <w:t>.</w:t>
      </w:r>
    </w:p>
    <w:p w:rsidR="00E90A69" w:rsidRDefault="00F25110" w:rsidP="00E90A69">
      <w:pPr>
        <w:autoSpaceDE w:val="0"/>
        <w:autoSpaceDN w:val="0"/>
        <w:adjustRightInd w:val="0"/>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През 2014 г. в процес на реализиране е проект  „Черноморска мрежа за устойчив туризъм - стратегии за съвместен маркетинг в туризма и развитие на черноморския регион“ по </w:t>
      </w:r>
      <w:r w:rsidRPr="00BD7BB1">
        <w:rPr>
          <w:rFonts w:ascii="Times New Roman" w:eastAsia="Times New Roman" w:hAnsi="Times New Roman"/>
          <w:b/>
          <w:color w:val="auto"/>
          <w:sz w:val="24"/>
          <w:szCs w:val="24"/>
          <w:lang w:val="bg-BG" w:eastAsia="bg-BG"/>
        </w:rPr>
        <w:t>Съвместната оперативна програма на Черноморския басейн 2007-2013</w:t>
      </w:r>
      <w:r w:rsidR="00142D9E">
        <w:rPr>
          <w:rFonts w:ascii="Times New Roman" w:eastAsia="Times New Roman" w:hAnsi="Times New Roman"/>
          <w:b/>
          <w:color w:val="auto"/>
          <w:sz w:val="24"/>
          <w:szCs w:val="24"/>
          <w:lang w:val="bg-BG" w:eastAsia="bg-BG"/>
        </w:rPr>
        <w:t>г.</w:t>
      </w:r>
      <w:r w:rsidRPr="00BD7BB1">
        <w:rPr>
          <w:rFonts w:ascii="Times New Roman" w:eastAsia="Times New Roman" w:hAnsi="Times New Roman"/>
          <w:color w:val="auto"/>
          <w:sz w:val="24"/>
          <w:szCs w:val="24"/>
          <w:lang w:val="bg-BG" w:eastAsia="bg-BG"/>
        </w:rPr>
        <w:t xml:space="preserve"> - водеща организация: институт за бизнес консултации</w:t>
      </w:r>
      <w:r w:rsidR="00142D9E">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 Кишинев, Молдова партньор: Община Бургас. </w:t>
      </w:r>
      <w:r w:rsidRPr="00BD7BB1">
        <w:rPr>
          <w:rFonts w:ascii="Times New Roman" w:eastAsia="Times New Roman" w:hAnsi="Times New Roman"/>
          <w:b/>
          <w:bCs/>
          <w:color w:val="auto"/>
          <w:sz w:val="24"/>
          <w:szCs w:val="24"/>
          <w:lang w:val="bg-BG" w:eastAsia="bg-BG"/>
        </w:rPr>
        <w:t>Общ бюджет:</w:t>
      </w:r>
      <w:r w:rsidRPr="00BD7BB1">
        <w:rPr>
          <w:rFonts w:ascii="Times New Roman" w:eastAsia="Times New Roman" w:hAnsi="Times New Roman"/>
          <w:color w:val="auto"/>
          <w:sz w:val="24"/>
          <w:szCs w:val="24"/>
          <w:lang w:val="bg-BG" w:eastAsia="bg-BG"/>
        </w:rPr>
        <w:t xml:space="preserve"> 629 665 евро. Общите цели на проекта са свързани с подобряване на местния капацитет за планиране, </w:t>
      </w:r>
      <w:r w:rsidR="00142D9E">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координация и изпълнение на съвместни стратегически документи; </w:t>
      </w:r>
      <w:r w:rsidR="00142D9E">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Изграждане на ефективна структурна мрежа за популяризиране и въвеждане на ориентирани към нуждите на пазара туристически продукти; Засилване на трансграничното икономическо развитие, посредством дейности в сферата на туризма; </w:t>
      </w:r>
      <w:r w:rsidRPr="00BD7BB1">
        <w:rPr>
          <w:rFonts w:ascii="Times New Roman" w:eastAsia="Times New Roman" w:hAnsi="Times New Roman"/>
          <w:color w:val="auto"/>
          <w:sz w:val="24"/>
          <w:szCs w:val="24"/>
          <w:lang w:val="bg-BG" w:eastAsia="bg-BG"/>
        </w:rPr>
        <w:lastRenderedPageBreak/>
        <w:t xml:space="preserve">Постигане на по-засилено регионално партньорство и сътрудничество сред регионите в басейна на Черно море за управление на устойчив туризъм </w:t>
      </w:r>
      <w:r w:rsidR="00E90A69">
        <w:rPr>
          <w:rFonts w:ascii="Times New Roman" w:eastAsia="Times New Roman" w:hAnsi="Times New Roman"/>
          <w:color w:val="auto"/>
          <w:sz w:val="24"/>
          <w:szCs w:val="24"/>
          <w:lang w:val="bg-BG" w:eastAsia="bg-BG"/>
        </w:rPr>
        <w:t xml:space="preserve">и обща маркетингова стратегия. </w:t>
      </w:r>
    </w:p>
    <w:p w:rsidR="00F25110" w:rsidRPr="00E90A69" w:rsidRDefault="00F25110" w:rsidP="00E90A69">
      <w:pPr>
        <w:pStyle w:val="ListParagraph"/>
        <w:numPr>
          <w:ilvl w:val="0"/>
          <w:numId w:val="64"/>
        </w:numPr>
        <w:autoSpaceDE w:val="0"/>
        <w:autoSpaceDN w:val="0"/>
        <w:adjustRightInd w:val="0"/>
        <w:spacing w:line="360" w:lineRule="auto"/>
        <w:ind w:left="0" w:firstLine="360"/>
        <w:jc w:val="both"/>
        <w:rPr>
          <w:lang w:val="bg-BG" w:eastAsia="bg-BG"/>
        </w:rPr>
      </w:pPr>
      <w:r w:rsidRPr="00E90A69">
        <w:rPr>
          <w:bCs/>
          <w:lang w:val="bg-BG"/>
        </w:rPr>
        <w:t xml:space="preserve">Проект </w:t>
      </w:r>
      <w:r w:rsidRPr="00E90A69">
        <w:rPr>
          <w:bCs/>
        </w:rPr>
        <w:t>CULTUR</w:t>
      </w:r>
      <w:r w:rsidRPr="00E90A69">
        <w:rPr>
          <w:bCs/>
          <w:lang w:val="bg-BG"/>
        </w:rPr>
        <w:t>-</w:t>
      </w:r>
      <w:r w:rsidRPr="00E90A69">
        <w:rPr>
          <w:bCs/>
        </w:rPr>
        <w:t>EXP</w:t>
      </w:r>
      <w:r w:rsidRPr="00E90A69">
        <w:rPr>
          <w:bCs/>
          <w:lang w:val="bg-BG"/>
        </w:rPr>
        <w:t xml:space="preserve"> „Платформа за културен обмен в Черноморския басейн“ </w:t>
      </w:r>
      <w:r w:rsidRPr="00E90A69">
        <w:rPr>
          <w:lang w:val="bg-BG" w:eastAsia="bg-BG"/>
        </w:rPr>
        <w:t xml:space="preserve">- </w:t>
      </w:r>
      <w:r w:rsidRPr="00E90A69">
        <w:rPr>
          <w:bCs/>
          <w:lang w:val="bg-BG"/>
        </w:rPr>
        <w:t>Инструмент за европейско добросъседство и партньорство</w:t>
      </w:r>
      <w:r w:rsidRPr="00E90A69">
        <w:rPr>
          <w:lang w:val="bg-BG" w:eastAsia="bg-BG"/>
        </w:rPr>
        <w:t xml:space="preserve"> </w:t>
      </w:r>
      <w:r w:rsidRPr="00E90A69">
        <w:rPr>
          <w:bCs/>
          <w:lang w:val="bg-BG"/>
        </w:rPr>
        <w:t>Съвместна оперативна програма „Черноморски басейн“ 2007-2013 г.</w:t>
      </w:r>
      <w:r w:rsidRPr="00E90A69">
        <w:rPr>
          <w:lang w:val="bg-BG" w:eastAsia="bg-BG"/>
        </w:rPr>
        <w:t xml:space="preserve"> Грузинска асоциация за изследователни и образователни мрежи (GRENA),</w:t>
      </w:r>
      <w:r w:rsidR="00142D9E">
        <w:rPr>
          <w:lang w:val="bg-BG" w:eastAsia="bg-BG"/>
        </w:rPr>
        <w:t xml:space="preserve"> </w:t>
      </w:r>
      <w:r w:rsidRPr="00E90A69">
        <w:rPr>
          <w:lang w:val="bg-BG" w:eastAsia="bg-BG"/>
        </w:rPr>
        <w:t xml:space="preserve">Грузия - Водещ партньор - Областна администрация Бургас, Европейска регионална рамка за сътрудничество, Гърция, Арменски паметници, Армения, </w:t>
      </w:r>
      <w:r w:rsidRPr="00E90A69">
        <w:rPr>
          <w:bCs/>
          <w:lang w:val="bg-BG"/>
        </w:rPr>
        <w:t>Молдовска асоциация за изследователни и образователни мрежи, Молдова.</w:t>
      </w:r>
      <w:r w:rsidRPr="00E90A69">
        <w:rPr>
          <w:lang w:val="bg-BG" w:eastAsia="bg-BG"/>
        </w:rPr>
        <w:t xml:space="preserve"> </w:t>
      </w:r>
      <w:r w:rsidRPr="00E90A69">
        <w:rPr>
          <w:bCs/>
          <w:lang w:val="bg-BG"/>
        </w:rPr>
        <w:t>Проектът е стартирал на 01.07.2013 г., размер на договорените средства -</w:t>
      </w:r>
      <w:r w:rsidR="00142D9E">
        <w:rPr>
          <w:bCs/>
          <w:lang w:val="bg-BG"/>
        </w:rPr>
        <w:t xml:space="preserve"> </w:t>
      </w:r>
      <w:r w:rsidRPr="00E90A69">
        <w:rPr>
          <w:bCs/>
          <w:lang w:val="bg-BG"/>
        </w:rPr>
        <w:t>109 396 лв.</w:t>
      </w:r>
    </w:p>
    <w:p w:rsidR="00E90A69" w:rsidRDefault="00F25110" w:rsidP="00E90A69">
      <w:pPr>
        <w:pStyle w:val="ListParagraph"/>
        <w:numPr>
          <w:ilvl w:val="0"/>
          <w:numId w:val="64"/>
        </w:numPr>
        <w:autoSpaceDE w:val="0"/>
        <w:autoSpaceDN w:val="0"/>
        <w:adjustRightInd w:val="0"/>
        <w:spacing w:line="360" w:lineRule="auto"/>
        <w:ind w:left="0" w:firstLine="360"/>
        <w:jc w:val="both"/>
        <w:rPr>
          <w:lang w:val="bg-BG" w:eastAsia="bg-BG"/>
        </w:rPr>
      </w:pPr>
      <w:r w:rsidRPr="00E90A69">
        <w:rPr>
          <w:lang w:val="bg-BG" w:eastAsia="bg-BG"/>
        </w:rPr>
        <w:t>На територията на община Бургас предстои да бъде изградено спортно   съоръжение „Арена Бургас“ с капацитет за 6500 зрители. Прогнозната стойност е 32 млн. лв. без ДДС. Изпълнява се първата фаза от строителството на обекта.</w:t>
      </w:r>
    </w:p>
    <w:p w:rsidR="00F25110" w:rsidRPr="00E90A69" w:rsidRDefault="00F25110" w:rsidP="00E90A69">
      <w:pPr>
        <w:pStyle w:val="ListParagraph"/>
        <w:numPr>
          <w:ilvl w:val="0"/>
          <w:numId w:val="64"/>
        </w:numPr>
        <w:autoSpaceDE w:val="0"/>
        <w:autoSpaceDN w:val="0"/>
        <w:adjustRightInd w:val="0"/>
        <w:spacing w:line="360" w:lineRule="auto"/>
        <w:ind w:left="0" w:firstLine="360"/>
        <w:jc w:val="both"/>
        <w:rPr>
          <w:lang w:val="bg-BG" w:eastAsia="bg-BG"/>
        </w:rPr>
      </w:pPr>
      <w:r w:rsidRPr="00E90A69">
        <w:rPr>
          <w:lang w:val="bg-BG" w:eastAsia="bg-BG"/>
        </w:rPr>
        <w:t>Най-големият публично-частен проект в Бургас е изграждането на „Океанариум”  комплекс, който включва океанариум, делфинариум и целогодишен аквапарк с развлекателен център в парк Езеро. Инвестицията в неговото построяване е разчетена за близо 100 млн. лв. Проектът  е в процес на проектно изготвяне.</w:t>
      </w:r>
    </w:p>
    <w:p w:rsidR="00F25110" w:rsidRPr="00BD7BB1" w:rsidRDefault="00F25110" w:rsidP="00E90A69">
      <w:pPr>
        <w:autoSpaceDE w:val="0"/>
        <w:autoSpaceDN w:val="0"/>
        <w:adjustRightInd w:val="0"/>
        <w:spacing w:after="0" w:line="360" w:lineRule="auto"/>
        <w:ind w:firstLine="360"/>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Програмата за развитие на селските райони</w:t>
      </w:r>
      <w:r w:rsidRPr="00BD7BB1">
        <w:rPr>
          <w:rFonts w:ascii="Times New Roman" w:eastAsia="Times New Roman" w:hAnsi="Times New Roman"/>
          <w:color w:val="auto"/>
          <w:sz w:val="24"/>
          <w:szCs w:val="24"/>
          <w:lang w:val="bg-BG" w:eastAsia="bg-BG"/>
        </w:rPr>
        <w:t xml:space="preserve"> допринася за напредъка по изпълнението на Приоритет 2  чрез приоритетна ос 3 </w:t>
      </w:r>
      <w:r w:rsidRPr="00BD7BB1">
        <w:rPr>
          <w:rFonts w:ascii="Times New Roman" w:eastAsia="Times New Roman" w:hAnsi="Times New Roman"/>
          <w:i/>
          <w:color w:val="auto"/>
          <w:sz w:val="24"/>
          <w:szCs w:val="24"/>
          <w:lang w:val="bg-BG" w:eastAsia="bg-BG"/>
        </w:rPr>
        <w:t>„Подобряване на качеството на живот и насърчаване на възможностите за заетост в селските райони”-</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i/>
          <w:color w:val="auto"/>
          <w:sz w:val="24"/>
          <w:szCs w:val="24"/>
          <w:lang w:val="bg-BG" w:eastAsia="bg-BG"/>
        </w:rPr>
        <w:t>мярка 313 „Насърчаване на туристическите дейности“.</w:t>
      </w:r>
      <w:r w:rsidR="00142D9E">
        <w:rPr>
          <w:rFonts w:ascii="Times New Roman" w:eastAsia="Times New Roman" w:hAnsi="Times New Roman"/>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 На територията на района са договорени</w:t>
      </w:r>
      <w:r w:rsidR="00142D9E">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9</w:t>
      </w:r>
      <w:r w:rsidRPr="00BD7BB1">
        <w:rPr>
          <w:rFonts w:ascii="Times New Roman" w:eastAsia="Times New Roman" w:hAnsi="Times New Roman"/>
          <w:color w:val="auto"/>
          <w:sz w:val="24"/>
          <w:szCs w:val="24"/>
          <w:lang w:val="bg-BG" w:eastAsia="bg-BG"/>
        </w:rPr>
        <w:t xml:space="preserve"> проекта с  обща субсидия  на стойност - </w:t>
      </w:r>
      <w:r w:rsidRPr="00BD7BB1">
        <w:rPr>
          <w:rFonts w:ascii="Times New Roman" w:eastAsia="Times New Roman" w:hAnsi="Times New Roman"/>
          <w:b/>
          <w:color w:val="auto"/>
          <w:sz w:val="24"/>
          <w:szCs w:val="24"/>
          <w:lang w:val="bg-BG" w:eastAsia="bg-BG"/>
        </w:rPr>
        <w:t>2 054 458,30лв.</w:t>
      </w:r>
      <w:r w:rsidRPr="00BD7BB1">
        <w:rPr>
          <w:rFonts w:ascii="Times New Roman" w:eastAsia="Times New Roman" w:hAnsi="Times New Roman"/>
          <w:color w:val="auto"/>
          <w:sz w:val="24"/>
          <w:szCs w:val="24"/>
          <w:lang w:val="bg-BG" w:eastAsia="bg-BG"/>
        </w:rPr>
        <w:t>, изплатените средства са</w:t>
      </w:r>
      <w:r w:rsidRPr="00BD7BB1">
        <w:rPr>
          <w:rFonts w:ascii="Times New Roman" w:eastAsia="Times New Roman" w:hAnsi="Times New Roman"/>
          <w:b/>
          <w:color w:val="auto"/>
          <w:sz w:val="24"/>
          <w:szCs w:val="24"/>
          <w:lang w:val="bg-BG" w:eastAsia="bg-BG"/>
        </w:rPr>
        <w:t xml:space="preserve"> 1 567 246, 90 лв</w:t>
      </w:r>
      <w:r w:rsidRPr="00BD7BB1">
        <w:rPr>
          <w:rFonts w:ascii="Times New Roman" w:eastAsia="Times New Roman" w:hAnsi="Times New Roman"/>
          <w:color w:val="auto"/>
          <w:sz w:val="24"/>
          <w:szCs w:val="24"/>
          <w:lang w:val="bg-BG" w:eastAsia="bg-BG"/>
        </w:rPr>
        <w:t>.   По</w:t>
      </w:r>
      <w:r w:rsidR="00142D9E">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bg-BG" w:eastAsia="bg-BG"/>
        </w:rPr>
        <w:t>голяма част от проектите са изпълнени.</w:t>
      </w:r>
    </w:p>
    <w:p w:rsidR="00F25110" w:rsidRPr="00BD7BB1" w:rsidRDefault="00F25110" w:rsidP="00E90A69">
      <w:pPr>
        <w:autoSpaceDE w:val="0"/>
        <w:autoSpaceDN w:val="0"/>
        <w:adjustRightInd w:val="0"/>
        <w:spacing w:after="0" w:line="360" w:lineRule="auto"/>
        <w:ind w:firstLine="360"/>
        <w:jc w:val="both"/>
        <w:rPr>
          <w:rFonts w:ascii="Times New Roman" w:eastAsia="Times New Roman" w:hAnsi="Times New Roman"/>
          <w:color w:val="auto"/>
          <w:sz w:val="24"/>
          <w:szCs w:val="24"/>
          <w:lang w:val="bg-BG"/>
        </w:rPr>
      </w:pPr>
      <w:r w:rsidRPr="00BD7BB1">
        <w:rPr>
          <w:rFonts w:ascii="Times New Roman" w:eastAsia="Times New Roman" w:hAnsi="Times New Roman"/>
          <w:color w:val="auto"/>
          <w:sz w:val="24"/>
          <w:szCs w:val="24"/>
          <w:lang w:val="bg-BG"/>
        </w:rPr>
        <w:t>Община Карнобат изпълнява проектите „Възстановяване и експониране на културно-исторически паметник Часовникова кула – гр. Карнобат”, на стойност 48</w:t>
      </w:r>
      <w:r w:rsidRPr="00BD7BB1">
        <w:rPr>
          <w:rFonts w:ascii="Times New Roman" w:eastAsia="Times New Roman" w:hAnsi="Times New Roman"/>
          <w:color w:val="auto"/>
          <w:sz w:val="24"/>
          <w:szCs w:val="24"/>
        </w:rPr>
        <w:t xml:space="preserve"> </w:t>
      </w:r>
      <w:r w:rsidRPr="00BD7BB1">
        <w:rPr>
          <w:rFonts w:ascii="Times New Roman" w:eastAsia="Times New Roman" w:hAnsi="Times New Roman"/>
          <w:color w:val="auto"/>
          <w:sz w:val="24"/>
          <w:szCs w:val="24"/>
          <w:lang w:val="bg-BG"/>
        </w:rPr>
        <w:t>891,28 лв.</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rPr>
        <w:t>„Атракция за посетители, чрез възстановка на крепост „Маркели” в градски парк, гр. Карнобат” 56</w:t>
      </w:r>
      <w:r w:rsidRPr="00BD7BB1">
        <w:rPr>
          <w:rFonts w:ascii="Times New Roman" w:eastAsia="Times New Roman" w:hAnsi="Times New Roman"/>
          <w:color w:val="auto"/>
          <w:sz w:val="24"/>
          <w:szCs w:val="24"/>
        </w:rPr>
        <w:t xml:space="preserve"> </w:t>
      </w:r>
      <w:r w:rsidRPr="00BD7BB1">
        <w:rPr>
          <w:rFonts w:ascii="Times New Roman" w:eastAsia="Times New Roman" w:hAnsi="Times New Roman"/>
          <w:color w:val="auto"/>
          <w:sz w:val="24"/>
          <w:szCs w:val="24"/>
          <w:lang w:val="bg-BG"/>
        </w:rPr>
        <w:t>026,91лв.</w:t>
      </w:r>
      <w:r w:rsidRPr="00BD7BB1">
        <w:rPr>
          <w:rFonts w:ascii="Times New Roman" w:eastAsia="Times New Roman" w:hAnsi="Times New Roman"/>
          <w:color w:val="auto"/>
          <w:sz w:val="24"/>
          <w:szCs w:val="24"/>
          <w:lang w:val="bg-BG" w:eastAsia="bg-BG"/>
        </w:rPr>
        <w:t>; „</w:t>
      </w:r>
      <w:r w:rsidRPr="00BD7BB1">
        <w:rPr>
          <w:rFonts w:ascii="Times New Roman" w:eastAsia="Times New Roman" w:hAnsi="Times New Roman"/>
          <w:color w:val="auto"/>
          <w:sz w:val="24"/>
          <w:szCs w:val="24"/>
          <w:lang w:val="bg-BG"/>
        </w:rPr>
        <w:t>Изграждане на малки атракции на открито - зона за рекреация със зоокът в градски парк, гр. Карнобат” 56</w:t>
      </w:r>
      <w:r w:rsidRPr="00BD7BB1">
        <w:rPr>
          <w:rFonts w:ascii="Times New Roman" w:eastAsia="Times New Roman" w:hAnsi="Times New Roman"/>
          <w:color w:val="auto"/>
          <w:sz w:val="24"/>
          <w:szCs w:val="24"/>
        </w:rPr>
        <w:t xml:space="preserve"> </w:t>
      </w:r>
      <w:r w:rsidRPr="00BD7BB1">
        <w:rPr>
          <w:rFonts w:ascii="Times New Roman" w:eastAsia="Times New Roman" w:hAnsi="Times New Roman"/>
          <w:color w:val="auto"/>
          <w:sz w:val="24"/>
          <w:szCs w:val="24"/>
          <w:lang w:val="bg-BG"/>
        </w:rPr>
        <w:t>368,64лв.</w:t>
      </w:r>
      <w:r w:rsidRPr="00BD7BB1">
        <w:rPr>
          <w:rFonts w:ascii="Times New Roman" w:eastAsia="Times New Roman" w:hAnsi="Times New Roman"/>
          <w:color w:val="auto"/>
          <w:sz w:val="24"/>
          <w:szCs w:val="24"/>
          <w:lang w:val="bg-BG" w:eastAsia="bg-BG"/>
        </w:rPr>
        <w:t xml:space="preserve"> На територията</w:t>
      </w:r>
      <w:r w:rsidRPr="00BD7BB1">
        <w:rPr>
          <w:rFonts w:ascii="Times New Roman" w:eastAsia="Times New Roman" w:hAnsi="Times New Roman"/>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на Община Малко Търново са изпълнени  три проекта по мярка 313 „Изграждане на многофункционален посетителски център в с. Граматиково, община Малко Търново“, на стойност 338 500 лв., „Постоянна изложба на етнографското наследство и природните забележителности на </w:t>
      </w:r>
      <w:r w:rsidRPr="00BD7BB1">
        <w:rPr>
          <w:rFonts w:ascii="Times New Roman" w:eastAsia="Times New Roman" w:hAnsi="Times New Roman"/>
          <w:color w:val="auto"/>
          <w:sz w:val="24"/>
          <w:szCs w:val="24"/>
          <w:lang w:val="bg-BG" w:eastAsia="bg-BG"/>
        </w:rPr>
        <w:lastRenderedPageBreak/>
        <w:t>община Малко Търново с прилагане на аудио-визуални компютърни технологии“, на стойност  385 442 лв., „Обновяване на посетителски център в м. Петрова нива, община Малко Търново“, на стойност 256 758 лв. Община Болярово изпълнява проект по мярка 313 „Язовир Малко Шарково туристът в рая на птиците” на стойност 124 748 лв.</w:t>
      </w:r>
      <w:r w:rsidR="00142D9E">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Община Несебър е стартирала на </w:t>
      </w:r>
      <w:r w:rsidRPr="00BD7BB1">
        <w:rPr>
          <w:rFonts w:ascii="Times New Roman" w:eastAsia="Times New Roman" w:hAnsi="Times New Roman"/>
          <w:color w:val="auto"/>
          <w:sz w:val="24"/>
          <w:szCs w:val="24"/>
          <w:lang w:val="ru-RU" w:eastAsia="bg-BG"/>
        </w:rPr>
        <w:t xml:space="preserve">20.01.2014 г. проект  </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ru-RU" w:eastAsia="bg-BG"/>
        </w:rPr>
        <w:t xml:space="preserve">Изграждане на екопътека „Калето“, на стойност 231 914 лв. и проект </w:t>
      </w:r>
      <w:r w:rsidRPr="00BD7BB1">
        <w:rPr>
          <w:rFonts w:ascii="Times New Roman" w:eastAsia="Times New Roman" w:hAnsi="Times New Roman"/>
          <w:color w:val="auto"/>
          <w:sz w:val="24"/>
          <w:szCs w:val="24"/>
          <w:lang w:val="bg-BG" w:eastAsia="bg-BG"/>
        </w:rPr>
        <w:t>: „Алея на занаятите в град Свети Влас”  на стойност: 219 560,07 лв. с начална дата: 08.08.2014 г. Община Тунджа изпълнява проект  по мярка 313 „</w:t>
      </w:r>
      <w:r w:rsidRPr="00BD7BB1">
        <w:rPr>
          <w:rFonts w:ascii="Times New Roman" w:eastAsia="Times New Roman" w:hAnsi="Times New Roman"/>
          <w:color w:val="auto"/>
          <w:sz w:val="24"/>
          <w:szCs w:val="24"/>
          <w:lang w:val="bg-BG"/>
        </w:rPr>
        <w:t>Инвестиция за развитие на културния туризъм на територията на МИГ -Тунджа МИГ-Тунджа и Община „Тунджа” Площад „Освобождение“№1 , на стойност - 46 932 лв. с ДДС.</w:t>
      </w:r>
    </w:p>
    <w:p w:rsidR="00F25110" w:rsidRPr="00BD7BB1" w:rsidRDefault="00F25110" w:rsidP="007E0A34">
      <w:pPr>
        <w:spacing w:before="100" w:beforeAutospacing="1" w:after="0" w:line="360" w:lineRule="auto"/>
        <w:ind w:firstLine="36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Програма </w:t>
      </w:r>
      <w:r w:rsidRPr="00BD7BB1">
        <w:rPr>
          <w:rFonts w:ascii="Times New Roman" w:eastAsia="Times New Roman" w:hAnsi="Times New Roman"/>
          <w:b/>
          <w:color w:val="auto"/>
          <w:sz w:val="24"/>
          <w:szCs w:val="24"/>
          <w:lang w:val="bg-BG" w:eastAsia="bg-BG"/>
        </w:rPr>
        <w:t>Трансгранично сътрудничество България – Турция</w:t>
      </w:r>
      <w:r w:rsidRPr="00BD7BB1">
        <w:rPr>
          <w:rFonts w:ascii="Times New Roman" w:eastAsia="Times New Roman" w:hAnsi="Times New Roman"/>
          <w:color w:val="auto"/>
          <w:sz w:val="24"/>
          <w:szCs w:val="24"/>
          <w:lang w:val="bg-BG" w:eastAsia="bg-BG"/>
        </w:rPr>
        <w:t xml:space="preserve"> подкрепя  развитието на туризма в Югоизточен район, чрез</w:t>
      </w:r>
      <w:r w:rsidRPr="00BD7BB1">
        <w:rPr>
          <w:rFonts w:ascii="Times New Roman" w:eastAsia="Times New Roman" w:hAnsi="Times New Roman"/>
          <w:color w:val="auto"/>
          <w:sz w:val="24"/>
          <w:szCs w:val="24"/>
          <w:shd w:val="clear" w:color="auto" w:fill="FFFFFF"/>
          <w:lang w:val="bg-BG" w:eastAsia="bg-BG"/>
        </w:rPr>
        <w:t xml:space="preserve"> </w:t>
      </w:r>
      <w:r w:rsidRPr="00BD7BB1">
        <w:rPr>
          <w:rFonts w:ascii="Times New Roman" w:eastAsia="Times New Roman" w:hAnsi="Times New Roman"/>
          <w:b/>
          <w:bCs/>
          <w:color w:val="auto"/>
          <w:sz w:val="24"/>
          <w:szCs w:val="24"/>
          <w:shd w:val="clear" w:color="auto" w:fill="FFFFFF"/>
          <w:lang w:val="bg-BG" w:eastAsia="bg-BG"/>
        </w:rPr>
        <w:t>Приоритетна ос 2: Подобряване качеството на живот</w:t>
      </w:r>
      <w:r w:rsidRPr="00BD7BB1">
        <w:rPr>
          <w:rFonts w:ascii="Times New Roman" w:eastAsia="Times New Roman" w:hAnsi="Times New Roman"/>
          <w:color w:val="auto"/>
          <w:sz w:val="24"/>
          <w:szCs w:val="24"/>
          <w:lang w:val="bg-BG" w:eastAsia="bg-BG"/>
        </w:rPr>
        <w:t xml:space="preserve">, сфера на интервенция 2.1: </w:t>
      </w:r>
      <w:r w:rsidRPr="00BD7BB1">
        <w:rPr>
          <w:rFonts w:ascii="Times New Roman" w:eastAsia="Times New Roman" w:hAnsi="Times New Roman"/>
          <w:i/>
          <w:color w:val="auto"/>
          <w:sz w:val="24"/>
          <w:szCs w:val="24"/>
          <w:lang w:val="bg-BG" w:eastAsia="bg-BG"/>
        </w:rPr>
        <w:t>Опазване на околната среда, природното, културното и историческото наследство</w:t>
      </w:r>
      <w:r w:rsidRPr="00BD7BB1">
        <w:rPr>
          <w:rFonts w:ascii="Times New Roman" w:eastAsia="Times New Roman" w:hAnsi="Times New Roman"/>
          <w:color w:val="auto"/>
          <w:sz w:val="24"/>
          <w:szCs w:val="24"/>
          <w:lang w:val="bg-BG" w:eastAsia="bg-BG"/>
        </w:rPr>
        <w:t xml:space="preserve"> и сфера на интервенция 2.2: </w:t>
      </w:r>
      <w:r w:rsidRPr="00BD7BB1">
        <w:rPr>
          <w:rFonts w:ascii="Times New Roman" w:eastAsia="Times New Roman" w:hAnsi="Times New Roman"/>
          <w:i/>
          <w:color w:val="auto"/>
          <w:sz w:val="24"/>
          <w:szCs w:val="24"/>
          <w:lang w:val="bg-BG" w:eastAsia="bg-BG"/>
        </w:rPr>
        <w:t>Изграждане на институционалния капацитет с цел устойчиво развитие и опазване на природните ресурси, културното и историческото наследство.</w:t>
      </w:r>
    </w:p>
    <w:p w:rsidR="00F25110" w:rsidRPr="00BD7BB1" w:rsidRDefault="00F25110" w:rsidP="007E0A34">
      <w:pPr>
        <w:shd w:val="clear" w:color="auto" w:fill="FFFFFF"/>
        <w:spacing w:before="100" w:beforeAutospacing="1" w:after="100" w:afterAutospacing="1" w:line="360" w:lineRule="auto"/>
        <w:ind w:firstLine="360"/>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bg-BG" w:eastAsia="bg-BG"/>
        </w:rPr>
        <w:t xml:space="preserve">На територията на Югоизточен район се изпълняват или са изпълнени следните проекти стойност </w:t>
      </w:r>
      <w:r w:rsidRPr="00BD7BB1">
        <w:rPr>
          <w:rFonts w:ascii="Times New Roman" w:eastAsia="Times New Roman" w:hAnsi="Times New Roman"/>
          <w:b/>
          <w:color w:val="auto"/>
          <w:sz w:val="24"/>
          <w:szCs w:val="24"/>
          <w:lang w:val="bg-BG" w:eastAsia="bg-BG"/>
        </w:rPr>
        <w:t>3 289 541 евро:</w:t>
      </w:r>
    </w:p>
    <w:p w:rsidR="007E0A34" w:rsidRDefault="00F25110" w:rsidP="007E0A34">
      <w:pPr>
        <w:pStyle w:val="ListParagraph"/>
        <w:numPr>
          <w:ilvl w:val="0"/>
          <w:numId w:val="64"/>
        </w:numPr>
        <w:shd w:val="clear" w:color="auto" w:fill="FFFFFF"/>
        <w:spacing w:before="100" w:beforeAutospacing="1" w:after="100" w:afterAutospacing="1" w:line="360" w:lineRule="auto"/>
        <w:jc w:val="both"/>
        <w:rPr>
          <w:lang w:val="bg-BG" w:eastAsia="bg-BG"/>
        </w:rPr>
      </w:pPr>
      <w:r w:rsidRPr="007E0A34">
        <w:rPr>
          <w:lang w:val="bg-BG" w:eastAsia="bg-BG"/>
        </w:rPr>
        <w:t>Проект „По-чисто бъдеще” с български партньор - община Царево, на стойност 565 441 евро;</w:t>
      </w:r>
    </w:p>
    <w:p w:rsidR="007E0A34" w:rsidRDefault="00F25110" w:rsidP="007E0A34">
      <w:pPr>
        <w:pStyle w:val="ListParagraph"/>
        <w:numPr>
          <w:ilvl w:val="0"/>
          <w:numId w:val="64"/>
        </w:numPr>
        <w:shd w:val="clear" w:color="auto" w:fill="FFFFFF"/>
        <w:spacing w:before="100" w:beforeAutospacing="1" w:after="100" w:afterAutospacing="1" w:line="360" w:lineRule="auto"/>
        <w:jc w:val="both"/>
        <w:rPr>
          <w:lang w:val="bg-BG" w:eastAsia="bg-BG"/>
        </w:rPr>
      </w:pPr>
      <w:r w:rsidRPr="007E0A34">
        <w:rPr>
          <w:lang w:val="bg-BG" w:eastAsia="bg-BG"/>
        </w:rPr>
        <w:t>Проект „Разкажете ни за траките” на територията на община Бургас, стойност на проекта - 92 297 евро;</w:t>
      </w:r>
    </w:p>
    <w:p w:rsidR="007E0A34" w:rsidRDefault="00F25110" w:rsidP="007E0A34">
      <w:pPr>
        <w:pStyle w:val="ListParagraph"/>
        <w:numPr>
          <w:ilvl w:val="0"/>
          <w:numId w:val="64"/>
        </w:numPr>
        <w:shd w:val="clear" w:color="auto" w:fill="FFFFFF"/>
        <w:spacing w:before="100" w:beforeAutospacing="1" w:after="100" w:afterAutospacing="1" w:line="360" w:lineRule="auto"/>
        <w:jc w:val="both"/>
        <w:rPr>
          <w:lang w:val="bg-BG" w:eastAsia="bg-BG"/>
        </w:rPr>
      </w:pPr>
      <w:r w:rsidRPr="007E0A34">
        <w:rPr>
          <w:lang w:val="bg-BG" w:eastAsia="bg-BG"/>
        </w:rPr>
        <w:t>Проект „За по-добър живот” с български партньор - община Стралджа, на стойност 686 372 евро;</w:t>
      </w:r>
    </w:p>
    <w:p w:rsidR="007E0A34" w:rsidRDefault="00F25110" w:rsidP="007E0A34">
      <w:pPr>
        <w:pStyle w:val="ListParagraph"/>
        <w:numPr>
          <w:ilvl w:val="0"/>
          <w:numId w:val="64"/>
        </w:numPr>
        <w:shd w:val="clear" w:color="auto" w:fill="FFFFFF"/>
        <w:spacing w:before="100" w:beforeAutospacing="1" w:after="100" w:afterAutospacing="1" w:line="360" w:lineRule="auto"/>
        <w:jc w:val="both"/>
        <w:rPr>
          <w:lang w:val="bg-BG" w:eastAsia="bg-BG"/>
        </w:rPr>
      </w:pPr>
      <w:r w:rsidRPr="007E0A34">
        <w:rPr>
          <w:lang w:val="bg-BG" w:eastAsia="bg-BG"/>
        </w:rPr>
        <w:t>Проект „Традиции с бъдеще” с български партньор -  бизнес информационен център в  община Стралджа, на стойност - 101 680 евро;</w:t>
      </w:r>
    </w:p>
    <w:p w:rsidR="007E0A34" w:rsidRDefault="00F25110" w:rsidP="007E0A34">
      <w:pPr>
        <w:pStyle w:val="ListParagraph"/>
        <w:numPr>
          <w:ilvl w:val="0"/>
          <w:numId w:val="64"/>
        </w:numPr>
        <w:shd w:val="clear" w:color="auto" w:fill="FFFFFF"/>
        <w:spacing w:before="100" w:beforeAutospacing="1" w:after="100" w:afterAutospacing="1" w:line="360" w:lineRule="auto"/>
        <w:jc w:val="both"/>
        <w:rPr>
          <w:lang w:val="bg-BG" w:eastAsia="bg-BG"/>
        </w:rPr>
      </w:pPr>
      <w:r w:rsidRPr="007E0A34">
        <w:rPr>
          <w:lang w:val="bg-BG" w:eastAsia="bg-BG"/>
        </w:rPr>
        <w:t xml:space="preserve">Проект „Партньорска инициатива за валоризация на местното природно богатство и културно наследство”  с български партньор - Общинско училищно </w:t>
      </w:r>
      <w:r w:rsidRPr="007E0A34">
        <w:rPr>
          <w:lang w:val="bg-BG" w:eastAsia="bg-BG"/>
        </w:rPr>
        <w:lastRenderedPageBreak/>
        <w:t>настоятелство на училища и ЦДГ в община Болярово, стойност на помощта за българския партньор – 65 441евро;</w:t>
      </w:r>
    </w:p>
    <w:p w:rsidR="00F25110" w:rsidRPr="007E0A34" w:rsidRDefault="00F25110" w:rsidP="007E0A34">
      <w:pPr>
        <w:pStyle w:val="ListParagraph"/>
        <w:numPr>
          <w:ilvl w:val="0"/>
          <w:numId w:val="64"/>
        </w:numPr>
        <w:shd w:val="clear" w:color="auto" w:fill="FFFFFF"/>
        <w:spacing w:before="100" w:beforeAutospacing="1" w:after="100" w:afterAutospacing="1" w:line="360" w:lineRule="auto"/>
        <w:jc w:val="both"/>
        <w:rPr>
          <w:lang w:val="bg-BG" w:eastAsia="bg-BG"/>
        </w:rPr>
      </w:pPr>
      <w:r w:rsidRPr="007E0A34">
        <w:rPr>
          <w:lang w:val="bg-BG" w:eastAsia="bg-BG"/>
        </w:rPr>
        <w:t>Проект „Създаване на екологично-културна визия отвъд границите”- Представяне на две различни практики за екологично- културния потенциал на трансграничния регион”- ТГС България - Турция” , община Руен - стойност 199 409 евро;</w:t>
      </w:r>
    </w:p>
    <w:p w:rsidR="00FC30B3" w:rsidRDefault="00F25110" w:rsidP="00FC30B3">
      <w:pPr>
        <w:pStyle w:val="ListParagraph"/>
        <w:numPr>
          <w:ilvl w:val="0"/>
          <w:numId w:val="64"/>
        </w:numPr>
        <w:shd w:val="clear" w:color="auto" w:fill="FFFFFF"/>
        <w:tabs>
          <w:tab w:val="left" w:pos="284"/>
        </w:tabs>
        <w:spacing w:before="100" w:beforeAutospacing="1" w:after="100" w:afterAutospacing="1" w:line="360" w:lineRule="auto"/>
        <w:ind w:left="-142" w:firstLine="502"/>
        <w:jc w:val="both"/>
        <w:rPr>
          <w:lang w:val="bg-BG" w:eastAsia="bg-BG"/>
        </w:rPr>
      </w:pPr>
      <w:r w:rsidRPr="00FC30B3">
        <w:rPr>
          <w:lang w:val="bg-BG" w:eastAsia="bg-BG"/>
        </w:rPr>
        <w:t>Проект „Странджа - Иълдъз планина: Развитие на дребномащабна инфраструктура за опазване на природното и културно наследство в ТГС региона”, бенефициент - община Средец, стойност на проекта - 592 266 евро;</w:t>
      </w:r>
    </w:p>
    <w:p w:rsidR="00FC30B3" w:rsidRDefault="00F25110" w:rsidP="00FC30B3">
      <w:pPr>
        <w:pStyle w:val="ListParagraph"/>
        <w:numPr>
          <w:ilvl w:val="0"/>
          <w:numId w:val="64"/>
        </w:numPr>
        <w:shd w:val="clear" w:color="auto" w:fill="FFFFFF"/>
        <w:tabs>
          <w:tab w:val="left" w:pos="284"/>
        </w:tabs>
        <w:spacing w:before="100" w:beforeAutospacing="1" w:after="100" w:afterAutospacing="1" w:line="360" w:lineRule="auto"/>
        <w:ind w:left="-142" w:firstLine="502"/>
        <w:jc w:val="both"/>
        <w:rPr>
          <w:lang w:val="bg-BG" w:eastAsia="bg-BG"/>
        </w:rPr>
      </w:pPr>
      <w:r w:rsidRPr="00FC30B3">
        <w:rPr>
          <w:lang w:val="bg-BG" w:eastAsia="bg-BG"/>
        </w:rPr>
        <w:t>Проект „Трансграничен културен център за деца”, община Средец, на стойност- 799 379 евро.</w:t>
      </w:r>
    </w:p>
    <w:p w:rsidR="00F25110" w:rsidRPr="00FC30B3" w:rsidRDefault="00F25110" w:rsidP="00FC30B3">
      <w:pPr>
        <w:pStyle w:val="ListParagraph"/>
        <w:numPr>
          <w:ilvl w:val="0"/>
          <w:numId w:val="64"/>
        </w:numPr>
        <w:shd w:val="clear" w:color="auto" w:fill="FFFFFF"/>
        <w:tabs>
          <w:tab w:val="left" w:pos="284"/>
        </w:tabs>
        <w:spacing w:before="100" w:beforeAutospacing="1" w:after="100" w:afterAutospacing="1" w:line="360" w:lineRule="auto"/>
        <w:ind w:left="-142" w:firstLine="502"/>
        <w:jc w:val="both"/>
        <w:rPr>
          <w:lang w:val="bg-BG" w:eastAsia="bg-BG"/>
        </w:rPr>
      </w:pPr>
      <w:r w:rsidRPr="00FC30B3">
        <w:rPr>
          <w:lang w:val="bg-BG" w:eastAsia="bg-BG"/>
        </w:rPr>
        <w:t>Проект „Срещата на морето/езерото и природата с туризма” община Царево , в процес на изпълнение през 2014г. и 2015г. на стойност 187 256 евро</w:t>
      </w:r>
      <w:r w:rsidR="00142D9E">
        <w:rPr>
          <w:lang w:val="bg-BG" w:eastAsia="bg-BG"/>
        </w:rPr>
        <w:t>.</w:t>
      </w:r>
    </w:p>
    <w:p w:rsidR="00F25110" w:rsidRPr="00BD7BB1" w:rsidRDefault="00F25110" w:rsidP="00FC30B3">
      <w:pPr>
        <w:spacing w:before="100" w:beforeAutospacing="1" w:after="100" w:afterAutospacing="1" w:line="360" w:lineRule="auto"/>
        <w:ind w:firstLine="36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Община Бургас  е партньор  по проект „Черноморска мрежа за устойчив туризъм - стратегии за съвместен маркетинг в туризма и развитие на черноморския регион“ - </w:t>
      </w:r>
      <w:r w:rsidRPr="00BD7BB1">
        <w:rPr>
          <w:rFonts w:ascii="Times New Roman" w:eastAsia="Times New Roman" w:hAnsi="Times New Roman"/>
          <w:b/>
          <w:color w:val="auto"/>
          <w:sz w:val="24"/>
          <w:szCs w:val="24"/>
          <w:lang w:val="bg-BG" w:eastAsia="bg-BG"/>
        </w:rPr>
        <w:t>Съвместната оперативна програма на Черноморския басейн 2007-2013</w:t>
      </w:r>
      <w:r w:rsidR="00142D9E">
        <w:rPr>
          <w:rFonts w:ascii="Times New Roman" w:eastAsia="Times New Roman" w:hAnsi="Times New Roman"/>
          <w:b/>
          <w:color w:val="auto"/>
          <w:sz w:val="24"/>
          <w:szCs w:val="24"/>
          <w:lang w:val="bg-BG" w:eastAsia="bg-BG"/>
        </w:rPr>
        <w:t>г.</w:t>
      </w:r>
      <w:r w:rsidRPr="00BD7BB1">
        <w:rPr>
          <w:rFonts w:ascii="Times New Roman" w:eastAsia="Times New Roman" w:hAnsi="Times New Roman"/>
          <w:b/>
          <w:color w:val="auto"/>
          <w:sz w:val="24"/>
          <w:szCs w:val="24"/>
          <w:lang w:val="bg-BG" w:eastAsia="bg-BG"/>
        </w:rPr>
        <w:t xml:space="preserve"> с период на изпълнение 18 месеца от януари 2014</w:t>
      </w:r>
      <w:r w:rsidR="00142D9E">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 xml:space="preserve">г., </w:t>
      </w:r>
      <w:r w:rsidRPr="00BD7BB1">
        <w:rPr>
          <w:rFonts w:ascii="Times New Roman" w:eastAsia="Times New Roman" w:hAnsi="Times New Roman"/>
          <w:color w:val="auto"/>
          <w:sz w:val="24"/>
          <w:szCs w:val="24"/>
          <w:lang w:val="bg-BG" w:eastAsia="bg-BG"/>
        </w:rPr>
        <w:t>на</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стойност</w:t>
      </w:r>
      <w:r w:rsidRPr="00BD7BB1">
        <w:rPr>
          <w:rFonts w:ascii="Times New Roman" w:eastAsia="Times New Roman" w:hAnsi="Times New Roman"/>
          <w:b/>
          <w:color w:val="auto"/>
          <w:sz w:val="24"/>
          <w:szCs w:val="24"/>
          <w:lang w:val="bg-BG" w:eastAsia="bg-BG"/>
        </w:rPr>
        <w:t xml:space="preserve"> 629 665</w:t>
      </w:r>
      <w:r w:rsidRPr="00BD7BB1">
        <w:rPr>
          <w:rFonts w:ascii="Times New Roman" w:eastAsia="Times New Roman" w:hAnsi="Times New Roman"/>
          <w:color w:val="auto"/>
          <w:sz w:val="24"/>
          <w:szCs w:val="24"/>
          <w:lang w:val="bg-BG" w:eastAsia="bg-BG"/>
        </w:rPr>
        <w:t xml:space="preserve"> евро; на община Бургас - 99 815 евро.</w:t>
      </w:r>
      <w:r w:rsidRPr="00BD7BB1">
        <w:rPr>
          <w:rFonts w:ascii="Times New Roman" w:eastAsia="Times New Roman" w:hAnsi="Times New Roman"/>
          <w:b/>
          <w:bCs/>
          <w:color w:val="auto"/>
          <w:sz w:val="24"/>
          <w:szCs w:val="24"/>
          <w:lang w:val="bg-BG" w:eastAsia="bg-BG"/>
        </w:rPr>
        <w:t xml:space="preserve"> Целите на проекта са свързани с: </w:t>
      </w:r>
      <w:r w:rsidRPr="00BD7BB1">
        <w:rPr>
          <w:rFonts w:ascii="Times New Roman" w:eastAsia="Times New Roman" w:hAnsi="Times New Roman"/>
          <w:color w:val="auto"/>
          <w:sz w:val="24"/>
          <w:szCs w:val="24"/>
          <w:lang w:val="bg-BG" w:eastAsia="bg-BG"/>
        </w:rPr>
        <w:t>Подобряване на местния капацитет за планиране, координация и изпълнение на съвместни стратегически документи; Изграждане на ефективна структурна мрежа за популяризиране и въвеждане на ориентирани към нуждите на пазара туристически продукти; Създаване на подходяща среда за изграждане на общ дневен ред за устойчиво развитие на туризма в региона на Черноморския басейн като се отразят спецификите на региона;</w:t>
      </w:r>
      <w:r w:rsidR="00142D9E">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Засилване на трансграничното икономическо развитие посредством дейности в сферата на туризма</w:t>
      </w:r>
      <w:r w:rsidR="00142D9E">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bg-BG" w:eastAsia="bg-BG"/>
        </w:rPr>
        <w:br/>
        <w:t xml:space="preserve">Друг проект, по който областна администрация Бургас е партньор е </w:t>
      </w:r>
      <w:r w:rsidRPr="00BD7BB1">
        <w:rPr>
          <w:rFonts w:ascii="Times New Roman" w:eastAsia="Times New Roman" w:hAnsi="Times New Roman"/>
          <w:b/>
          <w:bCs/>
          <w:color w:val="auto"/>
          <w:sz w:val="24"/>
          <w:szCs w:val="24"/>
          <w:lang w:val="bg-BG"/>
        </w:rPr>
        <w:t xml:space="preserve">„Платформа за културен обмен в Черноморския басейн“ </w:t>
      </w:r>
      <w:r w:rsidRPr="00BD7BB1">
        <w:rPr>
          <w:rFonts w:ascii="Times New Roman" w:eastAsia="Times New Roman" w:hAnsi="Times New Roman"/>
          <w:b/>
          <w:bCs/>
          <w:color w:val="auto"/>
          <w:sz w:val="24"/>
          <w:szCs w:val="24"/>
        </w:rPr>
        <w:t>CULTUR-EXP</w:t>
      </w:r>
      <w:r w:rsidRPr="00BD7BB1">
        <w:rPr>
          <w:rFonts w:ascii="Times New Roman" w:eastAsia="Times New Roman" w:hAnsi="Times New Roman"/>
          <w:bCs/>
          <w:color w:val="auto"/>
          <w:sz w:val="24"/>
          <w:szCs w:val="24"/>
          <w:lang w:val="bg-BG"/>
        </w:rPr>
        <w:t xml:space="preserve"> Грузинска асоциация за изследователни и образователни мрежи (</w:t>
      </w:r>
      <w:r w:rsidRPr="00BD7BB1">
        <w:rPr>
          <w:rFonts w:ascii="Times New Roman" w:eastAsia="Times New Roman" w:hAnsi="Times New Roman"/>
          <w:bCs/>
          <w:color w:val="auto"/>
          <w:sz w:val="24"/>
          <w:szCs w:val="24"/>
        </w:rPr>
        <w:t>GRENA</w:t>
      </w:r>
      <w:r w:rsidRPr="00BD7BB1">
        <w:rPr>
          <w:rFonts w:ascii="Times New Roman" w:eastAsia="Times New Roman" w:hAnsi="Times New Roman"/>
          <w:bCs/>
          <w:color w:val="auto"/>
          <w:sz w:val="24"/>
          <w:szCs w:val="24"/>
          <w:lang w:val="bg-BG"/>
        </w:rPr>
        <w:t xml:space="preserve">), Грузия на стойност 109 396,20 лв. </w:t>
      </w:r>
      <w:r w:rsidRPr="00BD7BB1">
        <w:rPr>
          <w:rFonts w:ascii="Times New Roman" w:eastAsia="Times New Roman" w:hAnsi="Times New Roman"/>
          <w:color w:val="auto"/>
          <w:sz w:val="24"/>
          <w:szCs w:val="24"/>
          <w:lang w:val="bg-BG" w:eastAsia="bg-BG"/>
        </w:rPr>
        <w:t xml:space="preserve">Основната цел на проекта е да осигури трансграничен културен обмен чрез разработване и представяне на иновативна, мулти-езикова уеб платформа, която да бъде достъпна за всички творци от Черноморския регион. Област Бургас е партньор и по проект </w:t>
      </w:r>
      <w:r w:rsidRPr="00BD7BB1">
        <w:rPr>
          <w:rFonts w:ascii="Times New Roman" w:eastAsia="Times New Roman" w:hAnsi="Times New Roman"/>
          <w:b/>
          <w:color w:val="auto"/>
          <w:sz w:val="24"/>
          <w:szCs w:val="24"/>
          <w:lang w:val="bg-BG" w:eastAsia="bg-BG"/>
        </w:rPr>
        <w:t>„</w:t>
      </w:r>
      <w:r w:rsidRPr="00BD7BB1">
        <w:rPr>
          <w:rFonts w:ascii="Times New Roman" w:eastAsia="Times New Roman" w:hAnsi="Times New Roman"/>
          <w:b/>
          <w:color w:val="auto"/>
          <w:sz w:val="24"/>
          <w:szCs w:val="24"/>
          <w:lang w:val="bg-BG"/>
        </w:rPr>
        <w:t xml:space="preserve">Туристически пътеки в Черноморския регион“,стартирал на 01.01.2014г., с период </w:t>
      </w:r>
      <w:r w:rsidRPr="00BD7BB1">
        <w:rPr>
          <w:rFonts w:ascii="Times New Roman" w:eastAsia="Times New Roman" w:hAnsi="Times New Roman"/>
          <w:b/>
          <w:color w:val="auto"/>
          <w:sz w:val="24"/>
          <w:szCs w:val="24"/>
          <w:lang w:val="bg-BG"/>
        </w:rPr>
        <w:lastRenderedPageBreak/>
        <w:t>на изпълнение 24 месеца, на стойност 215 498,49 лв.</w:t>
      </w:r>
      <w:r w:rsidRPr="00BD7BB1">
        <w:rPr>
          <w:rFonts w:ascii="Times New Roman" w:eastAsia="Times New Roman" w:hAnsi="Times New Roman"/>
          <w:color w:val="auto"/>
          <w:sz w:val="24"/>
          <w:szCs w:val="24"/>
          <w:lang w:val="bg-BG" w:eastAsia="bg-BG"/>
        </w:rPr>
        <w:t xml:space="preserve">   Целите на проекта са свързани с  популяризиране на туризма, традиционните продукти и културното богатство на Черноморския регион; Създаване на туристическа мрежа за устойчиво развитие на туризма в региона;</w:t>
      </w:r>
      <w:r w:rsidR="00142D9E">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 Увеличаване на ползите за производителите на традиционни продукти чрез създаване на трансгранична мрежа; Организиране на събития, съвместно представяне на продуктите на Европейския и Черноморския пазар.</w:t>
      </w:r>
    </w:p>
    <w:p w:rsidR="00F25110" w:rsidRPr="00454603" w:rsidRDefault="00F25110" w:rsidP="00454603">
      <w:pPr>
        <w:shd w:val="clear" w:color="auto" w:fill="FFFFFF"/>
        <w:spacing w:before="100" w:beforeAutospacing="1" w:after="100" w:afterAutospacing="1" w:line="360" w:lineRule="auto"/>
        <w:ind w:left="-142" w:firstLine="502"/>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През отчетната година на територията на Югоизточен район продължава изпълнението на мерки и дейности в подкрепа за подобряване на достъпа и съхраняване на природните и антропогенните туристически ресурси, създаване на инфраструктура до обектите на природното и културно наследство и подобряване на регионалния туристически продукт и неговото популяризиране в национален и международен аспект. Районът разполага с потенциал  за разширяване и разнообразяване на регионалния туристически продукт.  През последните години се наблюдава тенденция на нарастване финансирането на проекти, свързани с развит</w:t>
      </w:r>
      <w:r w:rsidR="00FC30B3">
        <w:rPr>
          <w:rFonts w:ascii="Times New Roman" w:eastAsia="Times New Roman" w:hAnsi="Times New Roman"/>
          <w:color w:val="auto"/>
          <w:sz w:val="24"/>
          <w:szCs w:val="24"/>
          <w:lang w:val="bg-BG" w:eastAsia="bg-BG"/>
        </w:rPr>
        <w:t xml:space="preserve">ието на културен туризъм.      </w:t>
      </w:r>
    </w:p>
    <w:p w:rsidR="00F25110" w:rsidRPr="00BD7BB1" w:rsidRDefault="00F25110" w:rsidP="00454603">
      <w:pPr>
        <w:autoSpaceDE w:val="0"/>
        <w:autoSpaceDN w:val="0"/>
        <w:adjustRightInd w:val="0"/>
        <w:spacing w:after="0" w:line="360" w:lineRule="auto"/>
        <w:jc w:val="both"/>
        <w:rPr>
          <w:rFonts w:ascii="Times New Roman" w:eastAsia="Times New Roman" w:hAnsi="Times New Roman"/>
          <w:b/>
          <w:color w:val="auto"/>
          <w:sz w:val="24"/>
          <w:szCs w:val="24"/>
          <w:lang w:val="bg-BG" w:eastAsia="bg-BG"/>
        </w:rPr>
      </w:pPr>
      <w:r w:rsidRPr="00454603">
        <w:rPr>
          <w:rFonts w:ascii="Times New Roman" w:eastAsia="Times New Roman" w:hAnsi="Times New Roman"/>
          <w:b/>
          <w:color w:val="9B2D1F" w:themeColor="accent2"/>
          <w:sz w:val="24"/>
          <w:szCs w:val="24"/>
          <w:lang w:val="bg-BG" w:eastAsia="bg-BG"/>
        </w:rPr>
        <w:t xml:space="preserve">Приоритет </w:t>
      </w:r>
      <w:r w:rsidRPr="00454603">
        <w:rPr>
          <w:rFonts w:ascii="Times New Roman" w:eastAsia="Times New Roman" w:hAnsi="Times New Roman"/>
          <w:b/>
          <w:bCs/>
          <w:color w:val="9B2D1F" w:themeColor="accent2"/>
          <w:sz w:val="24"/>
          <w:szCs w:val="24"/>
          <w:lang w:val="bg-BG" w:eastAsia="bg-BG"/>
        </w:rPr>
        <w:t>3. Развитие на инфраструктурата за опазване на околната среда в Югоизточен район.</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По отношение отчитане напредъка по изпълнение на Приоритет 3, един от индикаторите за резултат, заложен в РПР е </w:t>
      </w:r>
      <w:r w:rsidRPr="00BD7BB1">
        <w:rPr>
          <w:rFonts w:ascii="Times New Roman" w:eastAsia="Times New Roman" w:hAnsi="Times New Roman"/>
          <w:b/>
          <w:i/>
          <w:color w:val="auto"/>
          <w:sz w:val="24"/>
          <w:szCs w:val="24"/>
          <w:lang w:val="bg-BG" w:eastAsia="bg-BG"/>
        </w:rPr>
        <w:t xml:space="preserve">Относителен дял на населението, обслужвано от селищни пречиствателни станции за отпадъчни води - СПСОВ </w:t>
      </w:r>
      <w:r w:rsidRPr="00BD7BB1">
        <w:rPr>
          <w:rFonts w:ascii="Times New Roman" w:eastAsia="Times New Roman" w:hAnsi="Times New Roman"/>
          <w:b/>
          <w:color w:val="auto"/>
          <w:sz w:val="24"/>
          <w:szCs w:val="24"/>
          <w:lang w:val="bg-BG" w:eastAsia="bg-BG"/>
        </w:rPr>
        <w:t xml:space="preserve">(%, бр.) </w:t>
      </w:r>
      <w:r w:rsidRPr="00BD7BB1">
        <w:rPr>
          <w:rFonts w:ascii="Times New Roman" w:eastAsia="Times New Roman" w:hAnsi="Times New Roman"/>
          <w:b/>
          <w:i/>
          <w:color w:val="auto"/>
          <w:sz w:val="24"/>
          <w:szCs w:val="24"/>
          <w:lang w:val="bg-BG" w:eastAsia="bg-BG"/>
        </w:rPr>
        <w:t>.</w:t>
      </w:r>
      <w:r w:rsidRPr="00BD7BB1">
        <w:rPr>
          <w:rFonts w:ascii="Times New Roman" w:eastAsia="Times New Roman" w:hAnsi="Times New Roman"/>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Относителният дял на населението обслужено от ПСОВ за 2013 г. в Югоизточен район е  53.6 % , което е с 14,6 % над заложеното и бележи сравнителен напредък спрямо 2010 г., когато </w:t>
      </w:r>
      <w:r w:rsidRPr="00BD7BB1">
        <w:rPr>
          <w:rFonts w:ascii="Times New Roman" w:eastAsia="Times New Roman" w:hAnsi="Times New Roman"/>
          <w:bCs/>
          <w:color w:val="auto"/>
          <w:sz w:val="24"/>
          <w:szCs w:val="24"/>
          <w:lang w:val="bg-BG" w:eastAsia="bg-BG"/>
        </w:rPr>
        <w:t>заложена изходна стойност</w:t>
      </w:r>
      <w:r w:rsidRPr="00BD7BB1">
        <w:rPr>
          <w:rFonts w:ascii="Times New Roman" w:eastAsia="Times New Roman" w:hAnsi="Times New Roman"/>
          <w:color w:val="auto"/>
          <w:sz w:val="24"/>
          <w:szCs w:val="24"/>
          <w:lang w:val="bg-BG" w:eastAsia="bg-BG"/>
        </w:rPr>
        <w:t xml:space="preserve">  на индикатора е 39 %.  За периода 2010 г. - 2013 г. броят на действащите СПСОВ в  ЮИР се увеличава с 3 и през 2013 г. са 22 бр, при общо за  страната 90 бр. По този показател  районът заема първо място, следван от ЮЗР и СИР с равен брой -18. Следва да се отбележи, че се </w:t>
      </w:r>
      <w:r w:rsidRPr="00BD7BB1">
        <w:rPr>
          <w:rFonts w:ascii="Times New Roman" w:eastAsia="Times New Roman" w:hAnsi="Times New Roman"/>
          <w:bCs/>
          <w:color w:val="auto"/>
          <w:sz w:val="24"/>
          <w:szCs w:val="24"/>
          <w:lang w:val="bg-BG" w:eastAsia="bg-BG"/>
        </w:rPr>
        <w:t>наблюдава преизпълнение на индикатора спрямо изходната стойност  39 %.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i/>
          <w:color w:val="auto"/>
          <w:sz w:val="24"/>
          <w:szCs w:val="24"/>
          <w:lang w:val="bg-BG" w:eastAsia="bg-BG"/>
        </w:rPr>
      </w:pPr>
      <w:r w:rsidRPr="00BD7BB1">
        <w:rPr>
          <w:rFonts w:ascii="Times New Roman" w:eastAsia="Times New Roman" w:hAnsi="Times New Roman"/>
          <w:color w:val="auto"/>
          <w:sz w:val="24"/>
          <w:szCs w:val="24"/>
          <w:lang w:val="bg-BG" w:eastAsia="bg-BG"/>
        </w:rPr>
        <w:t xml:space="preserve">Друг индикатор за отчитане напредъка е </w:t>
      </w:r>
      <w:r w:rsidRPr="00BD7BB1">
        <w:rPr>
          <w:rFonts w:ascii="Times New Roman" w:eastAsia="Times New Roman" w:hAnsi="Times New Roman"/>
          <w:i/>
          <w:color w:val="auto"/>
          <w:sz w:val="24"/>
          <w:szCs w:val="24"/>
          <w:lang w:val="bg-BG" w:eastAsia="bg-BG"/>
        </w:rPr>
        <w:t xml:space="preserve">Разширена, подменена и реконструирана  Ви К мрежа </w:t>
      </w:r>
      <w:r w:rsidRPr="00BD7BB1">
        <w:rPr>
          <w:rFonts w:ascii="Times New Roman" w:eastAsia="Times New Roman" w:hAnsi="Times New Roman"/>
          <w:i/>
          <w:color w:val="auto"/>
          <w:sz w:val="24"/>
          <w:szCs w:val="24"/>
          <w:lang w:eastAsia="bg-BG"/>
        </w:rPr>
        <w:t>(</w:t>
      </w:r>
      <w:r w:rsidRPr="00BD7BB1">
        <w:rPr>
          <w:rFonts w:ascii="Times New Roman" w:eastAsia="Times New Roman" w:hAnsi="Times New Roman"/>
          <w:i/>
          <w:color w:val="auto"/>
          <w:sz w:val="24"/>
          <w:szCs w:val="24"/>
          <w:lang w:val="bg-BG" w:eastAsia="bg-BG"/>
        </w:rPr>
        <w:t>км</w:t>
      </w:r>
      <w:r w:rsidRPr="00BD7BB1">
        <w:rPr>
          <w:rFonts w:ascii="Times New Roman" w:eastAsia="Times New Roman" w:hAnsi="Times New Roman"/>
          <w:i/>
          <w:color w:val="auto"/>
          <w:sz w:val="24"/>
          <w:szCs w:val="24"/>
          <w:lang w:eastAsia="bg-BG"/>
        </w:rPr>
        <w:t>)</w:t>
      </w:r>
      <w:r w:rsidRPr="00BD7BB1">
        <w:rPr>
          <w:rFonts w:ascii="Times New Roman" w:eastAsia="Times New Roman" w:hAnsi="Times New Roman"/>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По данни, получени от В и К дружествата в района за състоянието на поддържаната от тях Ви К мрежа за 2014 г. , обобщената информация е следната:</w:t>
      </w:r>
      <w:r w:rsidRPr="00BD7BB1">
        <w:rPr>
          <w:rFonts w:ascii="Times New Roman" w:eastAsia="Times New Roman" w:hAnsi="Times New Roman"/>
          <w:i/>
          <w:color w:val="auto"/>
          <w:sz w:val="24"/>
          <w:szCs w:val="24"/>
          <w:lang w:val="bg-BG" w:eastAsia="bg-BG"/>
        </w:rPr>
        <w:t xml:space="preserve">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lastRenderedPageBreak/>
        <w:t>В и К ЕООД - Ст.Загора</w:t>
      </w:r>
      <w:r w:rsidR="00DF34F3">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реконструираната водопроводна мрежа за 2014 г. е 10,698 км., а новоизградената мрежа е 0,960 км. Канализационна мрежа : новоизградена – 0,022 км и реконструирана/подменена - 0, 145 км;</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В и К ЕАД - Бургас - 5,900 км водопроводна мрежа, 0,800- км. канализация;</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В и К ООД </w:t>
      </w:r>
      <w:r w:rsidR="00DF34F3">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bg-BG" w:eastAsia="bg-BG"/>
        </w:rPr>
        <w:t xml:space="preserve"> Сливен</w:t>
      </w:r>
      <w:r w:rsidR="00DF34F3">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водопроводна мрежа</w:t>
      </w:r>
      <w:r w:rsidR="00DF34F3">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- 13,94 км., канализация -</w:t>
      </w:r>
      <w:r w:rsidR="00DF34F3">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0,263 км;</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В и К ЕООД – Ямбол - водопроводна мрежа - 5,024 км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bg-BG" w:eastAsia="bg-BG"/>
        </w:rPr>
        <w:t xml:space="preserve">Видно от данните,  общата  В и К мрежа в Югоизточен район през 2014 г. е </w:t>
      </w:r>
      <w:r w:rsidRPr="00BD7BB1">
        <w:rPr>
          <w:rFonts w:ascii="Times New Roman" w:eastAsia="Times New Roman" w:hAnsi="Times New Roman"/>
          <w:b/>
          <w:color w:val="auto"/>
          <w:sz w:val="24"/>
          <w:szCs w:val="24"/>
          <w:lang w:val="bg-BG" w:eastAsia="bg-BG"/>
        </w:rPr>
        <w:t>37,75 км</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от която 36,52 км. са водопроводи и 1,23 км. канализация.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По отношение </w:t>
      </w:r>
      <w:r w:rsidRPr="00BD7BB1">
        <w:rPr>
          <w:rFonts w:ascii="Times New Roman" w:eastAsia="Times New Roman" w:hAnsi="Times New Roman"/>
          <w:b/>
          <w:i/>
          <w:color w:val="auto"/>
          <w:sz w:val="24"/>
          <w:szCs w:val="24"/>
          <w:lang w:val="bg-BG" w:eastAsia="bg-BG"/>
        </w:rPr>
        <w:t xml:space="preserve">Загубите при пренос на питейна вода от постъпилата във водопроводната   мрежа, </w:t>
      </w:r>
      <w:r w:rsidRPr="00BD7BB1">
        <w:rPr>
          <w:rFonts w:ascii="Times New Roman" w:eastAsia="Times New Roman" w:hAnsi="Times New Roman"/>
          <w:b/>
          <w:i/>
          <w:color w:val="auto"/>
          <w:sz w:val="24"/>
          <w:szCs w:val="24"/>
          <w:lang w:eastAsia="bg-BG"/>
        </w:rPr>
        <w:t>(</w:t>
      </w:r>
      <w:r w:rsidRPr="00BD7BB1">
        <w:rPr>
          <w:rFonts w:ascii="Times New Roman" w:eastAsia="Times New Roman" w:hAnsi="Times New Roman"/>
          <w:b/>
          <w:i/>
          <w:color w:val="auto"/>
          <w:sz w:val="24"/>
          <w:szCs w:val="24"/>
          <w:lang w:val="bg-BG" w:eastAsia="bg-BG"/>
        </w:rPr>
        <w:t>в %</w:t>
      </w:r>
      <w:r w:rsidRPr="00BD7BB1">
        <w:rPr>
          <w:rFonts w:ascii="Times New Roman" w:eastAsia="Times New Roman" w:hAnsi="Times New Roman"/>
          <w:b/>
          <w:i/>
          <w:color w:val="auto"/>
          <w:sz w:val="24"/>
          <w:szCs w:val="24"/>
          <w:lang w:eastAsia="bg-BG"/>
        </w:rPr>
        <w:t>)</w:t>
      </w:r>
      <w:r w:rsidRPr="00BD7BB1">
        <w:rPr>
          <w:rFonts w:ascii="Times New Roman" w:eastAsia="Times New Roman" w:hAnsi="Times New Roman"/>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данните на НСИ за 2013 г. в ЮИР сочат 56 %, което констатира намаляване на загубата  с 12 % спрямо заложената в плана за 2010 г. изходна стойност 68 %.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Проблемите с недостига на вода през сухите години и през нормално влажните години, свързани с въвеждането на целогодишни и сезонни режими на водоподаване, засягат главно селища, които нямат изградени и не са свързани с резервоари за денонощно, сезонно и многогодишно съхранение на повърхностния воден ресурс, както и в по-редки случаи - селища с водоснабдяване от язовир, но с проблеми във водопреносната система - течове, аварии. Констатираните загуби  на вода са изключително големи и се дължат основно на физически течове - както видими, така и скрити, както от водопроводната мрежа, така и по кранове, връзки, резервоари и в различните шахти. Големи обеми вода се губят също за изпразване и пълнене на водопроводната мрежа при аварии, поради факта, че тя е недобре конструирана и/или преоразмерена, а граничните кранове между хидравличните зони не работят достатъчно добре. Сериозен проблем е наличието на неравномерно хидравлично налягане (високо или ниско) в отделни зони на водопроводната мрежа. По време на водни режими се увеличава броят на авариите от честото спиране и пускане на водата и като цяло не се отчита значителна икономия на вода. Друг проблем се явява морално остарялата канализационна мрежа. Голяма част от  мрежата е изградена от етернитови тръби, които са морално остарели и неприложими в сферата на водоснабдяването. При засушаване през летните месеци  се появяват чести аварии по азбестоциментовите водопроводи, а оттам и големи загуби на питейна вода. Изгнилите поцинковани тръби, от които са изградени сградните </w:t>
      </w:r>
      <w:r w:rsidRPr="00BD7BB1">
        <w:rPr>
          <w:rFonts w:ascii="Times New Roman" w:eastAsia="Times New Roman" w:hAnsi="Times New Roman"/>
          <w:color w:val="auto"/>
          <w:sz w:val="24"/>
          <w:szCs w:val="24"/>
          <w:lang w:val="bg-BG" w:eastAsia="bg-BG"/>
        </w:rPr>
        <w:lastRenderedPageBreak/>
        <w:t>отклонения също са причина за загуба на значителни  количества питейна вода. Поради големите загуби на вода и честите аварии на тези съоръжения е необходимо да се заделят значителни средства за подмяната им. Степента на развитие на водоснабдителната мрежа на ЮИР е на едно от първите места в страната (делът на водоснабденото население е 99.7%, а за страната е 98%). Независимо от това в някои общини водоснабдителната мрежа е силно амортизирана</w:t>
      </w:r>
      <w:r w:rsidR="00DF34F3">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bg-BG" w:eastAsia="bg-BG"/>
        </w:rPr>
        <w:t xml:space="preserve"> Между 10 и 15% от населените места са на режим заради текущи повреди по водопроводната и канализационната мрежи. Канализационната мрежа в Югоизточния район е достигнала средно ниво на развитие, в сравнение с други райони в страната.</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Заложената стойност през 2010 г. по</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индикатор</w:t>
      </w:r>
      <w:r w:rsidRPr="00BD7BB1">
        <w:rPr>
          <w:rFonts w:ascii="Times New Roman" w:eastAsia="Times New Roman" w:hAnsi="Times New Roman"/>
          <w:b/>
          <w:i/>
          <w:color w:val="auto"/>
          <w:sz w:val="24"/>
          <w:szCs w:val="24"/>
          <w:lang w:val="bg-BG" w:eastAsia="bg-BG"/>
        </w:rPr>
        <w:t xml:space="preserve"> Население, обслужвано от орган</w:t>
      </w:r>
      <w:r w:rsidR="00DF34F3">
        <w:rPr>
          <w:rFonts w:ascii="Times New Roman" w:eastAsia="Times New Roman" w:hAnsi="Times New Roman"/>
          <w:b/>
          <w:i/>
          <w:color w:val="auto"/>
          <w:sz w:val="24"/>
          <w:szCs w:val="24"/>
          <w:lang w:val="bg-BG" w:eastAsia="bg-BG"/>
        </w:rPr>
        <w:t>изирана система за сметосъбиране</w:t>
      </w:r>
      <w:r w:rsidRPr="00BD7BB1">
        <w:rPr>
          <w:rFonts w:ascii="Times New Roman" w:eastAsia="Times New Roman" w:hAnsi="Times New Roman"/>
          <w:b/>
          <w:i/>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w:t>
      </w:r>
      <w:r w:rsidRPr="00BD7BB1">
        <w:rPr>
          <w:rFonts w:ascii="Times New Roman" w:eastAsia="Times New Roman" w:hAnsi="Times New Roman"/>
          <w:b/>
          <w:i/>
          <w:color w:val="auto"/>
          <w:sz w:val="24"/>
          <w:szCs w:val="24"/>
          <w:lang w:val="bg-BG" w:eastAsia="bg-BG"/>
        </w:rPr>
        <w:t>в %</w:t>
      </w:r>
      <w:r w:rsidRPr="00BD7BB1">
        <w:rPr>
          <w:rFonts w:ascii="Times New Roman" w:eastAsia="Times New Roman" w:hAnsi="Times New Roman"/>
          <w:b/>
          <w:color w:val="auto"/>
          <w:sz w:val="24"/>
          <w:szCs w:val="24"/>
          <w:lang w:val="bg-BG" w:eastAsia="bg-BG"/>
        </w:rPr>
        <w:t>)</w:t>
      </w:r>
      <w:r w:rsidRPr="00BD7BB1">
        <w:rPr>
          <w:rFonts w:ascii="Times New Roman" w:eastAsia="Times New Roman" w:hAnsi="Times New Roman"/>
          <w:b/>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е 97 %.</w:t>
      </w:r>
      <w:r w:rsidRPr="00BD7BB1">
        <w:rPr>
          <w:rFonts w:ascii="Times New Roman" w:eastAsia="Calibri" w:hAnsi="Times New Roman"/>
          <w:color w:val="auto"/>
          <w:sz w:val="20"/>
          <w:lang w:val="bg-BG"/>
        </w:rPr>
        <w:t xml:space="preserve"> </w:t>
      </w:r>
      <w:r w:rsidRPr="00BD7BB1">
        <w:rPr>
          <w:rFonts w:ascii="Times New Roman" w:eastAsia="Times New Roman" w:hAnsi="Times New Roman"/>
          <w:color w:val="auto"/>
          <w:sz w:val="24"/>
          <w:szCs w:val="24"/>
          <w:lang w:val="bg-BG" w:eastAsia="bg-BG"/>
        </w:rPr>
        <w:t xml:space="preserve">През 2013г. </w:t>
      </w:r>
      <w:r w:rsidRPr="00BD7BB1">
        <w:rPr>
          <w:rFonts w:ascii="Times New Roman" w:eastAsia="Times New Roman" w:hAnsi="Times New Roman"/>
          <w:i/>
          <w:color w:val="auto"/>
          <w:sz w:val="24"/>
          <w:szCs w:val="24"/>
          <w:lang w:val="bg-BG" w:eastAsia="bg-BG"/>
        </w:rPr>
        <w:t>делът на обслужваното население от системи за организирано сметосъбиране</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eastAsia="bg-BG"/>
        </w:rPr>
        <w:t xml:space="preserve">за ЮИР е </w:t>
      </w:r>
      <w:r w:rsidRPr="00BD7BB1">
        <w:rPr>
          <w:rFonts w:ascii="Times New Roman" w:eastAsia="Times New Roman" w:hAnsi="Times New Roman"/>
          <w:b/>
          <w:color w:val="auto"/>
          <w:sz w:val="24"/>
          <w:szCs w:val="24"/>
          <w:lang w:eastAsia="bg-BG"/>
        </w:rPr>
        <w:t>99,7 %</w:t>
      </w:r>
      <w:r w:rsidRPr="00BD7BB1">
        <w:rPr>
          <w:rFonts w:ascii="Times New Roman" w:eastAsia="Times New Roman" w:hAnsi="Times New Roman"/>
          <w:color w:val="auto"/>
          <w:sz w:val="24"/>
          <w:szCs w:val="24"/>
          <w:lang w:val="bg-BG" w:eastAsia="bg-BG"/>
        </w:rPr>
        <w:t xml:space="preserve">, което бележи увеличение с </w:t>
      </w:r>
      <w:r w:rsidRPr="00BD7BB1">
        <w:rPr>
          <w:rFonts w:ascii="Times New Roman" w:eastAsia="Times New Roman" w:hAnsi="Times New Roman"/>
          <w:b/>
          <w:color w:val="auto"/>
          <w:sz w:val="24"/>
          <w:szCs w:val="24"/>
          <w:lang w:val="bg-BG" w:eastAsia="bg-BG"/>
        </w:rPr>
        <w:t>2,7</w:t>
      </w:r>
      <w:r w:rsidRPr="00BD7BB1">
        <w:rPr>
          <w:rFonts w:ascii="Times New Roman" w:eastAsia="Times New Roman" w:hAnsi="Times New Roman"/>
          <w:b/>
          <w:color w:val="auto"/>
          <w:sz w:val="24"/>
          <w:szCs w:val="24"/>
          <w:lang w:eastAsia="bg-BG"/>
        </w:rPr>
        <w:t xml:space="preserve"> %</w:t>
      </w:r>
      <w:r w:rsidRPr="00BD7BB1">
        <w:rPr>
          <w:rFonts w:ascii="Times New Roman" w:eastAsia="Times New Roman" w:hAnsi="Times New Roman"/>
          <w:color w:val="auto"/>
          <w:sz w:val="24"/>
          <w:szCs w:val="24"/>
          <w:lang w:eastAsia="bg-BG"/>
        </w:rPr>
        <w:t xml:space="preserve">  </w:t>
      </w:r>
      <w:r w:rsidRPr="00BD7BB1">
        <w:rPr>
          <w:rFonts w:ascii="Times New Roman" w:eastAsia="Times New Roman" w:hAnsi="Times New Roman"/>
          <w:color w:val="auto"/>
          <w:sz w:val="24"/>
          <w:szCs w:val="24"/>
          <w:lang w:val="bg-BG" w:eastAsia="bg-BG"/>
        </w:rPr>
        <w:t xml:space="preserve"> спрямо изходната стойност през 2010 г.</w:t>
      </w: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По отношение на </w:t>
      </w:r>
      <w:r w:rsidRPr="00BD7BB1">
        <w:rPr>
          <w:rFonts w:ascii="Times New Roman" w:eastAsia="Times New Roman" w:hAnsi="Times New Roman"/>
          <w:b/>
          <w:i/>
          <w:color w:val="auto"/>
          <w:sz w:val="24"/>
          <w:szCs w:val="24"/>
          <w:lang w:val="bg-BG" w:eastAsia="bg-BG"/>
        </w:rPr>
        <w:t xml:space="preserve">Изградени системи за ранно предупреждение за възникващи опасности от наводнения, пожари, активиране на свлачищни райони, </w:t>
      </w:r>
      <w:r w:rsidRPr="00BD7BB1">
        <w:rPr>
          <w:rFonts w:ascii="Times New Roman" w:eastAsia="Times New Roman" w:hAnsi="Times New Roman"/>
          <w:b/>
          <w:color w:val="auto"/>
          <w:sz w:val="24"/>
          <w:szCs w:val="24"/>
          <w:lang w:val="bg-BG" w:eastAsia="bg-BG"/>
        </w:rPr>
        <w:t>(</w:t>
      </w:r>
      <w:r w:rsidRPr="00BD7BB1">
        <w:rPr>
          <w:rFonts w:ascii="Times New Roman" w:eastAsia="Times New Roman" w:hAnsi="Times New Roman"/>
          <w:b/>
          <w:i/>
          <w:color w:val="auto"/>
          <w:sz w:val="24"/>
          <w:szCs w:val="24"/>
          <w:lang w:val="bg-BG" w:eastAsia="bg-BG"/>
        </w:rPr>
        <w:t>в бр</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 финансова подкрепа оказват оперативна програма „Регионално развитие” 2007-2013 г., приоритетна ос - </w:t>
      </w:r>
      <w:r w:rsidRPr="00BD7BB1">
        <w:rPr>
          <w:rFonts w:ascii="Times New Roman" w:eastAsia="Times New Roman" w:hAnsi="Times New Roman"/>
          <w:i/>
          <w:color w:val="auto"/>
          <w:sz w:val="24"/>
          <w:szCs w:val="24"/>
          <w:lang w:val="bg-BG" w:eastAsia="bg-BG"/>
        </w:rPr>
        <w:t>Устойчиво и интегрирано градско развитие</w:t>
      </w:r>
      <w:r w:rsidRPr="00BD7BB1">
        <w:rPr>
          <w:rFonts w:ascii="Times New Roman" w:eastAsia="Times New Roman" w:hAnsi="Times New Roman"/>
          <w:color w:val="auto"/>
          <w:sz w:val="24"/>
          <w:szCs w:val="24"/>
          <w:lang w:val="bg-BG" w:eastAsia="bg-BG"/>
        </w:rPr>
        <w:t xml:space="preserve">, под-приоритет - </w:t>
      </w:r>
      <w:r w:rsidRPr="00BD7BB1">
        <w:rPr>
          <w:rFonts w:ascii="Times New Roman" w:eastAsia="Times New Roman" w:hAnsi="Times New Roman"/>
          <w:i/>
          <w:color w:val="auto"/>
          <w:sz w:val="24"/>
          <w:szCs w:val="24"/>
          <w:lang w:val="bg-BG" w:eastAsia="bg-BG"/>
        </w:rPr>
        <w:t xml:space="preserve">Подобряване на физическата среда и превенция на риска, </w:t>
      </w:r>
      <w:r w:rsidRPr="00BD7BB1">
        <w:rPr>
          <w:rFonts w:ascii="Times New Roman" w:eastAsia="Times New Roman" w:hAnsi="Times New Roman"/>
          <w:color w:val="auto"/>
          <w:sz w:val="24"/>
          <w:szCs w:val="24"/>
          <w:lang w:val="bg-BG" w:eastAsia="bg-BG"/>
        </w:rPr>
        <w:t xml:space="preserve">процедура - </w:t>
      </w:r>
      <w:r w:rsidRPr="00BD7BB1">
        <w:rPr>
          <w:rFonts w:ascii="Times New Roman" w:eastAsia="Times New Roman" w:hAnsi="Times New Roman"/>
          <w:i/>
          <w:color w:val="auto"/>
          <w:sz w:val="24"/>
          <w:szCs w:val="24"/>
          <w:lang w:val="bg-BG" w:eastAsia="bg-BG"/>
        </w:rPr>
        <w:t>Подкрепа за дребномащабни мерки за предотвратяване на наводнения в градските агломерации,</w:t>
      </w:r>
      <w:r w:rsidRPr="00BD7BB1">
        <w:rPr>
          <w:rFonts w:ascii="Times New Roman" w:eastAsia="Times New Roman" w:hAnsi="Times New Roman"/>
          <w:b/>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както и Оперативна програма „Околна среда” 2007-2013 г.,   по процедура „Разработване на планове за управление на риска от наводнения”.</w:t>
      </w: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Наводненията са често срещани природни бедствия на територията на Република България. Те нанасят огромни щети, тъй като засягат населени райони, промишлени територии и продуктивни земеделски земи. Изследванията показват, че опасността от наводнения се увеличава, като едни от основните причини са изменението на климата, интензивното социално-икономическо развитие, урбанизацията.</w:t>
      </w: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 Приета е Националната програма за защита при бедствия за периода 2014 – 2018 г. </w:t>
      </w:r>
    </w:p>
    <w:p w:rsidR="00F25110" w:rsidRPr="00BD7BB1" w:rsidRDefault="00F25110" w:rsidP="00F25110">
      <w:pPr>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Тя представлява основен документ за политиката в областта на предотвратяване, овладяване и преодоляване на последиците от бедствия и аварии и очертава насоките за създаването на ефективна, ресурсно и технически осигурена национална система за превенция и реагиране при бедствия. Основен приоритет в Програмата е извършването на </w:t>
      </w:r>
      <w:r w:rsidRPr="00BD7BB1">
        <w:rPr>
          <w:rFonts w:ascii="Times New Roman" w:eastAsia="Times New Roman" w:hAnsi="Times New Roman"/>
          <w:color w:val="auto"/>
          <w:sz w:val="24"/>
          <w:szCs w:val="24"/>
          <w:lang w:val="bg-BG" w:eastAsia="bg-BG"/>
        </w:rPr>
        <w:lastRenderedPageBreak/>
        <w:t>анализ и оценка на рисковете от бедствия на територията на страната и тяхното картографиране. Одобрен е и планът за изпълнението на Програмата през 2014 г., който описва конкретните дейности на министерствата и ведомствата.</w:t>
      </w: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 Правителството прие през 2014 г.  и стратегия за намаляване на риска от бедствия. Нейният хоризонт е 2020 г., а основната й цел – предотвратяване и намаляване на неблагоприятните последици за човешкото здраве, социално-икономическата дейност, околната среда и културното наследство в България вследствие на природни и причинени от човешка дейност бедствия.</w:t>
      </w:r>
    </w:p>
    <w:p w:rsidR="0082079D" w:rsidRDefault="00F25110" w:rsidP="0082079D">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По оперативна програма „Регионално развитие”, приоритетна ос - </w:t>
      </w:r>
      <w:r w:rsidRPr="00BD7BB1">
        <w:rPr>
          <w:rFonts w:ascii="Times New Roman" w:eastAsia="Times New Roman" w:hAnsi="Times New Roman"/>
          <w:i/>
          <w:color w:val="auto"/>
          <w:sz w:val="24"/>
          <w:szCs w:val="24"/>
          <w:lang w:val="bg-BG" w:eastAsia="bg-BG"/>
        </w:rPr>
        <w:t>Устойчиво и интегрирано градско развитие</w:t>
      </w:r>
      <w:r w:rsidRPr="00BD7BB1">
        <w:rPr>
          <w:rFonts w:ascii="Times New Roman" w:eastAsia="Times New Roman" w:hAnsi="Times New Roman"/>
          <w:color w:val="auto"/>
          <w:sz w:val="24"/>
          <w:szCs w:val="24"/>
          <w:lang w:val="bg-BG" w:eastAsia="bg-BG"/>
        </w:rPr>
        <w:t xml:space="preserve">, под-приоритет - </w:t>
      </w:r>
      <w:r w:rsidRPr="00BD7BB1">
        <w:rPr>
          <w:rFonts w:ascii="Times New Roman" w:eastAsia="Times New Roman" w:hAnsi="Times New Roman"/>
          <w:i/>
          <w:color w:val="auto"/>
          <w:sz w:val="24"/>
          <w:szCs w:val="24"/>
          <w:lang w:val="bg-BG" w:eastAsia="bg-BG"/>
        </w:rPr>
        <w:t xml:space="preserve">Подобряване на физическата среда и превенция на риска, </w:t>
      </w:r>
      <w:r w:rsidRPr="00BD7BB1">
        <w:rPr>
          <w:rFonts w:ascii="Times New Roman" w:eastAsia="Times New Roman" w:hAnsi="Times New Roman"/>
          <w:color w:val="auto"/>
          <w:sz w:val="24"/>
          <w:szCs w:val="24"/>
          <w:lang w:val="bg-BG" w:eastAsia="bg-BG"/>
        </w:rPr>
        <w:t xml:space="preserve">процедура - </w:t>
      </w:r>
      <w:r w:rsidRPr="00BD7BB1">
        <w:rPr>
          <w:rFonts w:ascii="Times New Roman" w:eastAsia="Times New Roman" w:hAnsi="Times New Roman"/>
          <w:i/>
          <w:color w:val="auto"/>
          <w:sz w:val="24"/>
          <w:szCs w:val="24"/>
          <w:lang w:val="bg-BG" w:eastAsia="bg-BG"/>
        </w:rPr>
        <w:t xml:space="preserve">Подкрепа за дребномащабни мерки за предотвратяване на наводнения в градските агломерации </w:t>
      </w:r>
      <w:r w:rsidRPr="00BD7BB1">
        <w:rPr>
          <w:rFonts w:ascii="Times New Roman" w:eastAsia="Times New Roman" w:hAnsi="Times New Roman"/>
          <w:color w:val="auto"/>
          <w:sz w:val="24"/>
          <w:szCs w:val="24"/>
          <w:lang w:val="bg-BG" w:eastAsia="bg-BG"/>
        </w:rPr>
        <w:t>са изпълнени следните проекти на т</w:t>
      </w:r>
      <w:r w:rsidR="0082079D">
        <w:rPr>
          <w:rFonts w:ascii="Times New Roman" w:eastAsia="Times New Roman" w:hAnsi="Times New Roman"/>
          <w:color w:val="auto"/>
          <w:sz w:val="24"/>
          <w:szCs w:val="24"/>
          <w:lang w:val="bg-BG" w:eastAsia="bg-BG"/>
        </w:rPr>
        <w:t>ериторията на Югоизточен район:</w:t>
      </w:r>
    </w:p>
    <w:p w:rsid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 xml:space="preserve">Прочистване, укрепване на корита и разширяване на съществуващи диги на </w:t>
      </w:r>
      <w:r w:rsidR="00DF34F3">
        <w:rPr>
          <w:lang w:val="bg-BG" w:eastAsia="bg-BG"/>
        </w:rPr>
        <w:t>р</w:t>
      </w:r>
      <w:r w:rsidRPr="0082079D">
        <w:rPr>
          <w:lang w:val="bg-BG" w:eastAsia="bg-BG"/>
        </w:rPr>
        <w:t xml:space="preserve">ека без име с три притока, преминаваща през с. Малка поляна и река „Славеева река“, гр. </w:t>
      </w:r>
      <w:r w:rsidR="0082079D" w:rsidRPr="0082079D">
        <w:rPr>
          <w:lang w:val="bg-BG" w:eastAsia="bg-BG"/>
        </w:rPr>
        <w:t>Айтос, на стойност 571 435 лв.;</w:t>
      </w:r>
    </w:p>
    <w:p w:rsid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Укрепване на свлачище на път с.Маринка – с.Зидарово – с.Вършило, км 2+800, община Созопол на стойност 949615,34 лв.;</w:t>
      </w:r>
    </w:p>
    <w:p w:rsid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Укрепване свлачище с. Равда, община Бургас, на стойност</w:t>
      </w:r>
      <w:r w:rsidRPr="0082079D">
        <w:rPr>
          <w:rFonts w:ascii="Calibri" w:hAnsi="Calibri"/>
          <w:sz w:val="20"/>
          <w:lang w:val="bg-BG" w:eastAsia="bg-BG"/>
        </w:rPr>
        <w:t xml:space="preserve"> </w:t>
      </w:r>
      <w:r w:rsidRPr="0082079D">
        <w:rPr>
          <w:lang w:val="bg-BG" w:eastAsia="bg-BG"/>
        </w:rPr>
        <w:t>527 780,48лв.</w:t>
      </w:r>
    </w:p>
    <w:p w:rsid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Укрепване на свлачище по ската зад летен театър в Приморски парк - Бургас община Бургас, на стойност</w:t>
      </w:r>
      <w:r w:rsidRPr="0082079D">
        <w:rPr>
          <w:rFonts w:ascii="Calibri" w:hAnsi="Calibri"/>
          <w:sz w:val="20"/>
          <w:lang w:val="bg-BG" w:eastAsia="bg-BG"/>
        </w:rPr>
        <w:t xml:space="preserve">  </w:t>
      </w:r>
      <w:r w:rsidRPr="0082079D">
        <w:rPr>
          <w:lang w:val="bg-BG" w:eastAsia="bg-BG"/>
        </w:rPr>
        <w:t>763 468, 25лв.;</w:t>
      </w:r>
    </w:p>
    <w:p w:rsid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Почистване, корекция на река Младежка и укрепване на левия и бряг в с. Младежко, община М.Търново, на стойност  927887,71 лв.;</w:t>
      </w:r>
    </w:p>
    <w:p w:rsid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Техническо и биологично укрепване на река Поповска в регулацията на гр. Болярово, община Болярово, на стойност  370864,87лв.;</w:t>
      </w:r>
    </w:p>
    <w:p w:rsid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 xml:space="preserve"> Реконструкция и укрепване на съществуваща крайбрежна дига с цел предотвратяване на наводнения на жилищна зона, прилежаща към улица „Морска“ в кв. „Свети Георги“ град Поморие,  на стойност 929 561 лв.;</w:t>
      </w:r>
    </w:p>
    <w:p w:rsid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 xml:space="preserve"> Почистване на коритото на р. Сазлийка, община Гълъбово,  на стойност 311940,00 лв.;</w:t>
      </w:r>
    </w:p>
    <w:p w:rsid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lastRenderedPageBreak/>
        <w:t>Корекция на река Дюлева в гр. Сливен, I ви ета</w:t>
      </w:r>
      <w:r w:rsidR="00DF34F3">
        <w:rPr>
          <w:lang w:val="bg-BG" w:eastAsia="bg-BG"/>
        </w:rPr>
        <w:t>п</w:t>
      </w:r>
      <w:r w:rsidRPr="0082079D">
        <w:rPr>
          <w:lang w:val="bg-BG" w:eastAsia="bg-BG"/>
        </w:rPr>
        <w:t>,  община Сливен, на стойност 761 888 лв.;</w:t>
      </w:r>
    </w:p>
    <w:p w:rsid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Предотвратяване от наводнения на селата Кукорево и Окоп, община Тунджа, на стойност - 788 812 лв.;</w:t>
      </w:r>
    </w:p>
    <w:p w:rsid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 xml:space="preserve"> „Комплексни мерки за предотвратяване на наводнения“ в община Ямбол , на стойност -  670 696 лв.</w:t>
      </w:r>
      <w:r w:rsidR="0082079D">
        <w:rPr>
          <w:lang w:val="bg-BG" w:eastAsia="bg-BG"/>
        </w:rPr>
        <w:t>;</w:t>
      </w:r>
    </w:p>
    <w:p w:rsidR="00F25110" w:rsidRP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 xml:space="preserve">„Корекционни мероприятия на дере за отвеждане на повърхностни води до ваканционно селище с. Лозенец, Община Царево”.   Стойността на проекта е 945 205 лв., изплатени 897945 лв. Общата цел на проекта е да се подобри качеството на живот и съответните екологични условия, включително предотвратяването на рискове от наводнения, на жителите на Община Царево, чрез осъществяване на мероприятия за предотвъртяване на наводнения върху обект в село Лозенец. Проектът цели да  подобри техническата инфраструктура на територията на Община Царево за защита на населението от наводнения. </w:t>
      </w:r>
    </w:p>
    <w:p w:rsidR="00F25110" w:rsidRPr="00BD7BB1" w:rsidRDefault="00F25110" w:rsidP="0082079D">
      <w:pPr>
        <w:spacing w:after="0" w:line="360" w:lineRule="auto"/>
        <w:ind w:firstLine="720"/>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По Оперативна програма „Околна среда”  през 2014 г. продължава да се изпълнява</w:t>
      </w:r>
    </w:p>
    <w:p w:rsidR="00F25110" w:rsidRP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проект  „Разработване на планове за управление на риска от наводнения” с бенефициент - Басейнова дирекция за управление на водите в Черноморския район, на обща стойност 2 553 662 лв. Проектът е одобрен за финансиране по процедура „Разработване на планове за управление на риска от наводнения” по Приоритетна ос 1 „Подобряване и развитие на инфраструктурата за питейни и отпадъчни води”. Целите на проекта са: Подготовка на предварителна оценка на риска от наводнения на басейново ниво; Подготовка на карти на районите под заплаха за наводнения и карти на районите с риск от наводнения; Подготовка на план за управление на риска от наводнения; Трансгранична координация и обмен на информация за международни речни басейни; Хоризонтална дейност - разработване на национален каталог от мерки и национални приоритети за управление на риска от наводнения.</w:t>
      </w: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През 2014 г.  в процес на изпълнение по ОПОС са  и два проекта с бенефициент  Главна дирекция „Пожарна безопасност и защита на населението” –МВР</w:t>
      </w:r>
      <w:r w:rsidR="00DF34F3">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bg-BG" w:eastAsia="bg-BG"/>
        </w:rPr>
        <w:t xml:space="preserve"> </w:t>
      </w:r>
    </w:p>
    <w:p w:rsidR="00F25110" w:rsidRPr="0082079D" w:rsidRDefault="00F25110" w:rsidP="0082079D">
      <w:pPr>
        <w:pStyle w:val="ListParagraph"/>
        <w:numPr>
          <w:ilvl w:val="0"/>
          <w:numId w:val="66"/>
        </w:numPr>
        <w:spacing w:line="360" w:lineRule="auto"/>
        <w:ind w:left="0" w:firstLine="1080"/>
        <w:jc w:val="both"/>
        <w:rPr>
          <w:lang w:val="bg-BG" w:eastAsia="bg-BG"/>
        </w:rPr>
      </w:pPr>
      <w:r w:rsidRPr="0082079D">
        <w:rPr>
          <w:lang w:val="bg-BG" w:eastAsia="bg-BG"/>
        </w:rPr>
        <w:t xml:space="preserve">Повишаване капацитета на териториалните структури на Главна дирекция „Пожарна безопасност и защита на населението“- МВР за реакция при наводнения  по приоритетна ос 1 на Оперативна програма „Околна среда 2007-2013 г.”. Проектът е на </w:t>
      </w:r>
      <w:r w:rsidRPr="0082079D">
        <w:rPr>
          <w:lang w:val="bg-BG" w:eastAsia="bg-BG"/>
        </w:rPr>
        <w:lastRenderedPageBreak/>
        <w:t>стойност 97 334 549 лв. и има за цел повишаване на капацитета на териториалните структурни звена на ГДПБЗН-МВР за бърза и ефективна реакция и защита при наводнения.</w:t>
      </w:r>
    </w:p>
    <w:p w:rsidR="00F25110" w:rsidRPr="00330F11" w:rsidRDefault="00F25110" w:rsidP="00330F11">
      <w:pPr>
        <w:pStyle w:val="ListParagraph"/>
        <w:numPr>
          <w:ilvl w:val="0"/>
          <w:numId w:val="66"/>
        </w:numPr>
        <w:spacing w:line="360" w:lineRule="auto"/>
        <w:ind w:left="0" w:firstLine="1080"/>
        <w:jc w:val="both"/>
        <w:rPr>
          <w:lang w:val="bg-BG" w:eastAsia="bg-BG"/>
        </w:rPr>
      </w:pPr>
      <w:r w:rsidRPr="00330F11">
        <w:rPr>
          <w:lang w:val="bg-BG" w:eastAsia="bg-BG"/>
        </w:rPr>
        <w:t>Техническо обезпечаване на оперативните структури на ГДПБЗН-МВР за ограничаване и ликвидиране на горски пожари. Проектът е на обща стойност 97 484736лв.</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bg-BG" w:eastAsia="bg-BG"/>
        </w:rPr>
        <w:t>Целите на проекта са: Принос за намаляване загубата на биологично разнообразие и опазването на растителните, животинските и гъбните видове от дивата флора, фауна и микота на Р България; Техническо обезпечаване на териториалните звена на ГДПБЗН, осигуряващи пожарната безопасност в Националните паркове, природните паркове, резерватите и поддържаните резервати; Осигуряване на своевременна намеса за предотвратяване на рисковете за възникване на горски пожари и тяхното навременно и ефективно ограничаване и ликвидиране.</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Общият брой приключени проекти по ОПРР, включващи  комплексни мерки за предотвратяване риска от наводнения,  корекция на реки, прочистване, укрепване на корита и разширяване на съществуващи диги и укрепване на свлачища в Югоизточен район са 12 бр. в общините: Созопол, Бургас, М.Търново, Гълъбово, Сливен, Айтос, Тунджа, Ямбол , Поморие, Болярово, Царево.</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По Приоритетна ос 1 на ОПОС – 3 бр. проекти в процес на изпълнение.  </w:t>
      </w:r>
    </w:p>
    <w:p w:rsidR="0058336D" w:rsidRDefault="0058336D" w:rsidP="00F25110">
      <w:pPr>
        <w:spacing w:after="200" w:line="360" w:lineRule="auto"/>
        <w:jc w:val="both"/>
        <w:rPr>
          <w:rFonts w:ascii="Times New Roman" w:eastAsia="Calibri" w:hAnsi="Times New Roman"/>
          <w:b/>
          <w:color w:val="auto"/>
          <w:sz w:val="24"/>
          <w:szCs w:val="24"/>
          <w:lang w:val="bg-BG"/>
        </w:rPr>
      </w:pPr>
    </w:p>
    <w:p w:rsidR="00F25110" w:rsidRPr="0058336D" w:rsidRDefault="00F25110" w:rsidP="00F25110">
      <w:pPr>
        <w:spacing w:after="200" w:line="360" w:lineRule="auto"/>
        <w:jc w:val="both"/>
        <w:rPr>
          <w:rFonts w:ascii="Times New Roman" w:eastAsia="Calibri" w:hAnsi="Times New Roman"/>
          <w:b/>
          <w:color w:val="9B2D1F" w:themeColor="accent2"/>
          <w:sz w:val="24"/>
          <w:szCs w:val="24"/>
          <w:lang w:val="bg-BG"/>
        </w:rPr>
      </w:pPr>
      <w:r w:rsidRPr="0058336D">
        <w:rPr>
          <w:rFonts w:ascii="Times New Roman" w:eastAsia="Calibri" w:hAnsi="Times New Roman"/>
          <w:b/>
          <w:color w:val="9B2D1F" w:themeColor="accent2"/>
          <w:sz w:val="24"/>
          <w:szCs w:val="24"/>
          <w:lang w:val="bg-BG"/>
        </w:rPr>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p w:rsidR="00F25110" w:rsidRPr="0058336D" w:rsidRDefault="00F25110" w:rsidP="00F25110">
      <w:pPr>
        <w:spacing w:after="200" w:line="360" w:lineRule="auto"/>
        <w:jc w:val="both"/>
        <w:rPr>
          <w:rFonts w:ascii="Times New Roman" w:eastAsia="Calibri" w:hAnsi="Times New Roman"/>
          <w:b/>
          <w:color w:val="9B2D1F" w:themeColor="accent2"/>
          <w:sz w:val="24"/>
          <w:szCs w:val="24"/>
          <w:lang w:val="bg-BG"/>
        </w:rPr>
      </w:pPr>
      <w:r w:rsidRPr="0058336D">
        <w:rPr>
          <w:rFonts w:ascii="Times New Roman" w:eastAsia="Calibri" w:hAnsi="Times New Roman"/>
          <w:b/>
          <w:color w:val="9B2D1F" w:themeColor="accent2"/>
          <w:sz w:val="24"/>
          <w:szCs w:val="24"/>
          <w:lang w:val="bg-BG"/>
        </w:rPr>
        <w:t>Приоритет 1. Подобряване на достъпа до образователни, здравни, социални, културни услуги и развитие на спортната инфраструктура в Югоизточен район.</w:t>
      </w:r>
    </w:p>
    <w:p w:rsidR="00F25110" w:rsidRPr="00BD7BB1" w:rsidRDefault="00F25110" w:rsidP="00F94ABD">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Подобряването на образователните, здравните, културните и спортни услуги е от важно значение за цялостното развитие на района и особено на изоставащите области и общини,  с цел намаляване на вътрешнорегионалните различия и социално сближаване.</w:t>
      </w:r>
    </w:p>
    <w:p w:rsidR="00F25110" w:rsidRPr="00BD7BB1" w:rsidRDefault="00F25110" w:rsidP="00F94ABD">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са предприети </w:t>
      </w:r>
      <w:r w:rsidRPr="00BD7BB1">
        <w:rPr>
          <w:rFonts w:ascii="Times New Roman" w:eastAsia="Calibri" w:hAnsi="Times New Roman"/>
          <w:b/>
          <w:color w:val="auto"/>
          <w:sz w:val="24"/>
          <w:szCs w:val="24"/>
          <w:lang w:val="bg-BG"/>
        </w:rPr>
        <w:t>43 мерки</w:t>
      </w:r>
      <w:r w:rsidRPr="00BD7BB1">
        <w:rPr>
          <w:rFonts w:ascii="Times New Roman" w:eastAsia="Calibri" w:hAnsi="Times New Roman"/>
          <w:color w:val="auto"/>
          <w:sz w:val="24"/>
          <w:szCs w:val="24"/>
          <w:lang w:val="bg-BG"/>
        </w:rPr>
        <w:t xml:space="preserve"> за </w:t>
      </w:r>
      <w:r w:rsidRPr="00BD7BB1">
        <w:rPr>
          <w:rFonts w:ascii="Times New Roman" w:eastAsia="Calibri" w:hAnsi="Times New Roman"/>
          <w:b/>
          <w:color w:val="auto"/>
          <w:sz w:val="24"/>
          <w:szCs w:val="24"/>
          <w:lang w:val="bg-BG"/>
        </w:rPr>
        <w:t xml:space="preserve">модернизирани и реконструирани сгради и обекти на културата </w:t>
      </w:r>
      <w:r w:rsidRPr="00BD7BB1">
        <w:rPr>
          <w:rFonts w:ascii="Times New Roman" w:eastAsia="Calibri" w:hAnsi="Times New Roman"/>
          <w:color w:val="auto"/>
          <w:sz w:val="24"/>
          <w:szCs w:val="24"/>
          <w:lang w:val="bg-BG"/>
        </w:rPr>
        <w:t xml:space="preserve">в 14  общини от ЮИР или в 3 от област Бургас: Бургас, </w:t>
      </w:r>
      <w:r w:rsidRPr="00BD7BB1">
        <w:rPr>
          <w:rFonts w:ascii="Times New Roman" w:eastAsia="Calibri" w:hAnsi="Times New Roman"/>
          <w:color w:val="auto"/>
          <w:sz w:val="24"/>
          <w:szCs w:val="24"/>
          <w:lang w:val="bg-BG"/>
        </w:rPr>
        <w:lastRenderedPageBreak/>
        <w:t>Приморско и Руен, в 1 община от област Сливен: Твърдица, в 5 общини от област Стара Загора: Казанлък, Николаево, Раднево, Чирпан и Стара Загора и в 5  общини за област Ямбол: Стралджа, Болярово, Елхово, Ямбол и Тунджа. В резултат на което през 2014 г. в ЮИР са ремонтирани сгради  на  читалища и  музеи, предприети са реставрационни дейности и дейности свързани с развитие на културната инфраструктура. От предприетите мер</w:t>
      </w:r>
      <w:r w:rsidR="00D62405">
        <w:rPr>
          <w:rFonts w:ascii="Times New Roman" w:eastAsia="Calibri" w:hAnsi="Times New Roman"/>
          <w:color w:val="auto"/>
          <w:sz w:val="24"/>
          <w:szCs w:val="24"/>
          <w:lang w:val="bg-BG"/>
        </w:rPr>
        <w:t>к</w:t>
      </w:r>
      <w:r w:rsidRPr="00BD7BB1">
        <w:rPr>
          <w:rFonts w:ascii="Times New Roman" w:eastAsia="Calibri" w:hAnsi="Times New Roman"/>
          <w:color w:val="auto"/>
          <w:sz w:val="24"/>
          <w:szCs w:val="24"/>
          <w:lang w:val="bg-BG"/>
        </w:rPr>
        <w:t>и се открояват  изградената нова читалищна сграда в с. Бяла паланка, община Твърдица, ремонтираната и отворена за посетители Къща-музей „Гео Милев” в община Раднево</w:t>
      </w:r>
      <w:r w:rsidR="00D62405">
        <w:rPr>
          <w:rFonts w:ascii="Times New Roman" w:eastAsia="Calibri" w:hAnsi="Times New Roman"/>
          <w:color w:val="auto"/>
          <w:sz w:val="24"/>
          <w:szCs w:val="24"/>
          <w:lang w:val="bg-BG"/>
        </w:rPr>
        <w:t>,</w:t>
      </w:r>
      <w:r w:rsidRPr="00BD7BB1">
        <w:rPr>
          <w:rFonts w:ascii="Times New Roman" w:eastAsia="Calibri" w:hAnsi="Times New Roman"/>
          <w:color w:val="auto"/>
          <w:sz w:val="24"/>
          <w:szCs w:val="24"/>
          <w:lang w:val="bg-BG"/>
        </w:rPr>
        <w:t xml:space="preserve"> както и подобряване на културното взаимодействие между община Болярово и община Юскюп, РТурция ( финансирана по ТГС)</w:t>
      </w:r>
      <w:r w:rsidR="00D62405">
        <w:rPr>
          <w:rFonts w:ascii="Times New Roman" w:eastAsia="Calibri" w:hAnsi="Times New Roman"/>
          <w:color w:val="auto"/>
          <w:sz w:val="24"/>
          <w:szCs w:val="24"/>
          <w:lang w:val="bg-BG"/>
        </w:rPr>
        <w:t>.</w:t>
      </w:r>
    </w:p>
    <w:p w:rsidR="00F25110" w:rsidRPr="00BD7BB1" w:rsidRDefault="00F25110" w:rsidP="00F94ABD">
      <w:pPr>
        <w:spacing w:after="200" w:line="360" w:lineRule="auto"/>
        <w:ind w:firstLine="36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са предприети </w:t>
      </w:r>
      <w:r w:rsidRPr="00BD7BB1">
        <w:rPr>
          <w:rFonts w:ascii="Times New Roman" w:eastAsia="Calibri" w:hAnsi="Times New Roman"/>
          <w:b/>
          <w:color w:val="auto"/>
          <w:sz w:val="24"/>
          <w:szCs w:val="24"/>
          <w:lang w:val="bg-BG"/>
        </w:rPr>
        <w:t>50</w:t>
      </w:r>
      <w:r w:rsidRPr="00BD7BB1">
        <w:rPr>
          <w:rFonts w:ascii="Times New Roman" w:eastAsia="Calibri" w:hAnsi="Times New Roman"/>
          <w:color w:val="auto"/>
          <w:sz w:val="24"/>
          <w:szCs w:val="24"/>
          <w:lang w:val="bg-BG"/>
        </w:rPr>
        <w:t xml:space="preserve"> </w:t>
      </w:r>
      <w:r w:rsidRPr="00BD7BB1">
        <w:rPr>
          <w:rFonts w:ascii="Times New Roman" w:eastAsia="Calibri" w:hAnsi="Times New Roman"/>
          <w:b/>
          <w:color w:val="auto"/>
          <w:sz w:val="24"/>
          <w:szCs w:val="24"/>
          <w:lang w:val="bg-BG"/>
        </w:rPr>
        <w:t>мерки за рехабилитирани здравни и социални заведения</w:t>
      </w:r>
      <w:r w:rsidRPr="00BD7BB1">
        <w:rPr>
          <w:rFonts w:ascii="Times New Roman" w:eastAsia="Calibri" w:hAnsi="Times New Roman"/>
          <w:color w:val="auto"/>
          <w:sz w:val="24"/>
          <w:szCs w:val="24"/>
          <w:lang w:val="bg-BG"/>
        </w:rPr>
        <w:t xml:space="preserve">, в  19 общини в ЮИР  или 3 в област Бургас: Бургас, Карнобат и Руен; 3 общини в област Сливен: Котел, Твърдица и Сливен; 8 общини в област Стара Загора: Казанлък, Павел баня, Николаево, Опан, Раднево, Чирпан, Гълъбово и Стара Загора и 3 общини в област Ямбол: Болярово, </w:t>
      </w:r>
      <w:r w:rsidR="00541840">
        <w:rPr>
          <w:rFonts w:ascii="Times New Roman" w:eastAsia="Calibri" w:hAnsi="Times New Roman"/>
          <w:color w:val="auto"/>
          <w:sz w:val="24"/>
          <w:szCs w:val="24"/>
          <w:lang w:val="bg-BG"/>
        </w:rPr>
        <w:t>Е</w:t>
      </w:r>
      <w:r w:rsidRPr="00BD7BB1">
        <w:rPr>
          <w:rFonts w:ascii="Times New Roman" w:eastAsia="Calibri" w:hAnsi="Times New Roman"/>
          <w:color w:val="auto"/>
          <w:sz w:val="24"/>
          <w:szCs w:val="24"/>
          <w:lang w:val="bg-BG"/>
        </w:rPr>
        <w:t>лхово и Тунджа. В резултат на предприетите мерки от общините  са реализирани следните дейности:</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Реконструкция и оборудване на </w:t>
      </w:r>
      <w:r w:rsidR="00541840">
        <w:rPr>
          <w:rFonts w:ascii="Times New Roman" w:eastAsia="Calibri" w:hAnsi="Times New Roman"/>
          <w:color w:val="auto"/>
          <w:sz w:val="24"/>
          <w:szCs w:val="24"/>
          <w:lang w:val="bg-BG"/>
        </w:rPr>
        <w:t>К</w:t>
      </w:r>
      <w:r w:rsidRPr="00BD7BB1">
        <w:rPr>
          <w:rFonts w:ascii="Times New Roman" w:eastAsia="Calibri" w:hAnsi="Times New Roman"/>
          <w:color w:val="auto"/>
          <w:sz w:val="24"/>
          <w:szCs w:val="24"/>
          <w:lang w:val="bg-BG"/>
        </w:rPr>
        <w:t>омплексен онкологичен център – Бургас;</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Изграждане на центрове за настаняване от семеен тип на територията на Община Бургас в подкрепа на социалната интеграция на деца в риск</w:t>
      </w:r>
      <w:r w:rsidR="00541840">
        <w:rPr>
          <w:rFonts w:ascii="Times New Roman" w:eastAsia="Calibri" w:hAnsi="Times New Roman"/>
          <w:color w:val="auto"/>
          <w:sz w:val="24"/>
          <w:szCs w:val="24"/>
          <w:lang w:val="bg-BG"/>
        </w:rPr>
        <w:t>;</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Въвеждане на мерки за енергийна ефективност в обществени сгради на територията на община Бургас;</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Реконструкция/обновяване МБАЛ и Медицински център –I, гр. Карнобат</w:t>
      </w:r>
      <w:r w:rsidR="00541840">
        <w:rPr>
          <w:rFonts w:ascii="Times New Roman" w:eastAsia="Calibri" w:hAnsi="Times New Roman"/>
          <w:color w:val="auto"/>
          <w:sz w:val="24"/>
          <w:szCs w:val="24"/>
          <w:lang w:val="bg-BG"/>
        </w:rPr>
        <w:t>;</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Основен ремонт на покрива на Здравна служба с. Люляково;</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Реконструкция, обновяване и оборудване в подкрепа на създаване на Медицински център в Община Котел;</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Дом за възрастни с умствена изостаналост и дом за възрастни с психически разстройства;</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Реконструкция/обновяване и оборудване на МБАЛ "Д-р Хр. Стамболски"ЕООД, </w:t>
      </w:r>
      <w:r w:rsidR="00541840">
        <w:rPr>
          <w:rFonts w:ascii="Times New Roman" w:eastAsia="Calibri" w:hAnsi="Times New Roman"/>
          <w:color w:val="auto"/>
          <w:sz w:val="24"/>
          <w:szCs w:val="24"/>
          <w:lang w:val="bg-BG"/>
        </w:rPr>
        <w:t xml:space="preserve"> </w:t>
      </w:r>
      <w:r w:rsidRPr="00BD7BB1">
        <w:rPr>
          <w:rFonts w:ascii="Times New Roman" w:eastAsia="Calibri" w:hAnsi="Times New Roman"/>
          <w:color w:val="auto"/>
          <w:sz w:val="24"/>
          <w:szCs w:val="24"/>
          <w:lang w:val="bg-BG"/>
        </w:rPr>
        <w:t xml:space="preserve">гр. Казаанлък"; </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Социална услуга „Център за обществена подкрепа“;</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Изграждане на три ЦНСТ и едно защитено жилище в гр.</w:t>
      </w:r>
      <w:r w:rsidR="00541840">
        <w:rPr>
          <w:rFonts w:ascii="Times New Roman" w:eastAsia="Calibri" w:hAnsi="Times New Roman"/>
          <w:color w:val="auto"/>
          <w:sz w:val="24"/>
          <w:szCs w:val="24"/>
          <w:lang w:val="bg-BG"/>
        </w:rPr>
        <w:t xml:space="preserve"> </w:t>
      </w:r>
      <w:r w:rsidRPr="00BD7BB1">
        <w:rPr>
          <w:rFonts w:ascii="Times New Roman" w:eastAsia="Calibri" w:hAnsi="Times New Roman"/>
          <w:color w:val="auto"/>
          <w:sz w:val="24"/>
          <w:szCs w:val="24"/>
          <w:lang w:val="bg-BG"/>
        </w:rPr>
        <w:t>Казанлък;</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lastRenderedPageBreak/>
        <w:t>Преустройство на съществуващи помещения на Домашен социален патронаж и цех за закуски в кухня за ДСП и обществена трапезария в УПИ ХІV, кв. 49 по плана на село Опан, Община Опан;</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Преоборудване на отоплителна инсталация на ДДЯ"Д-р Ив.Софкаров" за работа с природен  газ;</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Ремонт покрив АГ-отделение, нервно и вътрешно отделение към МБАЛ-гр.Чирпан;</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Ремонт на фасади и тераси на вътрешно и АГ отделение на МБАЛ-гр.Чирпан;</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Изготвяне на проект за ремонт на сградата на МЦ"Д-р Николай Тошев"-гр.Чирпан;</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Преоборудване на отоплителна инсталация на ДСП и ЦОП за работа с природен  газ;</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Прилагане на енергийно ефективни мерки и обновяване на ДСП-Чирпан;</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“Деинституционализация на деца в риск посредством изграждане на центрове за настаняване от семеен тип в Община Стара Загора” – нови 7 центъра;</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Модернизация на отделение по лъчелечение към Комплексен Онкологичен Център – Стара Загора;</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Изграждане на Общностен център за социална подкрепа в град Стара Загора -  ЦДГ с 4 групи за деца от 3 до 7 години, 30% от тях са за деца в риск ;</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Основен ремонт за пребазиране на ДЯ№2; Ремонти на: ДЯ№5; детска кухня; дом за деца „Незабравка“; Дневен център за деца с увреждания;</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Строителни и монтажни работи по преустройство и промяна предназначението на двуетажна масивна сграда бивша детска градина, находяща се в с. Мамарчево в Център за настаняване от семеен тип на лица - целева група възрастни хора с деменция и Център за настаняване от семеен тип на лица - целева група възрастни хора "ПИП Растеж и устойчиво развитие на регионите" ПИП "Растеж и устойчиво развитие на регионите“;</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СМР с енергоспестяващ ефект на сградата на МБАЛ”Св.</w:t>
      </w:r>
      <w:r w:rsidR="00541840">
        <w:rPr>
          <w:rFonts w:ascii="Times New Roman" w:eastAsia="Calibri" w:hAnsi="Times New Roman"/>
          <w:color w:val="auto"/>
          <w:sz w:val="24"/>
          <w:szCs w:val="24"/>
          <w:lang w:val="bg-BG"/>
        </w:rPr>
        <w:t xml:space="preserve"> </w:t>
      </w:r>
      <w:r w:rsidRPr="00BD7BB1">
        <w:rPr>
          <w:rFonts w:ascii="Times New Roman" w:eastAsia="Calibri" w:hAnsi="Times New Roman"/>
          <w:color w:val="auto"/>
          <w:sz w:val="24"/>
          <w:szCs w:val="24"/>
          <w:lang w:val="bg-BG"/>
        </w:rPr>
        <w:t>Иван Рилски” и Медицински център 1 Елхово;</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2.СМР с енергоспестяващ ефект ЦСРИ”Св.Марина”,</w:t>
      </w:r>
      <w:r w:rsidR="00541840">
        <w:rPr>
          <w:rFonts w:ascii="Times New Roman" w:eastAsia="Calibri" w:hAnsi="Times New Roman"/>
          <w:color w:val="auto"/>
          <w:sz w:val="24"/>
          <w:szCs w:val="24"/>
          <w:lang w:val="bg-BG"/>
        </w:rPr>
        <w:t xml:space="preserve"> </w:t>
      </w:r>
      <w:r w:rsidRPr="00BD7BB1">
        <w:rPr>
          <w:rFonts w:ascii="Times New Roman" w:eastAsia="Calibri" w:hAnsi="Times New Roman"/>
          <w:color w:val="auto"/>
          <w:sz w:val="24"/>
          <w:szCs w:val="24"/>
          <w:lang w:val="bg-BG"/>
        </w:rPr>
        <w:t>Елхово;</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Изграждане на слънчева инсталация за топла вода на ЦНСТ и Защитено жилище</w:t>
      </w:r>
      <w:r w:rsidR="00541840">
        <w:rPr>
          <w:rFonts w:ascii="Times New Roman" w:eastAsia="Calibri" w:hAnsi="Times New Roman"/>
          <w:color w:val="auto"/>
          <w:sz w:val="24"/>
          <w:szCs w:val="24"/>
          <w:lang w:val="bg-BG"/>
        </w:rPr>
        <w:t>;</w:t>
      </w:r>
    </w:p>
    <w:p w:rsidR="00F25110" w:rsidRPr="00BD7BB1" w:rsidRDefault="00F25110" w:rsidP="00957FF6">
      <w:pPr>
        <w:numPr>
          <w:ilvl w:val="0"/>
          <w:numId w:val="46"/>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Ремонт на СЗС : с. Асеново, с. Ген. Инзово, с. Крумово, с. Меден кладенец, с. Миладиновци.</w:t>
      </w:r>
    </w:p>
    <w:p w:rsidR="00F25110" w:rsidRPr="00BD7BB1" w:rsidRDefault="00F25110" w:rsidP="00541840">
      <w:pPr>
        <w:spacing w:after="200" w:line="360" w:lineRule="auto"/>
        <w:ind w:firstLine="36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lastRenderedPageBreak/>
        <w:t>Реализираните мерки допринасят за напредъка на приоритет 1 за изпълнението на целенасочена  регионална  политика в  областта  на  здравето – инфраструктурна,  ресурсно  обезпечена и  осигуряваща  постигането  на  високо  качество  на  живот на  населението  в района.</w:t>
      </w:r>
    </w:p>
    <w:p w:rsidR="00F25110" w:rsidRPr="00BD7BB1" w:rsidRDefault="00F25110" w:rsidP="00F94ABD">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са предприети  </w:t>
      </w:r>
      <w:r w:rsidRPr="00BD7BB1">
        <w:rPr>
          <w:rFonts w:ascii="Times New Roman" w:eastAsia="Calibri" w:hAnsi="Times New Roman"/>
          <w:b/>
          <w:color w:val="auto"/>
          <w:sz w:val="24"/>
          <w:szCs w:val="24"/>
          <w:lang w:val="bg-BG"/>
        </w:rPr>
        <w:t>84</w:t>
      </w:r>
      <w:r w:rsidRPr="00BD7BB1">
        <w:rPr>
          <w:rFonts w:ascii="Times New Roman" w:eastAsia="Calibri" w:hAnsi="Times New Roman"/>
          <w:color w:val="auto"/>
          <w:sz w:val="24"/>
          <w:szCs w:val="24"/>
          <w:lang w:val="bg-BG"/>
        </w:rPr>
        <w:t xml:space="preserve"> </w:t>
      </w:r>
      <w:r w:rsidRPr="00BD7BB1">
        <w:rPr>
          <w:rFonts w:ascii="Times New Roman" w:eastAsia="Calibri" w:hAnsi="Times New Roman"/>
          <w:b/>
          <w:color w:val="auto"/>
          <w:sz w:val="24"/>
          <w:szCs w:val="24"/>
          <w:lang w:val="bg-BG"/>
        </w:rPr>
        <w:t>мерки за реконструкция на училища и детски градини</w:t>
      </w:r>
      <w:r w:rsidRPr="00BD7BB1">
        <w:rPr>
          <w:rFonts w:ascii="Times New Roman" w:eastAsia="Calibri" w:hAnsi="Times New Roman"/>
          <w:color w:val="auto"/>
          <w:sz w:val="24"/>
          <w:szCs w:val="24"/>
          <w:lang w:val="bg-BG"/>
        </w:rPr>
        <w:t>,  в 19 общини в ЮИР или в 6 от област Бургас: Бургас,</w:t>
      </w:r>
      <w:r w:rsidR="00926D79">
        <w:rPr>
          <w:rFonts w:ascii="Times New Roman" w:eastAsia="Calibri" w:hAnsi="Times New Roman"/>
          <w:color w:val="auto"/>
          <w:sz w:val="24"/>
          <w:szCs w:val="24"/>
          <w:lang w:val="bg-BG"/>
        </w:rPr>
        <w:t xml:space="preserve"> </w:t>
      </w:r>
      <w:r w:rsidRPr="00BD7BB1">
        <w:rPr>
          <w:rFonts w:ascii="Times New Roman" w:eastAsia="Calibri" w:hAnsi="Times New Roman"/>
          <w:color w:val="auto"/>
          <w:sz w:val="24"/>
          <w:szCs w:val="24"/>
          <w:lang w:val="bg-BG"/>
        </w:rPr>
        <w:t xml:space="preserve">Сунгурларе, Камено, Поморие, Приморско и Руен; в 2 от област Сливен: Котел и Твърдица; в 8 общини в област Стара Загора: Казанлък, Павел баня, Николаево, Раднево, Чирпан, Братя Даскалови,  Гурково и Стара Загора и в 3 общини в област Ямбол: Болярово, Ямбол и Тунджа. </w:t>
      </w:r>
    </w:p>
    <w:p w:rsidR="00F25110" w:rsidRPr="00BD7BB1" w:rsidRDefault="00F25110" w:rsidP="00F94ABD">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са предприети </w:t>
      </w:r>
      <w:r w:rsidRPr="00BD7BB1">
        <w:rPr>
          <w:rFonts w:ascii="Times New Roman" w:eastAsia="Calibri" w:hAnsi="Times New Roman"/>
          <w:b/>
          <w:color w:val="auto"/>
          <w:sz w:val="24"/>
          <w:szCs w:val="24"/>
          <w:lang w:val="bg-BG"/>
        </w:rPr>
        <w:t>43 мерки за изграждане и реконструкция на  обекти на инфраструктурата за професионален спорт и спорт в свободното време</w:t>
      </w:r>
      <w:r w:rsidRPr="00BD7BB1">
        <w:rPr>
          <w:rFonts w:ascii="Times New Roman" w:eastAsia="Calibri" w:hAnsi="Times New Roman"/>
          <w:color w:val="auto"/>
          <w:sz w:val="24"/>
          <w:szCs w:val="24"/>
          <w:lang w:val="bg-BG"/>
        </w:rPr>
        <w:t xml:space="preserve"> в  15 общини в ЮИР или 4 общини в област Бургас:</w:t>
      </w:r>
      <w:r w:rsidRPr="00BD7BB1">
        <w:rPr>
          <w:rFonts w:ascii="Calibri" w:eastAsia="Calibri" w:hAnsi="Calibri"/>
          <w:color w:val="auto"/>
          <w:sz w:val="24"/>
          <w:szCs w:val="24"/>
          <w:lang w:val="bg-BG"/>
        </w:rPr>
        <w:t xml:space="preserve"> </w:t>
      </w:r>
      <w:r w:rsidRPr="00BD7BB1">
        <w:rPr>
          <w:rFonts w:ascii="Times New Roman" w:eastAsia="Calibri" w:hAnsi="Times New Roman"/>
          <w:color w:val="auto"/>
          <w:sz w:val="24"/>
          <w:szCs w:val="24"/>
          <w:lang w:val="bg-BG"/>
        </w:rPr>
        <w:t>Айтос, Бургас, Приморско и  Руен; 2 общини в област Сливен: Твърдица и Сливен; 4 общини в област Стара Загора: Казанлък, Павел баня, Братя Даскалови и Стара Загора и 5 общини в област Ямбол: Стралджа, Болярово, Елхово, Ямбол и Тунджа. В резултат на реализираните мерки е извършен основен ремонт на спортни площадки в училища, обновени са спортни терени и стадиони, поставени са фитнес уреди на открито и закрито, ремонтирани са  спортни  зал</w:t>
      </w:r>
      <w:r w:rsidR="00926D79">
        <w:rPr>
          <w:rFonts w:ascii="Times New Roman" w:eastAsia="Calibri" w:hAnsi="Times New Roman"/>
          <w:color w:val="auto"/>
          <w:sz w:val="24"/>
          <w:szCs w:val="24"/>
          <w:lang w:val="bg-BG"/>
        </w:rPr>
        <w:t>и</w:t>
      </w:r>
      <w:r w:rsidRPr="00BD7BB1">
        <w:rPr>
          <w:rFonts w:ascii="Times New Roman" w:eastAsia="Calibri" w:hAnsi="Times New Roman"/>
          <w:color w:val="auto"/>
          <w:sz w:val="24"/>
          <w:szCs w:val="24"/>
          <w:lang w:val="bg-BG"/>
        </w:rPr>
        <w:t xml:space="preserve"> за вдигане на тежести. От изброените мерки се откроява тази  като предприетата от община Болярово по ТГС с цел повишаване качеството на живот на общините Болярово и Алпуллу,</w:t>
      </w:r>
      <w:r w:rsidRPr="00BD7BB1">
        <w:rPr>
          <w:rFonts w:ascii="Calibri" w:eastAsia="Calibri" w:hAnsi="Calibri"/>
          <w:color w:val="auto"/>
          <w:sz w:val="24"/>
          <w:szCs w:val="24"/>
          <w:lang w:val="bg-BG"/>
        </w:rPr>
        <w:t xml:space="preserve"> </w:t>
      </w:r>
      <w:r w:rsidRPr="00BD7BB1">
        <w:rPr>
          <w:rFonts w:ascii="Times New Roman" w:eastAsia="Calibri" w:hAnsi="Times New Roman"/>
          <w:color w:val="auto"/>
          <w:sz w:val="24"/>
          <w:szCs w:val="24"/>
          <w:lang w:val="bg-BG"/>
        </w:rPr>
        <w:t xml:space="preserve">Кофчаз, РТурция   и осигуряване на възможности  за отдих и спорт. </w:t>
      </w:r>
    </w:p>
    <w:p w:rsidR="00F25110" w:rsidRPr="00BD7BB1" w:rsidRDefault="00F25110" w:rsidP="00F94ABD">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Социалната политика в страната и района е изправена пред големи предизвикателства.</w:t>
      </w:r>
      <w:r w:rsidRPr="00BD7BB1">
        <w:rPr>
          <w:rFonts w:ascii="Times New Roman" w:eastAsia="Calibri" w:hAnsi="Times New Roman"/>
          <w:color w:val="auto"/>
          <w:sz w:val="24"/>
          <w:szCs w:val="24"/>
          <w:lang w:val="bg-BG"/>
        </w:rPr>
        <w:t xml:space="preserve"> Търсенето на социални услуги се увеличава, предвид новите предизвикателства пред обществото, като: застаряване на населението, промени в ролята на двата пола и състава на домакинствата, необходимост от засилено участие в пазара на труда, по-добро съвместяване на професионалния със семейния живот. </w:t>
      </w:r>
    </w:p>
    <w:p w:rsidR="00F25110" w:rsidRPr="00BD7BB1" w:rsidRDefault="00F25110" w:rsidP="00F94ABD">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По ОП развитие на човешките ресурси за периода 2007-2013 г. се прилага нов подход</w:t>
      </w:r>
      <w:r w:rsidRPr="00BD7BB1">
        <w:rPr>
          <w:rFonts w:ascii="Times New Roman" w:eastAsia="Calibri" w:hAnsi="Times New Roman"/>
          <w:color w:val="auto"/>
          <w:sz w:val="24"/>
          <w:szCs w:val="24"/>
          <w:lang w:val="bg-BG"/>
        </w:rPr>
        <w:t xml:space="preserve"> </w:t>
      </w:r>
      <w:r w:rsidRPr="00BD7BB1">
        <w:rPr>
          <w:rFonts w:ascii="Times New Roman" w:eastAsia="Calibri" w:hAnsi="Times New Roman"/>
          <w:b/>
          <w:color w:val="auto"/>
          <w:sz w:val="24"/>
          <w:szCs w:val="24"/>
          <w:lang w:val="bg-BG"/>
        </w:rPr>
        <w:t>за предоставяне на услуги в семейна среда</w:t>
      </w:r>
      <w:r w:rsidRPr="00BD7BB1">
        <w:rPr>
          <w:rFonts w:ascii="Times New Roman" w:eastAsia="Calibri" w:hAnsi="Times New Roman"/>
          <w:color w:val="auto"/>
          <w:sz w:val="24"/>
          <w:szCs w:val="24"/>
          <w:lang w:val="bg-BG"/>
        </w:rPr>
        <w:t xml:space="preserve"> чрез въвеждане на принципа „индивидуален бюджет за личен асистент" се въвежда устойчив модел за осигуряване на </w:t>
      </w:r>
      <w:r w:rsidRPr="00BD7BB1">
        <w:rPr>
          <w:rFonts w:ascii="Times New Roman" w:eastAsia="Calibri" w:hAnsi="Times New Roman"/>
          <w:color w:val="auto"/>
          <w:sz w:val="24"/>
          <w:szCs w:val="24"/>
          <w:lang w:val="bg-BG"/>
        </w:rPr>
        <w:lastRenderedPageBreak/>
        <w:t>достоен живот и предоставяне на услуги в домашна среда за хора, които са в частична или пълна невъзможност за самообслужване и са в риск от социална изолация.</w:t>
      </w:r>
      <w:r w:rsidRPr="00BD7BB1">
        <w:rPr>
          <w:rFonts w:ascii="Calibri" w:eastAsia="Calibri" w:hAnsi="Calibri"/>
          <w:color w:val="auto"/>
          <w:szCs w:val="22"/>
          <w:lang w:val="bg-BG"/>
        </w:rPr>
        <w:t xml:space="preserve"> </w:t>
      </w:r>
    </w:p>
    <w:p w:rsidR="00F25110" w:rsidRPr="00BD7BB1" w:rsidRDefault="00F25110" w:rsidP="00F25110">
      <w:pPr>
        <w:spacing w:after="200" w:line="360" w:lineRule="auto"/>
        <w:jc w:val="both"/>
        <w:rPr>
          <w:rFonts w:ascii="Times New Roman" w:eastAsia="Calibri" w:hAnsi="Times New Roman"/>
          <w:b/>
          <w:color w:val="auto"/>
          <w:sz w:val="24"/>
          <w:szCs w:val="24"/>
          <w:lang w:val="bg-BG"/>
        </w:rPr>
      </w:pPr>
      <w:r w:rsidRPr="00BD7BB1">
        <w:rPr>
          <w:rFonts w:ascii="Times New Roman" w:eastAsia="Calibri" w:hAnsi="Times New Roman"/>
          <w:b/>
          <w:color w:val="auto"/>
          <w:sz w:val="24"/>
          <w:szCs w:val="24"/>
          <w:lang w:val="bg-BG"/>
        </w:rPr>
        <w:t xml:space="preserve">Схема BG051PO001-5.2.09 „Алтернативи” </w:t>
      </w:r>
    </w:p>
    <w:p w:rsidR="00F25110" w:rsidRPr="00BD7BB1" w:rsidRDefault="00F25110" w:rsidP="00F25110">
      <w:pPr>
        <w:spacing w:after="200" w:line="360" w:lineRule="auto"/>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Предоставянето на услугата личен асистент продължи до 31.12.2014 г. Отчитайки високия социален ефект от реализирането на проекта, с решения на Комитета за наблюдение през 2014 г. са осигурени допълнителни средства и срокът на проекта е удължаван 2 пъти.  През 2014 г. социална услуга „личен асистент“ са получили общо 13 115 лица от целевата група, обслужвани от 12 416 лични асистенти. Общият брой на потребителите от началото на проекта е 21 338, на личните асистенти – 20 187. </w:t>
      </w:r>
    </w:p>
    <w:p w:rsidR="00F25110" w:rsidRPr="00BD7BB1" w:rsidRDefault="00F25110" w:rsidP="00F25110">
      <w:pPr>
        <w:spacing w:after="200" w:line="360" w:lineRule="auto"/>
        <w:jc w:val="both"/>
        <w:rPr>
          <w:rFonts w:ascii="Times New Roman" w:eastAsia="Calibri" w:hAnsi="Times New Roman"/>
          <w:b/>
          <w:color w:val="auto"/>
          <w:sz w:val="24"/>
          <w:szCs w:val="24"/>
          <w:lang w:val="bg-BG"/>
        </w:rPr>
      </w:pPr>
      <w:r w:rsidRPr="00BD7BB1">
        <w:rPr>
          <w:rFonts w:ascii="Times New Roman" w:eastAsia="Calibri" w:hAnsi="Times New Roman"/>
          <w:b/>
          <w:color w:val="auto"/>
          <w:sz w:val="24"/>
          <w:szCs w:val="24"/>
          <w:lang w:val="bg-BG"/>
        </w:rPr>
        <w:t xml:space="preserve">Схема BG051PO001-5.1.04 „Помощ в дома” </w:t>
      </w:r>
    </w:p>
    <w:p w:rsidR="00F25110" w:rsidRPr="00BD7BB1" w:rsidRDefault="00F25110" w:rsidP="00F25110">
      <w:pPr>
        <w:spacing w:after="200" w:line="360" w:lineRule="auto"/>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приключи изпълнението на проектите по схемата. Създадени са 152 звена и 15 центъра за услуги, които продължават да функционират и след края на проектите. В тях се предоставят почасови услуги за лична помощ, социално включване и извършване на комунално-битови дейности на хора с увреждания и възрастни хора, които имат затруднения в обслужването си. </w:t>
      </w:r>
    </w:p>
    <w:p w:rsidR="00F25110" w:rsidRPr="00BD7BB1" w:rsidRDefault="00F25110" w:rsidP="00F94ABD">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За целия период на изпълнение на проектите, трите вида дейности се предоставят на 14 075 лица потребители на услугите, с 1 249 повече от заложените в проектните предложения. Наети като персонал за предоставяне на услугите - безработни лица, които не са придобили право на пенсия за осигурителен стаж и възраст, бяха 6551. В изпълнение на задължението за осигуряване на устойчивост на създадените центрове/звена те продължават да функционират една година след приключването си, осигуряващи работа на 915 лица.</w:t>
      </w:r>
    </w:p>
    <w:p w:rsidR="00F25110" w:rsidRPr="00BD7BB1" w:rsidRDefault="00F25110" w:rsidP="00F94ABD">
      <w:pPr>
        <w:spacing w:after="200" w:line="360" w:lineRule="auto"/>
        <w:ind w:firstLine="720"/>
        <w:jc w:val="both"/>
        <w:rPr>
          <w:rFonts w:ascii="Times New Roman" w:eastAsia="Calibri" w:hAnsi="Times New Roman"/>
          <w:b/>
          <w:color w:val="auto"/>
          <w:sz w:val="24"/>
          <w:szCs w:val="24"/>
          <w:lang w:val="bg-BG"/>
        </w:rPr>
      </w:pPr>
      <w:r w:rsidRPr="00BD7BB1">
        <w:rPr>
          <w:rFonts w:ascii="Times New Roman" w:eastAsia="Calibri" w:hAnsi="Times New Roman"/>
          <w:color w:val="auto"/>
          <w:sz w:val="24"/>
          <w:szCs w:val="24"/>
          <w:lang w:val="bg-BG"/>
        </w:rPr>
        <w:t xml:space="preserve">През 2014 г, в ЮИР са предприети </w:t>
      </w:r>
      <w:r w:rsidRPr="00A80059">
        <w:rPr>
          <w:rFonts w:ascii="Times New Roman" w:eastAsia="Calibri" w:hAnsi="Times New Roman"/>
          <w:color w:val="auto"/>
          <w:sz w:val="24"/>
          <w:szCs w:val="24"/>
          <w:lang w:val="bg-BG"/>
        </w:rPr>
        <w:t xml:space="preserve">мерки за </w:t>
      </w:r>
      <w:r w:rsidRPr="00BD7BB1">
        <w:rPr>
          <w:rFonts w:ascii="Times New Roman" w:eastAsia="Calibri" w:hAnsi="Times New Roman"/>
          <w:color w:val="auto"/>
          <w:sz w:val="24"/>
          <w:szCs w:val="24"/>
          <w:lang w:val="bg-BG"/>
        </w:rPr>
        <w:t xml:space="preserve">предоставяне на социални услуги в домашна среда от всички общини. По данни на РДСП общият  брой лица по програма личен асистент възлизат на 404 бр., а броят на заетите места в домашен социален патронаж възлиза на 6 751 бр. В резултат на което  </w:t>
      </w:r>
      <w:r w:rsidRPr="00BD7BB1">
        <w:rPr>
          <w:rFonts w:ascii="Times New Roman" w:eastAsia="Calibri" w:hAnsi="Times New Roman"/>
          <w:b/>
          <w:color w:val="auto"/>
          <w:sz w:val="24"/>
          <w:szCs w:val="24"/>
          <w:lang w:val="bg-BG"/>
        </w:rPr>
        <w:t>делът  на лицата, облагодетелствани от предоставяне на социални услуги в домашна среда  от общото население на ЮИР за 2014  г. възлиза на   0,65 %.</w:t>
      </w:r>
    </w:p>
    <w:p w:rsidR="00F25110" w:rsidRPr="00BD7BB1" w:rsidRDefault="00F25110" w:rsidP="00F94ABD">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lastRenderedPageBreak/>
        <w:t xml:space="preserve">През 2014 г. </w:t>
      </w:r>
      <w:r w:rsidRPr="00BD7BB1">
        <w:rPr>
          <w:rFonts w:ascii="Times New Roman" w:eastAsia="Calibri" w:hAnsi="Times New Roman"/>
          <w:b/>
          <w:color w:val="auto"/>
          <w:sz w:val="24"/>
          <w:szCs w:val="24"/>
          <w:lang w:val="bg-BG"/>
        </w:rPr>
        <w:t>делът на децата и учениците, облагодетелствани от подобрена образователна инфраструктура</w:t>
      </w:r>
      <w:r w:rsidRPr="00BD7BB1">
        <w:rPr>
          <w:rFonts w:ascii="Times New Roman" w:eastAsia="Calibri" w:hAnsi="Times New Roman"/>
          <w:color w:val="auto"/>
          <w:sz w:val="24"/>
          <w:szCs w:val="24"/>
          <w:lang w:val="bg-BG"/>
        </w:rPr>
        <w:t xml:space="preserve"> по области и общини  в ЮИР е както следва  </w:t>
      </w:r>
    </w:p>
    <w:p w:rsidR="00F25110" w:rsidRPr="00BD7BB1" w:rsidRDefault="00F25110" w:rsidP="00957FF6">
      <w:pPr>
        <w:numPr>
          <w:ilvl w:val="0"/>
          <w:numId w:val="47"/>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За Област Бургас и общините:</w:t>
      </w:r>
      <w:r w:rsidRPr="00BD7BB1">
        <w:rPr>
          <w:rFonts w:ascii="Times New Roman" w:eastAsia="Calibri" w:hAnsi="Times New Roman"/>
          <w:color w:val="auto"/>
          <w:sz w:val="24"/>
          <w:szCs w:val="24"/>
          <w:lang w:val="bg-BG"/>
        </w:rPr>
        <w:t xml:space="preserve"> Сунгурларе възлиза на 20%, Бургас – 24 % от които (19 % ученици и  5 % деца ),  Камено</w:t>
      </w:r>
      <w:r w:rsidRPr="00BD7BB1">
        <w:rPr>
          <w:rFonts w:ascii="Times New Roman" w:eastAsia="Calibri" w:hAnsi="Times New Roman"/>
          <w:color w:val="auto"/>
          <w:sz w:val="24"/>
          <w:szCs w:val="24"/>
          <w:lang w:val="bg-BG"/>
        </w:rPr>
        <w:tab/>
        <w:t>71 %, Приморско 70 %, и Руен 38.7%;</w:t>
      </w:r>
    </w:p>
    <w:p w:rsidR="00F25110" w:rsidRPr="00BD7BB1" w:rsidRDefault="00F25110" w:rsidP="00957FF6">
      <w:pPr>
        <w:numPr>
          <w:ilvl w:val="0"/>
          <w:numId w:val="47"/>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 xml:space="preserve">За област Сливен </w:t>
      </w:r>
      <w:r w:rsidRPr="00BD7BB1">
        <w:rPr>
          <w:rFonts w:ascii="Times New Roman" w:eastAsia="Calibri" w:hAnsi="Times New Roman"/>
          <w:color w:val="auto"/>
          <w:sz w:val="24"/>
          <w:szCs w:val="24"/>
          <w:lang w:val="bg-BG"/>
        </w:rPr>
        <w:t>и община Твърдица</w:t>
      </w:r>
      <w:r w:rsidRPr="00BD7BB1">
        <w:rPr>
          <w:rFonts w:ascii="Times New Roman" w:eastAsia="Calibri" w:hAnsi="Times New Roman"/>
          <w:color w:val="auto"/>
          <w:sz w:val="24"/>
          <w:szCs w:val="24"/>
          <w:lang w:val="bg-BG"/>
        </w:rPr>
        <w:tab/>
        <w:t>60 % ;</w:t>
      </w:r>
    </w:p>
    <w:p w:rsidR="00F25110" w:rsidRPr="00BD7BB1" w:rsidRDefault="00F25110" w:rsidP="00957FF6">
      <w:pPr>
        <w:numPr>
          <w:ilvl w:val="0"/>
          <w:numId w:val="47"/>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За област Стара Загора и  общините:</w:t>
      </w:r>
      <w:r w:rsidRPr="00BD7BB1">
        <w:rPr>
          <w:rFonts w:ascii="Times New Roman" w:eastAsia="Calibri" w:hAnsi="Times New Roman"/>
          <w:color w:val="auto"/>
          <w:sz w:val="24"/>
          <w:szCs w:val="24"/>
          <w:lang w:val="bg-BG"/>
        </w:rPr>
        <w:t xml:space="preserve"> Казанлък</w:t>
      </w:r>
      <w:r w:rsidRPr="00BD7BB1">
        <w:rPr>
          <w:rFonts w:ascii="Times New Roman" w:eastAsia="Calibri" w:hAnsi="Times New Roman"/>
          <w:color w:val="auto"/>
          <w:sz w:val="24"/>
          <w:szCs w:val="24"/>
          <w:lang w:val="bg-BG"/>
        </w:rPr>
        <w:tab/>
        <w:t>38,1 %, Павел баня 31%, Николаево - 1 751 ученици,  Опан 100 %, Раднево-1 084 деца, Чирпан 74%, Гурково 17% и Стара Загора 7 % ;</w:t>
      </w:r>
    </w:p>
    <w:p w:rsidR="00F25110" w:rsidRPr="00BD7BB1" w:rsidRDefault="00F25110" w:rsidP="00957FF6">
      <w:pPr>
        <w:numPr>
          <w:ilvl w:val="0"/>
          <w:numId w:val="47"/>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Област Ямбол</w:t>
      </w:r>
      <w:r w:rsidRPr="00BD7BB1">
        <w:rPr>
          <w:rFonts w:ascii="Times New Roman" w:eastAsia="Calibri" w:hAnsi="Times New Roman"/>
          <w:color w:val="auto"/>
          <w:sz w:val="24"/>
          <w:szCs w:val="24"/>
          <w:lang w:val="bg-BG"/>
        </w:rPr>
        <w:t>:  Стралджа</w:t>
      </w:r>
      <w:r w:rsidRPr="00BD7BB1">
        <w:rPr>
          <w:rFonts w:ascii="Times New Roman" w:eastAsia="Calibri" w:hAnsi="Times New Roman"/>
          <w:color w:val="auto"/>
          <w:sz w:val="24"/>
          <w:szCs w:val="24"/>
          <w:lang w:val="bg-BG"/>
        </w:rPr>
        <w:tab/>
        <w:t>38 %, Ямбол 36 % и Тунджа 36 %.</w:t>
      </w:r>
    </w:p>
    <w:p w:rsidR="00F25110" w:rsidRPr="00BD7BB1" w:rsidRDefault="00F25110" w:rsidP="00BE3282">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В резултат на предприетите мерки от общините средният </w:t>
      </w:r>
      <w:r w:rsidRPr="00BD7BB1">
        <w:rPr>
          <w:rFonts w:ascii="Times New Roman" w:eastAsia="Calibri" w:hAnsi="Times New Roman"/>
          <w:b/>
          <w:color w:val="auto"/>
          <w:sz w:val="24"/>
          <w:szCs w:val="24"/>
          <w:lang w:val="bg-BG"/>
        </w:rPr>
        <w:t>дял на децата и учениците, облагодетелствани от подобрена образователна инфраструктура в ЮИР</w:t>
      </w:r>
      <w:r w:rsidRPr="00BD7BB1">
        <w:rPr>
          <w:rFonts w:ascii="Times New Roman" w:eastAsia="Calibri" w:hAnsi="Times New Roman"/>
          <w:color w:val="auto"/>
          <w:sz w:val="24"/>
          <w:szCs w:val="24"/>
          <w:lang w:val="bg-BG"/>
        </w:rPr>
        <w:t xml:space="preserve"> възлиза на 44 % за 2014г. </w:t>
      </w:r>
    </w:p>
    <w:p w:rsidR="00F25110" w:rsidRPr="00BD7BB1" w:rsidRDefault="00F25110" w:rsidP="00BE3282">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w:t>
      </w:r>
      <w:r w:rsidRPr="00BD7BB1">
        <w:rPr>
          <w:rFonts w:ascii="Times New Roman" w:eastAsia="Calibri" w:hAnsi="Times New Roman"/>
          <w:b/>
          <w:color w:val="auto"/>
          <w:sz w:val="24"/>
          <w:szCs w:val="24"/>
          <w:lang w:val="bg-BG"/>
        </w:rPr>
        <w:t>децата и младежите обхванати по Програми на Министерство на младежта и спорта възлиза на 12 452 деца от ЮИР</w:t>
      </w:r>
      <w:r w:rsidRPr="00BD7BB1">
        <w:rPr>
          <w:rFonts w:ascii="Times New Roman" w:eastAsia="Calibri" w:hAnsi="Times New Roman"/>
          <w:color w:val="auto"/>
          <w:sz w:val="24"/>
          <w:szCs w:val="24"/>
          <w:lang w:val="bg-BG"/>
        </w:rPr>
        <w:t xml:space="preserve"> или общо за област Бургас – 4 309, област Сливен – 3 199,  област Ямбол -2 496 и   област Стара Загора - 2 448. Програмата се реализира по следните направления:</w:t>
      </w:r>
    </w:p>
    <w:p w:rsidR="00F25110" w:rsidRPr="00BD7BB1" w:rsidRDefault="00F25110" w:rsidP="00957FF6">
      <w:pPr>
        <w:numPr>
          <w:ilvl w:val="0"/>
          <w:numId w:val="50"/>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„Научи се да плуваш“-</w:t>
      </w:r>
      <w:r w:rsidRPr="00BD7BB1">
        <w:rPr>
          <w:rFonts w:ascii="Times New Roman" w:eastAsia="Calibri" w:hAnsi="Times New Roman"/>
          <w:color w:val="auto"/>
          <w:sz w:val="24"/>
          <w:szCs w:val="24"/>
          <w:lang w:val="bg-BG"/>
        </w:rPr>
        <w:t xml:space="preserve"> 240 участници в ЮИР или приложена само в област Сливен – 240, но не и в останалите три области;</w:t>
      </w:r>
    </w:p>
    <w:p w:rsidR="00F25110" w:rsidRPr="00BD7BB1" w:rsidRDefault="00F25110" w:rsidP="00957FF6">
      <w:pPr>
        <w:numPr>
          <w:ilvl w:val="0"/>
          <w:numId w:val="50"/>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w:t>
      </w:r>
      <w:r w:rsidRPr="00BD7BB1">
        <w:rPr>
          <w:rFonts w:ascii="Times New Roman" w:eastAsia="Calibri" w:hAnsi="Times New Roman"/>
          <w:b/>
          <w:color w:val="auto"/>
          <w:sz w:val="24"/>
          <w:szCs w:val="24"/>
          <w:lang w:val="bg-BG"/>
        </w:rPr>
        <w:t>Спорт за децата в свободното време“-</w:t>
      </w:r>
      <w:r w:rsidRPr="00BD7BB1">
        <w:rPr>
          <w:rFonts w:ascii="Times New Roman" w:eastAsia="Calibri" w:hAnsi="Times New Roman"/>
          <w:color w:val="auto"/>
          <w:sz w:val="24"/>
          <w:szCs w:val="24"/>
          <w:lang w:val="bg-BG"/>
        </w:rPr>
        <w:t xml:space="preserve"> 1 212 участници в ЮИР или по области :  Бургас  - 335, Сливен – 385, Ямбол  – 447  и Стара Загора -45;</w:t>
      </w:r>
    </w:p>
    <w:p w:rsidR="00F25110" w:rsidRPr="00BD7BB1" w:rsidRDefault="00F25110" w:rsidP="00957FF6">
      <w:pPr>
        <w:numPr>
          <w:ilvl w:val="0"/>
          <w:numId w:val="50"/>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 </w:t>
      </w:r>
      <w:r w:rsidRPr="00BD7BB1">
        <w:rPr>
          <w:rFonts w:ascii="Times New Roman" w:eastAsia="Calibri" w:hAnsi="Times New Roman"/>
          <w:b/>
          <w:color w:val="auto"/>
          <w:sz w:val="24"/>
          <w:szCs w:val="24"/>
          <w:lang w:val="bg-BG"/>
        </w:rPr>
        <w:t>„Развитие на спортните клубове“</w:t>
      </w:r>
      <w:r w:rsidRPr="00BD7BB1">
        <w:rPr>
          <w:rFonts w:ascii="Times New Roman" w:eastAsia="Calibri" w:hAnsi="Times New Roman"/>
          <w:color w:val="auto"/>
          <w:sz w:val="24"/>
          <w:szCs w:val="24"/>
          <w:lang w:val="bg-BG"/>
        </w:rPr>
        <w:t xml:space="preserve"> - 3 356 участници в ЮИР или по области:  Бургас – 1 572,  Сливен – 799,  Ямбол – 495 и  Стара Загора -490;</w:t>
      </w:r>
    </w:p>
    <w:p w:rsidR="00F25110" w:rsidRPr="00BD7BB1" w:rsidRDefault="00F25110" w:rsidP="00957FF6">
      <w:pPr>
        <w:numPr>
          <w:ilvl w:val="0"/>
          <w:numId w:val="50"/>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„Спорт за деца и младежи с увреждания и деца в риск“</w:t>
      </w:r>
      <w:r w:rsidRPr="00BD7BB1">
        <w:rPr>
          <w:rFonts w:ascii="Times New Roman" w:eastAsia="Calibri" w:hAnsi="Times New Roman"/>
          <w:color w:val="auto"/>
          <w:sz w:val="24"/>
          <w:szCs w:val="24"/>
          <w:lang w:val="bg-BG"/>
        </w:rPr>
        <w:t xml:space="preserve"> – 125 участници в ЮИР или по области Бургас – 14,  Сливен- 27,  Ямбол – 84 и  Стара Загора -0;</w:t>
      </w:r>
    </w:p>
    <w:p w:rsidR="00F25110" w:rsidRPr="00BD7BB1" w:rsidRDefault="00F25110" w:rsidP="00957FF6">
      <w:pPr>
        <w:numPr>
          <w:ilvl w:val="0"/>
          <w:numId w:val="50"/>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„Спорт за деца в детските градини“</w:t>
      </w:r>
      <w:r w:rsidRPr="00BD7BB1">
        <w:rPr>
          <w:rFonts w:ascii="Times New Roman" w:eastAsia="Calibri" w:hAnsi="Times New Roman"/>
          <w:color w:val="auto"/>
          <w:sz w:val="24"/>
          <w:szCs w:val="24"/>
          <w:lang w:val="bg-BG"/>
        </w:rPr>
        <w:t xml:space="preserve"> - 373 участници в ЮИР или  Бургас – 60,  Сливен – 45,  Ямбол – 268 и  Стара Загора -0;</w:t>
      </w:r>
    </w:p>
    <w:p w:rsidR="00F25110" w:rsidRPr="00BD7BB1" w:rsidRDefault="00F25110" w:rsidP="00957FF6">
      <w:pPr>
        <w:numPr>
          <w:ilvl w:val="0"/>
          <w:numId w:val="50"/>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Ученически игри за Общообразователните училища -</w:t>
      </w:r>
      <w:r w:rsidRPr="00BD7BB1">
        <w:rPr>
          <w:rFonts w:ascii="Times New Roman" w:eastAsia="Calibri" w:hAnsi="Times New Roman"/>
          <w:color w:val="auto"/>
          <w:sz w:val="24"/>
          <w:szCs w:val="24"/>
          <w:lang w:val="bg-BG"/>
        </w:rPr>
        <w:t>7 146 участници в ЮИР или по области  Бургас – 2 328,  Сливен – 1 703; Ямбол – 1 202; Стара Загора – 1 913.</w:t>
      </w:r>
    </w:p>
    <w:p w:rsidR="00F25110" w:rsidRPr="00BD7BB1" w:rsidRDefault="00F25110" w:rsidP="00BE3282">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lastRenderedPageBreak/>
        <w:t xml:space="preserve">В резултат на прилаганата политика от ММС през 2014 г. </w:t>
      </w:r>
      <w:r w:rsidRPr="00BD7BB1">
        <w:rPr>
          <w:rFonts w:ascii="Times New Roman" w:eastAsia="Calibri" w:hAnsi="Times New Roman"/>
          <w:b/>
          <w:color w:val="auto"/>
          <w:sz w:val="24"/>
          <w:szCs w:val="24"/>
          <w:lang w:val="bg-BG"/>
        </w:rPr>
        <w:t>делът  на децата и младежите, активно ангажирани със спорт възлиза на  7,81 %</w:t>
      </w:r>
      <w:r w:rsidRPr="00BD7BB1">
        <w:rPr>
          <w:rFonts w:ascii="Times New Roman" w:eastAsia="Calibri" w:hAnsi="Times New Roman"/>
          <w:color w:val="auto"/>
          <w:sz w:val="24"/>
          <w:szCs w:val="24"/>
          <w:lang w:val="bg-BG"/>
        </w:rPr>
        <w:t xml:space="preserve">  от общия брой учащи 157 781 деца в детските градини и от </w:t>
      </w:r>
      <w:r w:rsidRPr="00BD7BB1">
        <w:rPr>
          <w:rFonts w:ascii="Times New Roman" w:eastAsia="Calibri" w:hAnsi="Times New Roman"/>
          <w:color w:val="auto"/>
          <w:sz w:val="24"/>
          <w:szCs w:val="24"/>
        </w:rPr>
        <w:t xml:space="preserve">I </w:t>
      </w:r>
      <w:r w:rsidRPr="00BD7BB1">
        <w:rPr>
          <w:rFonts w:ascii="Times New Roman" w:eastAsia="Calibri" w:hAnsi="Times New Roman"/>
          <w:color w:val="auto"/>
          <w:sz w:val="24"/>
          <w:szCs w:val="24"/>
          <w:lang w:val="bg-BG"/>
        </w:rPr>
        <w:t xml:space="preserve">клас до </w:t>
      </w:r>
      <w:r w:rsidRPr="00BD7BB1">
        <w:rPr>
          <w:rFonts w:ascii="Times New Roman" w:eastAsia="Calibri" w:hAnsi="Times New Roman"/>
          <w:color w:val="auto"/>
          <w:sz w:val="24"/>
          <w:szCs w:val="24"/>
        </w:rPr>
        <w:t>XII</w:t>
      </w:r>
      <w:r w:rsidRPr="00BD7BB1">
        <w:rPr>
          <w:rFonts w:ascii="Times New Roman" w:eastAsia="Calibri" w:hAnsi="Times New Roman"/>
          <w:color w:val="auto"/>
          <w:sz w:val="24"/>
          <w:szCs w:val="24"/>
          <w:lang w:val="bg-BG"/>
        </w:rPr>
        <w:t xml:space="preserve"> клас.</w:t>
      </w:r>
    </w:p>
    <w:p w:rsidR="00F25110" w:rsidRPr="00BD7BB1" w:rsidRDefault="00F25110" w:rsidP="00F25110">
      <w:pPr>
        <w:spacing w:after="200" w:line="360" w:lineRule="auto"/>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са предприети </w:t>
      </w:r>
      <w:r w:rsidRPr="00BD7BB1">
        <w:rPr>
          <w:rFonts w:ascii="Times New Roman" w:eastAsia="Calibri" w:hAnsi="Times New Roman"/>
          <w:b/>
          <w:color w:val="auto"/>
          <w:sz w:val="24"/>
          <w:szCs w:val="24"/>
          <w:lang w:val="bg-BG"/>
        </w:rPr>
        <w:t>мерки за подобряване достъпа до образование и обучение</w:t>
      </w:r>
      <w:r w:rsidRPr="00BD7BB1">
        <w:rPr>
          <w:rFonts w:ascii="Times New Roman" w:eastAsia="Calibri" w:hAnsi="Times New Roman"/>
          <w:color w:val="auto"/>
          <w:sz w:val="24"/>
          <w:szCs w:val="24"/>
          <w:lang w:val="bg-BG"/>
        </w:rPr>
        <w:t xml:space="preserve"> в  ЮИР по ОПРЧР на обща стойност инвестирани 10 591 028,00 лв.  Общият брой проекти е 86. Реализирани са 52 проекта и в процес на изпълнение  са 34 в .21 общини от ЮИР: Стара Загора, Казанлък, Чирпан, Мъглиж,  Бургас, Карнобат, Айтос, Малко Търново, Руен, Средец, Царево, Камено, Несебър, Созопол, Сливен , Нова Загора, Твърдица, Ямбол, Тунджа, Болярово и Елхово.  Чрез проектите за подобряване достъпа до образование и обучение се цели по-успешна социална и трудова реализация на хората чрез подобряване на условията за равен достъп до образование и обучение и развитие на системата за учене през целия живот. </w:t>
      </w:r>
    </w:p>
    <w:p w:rsidR="00F25110" w:rsidRPr="00BD7BB1" w:rsidRDefault="00F25110" w:rsidP="00BE3282">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в ЮИР са предприети </w:t>
      </w:r>
      <w:r w:rsidRPr="00BD7BB1">
        <w:rPr>
          <w:rFonts w:ascii="Times New Roman" w:eastAsia="Calibri" w:hAnsi="Times New Roman"/>
          <w:b/>
          <w:color w:val="auto"/>
          <w:sz w:val="24"/>
          <w:szCs w:val="24"/>
          <w:lang w:val="bg-BG"/>
        </w:rPr>
        <w:t>мер</w:t>
      </w:r>
      <w:r w:rsidR="00507139">
        <w:rPr>
          <w:rFonts w:ascii="Times New Roman" w:eastAsia="Calibri" w:hAnsi="Times New Roman"/>
          <w:b/>
          <w:color w:val="auto"/>
          <w:sz w:val="24"/>
          <w:szCs w:val="24"/>
          <w:lang w:val="bg-BG"/>
        </w:rPr>
        <w:t>к</w:t>
      </w:r>
      <w:r w:rsidRPr="00BD7BB1">
        <w:rPr>
          <w:rFonts w:ascii="Times New Roman" w:eastAsia="Calibri" w:hAnsi="Times New Roman"/>
          <w:b/>
          <w:color w:val="auto"/>
          <w:sz w:val="24"/>
          <w:szCs w:val="24"/>
          <w:lang w:val="bg-BG"/>
        </w:rPr>
        <w:t>и  за</w:t>
      </w:r>
      <w:r w:rsidRPr="00BD7BB1">
        <w:rPr>
          <w:rFonts w:ascii="Times New Roman" w:eastAsia="Calibri" w:hAnsi="Times New Roman"/>
          <w:color w:val="auto"/>
          <w:sz w:val="24"/>
          <w:szCs w:val="24"/>
          <w:lang w:val="bg-BG"/>
        </w:rPr>
        <w:t xml:space="preserve"> </w:t>
      </w:r>
      <w:r w:rsidRPr="00BD7BB1">
        <w:rPr>
          <w:rFonts w:ascii="Times New Roman" w:eastAsia="Calibri" w:hAnsi="Times New Roman"/>
          <w:b/>
          <w:color w:val="auto"/>
          <w:sz w:val="24"/>
          <w:szCs w:val="24"/>
          <w:lang w:val="bg-BG"/>
        </w:rPr>
        <w:t>енергийна ефективност в общинска образователна инфраструктура в градските агломерации</w:t>
      </w:r>
      <w:r w:rsidRPr="00BD7BB1">
        <w:rPr>
          <w:rFonts w:ascii="Times New Roman" w:eastAsia="Calibri" w:hAnsi="Times New Roman"/>
          <w:color w:val="auto"/>
          <w:sz w:val="24"/>
          <w:szCs w:val="24"/>
          <w:lang w:val="bg-BG"/>
        </w:rPr>
        <w:t xml:space="preserve"> по ОПРР. В  процес на реализация са 2 проекта в общините Камено и  Раднево.</w:t>
      </w:r>
    </w:p>
    <w:p w:rsidR="00F25110" w:rsidRPr="00BD7BB1" w:rsidRDefault="00F25110" w:rsidP="00BE3282">
      <w:pPr>
        <w:numPr>
          <w:ilvl w:val="0"/>
          <w:numId w:val="44"/>
        </w:numPr>
        <w:spacing w:after="200" w:line="360" w:lineRule="auto"/>
        <w:ind w:left="0" w:firstLine="360"/>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Проект „Внедряване на мерки за енергийна ефективност в образователните заведения в община Камено“</w:t>
      </w:r>
      <w:r w:rsidRPr="00BD7BB1">
        <w:rPr>
          <w:rFonts w:ascii="Times New Roman" w:eastAsia="Calibri" w:hAnsi="Times New Roman"/>
          <w:color w:val="auto"/>
          <w:sz w:val="24"/>
          <w:szCs w:val="24"/>
          <w:lang w:val="bg-BG"/>
        </w:rPr>
        <w:t xml:space="preserve"> с одобрен бюджет 1 638 876 лв. Основната цел на проекта  е </w:t>
      </w:r>
      <w:r w:rsidR="00507139">
        <w:rPr>
          <w:rFonts w:ascii="Times New Roman" w:eastAsia="Calibri" w:hAnsi="Times New Roman"/>
          <w:color w:val="auto"/>
          <w:sz w:val="24"/>
          <w:szCs w:val="24"/>
          <w:lang w:val="bg-BG"/>
        </w:rPr>
        <w:t>да</w:t>
      </w:r>
      <w:r w:rsidRPr="00BD7BB1">
        <w:rPr>
          <w:rFonts w:ascii="Times New Roman" w:eastAsia="Calibri" w:hAnsi="Times New Roman"/>
          <w:color w:val="auto"/>
          <w:sz w:val="24"/>
          <w:szCs w:val="24"/>
          <w:lang w:val="bg-BG"/>
        </w:rPr>
        <w:t xml:space="preserve"> се повиши енергийната ефективност в шест обекта от образователната инфраструктура в Община Камено, което да гарантира високо ниво на енергийна ефективност и да допринесе за развитието на Община Камено като устойчив градски ареал. Проектът цели да допринесе за по-добрата конкурентоспособност на региона като цяло, да подобри качеството на живот и работна среда и да осигури по-добър достъп до основни образователни услуги;</w:t>
      </w:r>
    </w:p>
    <w:p w:rsidR="00F25110" w:rsidRPr="00BD7BB1" w:rsidRDefault="00F25110" w:rsidP="00BE3282">
      <w:pPr>
        <w:numPr>
          <w:ilvl w:val="0"/>
          <w:numId w:val="44"/>
        </w:numPr>
        <w:spacing w:after="200" w:line="360" w:lineRule="auto"/>
        <w:ind w:left="0" w:firstLine="360"/>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Проект „Осигуряване на съвременна образователна среда за деца и ученици в община Раднево, чрез прилагане на мерки за енергийна ефективност в общинската образователна инфраструктура“</w:t>
      </w:r>
      <w:r w:rsidRPr="00BD7BB1">
        <w:rPr>
          <w:rFonts w:ascii="Times New Roman" w:eastAsia="Calibri" w:hAnsi="Times New Roman"/>
          <w:color w:val="auto"/>
          <w:sz w:val="24"/>
          <w:szCs w:val="24"/>
          <w:lang w:val="bg-BG"/>
        </w:rPr>
        <w:t xml:space="preserve"> с одобрен бюджет 2 230 352 лв. , с цел да се осигури подходяща и рентабилна образователна инфраструктура, съвместима с изискванията на населението в градския център – Раднево и прилежащите му територии и постигане на устойчиво социално развитие, чрез прилагане на мерки за енергийна ефективност в сградите на 3 общински училища и 3 общински детски градини.</w:t>
      </w:r>
    </w:p>
    <w:p w:rsidR="00F25110" w:rsidRPr="00BD7BB1" w:rsidRDefault="00F25110" w:rsidP="00BF21C5">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lastRenderedPageBreak/>
        <w:t xml:space="preserve">През 2014 г. са предприети </w:t>
      </w:r>
      <w:r w:rsidRPr="00BD7BB1">
        <w:rPr>
          <w:rFonts w:ascii="Times New Roman" w:eastAsia="Calibri" w:hAnsi="Times New Roman"/>
          <w:b/>
          <w:color w:val="auto"/>
          <w:sz w:val="24"/>
          <w:szCs w:val="24"/>
          <w:lang w:val="bg-BG"/>
        </w:rPr>
        <w:t xml:space="preserve">действия и за осигуряване на подходяща и рентабилна инфраструктура на висшите училища в градските агломерации </w:t>
      </w:r>
      <w:r w:rsidRPr="00BD7BB1">
        <w:rPr>
          <w:rFonts w:ascii="Times New Roman" w:eastAsia="Calibri" w:hAnsi="Times New Roman"/>
          <w:color w:val="auto"/>
          <w:sz w:val="24"/>
          <w:szCs w:val="24"/>
          <w:lang w:val="bg-BG"/>
        </w:rPr>
        <w:t>по ОПРР, чрез успешно реализираният проект “Подобряване на образователната инфраструктура в Тракийски университет - Стара Загора чрез комплекс от мерки“ с  общо изплатени средства  3 299 741 лв.</w:t>
      </w:r>
    </w:p>
    <w:p w:rsidR="00F25110" w:rsidRPr="00BD7BB1" w:rsidRDefault="00F25110" w:rsidP="00BF21C5">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в общините Сливен, Стара Загора и Бургас са в процес на изпълнение 3 проекта на Министерство на здравеопазването в </w:t>
      </w:r>
      <w:r w:rsidRPr="00BD7BB1">
        <w:rPr>
          <w:rFonts w:ascii="Times New Roman" w:eastAsia="Calibri" w:hAnsi="Times New Roman"/>
          <w:b/>
          <w:color w:val="auto"/>
          <w:sz w:val="24"/>
          <w:szCs w:val="24"/>
          <w:lang w:val="bg-BG"/>
        </w:rPr>
        <w:t>подкрепа реконструкция, обновяване и оборудване на държавни лечебни и здравни заведения в градските агломерации</w:t>
      </w:r>
      <w:r w:rsidRPr="00BD7BB1">
        <w:rPr>
          <w:rFonts w:ascii="Times New Roman" w:eastAsia="Calibri" w:hAnsi="Times New Roman"/>
          <w:color w:val="auto"/>
          <w:sz w:val="24"/>
          <w:szCs w:val="24"/>
          <w:lang w:val="bg-BG"/>
        </w:rPr>
        <w:t>, финансирани по ОПРР:</w:t>
      </w:r>
    </w:p>
    <w:p w:rsidR="00F25110" w:rsidRPr="00BD7BB1" w:rsidRDefault="00F25110" w:rsidP="00BF21C5">
      <w:pPr>
        <w:numPr>
          <w:ilvl w:val="0"/>
          <w:numId w:val="43"/>
        </w:numPr>
        <w:spacing w:after="200" w:line="360" w:lineRule="auto"/>
        <w:ind w:left="0" w:firstLine="360"/>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 </w:t>
      </w:r>
      <w:r w:rsidRPr="00BD7BB1">
        <w:rPr>
          <w:rFonts w:ascii="Times New Roman" w:eastAsia="Calibri" w:hAnsi="Times New Roman"/>
          <w:b/>
          <w:color w:val="auto"/>
          <w:sz w:val="24"/>
          <w:szCs w:val="24"/>
          <w:lang w:val="bg-BG"/>
        </w:rPr>
        <w:t>проект „Осигуряване на ефективна здравна инфраструктура и модернизация на МБАЛ "Д-р Иван Селимински", МБАЛ-Сливен“</w:t>
      </w:r>
      <w:r w:rsidRPr="00BD7BB1">
        <w:rPr>
          <w:rFonts w:ascii="Times New Roman" w:eastAsia="Calibri" w:hAnsi="Times New Roman"/>
          <w:color w:val="auto"/>
          <w:sz w:val="24"/>
          <w:szCs w:val="24"/>
          <w:lang w:val="bg-BG"/>
        </w:rPr>
        <w:t xml:space="preserve"> с одобрен бюджет 7 799 532 лв.  Общата цел на проекта е да осигури подходяща и ефективна държавна здравна инфраструктура, допринасяща за развитието на устойчиви градски ареали и нови възможности за социално включване и равен достъп на групите в неравностойно положение, чрез обновяване и модернизиране на МБАЛ „Д-р Иван Селимински” АД на територията на градския ареал Сливен;</w:t>
      </w:r>
    </w:p>
    <w:p w:rsidR="00F25110" w:rsidRPr="00BD7BB1" w:rsidRDefault="00F25110" w:rsidP="00BF21C5">
      <w:pPr>
        <w:numPr>
          <w:ilvl w:val="0"/>
          <w:numId w:val="43"/>
        </w:numPr>
        <w:spacing w:after="200" w:line="360" w:lineRule="auto"/>
        <w:ind w:left="0" w:firstLine="360"/>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Проект“ Регионален център за ранна диагностика на онкологични заболявания", МБАЛ-Бургас“</w:t>
      </w:r>
      <w:r w:rsidRPr="00BD7BB1">
        <w:rPr>
          <w:rFonts w:ascii="Times New Roman" w:eastAsia="Calibri" w:hAnsi="Times New Roman"/>
          <w:color w:val="auto"/>
          <w:sz w:val="24"/>
          <w:szCs w:val="24"/>
          <w:lang w:val="bg-BG"/>
        </w:rPr>
        <w:t xml:space="preserve"> с одобрен бюджет 5 450 843 лв. С проектът се цели да се подобри и модернизира здравната инфраструктура на МБАЛ - Бургас, чрез въвеждане в експлоатация на медицинско оборудване за прилагане на високотехнологични болнични дейности по отношение на диагностиката и лечението на злокачествени заболявания;</w:t>
      </w:r>
    </w:p>
    <w:p w:rsidR="00F25110" w:rsidRPr="00BD7BB1" w:rsidRDefault="00F25110" w:rsidP="00BF21C5">
      <w:pPr>
        <w:numPr>
          <w:ilvl w:val="0"/>
          <w:numId w:val="43"/>
        </w:numPr>
        <w:spacing w:after="200" w:line="360" w:lineRule="auto"/>
        <w:ind w:left="0" w:firstLine="360"/>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Проект „Изграждане на регионален център за ранна диагностика на онкологични заболявания в МБАЛ Проф. д-р Стоян Киркович АД</w:t>
      </w:r>
      <w:r w:rsidRPr="00BD7BB1">
        <w:rPr>
          <w:rFonts w:ascii="Times New Roman" w:eastAsia="Calibri" w:hAnsi="Times New Roman"/>
          <w:color w:val="auto"/>
          <w:sz w:val="24"/>
          <w:szCs w:val="24"/>
          <w:lang w:val="bg-BG"/>
        </w:rPr>
        <w:t>“ гр. Стара Загора с одобрен бюджет 5 534 464  лв. Общата цел на проекта е да се повиши качеството на медицинското обслужване в област Стара Загора, което от своя страна ще резултира в повишаване качеството на живот на населението и постигане на устойчиво социално-икономическо развитие в агломерационния ареал на гр. Стара Загора.</w:t>
      </w:r>
    </w:p>
    <w:p w:rsidR="00F25110" w:rsidRPr="00BD7BB1" w:rsidRDefault="00F25110" w:rsidP="00510A60">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в ЮИР са предприети действия и в </w:t>
      </w:r>
      <w:r w:rsidRPr="00BD7BB1">
        <w:rPr>
          <w:rFonts w:ascii="Times New Roman" w:eastAsia="Calibri" w:hAnsi="Times New Roman"/>
          <w:b/>
          <w:color w:val="auto"/>
          <w:sz w:val="24"/>
          <w:szCs w:val="24"/>
          <w:lang w:val="bg-BG"/>
        </w:rPr>
        <w:t xml:space="preserve">подкрепа деинституционализация на социални институции, предлагащи услуги за деца в риск </w:t>
      </w:r>
      <w:r w:rsidRPr="00BD7BB1">
        <w:rPr>
          <w:rFonts w:ascii="Times New Roman" w:eastAsia="Calibri" w:hAnsi="Times New Roman"/>
          <w:color w:val="auto"/>
          <w:sz w:val="24"/>
          <w:szCs w:val="24"/>
          <w:lang w:val="bg-BG"/>
        </w:rPr>
        <w:lastRenderedPageBreak/>
        <w:t xml:space="preserve">по ОПРР. През отчетния период са приключили проекти в общините Бургас, Поморие, Сливен, Чирпан, Стара Загора  и е прекратен един проект в община Нова Загора : </w:t>
      </w:r>
    </w:p>
    <w:p w:rsidR="00F25110" w:rsidRPr="00BD7BB1" w:rsidRDefault="00F25110" w:rsidP="005152D1">
      <w:pPr>
        <w:numPr>
          <w:ilvl w:val="0"/>
          <w:numId w:val="45"/>
        </w:numPr>
        <w:spacing w:after="200" w:line="360" w:lineRule="auto"/>
        <w:ind w:left="0" w:firstLine="720"/>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Проект „Изграждане на центрове за настаняване от семеен тип на територията на Община Бургас в подкрепа на социалната интеграция на деца в риск“</w:t>
      </w:r>
      <w:r w:rsidRPr="00BD7BB1">
        <w:rPr>
          <w:rFonts w:ascii="Times New Roman" w:eastAsia="Calibri" w:hAnsi="Times New Roman"/>
          <w:color w:val="auto"/>
          <w:sz w:val="24"/>
          <w:szCs w:val="24"/>
          <w:lang w:val="bg-BG"/>
        </w:rPr>
        <w:t xml:space="preserve"> с общо изплатени средства 3 218 380 лв. Основната цел на проектното предложение съответства изцяло на основната цел на схемата за предоставяне на безвъзмездна финансова помощ „Подкрепа за деинституционализация на социални институции, предлагащи услуги за деца в риск“, а именно „да осигури подходяща и ефективна социална инфраструктура, допринасяща за предоставяне на нов вид резидентни и съпътстващи услуги в общността, които да заменят институционалната грижа“. В съответствие със специфичните цели на схемата, основните дейности по проекта са свързани с изграждането на 5 центъра за настаняване от семеен тип, чрез които да се подобри обхвата, качеството и достъпа до социални услуги за деца и младежи с увреждания. В резултат на реализирания проект е осигурена подходяща и ефективна държавна социална инфраструктура, допринасяща за развитието на устойчиви градски ареали в трите общини.</w:t>
      </w:r>
    </w:p>
    <w:p w:rsidR="00F25110" w:rsidRPr="00BD7BB1" w:rsidRDefault="00F25110" w:rsidP="005152D1">
      <w:pPr>
        <w:numPr>
          <w:ilvl w:val="0"/>
          <w:numId w:val="45"/>
        </w:numPr>
        <w:spacing w:after="200" w:line="360" w:lineRule="auto"/>
        <w:ind w:left="0" w:firstLine="720"/>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Проект „Изграждане на ЦНСТ в община Поморие“</w:t>
      </w:r>
      <w:r w:rsidRPr="00BD7BB1">
        <w:rPr>
          <w:rFonts w:ascii="Times New Roman" w:eastAsia="Calibri" w:hAnsi="Times New Roman"/>
          <w:color w:val="auto"/>
          <w:sz w:val="24"/>
          <w:szCs w:val="24"/>
          <w:lang w:val="bg-BG"/>
        </w:rPr>
        <w:t xml:space="preserve"> с  общо изплатени средства - 578 552 лв. за осигуряване на социално включване и изграждане на подходяща инфраструктура, предоставяща резидентни социални услуги в общността за децата до 18 години, които напускат или ще бъдат изв</w:t>
      </w:r>
      <w:r w:rsidR="00AB1901">
        <w:rPr>
          <w:rFonts w:ascii="Times New Roman" w:eastAsia="Calibri" w:hAnsi="Times New Roman"/>
          <w:color w:val="auto"/>
          <w:sz w:val="24"/>
          <w:szCs w:val="24"/>
          <w:lang w:val="bg-BG"/>
        </w:rPr>
        <w:t>едени от социалните институции</w:t>
      </w:r>
      <w:r w:rsidRPr="00BD7BB1">
        <w:rPr>
          <w:rFonts w:ascii="Times New Roman" w:eastAsia="Calibri" w:hAnsi="Times New Roman"/>
          <w:color w:val="auto"/>
          <w:sz w:val="24"/>
          <w:szCs w:val="24"/>
          <w:lang w:val="bg-BG"/>
        </w:rPr>
        <w:t xml:space="preserve"> е обща</w:t>
      </w:r>
      <w:r w:rsidR="008A2C7B">
        <w:rPr>
          <w:rFonts w:ascii="Times New Roman" w:eastAsia="Calibri" w:hAnsi="Times New Roman"/>
          <w:color w:val="auto"/>
          <w:sz w:val="24"/>
          <w:szCs w:val="24"/>
          <w:lang w:val="bg-BG"/>
        </w:rPr>
        <w:t>та цел на проектно предложение „</w:t>
      </w:r>
      <w:r w:rsidRPr="00BD7BB1">
        <w:rPr>
          <w:rFonts w:ascii="Times New Roman" w:eastAsia="Calibri" w:hAnsi="Times New Roman"/>
          <w:color w:val="auto"/>
          <w:sz w:val="24"/>
          <w:szCs w:val="24"/>
          <w:lang w:val="bg-BG"/>
        </w:rPr>
        <w:t xml:space="preserve">Изграждане на център за настаняване от семеен тип в Община Поморие”. </w:t>
      </w:r>
    </w:p>
    <w:p w:rsidR="00F25110" w:rsidRPr="00BD7BB1" w:rsidRDefault="00F25110" w:rsidP="005152D1">
      <w:pPr>
        <w:numPr>
          <w:ilvl w:val="0"/>
          <w:numId w:val="45"/>
        </w:numPr>
        <w:spacing w:after="200" w:line="360" w:lineRule="auto"/>
        <w:ind w:left="0" w:firstLine="720"/>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Проект „ Деинституционализация на деца в риск посредством изграждане на центрове за настаняване от семеен тип за деца в риск в Община Сливен“</w:t>
      </w:r>
      <w:r w:rsidRPr="00BD7BB1">
        <w:rPr>
          <w:rFonts w:ascii="Times New Roman" w:eastAsia="Calibri" w:hAnsi="Times New Roman"/>
          <w:color w:val="auto"/>
          <w:sz w:val="24"/>
          <w:szCs w:val="24"/>
          <w:lang w:val="bg-BG"/>
        </w:rPr>
        <w:t xml:space="preserve"> с общо изплатени средства  1 953 423 лв. Общата цел на проекта е да се осигурят условия за нов вид социална услуга в общността за деца в риск, която трайно да замени институционалната грижа на територията на Община Сливен, посредством изграждане на подходяща и ефективна социална инфраструктура. Общата цел на проектното предложение е насочена към качествено подобряване облика на град Сливен и превръщането му в по-привлекателно място за живот, учене, работа и инвестиции;</w:t>
      </w:r>
    </w:p>
    <w:p w:rsidR="00F25110" w:rsidRPr="00BD7BB1" w:rsidRDefault="00F25110" w:rsidP="00451854">
      <w:pPr>
        <w:numPr>
          <w:ilvl w:val="0"/>
          <w:numId w:val="45"/>
        </w:numPr>
        <w:spacing w:after="200" w:line="360" w:lineRule="auto"/>
        <w:ind w:left="0" w:firstLine="720"/>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lastRenderedPageBreak/>
        <w:t xml:space="preserve">Проект „Изграждане на ЦНСТ - гр. Чирпан“ </w:t>
      </w:r>
      <w:r w:rsidRPr="00BD7BB1">
        <w:rPr>
          <w:rFonts w:ascii="Times New Roman" w:eastAsia="Calibri" w:hAnsi="Times New Roman"/>
          <w:color w:val="auto"/>
          <w:sz w:val="24"/>
          <w:szCs w:val="24"/>
          <w:lang w:val="bg-BG"/>
        </w:rPr>
        <w:t xml:space="preserve">с  общо изплатени средства  </w:t>
      </w:r>
      <w:r w:rsidRPr="00BD7BB1">
        <w:rPr>
          <w:rFonts w:ascii="Times New Roman" w:eastAsia="Calibri" w:hAnsi="Times New Roman"/>
          <w:color w:val="auto"/>
          <w:sz w:val="24"/>
          <w:szCs w:val="24"/>
          <w:lang w:val="bg-BG"/>
        </w:rPr>
        <w:tab/>
        <w:t>702 987 лв. Основната цел на проекта  е да осигури подходяща и ефективна социална инфраструктура, допринасяща за предоставяне на нов вид резидентни и съпътстващи услуги в общността, ко</w:t>
      </w:r>
      <w:r w:rsidR="00166850">
        <w:rPr>
          <w:rFonts w:ascii="Times New Roman" w:eastAsia="Calibri" w:hAnsi="Times New Roman"/>
          <w:color w:val="auto"/>
          <w:sz w:val="24"/>
          <w:szCs w:val="24"/>
          <w:lang w:val="bg-BG"/>
        </w:rPr>
        <w:t>и</w:t>
      </w:r>
      <w:r w:rsidRPr="00BD7BB1">
        <w:rPr>
          <w:rFonts w:ascii="Times New Roman" w:eastAsia="Calibri" w:hAnsi="Times New Roman"/>
          <w:color w:val="auto"/>
          <w:sz w:val="24"/>
          <w:szCs w:val="24"/>
          <w:lang w:val="bg-BG"/>
        </w:rPr>
        <w:t>то да заменят институционалната грижа, чрез изграждане на Център за настаняване от семеен тип в община Чирпан;</w:t>
      </w:r>
    </w:p>
    <w:p w:rsidR="00451854" w:rsidRDefault="00F25110" w:rsidP="00F25110">
      <w:pPr>
        <w:numPr>
          <w:ilvl w:val="0"/>
          <w:numId w:val="45"/>
        </w:numPr>
        <w:spacing w:after="200" w:line="360" w:lineRule="auto"/>
        <w:ind w:left="-142" w:firstLine="862"/>
        <w:contextualSpacing/>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 xml:space="preserve">Проект „Деинституционализация на деца в риск посредством изграждане на центрове за настаняване от семеен тип в Община Стара Загора“ </w:t>
      </w:r>
      <w:r w:rsidR="00166850">
        <w:rPr>
          <w:rFonts w:ascii="Times New Roman" w:eastAsia="Calibri" w:hAnsi="Times New Roman"/>
          <w:color w:val="auto"/>
          <w:sz w:val="24"/>
          <w:szCs w:val="24"/>
          <w:lang w:val="bg-BG"/>
        </w:rPr>
        <w:t>с общо изплатени средства</w:t>
      </w:r>
      <w:r w:rsidRPr="00BD7BB1">
        <w:rPr>
          <w:rFonts w:ascii="Times New Roman" w:eastAsia="Calibri" w:hAnsi="Times New Roman"/>
          <w:color w:val="auto"/>
          <w:sz w:val="24"/>
          <w:szCs w:val="24"/>
          <w:lang w:val="bg-BG"/>
        </w:rPr>
        <w:t xml:space="preserve"> </w:t>
      </w:r>
      <w:r w:rsidR="00166850">
        <w:rPr>
          <w:rFonts w:ascii="Times New Roman" w:eastAsia="Calibri" w:hAnsi="Times New Roman"/>
          <w:color w:val="auto"/>
          <w:sz w:val="24"/>
          <w:szCs w:val="24"/>
          <w:lang w:val="bg-BG"/>
        </w:rPr>
        <w:t>-</w:t>
      </w:r>
      <w:r w:rsidRPr="00BD7BB1">
        <w:rPr>
          <w:rFonts w:ascii="Times New Roman" w:eastAsia="Calibri" w:hAnsi="Times New Roman"/>
          <w:color w:val="auto"/>
          <w:sz w:val="24"/>
          <w:szCs w:val="24"/>
          <w:lang w:val="bg-BG"/>
        </w:rPr>
        <w:tab/>
        <w:t>3 967 277 лв. Общата цел на проекта е  да се осигурят условия за нов вид социална услуга в общността за деца в риск, която трайно да замени институционалната грижа на територията на Община Стара Загора, посредством изграждане на подходяща и ефективна социална инфраструктура;</w:t>
      </w:r>
    </w:p>
    <w:p w:rsidR="00451854" w:rsidRDefault="00F25110" w:rsidP="00451854">
      <w:pPr>
        <w:spacing w:after="200" w:line="360" w:lineRule="auto"/>
        <w:ind w:firstLine="720"/>
        <w:contextualSpacing/>
        <w:jc w:val="both"/>
        <w:rPr>
          <w:rFonts w:ascii="Times New Roman" w:eastAsia="Calibri" w:hAnsi="Times New Roman"/>
          <w:color w:val="auto"/>
          <w:sz w:val="24"/>
          <w:szCs w:val="24"/>
          <w:lang w:val="bg-BG"/>
        </w:rPr>
      </w:pPr>
      <w:r w:rsidRPr="00451854">
        <w:rPr>
          <w:rFonts w:ascii="Times New Roman" w:eastAsia="Calibri" w:hAnsi="Times New Roman"/>
          <w:color w:val="auto"/>
          <w:sz w:val="24"/>
          <w:szCs w:val="24"/>
          <w:lang w:val="bg-BG"/>
        </w:rPr>
        <w:t xml:space="preserve">В резултат на изпълняващите се и реализирани  проекти по ОПРР през 2014 г. в ЮИР са  обновени </w:t>
      </w:r>
      <w:r w:rsidRPr="00451854">
        <w:rPr>
          <w:rFonts w:ascii="Times New Roman" w:eastAsia="Calibri" w:hAnsi="Times New Roman"/>
          <w:b/>
          <w:color w:val="auto"/>
          <w:sz w:val="24"/>
          <w:szCs w:val="24"/>
          <w:lang w:val="bg-BG"/>
        </w:rPr>
        <w:t>3 сгради на образователната инфраструктура:  2 училища и  1 университет; модернизирани и оборудвани  са 3  лечебни заведения; изградени, обзаведени и оборудвани са 7 центрове за настаняване от семеен тип.</w:t>
      </w:r>
      <w:r w:rsidRPr="00451854">
        <w:rPr>
          <w:rFonts w:ascii="Times New Roman" w:eastAsia="Calibri" w:hAnsi="Times New Roman"/>
          <w:color w:val="auto"/>
          <w:sz w:val="24"/>
          <w:szCs w:val="24"/>
          <w:lang w:val="bg-BG"/>
        </w:rPr>
        <w:t xml:space="preserve">  Въпреки, че реализираните проекти  се изпълняват от ОПРР 2007-2013 г., те допринасят за напредъка на приоритет 1 през първата година от  действие на политиката за регионално развитие на Югоизточен район за периода 2014-2020 г.,  която  цели социално сближаване, т.е. преодоляване изоставането спрямо регионите в ЕС от една страна и  спрямо останалите 5 района от ниво 2 в страната, както и намаляване на междуобластните неравенства в ЮИР</w:t>
      </w:r>
      <w:r w:rsidR="00451854">
        <w:rPr>
          <w:rFonts w:ascii="Times New Roman" w:eastAsia="Calibri" w:hAnsi="Times New Roman"/>
          <w:color w:val="auto"/>
          <w:sz w:val="24"/>
          <w:szCs w:val="24"/>
          <w:lang w:val="bg-BG"/>
        </w:rPr>
        <w:t>.</w:t>
      </w:r>
    </w:p>
    <w:p w:rsidR="00F25110" w:rsidRPr="00BD7BB1" w:rsidRDefault="00F25110" w:rsidP="00451854">
      <w:pPr>
        <w:spacing w:after="200" w:line="360" w:lineRule="auto"/>
        <w:ind w:firstLine="720"/>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Анализът на тенденциите в развитието на ЮИР разкрива неоползотворени възможности за развитие в областта на културната инфраструктура и културните продукти. Затова проекти като </w:t>
      </w:r>
      <w:r w:rsidRPr="00BD7BB1">
        <w:rPr>
          <w:rFonts w:ascii="Times New Roman" w:eastAsia="Calibri" w:hAnsi="Times New Roman"/>
          <w:b/>
          <w:color w:val="auto"/>
          <w:sz w:val="24"/>
          <w:szCs w:val="24"/>
          <w:lang w:val="bg-BG"/>
        </w:rPr>
        <w:t>„Подгот</w:t>
      </w:r>
      <w:r w:rsidR="00706425">
        <w:rPr>
          <w:rFonts w:ascii="Times New Roman" w:eastAsia="Calibri" w:hAnsi="Times New Roman"/>
          <w:b/>
          <w:color w:val="auto"/>
          <w:sz w:val="24"/>
          <w:szCs w:val="24"/>
          <w:lang w:val="bg-BG"/>
        </w:rPr>
        <w:t>о</w:t>
      </w:r>
      <w:r w:rsidRPr="00BD7BB1">
        <w:rPr>
          <w:rFonts w:ascii="Times New Roman" w:eastAsia="Calibri" w:hAnsi="Times New Roman"/>
          <w:b/>
          <w:color w:val="auto"/>
          <w:sz w:val="24"/>
          <w:szCs w:val="24"/>
          <w:lang w:val="bg-BG"/>
        </w:rPr>
        <w:t>вка и провеждане на иновативно културно събитие " на  община Карнобат,</w:t>
      </w:r>
      <w:r w:rsidRPr="00BD7BB1">
        <w:rPr>
          <w:rFonts w:ascii="Times New Roman" w:eastAsia="Calibri" w:hAnsi="Times New Roman"/>
          <w:color w:val="auto"/>
          <w:sz w:val="24"/>
          <w:szCs w:val="24"/>
          <w:lang w:val="bg-BG"/>
        </w:rPr>
        <w:t xml:space="preserve"> който е в процес на изпълнение през 2014 г. е от изключително значение.  С проект</w:t>
      </w:r>
      <w:r w:rsidR="00D45A27">
        <w:rPr>
          <w:rFonts w:ascii="Times New Roman" w:eastAsia="Calibri" w:hAnsi="Times New Roman"/>
          <w:color w:val="auto"/>
          <w:sz w:val="24"/>
          <w:szCs w:val="24"/>
          <w:lang w:val="bg-BG"/>
        </w:rPr>
        <w:t>а,</w:t>
      </w:r>
      <w:r w:rsidRPr="00BD7BB1">
        <w:rPr>
          <w:rFonts w:ascii="Times New Roman" w:eastAsia="Calibri" w:hAnsi="Times New Roman"/>
          <w:color w:val="auto"/>
          <w:sz w:val="24"/>
          <w:szCs w:val="24"/>
          <w:lang w:val="bg-BG"/>
        </w:rPr>
        <w:t xml:space="preserve"> финансиран от ОПРР се цели създаване и промотиране на иновативни културни събития  в общината и района като цяло. Одобреният бюджет   е в размер на 523 271 лв. и цели  устойчиво развитие на Карнобат, формиране на идентичен облик и повишаване привлекателността на общината, чрез нови форми на традиционните изяв</w:t>
      </w:r>
      <w:r w:rsidR="00D45A27">
        <w:rPr>
          <w:rFonts w:ascii="Times New Roman" w:eastAsia="Calibri" w:hAnsi="Times New Roman"/>
          <w:color w:val="auto"/>
          <w:sz w:val="24"/>
          <w:szCs w:val="24"/>
          <w:lang w:val="bg-BG"/>
        </w:rPr>
        <w:t>и</w:t>
      </w:r>
      <w:r w:rsidRPr="00BD7BB1">
        <w:rPr>
          <w:rFonts w:ascii="Times New Roman" w:eastAsia="Calibri" w:hAnsi="Times New Roman"/>
          <w:color w:val="auto"/>
          <w:sz w:val="24"/>
          <w:szCs w:val="24"/>
          <w:lang w:val="bg-BG"/>
        </w:rPr>
        <w:t xml:space="preserve"> и създаването на „културна марка” на региона.</w:t>
      </w:r>
    </w:p>
    <w:p w:rsidR="00F25110" w:rsidRPr="00BD7BB1" w:rsidRDefault="00F25110" w:rsidP="00D509DF">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Неделима  част от културно-историческото развитие на района имат училищата по изкуства и култура. В ЮИР се намират 5 от 23 национални училища в общините Бургас, </w:t>
      </w:r>
      <w:r w:rsidRPr="00BD7BB1">
        <w:rPr>
          <w:rFonts w:ascii="Times New Roman" w:eastAsia="Calibri" w:hAnsi="Times New Roman"/>
          <w:color w:val="auto"/>
          <w:sz w:val="24"/>
          <w:szCs w:val="24"/>
          <w:lang w:val="bg-BG"/>
        </w:rPr>
        <w:lastRenderedPageBreak/>
        <w:t xml:space="preserve">Стара Загора, Котел, Сливен и Казанлък. Към  края на 2014 г. са предприети мерки за модернизация и ремонт  на  училищата в Котел и Казанлък:  </w:t>
      </w:r>
    </w:p>
    <w:p w:rsidR="00F25110" w:rsidRPr="00BD7BB1" w:rsidRDefault="00451854" w:rsidP="00F25110">
      <w:pPr>
        <w:spacing w:after="200" w:line="360" w:lineRule="auto"/>
        <w:jc w:val="both"/>
        <w:rPr>
          <w:rFonts w:ascii="Times New Roman" w:eastAsia="Calibri" w:hAnsi="Times New Roman"/>
          <w:color w:val="auto"/>
          <w:sz w:val="24"/>
          <w:szCs w:val="24"/>
          <w:lang w:val="bg-BG"/>
        </w:rPr>
      </w:pPr>
      <w:r>
        <w:rPr>
          <w:rFonts w:ascii="Times New Roman" w:eastAsia="Calibri" w:hAnsi="Times New Roman"/>
          <w:color w:val="auto"/>
          <w:sz w:val="24"/>
          <w:szCs w:val="24"/>
          <w:lang w:val="bg-BG"/>
        </w:rPr>
        <w:t>1.</w:t>
      </w:r>
      <w:r w:rsidR="00F25110" w:rsidRPr="00BD7BB1">
        <w:rPr>
          <w:rFonts w:ascii="Times New Roman" w:eastAsia="Calibri" w:hAnsi="Times New Roman"/>
          <w:b/>
          <w:color w:val="auto"/>
          <w:sz w:val="24"/>
          <w:szCs w:val="24"/>
          <w:lang w:val="bg-BG"/>
        </w:rPr>
        <w:t>НАЦИОНАЛНО УЧИЛИЩЕ ЗА ФОЛКЛОРНИ ИЗКУСТВА „ФИЛИП КУТЕВ”</w:t>
      </w:r>
      <w:r w:rsidR="00F25110" w:rsidRPr="00BD7BB1">
        <w:rPr>
          <w:rFonts w:ascii="Times New Roman" w:eastAsia="Calibri" w:hAnsi="Times New Roman"/>
          <w:color w:val="auto"/>
          <w:sz w:val="24"/>
          <w:szCs w:val="24"/>
          <w:lang w:val="bg-BG"/>
        </w:rPr>
        <w:t>гр.Котел по национален проект Оптимизация на училищната мрежа на стойност 95 000 лв.;</w:t>
      </w:r>
    </w:p>
    <w:p w:rsidR="00F25110" w:rsidRPr="00BD7BB1" w:rsidRDefault="00451854" w:rsidP="00F25110">
      <w:pPr>
        <w:spacing w:after="200" w:line="360" w:lineRule="auto"/>
        <w:jc w:val="both"/>
        <w:rPr>
          <w:rFonts w:ascii="Times New Roman" w:eastAsia="Calibri" w:hAnsi="Times New Roman"/>
          <w:color w:val="auto"/>
          <w:sz w:val="24"/>
          <w:szCs w:val="24"/>
          <w:lang w:val="bg-BG"/>
        </w:rPr>
      </w:pPr>
      <w:r>
        <w:rPr>
          <w:rFonts w:ascii="Times New Roman" w:eastAsia="Calibri" w:hAnsi="Times New Roman"/>
          <w:color w:val="auto"/>
          <w:sz w:val="24"/>
          <w:szCs w:val="24"/>
          <w:lang w:val="bg-BG"/>
        </w:rPr>
        <w:t>2.</w:t>
      </w:r>
      <w:r w:rsidR="00F25110" w:rsidRPr="00BD7BB1">
        <w:rPr>
          <w:rFonts w:ascii="Times New Roman" w:eastAsia="Calibri" w:hAnsi="Times New Roman"/>
          <w:b/>
          <w:color w:val="auto"/>
          <w:sz w:val="24"/>
          <w:szCs w:val="24"/>
          <w:lang w:val="bg-BG"/>
        </w:rPr>
        <w:t>НАЦИОНАЛНА ГИМНАЗИЯ ПО ПЛАСТИЧНИ ИЗКУСТВА И ДИЗАЙН „АКАД. ДЕЧКО УЗУНОВ”</w:t>
      </w:r>
      <w:r w:rsidR="00F25110" w:rsidRPr="00BD7BB1">
        <w:rPr>
          <w:rFonts w:ascii="Times New Roman" w:eastAsia="Calibri" w:hAnsi="Times New Roman"/>
          <w:color w:val="auto"/>
          <w:sz w:val="24"/>
          <w:szCs w:val="24"/>
          <w:lang w:val="bg-BG"/>
        </w:rPr>
        <w:t xml:space="preserve"> по национален проект за модернизация на материалната база на стойност 33 000 лв.</w:t>
      </w:r>
    </w:p>
    <w:p w:rsidR="00F46189" w:rsidRDefault="00F46189" w:rsidP="00451854">
      <w:pPr>
        <w:spacing w:after="200" w:line="360" w:lineRule="auto"/>
        <w:ind w:firstLine="720"/>
        <w:jc w:val="both"/>
        <w:rPr>
          <w:rFonts w:ascii="Times New Roman" w:eastAsia="Calibri" w:hAnsi="Times New Roman"/>
          <w:b/>
          <w:color w:val="9B2D1F" w:themeColor="accent2"/>
          <w:sz w:val="24"/>
          <w:szCs w:val="24"/>
          <w:lang w:val="bg-BG"/>
        </w:rPr>
      </w:pPr>
      <w:r w:rsidRPr="00F46189">
        <w:rPr>
          <w:rFonts w:ascii="Times New Roman" w:eastAsia="Calibri" w:hAnsi="Times New Roman" w:hint="cs"/>
          <w:b/>
          <w:color w:val="9B2D1F" w:themeColor="accent2"/>
          <w:sz w:val="24"/>
          <w:szCs w:val="24"/>
          <w:lang w:val="bg-BG"/>
        </w:rPr>
        <w:t>Приоритет</w:t>
      </w:r>
      <w:r>
        <w:rPr>
          <w:rFonts w:ascii="Times New Roman" w:eastAsia="Calibri" w:hAnsi="Times New Roman"/>
          <w:b/>
          <w:color w:val="9B2D1F" w:themeColor="accent2"/>
          <w:sz w:val="24"/>
          <w:szCs w:val="24"/>
          <w:lang w:val="bg-BG"/>
        </w:rPr>
        <w:t xml:space="preserve"> </w:t>
      </w:r>
      <w:r w:rsidRPr="00F46189">
        <w:rPr>
          <w:rFonts w:ascii="Times New Roman" w:eastAsia="Calibri" w:hAnsi="Times New Roman"/>
          <w:b/>
          <w:color w:val="9B2D1F" w:themeColor="accent2"/>
          <w:sz w:val="24"/>
          <w:szCs w:val="24"/>
          <w:lang w:val="bg-BG"/>
        </w:rPr>
        <w:t>2.</w:t>
      </w:r>
      <w:r>
        <w:rPr>
          <w:rFonts w:ascii="Times New Roman" w:eastAsia="Calibri" w:hAnsi="Times New Roman"/>
          <w:b/>
          <w:color w:val="9B2D1F" w:themeColor="accent2"/>
          <w:sz w:val="24"/>
          <w:szCs w:val="24"/>
          <w:lang w:val="bg-BG"/>
        </w:rPr>
        <w:t xml:space="preserve"> </w:t>
      </w:r>
      <w:r w:rsidRPr="00F46189">
        <w:rPr>
          <w:rFonts w:ascii="Times New Roman" w:eastAsia="Calibri" w:hAnsi="Times New Roman" w:hint="cs"/>
          <w:b/>
          <w:color w:val="9B2D1F" w:themeColor="accent2"/>
          <w:sz w:val="24"/>
          <w:szCs w:val="24"/>
          <w:lang w:val="bg-BG"/>
        </w:rPr>
        <w:t>Подобряване</w:t>
      </w:r>
      <w:r w:rsidRPr="00F46189">
        <w:rPr>
          <w:rFonts w:ascii="Times New Roman" w:eastAsia="Calibri" w:hAnsi="Times New Roman"/>
          <w:b/>
          <w:color w:val="9B2D1F" w:themeColor="accent2"/>
          <w:sz w:val="24"/>
          <w:szCs w:val="24"/>
          <w:lang w:val="bg-BG"/>
        </w:rPr>
        <w:t xml:space="preserve"> </w:t>
      </w:r>
      <w:r w:rsidRPr="00F46189">
        <w:rPr>
          <w:rFonts w:ascii="Times New Roman" w:eastAsia="Calibri" w:hAnsi="Times New Roman" w:hint="cs"/>
          <w:b/>
          <w:color w:val="9B2D1F" w:themeColor="accent2"/>
          <w:sz w:val="24"/>
          <w:szCs w:val="24"/>
          <w:lang w:val="bg-BG"/>
        </w:rPr>
        <w:t>на</w:t>
      </w:r>
      <w:r w:rsidRPr="00F46189">
        <w:rPr>
          <w:rFonts w:ascii="Times New Roman" w:eastAsia="Calibri" w:hAnsi="Times New Roman"/>
          <w:b/>
          <w:color w:val="9B2D1F" w:themeColor="accent2"/>
          <w:sz w:val="24"/>
          <w:szCs w:val="24"/>
          <w:lang w:val="bg-BG"/>
        </w:rPr>
        <w:t xml:space="preserve"> </w:t>
      </w:r>
      <w:r w:rsidRPr="00F46189">
        <w:rPr>
          <w:rFonts w:ascii="Times New Roman" w:eastAsia="Calibri" w:hAnsi="Times New Roman" w:hint="cs"/>
          <w:b/>
          <w:color w:val="9B2D1F" w:themeColor="accent2"/>
          <w:sz w:val="24"/>
          <w:szCs w:val="24"/>
          <w:lang w:val="bg-BG"/>
        </w:rPr>
        <w:t>качествените</w:t>
      </w:r>
      <w:r w:rsidRPr="00F46189">
        <w:rPr>
          <w:rFonts w:ascii="Times New Roman" w:eastAsia="Calibri" w:hAnsi="Times New Roman"/>
          <w:b/>
          <w:color w:val="9B2D1F" w:themeColor="accent2"/>
          <w:sz w:val="24"/>
          <w:szCs w:val="24"/>
          <w:lang w:val="bg-BG"/>
        </w:rPr>
        <w:t xml:space="preserve"> </w:t>
      </w:r>
      <w:r w:rsidRPr="00F46189">
        <w:rPr>
          <w:rFonts w:ascii="Times New Roman" w:eastAsia="Calibri" w:hAnsi="Times New Roman" w:hint="cs"/>
          <w:b/>
          <w:color w:val="9B2D1F" w:themeColor="accent2"/>
          <w:sz w:val="24"/>
          <w:szCs w:val="24"/>
          <w:lang w:val="bg-BG"/>
        </w:rPr>
        <w:t>характеристики</w:t>
      </w:r>
      <w:r w:rsidRPr="00F46189">
        <w:rPr>
          <w:rFonts w:ascii="Times New Roman" w:eastAsia="Calibri" w:hAnsi="Times New Roman"/>
          <w:b/>
          <w:color w:val="9B2D1F" w:themeColor="accent2"/>
          <w:sz w:val="24"/>
          <w:szCs w:val="24"/>
          <w:lang w:val="bg-BG"/>
        </w:rPr>
        <w:t xml:space="preserve"> </w:t>
      </w:r>
      <w:r w:rsidRPr="00F46189">
        <w:rPr>
          <w:rFonts w:ascii="Times New Roman" w:eastAsia="Calibri" w:hAnsi="Times New Roman" w:hint="cs"/>
          <w:b/>
          <w:color w:val="9B2D1F" w:themeColor="accent2"/>
          <w:sz w:val="24"/>
          <w:szCs w:val="24"/>
          <w:lang w:val="bg-BG"/>
        </w:rPr>
        <w:t>и</w:t>
      </w:r>
      <w:r w:rsidRPr="00F46189">
        <w:rPr>
          <w:rFonts w:ascii="Times New Roman" w:eastAsia="Calibri" w:hAnsi="Times New Roman"/>
          <w:b/>
          <w:color w:val="9B2D1F" w:themeColor="accent2"/>
          <w:sz w:val="24"/>
          <w:szCs w:val="24"/>
          <w:lang w:val="bg-BG"/>
        </w:rPr>
        <w:t xml:space="preserve">  </w:t>
      </w:r>
      <w:r w:rsidR="00240F19">
        <w:rPr>
          <w:rFonts w:ascii="Times New Roman" w:eastAsia="Calibri" w:hAnsi="Times New Roman"/>
          <w:b/>
          <w:color w:val="9B2D1F" w:themeColor="accent2"/>
          <w:sz w:val="24"/>
          <w:szCs w:val="24"/>
          <w:lang w:val="bg-BG"/>
        </w:rPr>
        <w:t>к</w:t>
      </w:r>
      <w:r w:rsidRPr="00F46189">
        <w:rPr>
          <w:rFonts w:ascii="Times New Roman" w:eastAsia="Calibri" w:hAnsi="Times New Roman" w:hint="cs"/>
          <w:b/>
          <w:color w:val="9B2D1F" w:themeColor="accent2"/>
          <w:sz w:val="24"/>
          <w:szCs w:val="24"/>
          <w:lang w:val="bg-BG"/>
        </w:rPr>
        <w:t>онкурентоспособността</w:t>
      </w:r>
      <w:r w:rsidRPr="00F46189">
        <w:rPr>
          <w:rFonts w:ascii="Times New Roman" w:eastAsia="Calibri" w:hAnsi="Times New Roman"/>
          <w:b/>
          <w:color w:val="9B2D1F" w:themeColor="accent2"/>
          <w:sz w:val="24"/>
          <w:szCs w:val="24"/>
          <w:lang w:val="bg-BG"/>
        </w:rPr>
        <w:t xml:space="preserve"> </w:t>
      </w:r>
      <w:r w:rsidRPr="00F46189">
        <w:rPr>
          <w:rFonts w:ascii="Times New Roman" w:eastAsia="Calibri" w:hAnsi="Times New Roman" w:hint="cs"/>
          <w:b/>
          <w:color w:val="9B2D1F" w:themeColor="accent2"/>
          <w:sz w:val="24"/>
          <w:szCs w:val="24"/>
          <w:lang w:val="bg-BG"/>
        </w:rPr>
        <w:t>на</w:t>
      </w:r>
      <w:r w:rsidRPr="00F46189">
        <w:rPr>
          <w:rFonts w:ascii="Times New Roman" w:eastAsia="Calibri" w:hAnsi="Times New Roman"/>
          <w:b/>
          <w:color w:val="9B2D1F" w:themeColor="accent2"/>
          <w:sz w:val="24"/>
          <w:szCs w:val="24"/>
          <w:lang w:val="bg-BG"/>
        </w:rPr>
        <w:t xml:space="preserve"> </w:t>
      </w:r>
      <w:r w:rsidRPr="00F46189">
        <w:rPr>
          <w:rFonts w:ascii="Times New Roman" w:eastAsia="Calibri" w:hAnsi="Times New Roman" w:hint="cs"/>
          <w:b/>
          <w:color w:val="9B2D1F" w:themeColor="accent2"/>
          <w:sz w:val="24"/>
          <w:szCs w:val="24"/>
          <w:lang w:val="bg-BG"/>
        </w:rPr>
        <w:t>човешките</w:t>
      </w:r>
      <w:r w:rsidRPr="00F46189">
        <w:rPr>
          <w:rFonts w:ascii="Times New Roman" w:eastAsia="Calibri" w:hAnsi="Times New Roman"/>
          <w:b/>
          <w:color w:val="9B2D1F" w:themeColor="accent2"/>
          <w:sz w:val="24"/>
          <w:szCs w:val="24"/>
          <w:lang w:val="bg-BG"/>
        </w:rPr>
        <w:t xml:space="preserve"> </w:t>
      </w:r>
      <w:r w:rsidRPr="00F46189">
        <w:rPr>
          <w:rFonts w:ascii="Times New Roman" w:eastAsia="Calibri" w:hAnsi="Times New Roman" w:hint="cs"/>
          <w:b/>
          <w:color w:val="9B2D1F" w:themeColor="accent2"/>
          <w:sz w:val="24"/>
          <w:szCs w:val="24"/>
          <w:lang w:val="bg-BG"/>
        </w:rPr>
        <w:t>ресурси</w:t>
      </w:r>
      <w:r w:rsidRPr="00F46189">
        <w:rPr>
          <w:rFonts w:ascii="Times New Roman" w:eastAsia="Calibri" w:hAnsi="Times New Roman"/>
          <w:b/>
          <w:color w:val="9B2D1F" w:themeColor="accent2"/>
          <w:sz w:val="24"/>
          <w:szCs w:val="24"/>
          <w:lang w:val="bg-BG"/>
        </w:rPr>
        <w:t xml:space="preserve"> </w:t>
      </w:r>
      <w:r w:rsidRPr="00F46189">
        <w:rPr>
          <w:rFonts w:ascii="Times New Roman" w:eastAsia="Calibri" w:hAnsi="Times New Roman" w:hint="cs"/>
          <w:b/>
          <w:color w:val="9B2D1F" w:themeColor="accent2"/>
          <w:sz w:val="24"/>
          <w:szCs w:val="24"/>
          <w:lang w:val="bg-BG"/>
        </w:rPr>
        <w:t>в</w:t>
      </w:r>
      <w:r w:rsidRPr="00F46189">
        <w:rPr>
          <w:rFonts w:ascii="Times New Roman" w:eastAsia="Calibri" w:hAnsi="Times New Roman"/>
          <w:b/>
          <w:color w:val="9B2D1F" w:themeColor="accent2"/>
          <w:sz w:val="24"/>
          <w:szCs w:val="24"/>
          <w:lang w:val="bg-BG"/>
        </w:rPr>
        <w:t xml:space="preserve"> </w:t>
      </w:r>
      <w:r w:rsidRPr="00F46189">
        <w:rPr>
          <w:rFonts w:ascii="Times New Roman" w:eastAsia="Calibri" w:hAnsi="Times New Roman" w:hint="cs"/>
          <w:b/>
          <w:color w:val="9B2D1F" w:themeColor="accent2"/>
          <w:sz w:val="24"/>
          <w:szCs w:val="24"/>
          <w:lang w:val="bg-BG"/>
        </w:rPr>
        <w:t>Югоизточен</w:t>
      </w:r>
      <w:r w:rsidRPr="00F46189">
        <w:rPr>
          <w:rFonts w:ascii="Times New Roman" w:eastAsia="Calibri" w:hAnsi="Times New Roman"/>
          <w:b/>
          <w:color w:val="9B2D1F" w:themeColor="accent2"/>
          <w:sz w:val="24"/>
          <w:szCs w:val="24"/>
          <w:lang w:val="bg-BG"/>
        </w:rPr>
        <w:t xml:space="preserve"> </w:t>
      </w:r>
      <w:r w:rsidRPr="00F46189">
        <w:rPr>
          <w:rFonts w:ascii="Times New Roman" w:eastAsia="Calibri" w:hAnsi="Times New Roman" w:hint="cs"/>
          <w:b/>
          <w:color w:val="9B2D1F" w:themeColor="accent2"/>
          <w:sz w:val="24"/>
          <w:szCs w:val="24"/>
          <w:lang w:val="bg-BG"/>
        </w:rPr>
        <w:t>район</w:t>
      </w:r>
      <w:r w:rsidRPr="00F46189">
        <w:rPr>
          <w:rFonts w:ascii="Times New Roman" w:eastAsia="Calibri" w:hAnsi="Times New Roman"/>
          <w:b/>
          <w:color w:val="9B2D1F" w:themeColor="accent2"/>
          <w:sz w:val="24"/>
          <w:szCs w:val="24"/>
          <w:lang w:val="bg-BG"/>
        </w:rPr>
        <w:t>.</w:t>
      </w:r>
    </w:p>
    <w:p w:rsidR="00F25110" w:rsidRPr="00BD7BB1" w:rsidRDefault="00F25110" w:rsidP="00451854">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Качеството на човешките ресурси е определящо за създаването и разпространението на нови знания. С преминаването към устойчиви модели на потребление и производство обществото ще се нуждае от хора, които са склонни към развитие и усвояване на нови технологии и организационни похвати, както и към нови начини на мислене и поведение като граждани и потребители. Ученето през целия живот спомага за развиването и допълването на познанията и уменията. Това, от своя страна, допринася за затвърждаването на позициите на трудовия пазар, тъй като по-квалифицираните служители са по-слабо застрашени от безработица, бедност и социално изключване. Същевременно производителността на труда при тях е по-висока и по този начин те допринасят за икономическия растеж.  </w:t>
      </w:r>
    </w:p>
    <w:p w:rsidR="00F25110" w:rsidRPr="00BD7BB1" w:rsidRDefault="00F25110" w:rsidP="00451854">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Специфичните индикатори свързани с подобряване конкурентоспособността на човешките ресурси в Югоизточен район за периода 2014-2020 г. са:</w:t>
      </w:r>
    </w:p>
    <w:p w:rsidR="00F25110" w:rsidRPr="00BD7BB1" w:rsidRDefault="00F25110" w:rsidP="00957FF6">
      <w:pPr>
        <w:numPr>
          <w:ilvl w:val="0"/>
          <w:numId w:val="49"/>
        </w:numPr>
        <w:spacing w:after="200" w:line="360" w:lineRule="auto"/>
        <w:contextualSpacing/>
        <w:jc w:val="both"/>
        <w:rPr>
          <w:rFonts w:ascii="Times New Roman" w:eastAsia="Calibri" w:hAnsi="Times New Roman"/>
          <w:b/>
          <w:color w:val="auto"/>
          <w:sz w:val="24"/>
          <w:szCs w:val="24"/>
          <w:lang w:val="bg-BG"/>
        </w:rPr>
      </w:pPr>
      <w:r w:rsidRPr="00BD7BB1">
        <w:rPr>
          <w:rFonts w:ascii="Times New Roman" w:eastAsia="Calibri" w:hAnsi="Times New Roman"/>
          <w:b/>
          <w:color w:val="auto"/>
          <w:sz w:val="24"/>
          <w:szCs w:val="24"/>
          <w:lang w:val="bg-BG"/>
        </w:rPr>
        <w:t>Процент от населението на възраст 25-64 г., участващо в образование и обучение, в %</w:t>
      </w:r>
    </w:p>
    <w:p w:rsidR="00F25110" w:rsidRPr="00BD7BB1" w:rsidRDefault="00F25110" w:rsidP="00957FF6">
      <w:pPr>
        <w:numPr>
          <w:ilvl w:val="0"/>
          <w:numId w:val="48"/>
        </w:numPr>
        <w:spacing w:after="200" w:line="360" w:lineRule="auto"/>
        <w:contextualSpacing/>
        <w:jc w:val="both"/>
        <w:rPr>
          <w:rFonts w:ascii="Times New Roman" w:eastAsia="Calibri" w:hAnsi="Times New Roman"/>
          <w:b/>
          <w:color w:val="auto"/>
          <w:sz w:val="24"/>
          <w:szCs w:val="24"/>
          <w:lang w:val="bg-BG"/>
        </w:rPr>
      </w:pPr>
      <w:r w:rsidRPr="00BD7BB1">
        <w:rPr>
          <w:rFonts w:ascii="Times New Roman" w:eastAsia="Calibri" w:hAnsi="Times New Roman"/>
          <w:b/>
          <w:color w:val="auto"/>
          <w:sz w:val="24"/>
          <w:szCs w:val="24"/>
          <w:lang w:val="bg-BG"/>
        </w:rPr>
        <w:t>Дял на безработните, преминали курсове на преквалификация, в %</w:t>
      </w:r>
    </w:p>
    <w:p w:rsidR="00F25110" w:rsidRPr="00BD7BB1" w:rsidRDefault="00F25110" w:rsidP="00957FF6">
      <w:pPr>
        <w:numPr>
          <w:ilvl w:val="0"/>
          <w:numId w:val="48"/>
        </w:numPr>
        <w:spacing w:after="200" w:line="360" w:lineRule="auto"/>
        <w:contextualSpacing/>
        <w:jc w:val="both"/>
        <w:rPr>
          <w:rFonts w:ascii="Times New Roman" w:eastAsia="Calibri" w:hAnsi="Times New Roman"/>
          <w:b/>
          <w:color w:val="auto"/>
          <w:sz w:val="24"/>
          <w:szCs w:val="24"/>
          <w:lang w:val="bg-BG"/>
        </w:rPr>
      </w:pPr>
      <w:r w:rsidRPr="00BD7BB1">
        <w:rPr>
          <w:rFonts w:ascii="Times New Roman" w:eastAsia="Calibri" w:hAnsi="Times New Roman"/>
          <w:b/>
          <w:color w:val="auto"/>
          <w:sz w:val="24"/>
          <w:szCs w:val="24"/>
          <w:lang w:val="bg-BG"/>
        </w:rPr>
        <w:t xml:space="preserve">Увеличение на средния доход на домакинство, в % </w:t>
      </w:r>
    </w:p>
    <w:p w:rsidR="00F25110" w:rsidRPr="00BD7BB1" w:rsidRDefault="00F25110" w:rsidP="00451854">
      <w:pPr>
        <w:spacing w:after="200" w:line="360" w:lineRule="auto"/>
        <w:ind w:firstLine="720"/>
        <w:jc w:val="both"/>
        <w:rPr>
          <w:rFonts w:ascii="Calibri" w:eastAsia="Calibri" w:hAnsi="Calibri"/>
          <w:color w:val="auto"/>
          <w:sz w:val="24"/>
          <w:szCs w:val="24"/>
          <w:lang w:val="bg-BG"/>
        </w:rPr>
      </w:pPr>
      <w:r w:rsidRPr="00BD7BB1">
        <w:rPr>
          <w:rFonts w:ascii="Times New Roman" w:eastAsia="Calibri" w:hAnsi="Times New Roman"/>
          <w:color w:val="auto"/>
          <w:sz w:val="24"/>
          <w:szCs w:val="24"/>
          <w:lang w:val="bg-BG"/>
        </w:rPr>
        <w:t xml:space="preserve">Според резултатите от проведените от НСИ изследвания </w:t>
      </w:r>
      <w:r w:rsidRPr="00BD7BB1">
        <w:rPr>
          <w:rFonts w:ascii="Times New Roman" w:eastAsia="Calibri" w:hAnsi="Times New Roman"/>
          <w:b/>
          <w:color w:val="auto"/>
          <w:sz w:val="24"/>
          <w:szCs w:val="24"/>
          <w:lang w:val="bg-BG"/>
        </w:rPr>
        <w:t xml:space="preserve">равнището на участие на населението на възраст 25-64 г. във формално образование и обучение или </w:t>
      </w:r>
      <w:r w:rsidRPr="00BD7BB1">
        <w:rPr>
          <w:rFonts w:ascii="Times New Roman" w:eastAsia="Calibri" w:hAnsi="Times New Roman"/>
          <w:b/>
          <w:color w:val="auto"/>
          <w:sz w:val="24"/>
          <w:szCs w:val="24"/>
          <w:lang w:val="bg-BG"/>
        </w:rPr>
        <w:lastRenderedPageBreak/>
        <w:t>неформално обучение</w:t>
      </w:r>
      <w:r w:rsidRPr="00BD7BB1">
        <w:rPr>
          <w:rFonts w:ascii="Times New Roman" w:eastAsia="Calibri" w:hAnsi="Times New Roman"/>
          <w:color w:val="auto"/>
          <w:sz w:val="24"/>
          <w:szCs w:val="24"/>
          <w:lang w:val="bg-BG"/>
        </w:rPr>
        <w:t xml:space="preserve"> намалява съществено от 36.4% през 2007 г. на 26.0</w:t>
      </w:r>
      <w:r w:rsidR="00510FFB">
        <w:rPr>
          <w:rFonts w:ascii="Times New Roman" w:eastAsia="Calibri" w:hAnsi="Times New Roman"/>
          <w:color w:val="auto"/>
          <w:sz w:val="24"/>
          <w:szCs w:val="24"/>
          <w:lang w:val="bg-BG"/>
        </w:rPr>
        <w:t xml:space="preserve"> </w:t>
      </w:r>
      <w:r w:rsidRPr="00BD7BB1">
        <w:rPr>
          <w:rFonts w:ascii="Times New Roman" w:eastAsia="Calibri" w:hAnsi="Times New Roman"/>
          <w:color w:val="auto"/>
          <w:sz w:val="24"/>
          <w:szCs w:val="24"/>
          <w:lang w:val="bg-BG"/>
        </w:rPr>
        <w:t>% през 2011 г. за страната. За ЮИР показателят е близък до този за страната и възлиза на  26,8 %  и му отрежда  трето място след  СИР с 36% и ЮЗР 31 %.. Сред районите в страната на последно място е ЮЦР с изключително ниският дял от 12,4 %.</w:t>
      </w:r>
    </w:p>
    <w:p w:rsidR="00F25110" w:rsidRPr="003F28E9" w:rsidRDefault="00F25110" w:rsidP="00F25110">
      <w:pPr>
        <w:spacing w:after="200" w:line="360" w:lineRule="auto"/>
        <w:jc w:val="both"/>
        <w:rPr>
          <w:rFonts w:ascii="Times New Roman" w:eastAsia="Calibri" w:hAnsi="Times New Roman"/>
          <w:b/>
          <w:i/>
          <w:color w:val="9B2D1F" w:themeColor="accent2"/>
          <w:sz w:val="24"/>
          <w:szCs w:val="24"/>
          <w:lang w:val="bg-BG"/>
        </w:rPr>
      </w:pPr>
      <w:r w:rsidRPr="003F28E9">
        <w:rPr>
          <w:rFonts w:ascii="Times New Roman" w:eastAsia="Calibri" w:hAnsi="Times New Roman"/>
          <w:b/>
          <w:i/>
          <w:color w:val="9B2D1F" w:themeColor="accent2"/>
          <w:sz w:val="24"/>
          <w:szCs w:val="24"/>
          <w:lang w:val="bg-BG"/>
        </w:rPr>
        <w:t>Карта</w:t>
      </w:r>
      <w:r w:rsidR="003F28E9" w:rsidRPr="003F28E9">
        <w:rPr>
          <w:rFonts w:ascii="Times New Roman" w:eastAsia="Calibri" w:hAnsi="Times New Roman"/>
          <w:b/>
          <w:i/>
          <w:color w:val="9B2D1F" w:themeColor="accent2"/>
          <w:sz w:val="24"/>
          <w:szCs w:val="24"/>
          <w:lang w:val="bg-BG"/>
        </w:rPr>
        <w:t xml:space="preserve"> 3 </w:t>
      </w:r>
      <w:r w:rsidRPr="003F28E9">
        <w:rPr>
          <w:rFonts w:ascii="Times New Roman" w:eastAsia="Calibri" w:hAnsi="Times New Roman"/>
          <w:b/>
          <w:i/>
          <w:color w:val="9B2D1F" w:themeColor="accent2"/>
          <w:sz w:val="24"/>
          <w:szCs w:val="24"/>
          <w:lang w:val="bg-BG"/>
        </w:rPr>
        <w:t>Участващи в образование и обучение по райони и форми за 2011 г.</w:t>
      </w:r>
    </w:p>
    <w:p w:rsidR="00F25110" w:rsidRPr="00BD7BB1" w:rsidRDefault="00F25110" w:rsidP="00F25110">
      <w:pPr>
        <w:spacing w:after="200" w:line="360" w:lineRule="auto"/>
        <w:jc w:val="both"/>
        <w:rPr>
          <w:rFonts w:ascii="Times New Roman" w:eastAsia="Calibri" w:hAnsi="Times New Roman"/>
          <w:color w:val="auto"/>
          <w:sz w:val="24"/>
          <w:szCs w:val="24"/>
          <w:lang w:val="bg-BG"/>
        </w:rPr>
      </w:pPr>
      <w:r w:rsidRPr="00BD7BB1">
        <w:rPr>
          <w:rFonts w:ascii="Times New Roman" w:eastAsia="Calibri" w:hAnsi="Times New Roman"/>
          <w:noProof/>
          <w:color w:val="auto"/>
          <w:sz w:val="24"/>
          <w:szCs w:val="24"/>
          <w:lang w:val="bg-BG" w:eastAsia="bg-BG"/>
        </w:rPr>
        <w:drawing>
          <wp:inline distT="0" distB="0" distL="0" distR="0" wp14:anchorId="1882EA27" wp14:editId="715D864C">
            <wp:extent cx="5770245" cy="4319905"/>
            <wp:effectExtent l="0" t="0" r="1905"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0245" cy="4319905"/>
                    </a:xfrm>
                    <a:prstGeom prst="rect">
                      <a:avLst/>
                    </a:prstGeom>
                    <a:noFill/>
                    <a:ln>
                      <a:noFill/>
                    </a:ln>
                  </pic:spPr>
                </pic:pic>
              </a:graphicData>
            </a:graphic>
          </wp:inline>
        </w:drawing>
      </w:r>
    </w:p>
    <w:p w:rsidR="00F25110" w:rsidRPr="003F28E9" w:rsidRDefault="00F25110" w:rsidP="00F25110">
      <w:pPr>
        <w:spacing w:after="200" w:line="360" w:lineRule="auto"/>
        <w:jc w:val="both"/>
        <w:rPr>
          <w:rFonts w:ascii="Times New Roman" w:eastAsia="Calibri" w:hAnsi="Times New Roman"/>
          <w:i/>
          <w:color w:val="9B2D1F" w:themeColor="accent2"/>
          <w:sz w:val="24"/>
          <w:szCs w:val="24"/>
          <w:lang w:val="bg-BG"/>
        </w:rPr>
      </w:pPr>
      <w:r w:rsidRPr="003F28E9">
        <w:rPr>
          <w:rFonts w:ascii="Times New Roman" w:eastAsia="Calibri" w:hAnsi="Times New Roman"/>
          <w:i/>
          <w:color w:val="9B2D1F" w:themeColor="accent2"/>
          <w:sz w:val="24"/>
          <w:szCs w:val="24"/>
          <w:lang w:val="bg-BG"/>
        </w:rPr>
        <w:t xml:space="preserve">Източник: Доклад   за състоянието на сектора за учене на възрастни в България на МОН през 2013 г. </w:t>
      </w:r>
    </w:p>
    <w:p w:rsidR="00F25110" w:rsidRPr="00BD7BB1" w:rsidRDefault="00F25110" w:rsidP="003F28E9">
      <w:pPr>
        <w:spacing w:after="0" w:line="360" w:lineRule="auto"/>
        <w:ind w:firstLine="720"/>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През 2014 г.</w:t>
      </w:r>
      <w:r w:rsidRPr="00BD7BB1">
        <w:rPr>
          <w:rFonts w:ascii="Times New Roman" w:eastAsia="Times New Roman" w:hAnsi="Times New Roman"/>
          <w:b/>
          <w:bCs/>
          <w:color w:val="auto"/>
          <w:sz w:val="24"/>
          <w:szCs w:val="24"/>
          <w:lang w:val="bg-BG" w:eastAsia="bg-BG"/>
        </w:rPr>
        <w:t xml:space="preserve"> общият  доход средно на лице от домакинството </w:t>
      </w:r>
      <w:r w:rsidRPr="00BD7BB1">
        <w:rPr>
          <w:rFonts w:ascii="Times New Roman" w:eastAsia="Times New Roman" w:hAnsi="Times New Roman"/>
          <w:bCs/>
          <w:color w:val="auto"/>
          <w:sz w:val="24"/>
          <w:szCs w:val="24"/>
          <w:lang w:val="bg-BG" w:eastAsia="bg-BG"/>
        </w:rPr>
        <w:t xml:space="preserve">в ЮИР възлиза на  </w:t>
      </w:r>
      <w:r w:rsidRPr="00BD7BB1">
        <w:rPr>
          <w:rFonts w:ascii="Times New Roman" w:eastAsia="Times New Roman" w:hAnsi="Times New Roman"/>
          <w:b/>
          <w:bCs/>
          <w:color w:val="auto"/>
          <w:sz w:val="24"/>
          <w:szCs w:val="24"/>
          <w:lang w:val="bg-BG" w:eastAsia="bg-BG"/>
        </w:rPr>
        <w:t>4 375  лв.</w:t>
      </w:r>
      <w:r w:rsidRPr="00BD7BB1">
        <w:rPr>
          <w:rFonts w:ascii="Times New Roman" w:eastAsia="Times New Roman" w:hAnsi="Times New Roman"/>
          <w:bCs/>
          <w:color w:val="auto"/>
          <w:sz w:val="24"/>
          <w:szCs w:val="24"/>
          <w:lang w:val="bg-BG" w:eastAsia="bg-BG"/>
        </w:rPr>
        <w:t>, в сравнение с 2013  г</w:t>
      </w:r>
      <w:r w:rsidRPr="00BD7BB1">
        <w:rPr>
          <w:rFonts w:ascii="Times New Roman" w:eastAsia="Times New Roman" w:hAnsi="Times New Roman"/>
          <w:b/>
          <w:bCs/>
          <w:color w:val="auto"/>
          <w:sz w:val="24"/>
          <w:szCs w:val="24"/>
          <w:lang w:val="bg-BG" w:eastAsia="bg-BG"/>
        </w:rPr>
        <w:t>. с 96 лв.</w:t>
      </w:r>
      <w:r w:rsidRPr="00BD7BB1">
        <w:rPr>
          <w:rFonts w:ascii="Times New Roman" w:eastAsia="Times New Roman" w:hAnsi="Times New Roman"/>
          <w:bCs/>
          <w:color w:val="auto"/>
          <w:sz w:val="24"/>
          <w:szCs w:val="24"/>
          <w:lang w:val="bg-BG" w:eastAsia="bg-BG"/>
        </w:rPr>
        <w:t xml:space="preserve">  или 2,24 % , при средно за страната 4 813 лв. </w:t>
      </w:r>
      <w:r w:rsidRPr="00BD7BB1">
        <w:rPr>
          <w:rFonts w:ascii="Times New Roman" w:eastAsia="Times New Roman" w:hAnsi="Times New Roman"/>
          <w:b/>
          <w:bCs/>
          <w:color w:val="auto"/>
          <w:sz w:val="24"/>
          <w:szCs w:val="24"/>
          <w:lang w:val="bg-BG" w:eastAsia="bg-BG"/>
        </w:rPr>
        <w:t>.</w:t>
      </w:r>
      <w:r w:rsidRPr="00BD7BB1">
        <w:rPr>
          <w:rFonts w:ascii="Times New Roman" w:eastAsia="Times New Roman" w:hAnsi="Times New Roman"/>
          <w:bCs/>
          <w:color w:val="auto"/>
          <w:sz w:val="24"/>
          <w:szCs w:val="24"/>
          <w:lang w:val="bg-BG" w:eastAsia="bg-BG"/>
        </w:rPr>
        <w:t xml:space="preserve">   Във вътрешно регионален план най-висок е показателят за област Стара Загора (4 957лв.), следван от област Бургас (4 182лв.) и област Ямбол (4 133 лв.). Най -нисък е показателят за област Сливен (4 017  лв.). В сравнение с 2013 г. само област Сливен отчита ръст с 1 </w:t>
      </w:r>
      <w:r w:rsidRPr="00BD7BB1">
        <w:rPr>
          <w:rFonts w:ascii="Times New Roman" w:eastAsia="Times New Roman" w:hAnsi="Times New Roman"/>
          <w:bCs/>
          <w:color w:val="auto"/>
          <w:sz w:val="24"/>
          <w:szCs w:val="24"/>
          <w:lang w:val="bg-BG" w:eastAsia="bg-BG"/>
        </w:rPr>
        <w:lastRenderedPageBreak/>
        <w:t xml:space="preserve">003 лв., а </w:t>
      </w:r>
      <w:r w:rsidR="00510FFB">
        <w:rPr>
          <w:rFonts w:ascii="Times New Roman" w:eastAsia="Times New Roman" w:hAnsi="Times New Roman"/>
          <w:bCs/>
          <w:color w:val="auto"/>
          <w:sz w:val="24"/>
          <w:szCs w:val="24"/>
          <w:lang w:val="bg-BG" w:eastAsia="bg-BG"/>
        </w:rPr>
        <w:t xml:space="preserve">в </w:t>
      </w:r>
      <w:r w:rsidRPr="00BD7BB1">
        <w:rPr>
          <w:rFonts w:ascii="Times New Roman" w:eastAsia="Times New Roman" w:hAnsi="Times New Roman"/>
          <w:bCs/>
          <w:color w:val="auto"/>
          <w:sz w:val="24"/>
          <w:szCs w:val="24"/>
          <w:lang w:val="bg-BG" w:eastAsia="bg-BG"/>
        </w:rPr>
        <w:t xml:space="preserve">останалите области се отчита  спад с 52 лв. за област Бургас и  80 лв. за област Стара Загора. Най-висок е спада на доходите за област Ямбол с  439 и поради това отстъпва заеманото второ място през 2013 г. </w:t>
      </w:r>
    </w:p>
    <w:p w:rsidR="00F25110" w:rsidRPr="00BD7BB1" w:rsidRDefault="00F25110" w:rsidP="003F28E9">
      <w:pPr>
        <w:spacing w:after="0" w:line="360" w:lineRule="auto"/>
        <w:ind w:firstLine="720"/>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През 2014 г</w:t>
      </w:r>
      <w:r w:rsidRPr="00BD7BB1">
        <w:rPr>
          <w:rFonts w:ascii="Times New Roman" w:eastAsia="Times New Roman" w:hAnsi="Times New Roman"/>
          <w:b/>
          <w:bCs/>
          <w:color w:val="auto"/>
          <w:sz w:val="24"/>
          <w:szCs w:val="24"/>
          <w:lang w:val="bg-BG" w:eastAsia="bg-BG"/>
        </w:rPr>
        <w:t>. делът  на безработните, преминали курсове на преквалификация в ЮИР възлиза на 4,2 %</w:t>
      </w:r>
      <w:r w:rsidRPr="00BD7BB1">
        <w:rPr>
          <w:rFonts w:ascii="Times New Roman" w:eastAsia="Times New Roman" w:hAnsi="Times New Roman"/>
          <w:bCs/>
          <w:color w:val="auto"/>
          <w:sz w:val="24"/>
          <w:szCs w:val="24"/>
          <w:lang w:val="bg-BG" w:eastAsia="bg-BG"/>
        </w:rPr>
        <w:t>. Безработицата е в пряка връзка и зависимост с образованието на работната сила, групата на лицата с основно и по-ниско образование запазва най-голям относителен дял, поради което тези безработни  формират ядрото на продължително безработните, което за ЮИР е 36,5 %.  Липсата на квалификация и образование е сериозна пречка тези лица да бъдат успешно устроени на работа, в предвид ограничения брой на свободните работни места. От друга страна продължителността на престоя на безработните лица на трудовия пазар пряко влияе на активността им при търсене на работа. Наблюдението сочи, че тя се определя освен от регионалните икономически условия, но и от индивидуалните характеристики на работната сила – пол, възраст, професия, образование.</w:t>
      </w:r>
    </w:p>
    <w:p w:rsidR="00F25110" w:rsidRPr="00BD7BB1" w:rsidRDefault="00F25110" w:rsidP="003F28E9">
      <w:pPr>
        <w:spacing w:after="0" w:line="360" w:lineRule="auto"/>
        <w:ind w:firstLine="720"/>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През отчетната година в ЮИР са предприети мерки от Регионалните служби по заетост в Бургас и Хасково и Бюрата по труда в 33</w:t>
      </w:r>
      <w:r w:rsidRPr="00BD7BB1">
        <w:rPr>
          <w:rFonts w:ascii="Times New Roman" w:eastAsia="Times New Roman" w:hAnsi="Times New Roman"/>
          <w:bCs/>
          <w:color w:val="auto"/>
          <w:sz w:val="24"/>
          <w:szCs w:val="24"/>
          <w:vertAlign w:val="superscript"/>
          <w:lang w:val="bg-BG" w:eastAsia="bg-BG"/>
        </w:rPr>
        <w:t>те</w:t>
      </w:r>
      <w:r w:rsidRPr="00BD7BB1">
        <w:rPr>
          <w:rFonts w:ascii="Times New Roman" w:eastAsia="Times New Roman" w:hAnsi="Times New Roman"/>
          <w:bCs/>
          <w:color w:val="auto"/>
          <w:sz w:val="24"/>
          <w:szCs w:val="24"/>
          <w:lang w:val="bg-BG" w:eastAsia="bg-BG"/>
        </w:rPr>
        <w:t xml:space="preserve"> общини от ЮИР във връзка с </w:t>
      </w:r>
      <w:r w:rsidRPr="00BD7BB1">
        <w:rPr>
          <w:rFonts w:ascii="Times New Roman" w:eastAsia="Times New Roman" w:hAnsi="Times New Roman"/>
          <w:b/>
          <w:bCs/>
          <w:color w:val="auto"/>
          <w:sz w:val="24"/>
          <w:szCs w:val="24"/>
          <w:lang w:val="bg-BG" w:eastAsia="bg-BG"/>
        </w:rPr>
        <w:t>повишаване квалификацията и образоваността на безработните лица</w:t>
      </w:r>
      <w:r w:rsidRPr="00BD7BB1">
        <w:rPr>
          <w:rFonts w:ascii="Times New Roman" w:eastAsia="Times New Roman" w:hAnsi="Times New Roman"/>
          <w:bCs/>
          <w:color w:val="auto"/>
          <w:sz w:val="24"/>
          <w:szCs w:val="24"/>
          <w:lang w:val="bg-BG" w:eastAsia="bg-BG"/>
        </w:rPr>
        <w:t>.  Основните осем направления</w:t>
      </w:r>
      <w:r w:rsidR="00DB1CB3">
        <w:rPr>
          <w:rFonts w:ascii="Times New Roman" w:eastAsia="Times New Roman" w:hAnsi="Times New Roman"/>
          <w:bCs/>
          <w:color w:val="auto"/>
          <w:sz w:val="24"/>
          <w:szCs w:val="24"/>
          <w:lang w:val="bg-BG" w:eastAsia="bg-BG"/>
        </w:rPr>
        <w:t>,</w:t>
      </w:r>
      <w:r w:rsidRPr="00BD7BB1">
        <w:rPr>
          <w:rFonts w:ascii="Times New Roman" w:eastAsia="Times New Roman" w:hAnsi="Times New Roman"/>
          <w:bCs/>
          <w:color w:val="auto"/>
          <w:sz w:val="24"/>
          <w:szCs w:val="24"/>
          <w:lang w:val="bg-BG" w:eastAsia="bg-BG"/>
        </w:rPr>
        <w:t xml:space="preserve"> по които безработните лица повишават своята професио</w:t>
      </w:r>
      <w:r w:rsidR="00B6388E">
        <w:rPr>
          <w:rFonts w:ascii="Times New Roman" w:eastAsia="Times New Roman" w:hAnsi="Times New Roman"/>
          <w:bCs/>
          <w:color w:val="auto"/>
          <w:sz w:val="24"/>
          <w:szCs w:val="24"/>
          <w:lang w:val="bg-BG" w:eastAsia="bg-BG"/>
        </w:rPr>
        <w:t>нална квалификация са : Проект „Шанс за работа – 2014“</w:t>
      </w:r>
      <w:r w:rsidRPr="00BD7BB1">
        <w:rPr>
          <w:rFonts w:ascii="Times New Roman" w:eastAsia="Times New Roman" w:hAnsi="Times New Roman"/>
          <w:bCs/>
          <w:color w:val="auto"/>
          <w:sz w:val="24"/>
          <w:szCs w:val="24"/>
          <w:lang w:val="bg-BG" w:eastAsia="bg-BG"/>
        </w:rPr>
        <w:t xml:space="preserve">; Проект  </w:t>
      </w:r>
      <w:r w:rsidR="00B6388E">
        <w:rPr>
          <w:rFonts w:ascii="Times New Roman" w:eastAsia="Times New Roman" w:hAnsi="Times New Roman"/>
          <w:bCs/>
          <w:color w:val="auto"/>
          <w:sz w:val="24"/>
          <w:szCs w:val="24"/>
          <w:lang w:val="bg-BG" w:eastAsia="bg-BG"/>
        </w:rPr>
        <w:t>„</w:t>
      </w:r>
      <w:r w:rsidRPr="00BD7BB1">
        <w:rPr>
          <w:rFonts w:ascii="Times New Roman" w:eastAsia="Times New Roman" w:hAnsi="Times New Roman"/>
          <w:bCs/>
          <w:color w:val="auto"/>
          <w:sz w:val="24"/>
          <w:szCs w:val="24"/>
          <w:lang w:val="bg-BG" w:eastAsia="bg-BG"/>
        </w:rPr>
        <w:t>Професионално обучение и Мотивация за учене и труд с цел пос</w:t>
      </w:r>
      <w:r w:rsidR="00B6388E">
        <w:rPr>
          <w:rFonts w:ascii="Times New Roman" w:eastAsia="Times New Roman" w:hAnsi="Times New Roman"/>
          <w:bCs/>
          <w:color w:val="auto"/>
          <w:sz w:val="24"/>
          <w:szCs w:val="24"/>
          <w:lang w:val="bg-BG" w:eastAsia="bg-BG"/>
        </w:rPr>
        <w:t>тигане на Пригодност за заетост“</w:t>
      </w:r>
      <w:r w:rsidRPr="00BD7BB1">
        <w:rPr>
          <w:rFonts w:ascii="Times New Roman" w:eastAsia="Times New Roman" w:hAnsi="Times New Roman"/>
          <w:bCs/>
          <w:color w:val="auto"/>
          <w:sz w:val="24"/>
          <w:szCs w:val="24"/>
          <w:lang w:val="bg-BG" w:eastAsia="bg-BG"/>
        </w:rPr>
        <w:t xml:space="preserve">; </w:t>
      </w:r>
      <w:r w:rsidR="00B6388E">
        <w:rPr>
          <w:rFonts w:ascii="Times New Roman" w:eastAsia="Times New Roman" w:hAnsi="Times New Roman"/>
          <w:bCs/>
          <w:color w:val="auto"/>
          <w:sz w:val="24"/>
          <w:szCs w:val="24"/>
          <w:lang w:val="bg-BG" w:eastAsia="bg-BG"/>
        </w:rPr>
        <w:t>Проект „От обучение към заетост“</w:t>
      </w:r>
      <w:r w:rsidRPr="00BD7BB1">
        <w:rPr>
          <w:rFonts w:ascii="Times New Roman" w:eastAsia="Times New Roman" w:hAnsi="Times New Roman"/>
          <w:bCs/>
          <w:color w:val="auto"/>
          <w:sz w:val="24"/>
          <w:szCs w:val="24"/>
          <w:lang w:val="bg-BG" w:eastAsia="bg-BG"/>
        </w:rPr>
        <w:t xml:space="preserve">; Проект "КОМПАС"- НПДЗ 2014 г.; Схема </w:t>
      </w:r>
      <w:r w:rsidR="00B6388E">
        <w:rPr>
          <w:rFonts w:ascii="Times New Roman" w:eastAsia="Times New Roman" w:hAnsi="Times New Roman"/>
          <w:bCs/>
          <w:color w:val="auto"/>
          <w:sz w:val="24"/>
          <w:szCs w:val="24"/>
          <w:lang w:val="bg-BG" w:eastAsia="bg-BG"/>
        </w:rPr>
        <w:t>BG051PO001-1.1.12 “Първа работа“; Схема BG051PO001-1.1.10 „</w:t>
      </w:r>
      <w:r w:rsidRPr="00BD7BB1">
        <w:rPr>
          <w:rFonts w:ascii="Times New Roman" w:eastAsia="Times New Roman" w:hAnsi="Times New Roman"/>
          <w:bCs/>
          <w:color w:val="auto"/>
          <w:sz w:val="24"/>
          <w:szCs w:val="24"/>
          <w:lang w:val="bg-BG" w:eastAsia="bg-BG"/>
        </w:rPr>
        <w:t>Квалификация и мотивация за конкурент</w:t>
      </w:r>
      <w:r w:rsidR="00B6388E">
        <w:rPr>
          <w:rFonts w:ascii="Times New Roman" w:eastAsia="Times New Roman" w:hAnsi="Times New Roman"/>
          <w:bCs/>
          <w:color w:val="auto"/>
          <w:sz w:val="24"/>
          <w:szCs w:val="24"/>
          <w:lang w:val="bg-BG" w:eastAsia="bg-BG"/>
        </w:rPr>
        <w:t>но включване на пазара на труда“</w:t>
      </w:r>
      <w:r w:rsidRPr="00BD7BB1">
        <w:rPr>
          <w:rFonts w:ascii="Times New Roman" w:eastAsia="Times New Roman" w:hAnsi="Times New Roman"/>
          <w:bCs/>
          <w:color w:val="auto"/>
          <w:sz w:val="24"/>
          <w:szCs w:val="24"/>
          <w:lang w:val="bg-BG" w:eastAsia="bg-BG"/>
        </w:rPr>
        <w:t>, Схема BG051PO001-1.1</w:t>
      </w:r>
      <w:r w:rsidR="00B6388E">
        <w:rPr>
          <w:rFonts w:ascii="Times New Roman" w:eastAsia="Times New Roman" w:hAnsi="Times New Roman"/>
          <w:bCs/>
          <w:color w:val="auto"/>
          <w:sz w:val="24"/>
          <w:szCs w:val="24"/>
          <w:lang w:val="bg-BG" w:eastAsia="bg-BG"/>
        </w:rPr>
        <w:t>.13 „Ново работно място“ и Програма „Красива България“</w:t>
      </w:r>
      <w:r w:rsidRPr="00BD7BB1">
        <w:rPr>
          <w:rFonts w:ascii="Times New Roman" w:eastAsia="Times New Roman" w:hAnsi="Times New Roman"/>
          <w:bCs/>
          <w:color w:val="auto"/>
          <w:sz w:val="24"/>
          <w:szCs w:val="24"/>
          <w:lang w:val="bg-BG" w:eastAsia="bg-BG"/>
        </w:rPr>
        <w:t xml:space="preserve">. </w:t>
      </w:r>
    </w:p>
    <w:p w:rsidR="00F25110" w:rsidRPr="00BD7BB1" w:rsidRDefault="00F25110" w:rsidP="00565F5A">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Годишният преглед за 2014 г. на изпълнението на  приоритет 2   показва, че финансова подкрепа е получена по ОП „Развитие на човешки ресурси 2007-2013” (ОПРЧР) по следните направления, които съвпадат с дейностите на приоритета:  </w:t>
      </w:r>
      <w:r w:rsidRPr="00BD7BB1">
        <w:rPr>
          <w:rFonts w:ascii="Times New Roman" w:eastAsia="Calibri" w:hAnsi="Times New Roman"/>
          <w:b/>
          <w:color w:val="auto"/>
          <w:sz w:val="24"/>
          <w:szCs w:val="24"/>
          <w:lang w:val="bg-BG"/>
        </w:rPr>
        <w:t xml:space="preserve">повишаване на производителността и адаптивността на заетите; подобряване качеството на образованието и обучението в съответствие с потребностите на пазара на труда за изграждане на икономика, основана на знанието; подобряване на достъпа до образование и обучение, както и социално включване и насърчаване на социалната икономика. </w:t>
      </w:r>
      <w:r w:rsidRPr="00BD7BB1">
        <w:rPr>
          <w:rFonts w:ascii="Times New Roman" w:eastAsia="Calibri" w:hAnsi="Times New Roman"/>
          <w:color w:val="auto"/>
          <w:sz w:val="24"/>
          <w:szCs w:val="24"/>
          <w:lang w:val="bg-BG"/>
        </w:rPr>
        <w:t xml:space="preserve">Конкретният принос на  ОПРЧР за развитието на ЮИР се изразява в подкрепа на безработни и заети лица от района, които желаят да повишат своята квалификация и адаптивност, както и  подкрепа на деца, ученици и студенти. Специален фокус е поставен и върху включването на децата от етническите малцинства, на тези със специални образователни потребности, както и на младежите, отпаднали от образователната система и тези, лишени от родителска грижа. </w:t>
      </w:r>
    </w:p>
    <w:p w:rsidR="00F25110" w:rsidRPr="00BD7BB1" w:rsidRDefault="00F25110" w:rsidP="00565F5A">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На територията на ЮИР се реализират проекти като: „Социална подкрепа за семейна заетост”, Транснационално сътрудничество за разработване на интегрирани модели за социално включване на уязвими етнически общности, с фокус върху ромите, Ново начало. Стартиране на иновативни социални услуги за хората с увреждания в Бургас. „Шанс за заетост“; „Стартиране развиването на самостоятелна стопанска дейност за проектиране, изграждане и поддръжка на зелени площи“; „Стартиране на самостоятелна стопанска дейност „Фризьорски салон“; „Работилница за услуги и изработка на изделия от дърво, метал и текстил“;  „Обучителен център за водачи на МПС“;  „Създаване на рекламно студио“; „Социално включване на деца и младежи чрез предоставяне на алтернативни услуги“; „Алтернативни социални услуги за малки деца“: „Създаване на Център за социална подкрепа на деца и младежи от ДДЛРГ-гр. Ямбол“; „Грижа за независимост и достоен живот на хора с увреждания и самотно живеещи в семейна среда - дейност „домашен помощник”; „Създаване на книжарница за ученически пособия“; „Повишаване квалификацията на персонала в „Хля</w:t>
      </w:r>
      <w:r w:rsidR="00844CEF">
        <w:rPr>
          <w:rFonts w:ascii="Times New Roman" w:eastAsia="Calibri" w:hAnsi="Times New Roman"/>
          <w:color w:val="auto"/>
          <w:sz w:val="24"/>
          <w:szCs w:val="24"/>
          <w:lang w:val="bg-BG"/>
        </w:rPr>
        <w:t>б и хлебни изделия Бургас“ ЕООД</w:t>
      </w:r>
      <w:r w:rsidRPr="00BD7BB1">
        <w:rPr>
          <w:rFonts w:ascii="Times New Roman" w:eastAsia="Calibri" w:hAnsi="Times New Roman"/>
          <w:color w:val="auto"/>
          <w:sz w:val="24"/>
          <w:szCs w:val="24"/>
          <w:lang w:val="bg-BG"/>
        </w:rPr>
        <w:t xml:space="preserve">; „Актуализиране и разширяване на компетенциите на охранителите, съгласно съвременните стандарти за охранителна дейност“; „Социална подкрепа за семейна заетост”; „Заедно можем повече”; „Компетентности модели за социално включване на уязвими етнически общности, с фокус върху ромите“; „Грижа в семейна среда за независимост и достоен живот на хора с различни видове увреждания и самотно живеещи хора - дейности „Социален асистент“ и „Домашен помощник“.  </w:t>
      </w:r>
    </w:p>
    <w:p w:rsidR="00F25110" w:rsidRPr="00BD7BB1" w:rsidRDefault="00F25110" w:rsidP="00565F5A">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в ЮИР са  предприети </w:t>
      </w:r>
      <w:r w:rsidRPr="00BD7BB1">
        <w:rPr>
          <w:rFonts w:ascii="Times New Roman" w:eastAsia="Calibri" w:hAnsi="Times New Roman"/>
          <w:b/>
          <w:color w:val="auto"/>
          <w:sz w:val="24"/>
          <w:szCs w:val="24"/>
          <w:lang w:val="bg-BG"/>
        </w:rPr>
        <w:t>мерки за насърчаване на икономическата активност и развитие на пазар</w:t>
      </w:r>
      <w:r w:rsidR="00004AF4">
        <w:rPr>
          <w:rFonts w:ascii="Times New Roman" w:eastAsia="Calibri" w:hAnsi="Times New Roman"/>
          <w:b/>
          <w:color w:val="auto"/>
          <w:sz w:val="24"/>
          <w:szCs w:val="24"/>
          <w:lang w:val="bg-BG"/>
        </w:rPr>
        <w:t>а</w:t>
      </w:r>
      <w:r w:rsidRPr="00BD7BB1">
        <w:rPr>
          <w:rFonts w:ascii="Times New Roman" w:eastAsia="Calibri" w:hAnsi="Times New Roman"/>
          <w:b/>
          <w:color w:val="auto"/>
          <w:sz w:val="24"/>
          <w:szCs w:val="24"/>
          <w:lang w:val="bg-BG"/>
        </w:rPr>
        <w:t xml:space="preserve"> на труда</w:t>
      </w:r>
      <w:r w:rsidRPr="00BD7BB1">
        <w:rPr>
          <w:rFonts w:ascii="Times New Roman" w:eastAsia="Calibri" w:hAnsi="Times New Roman"/>
          <w:color w:val="auto"/>
          <w:sz w:val="24"/>
          <w:szCs w:val="24"/>
          <w:lang w:val="bg-BG"/>
        </w:rPr>
        <w:t>, насърчаващ включването на обща стойност 3 831 388,42 лева. Общият  брой проекти е 97 ( 21 - приключени, 76 в процес на изпълнение) в 17 общини ( от общо 33 общини в ЮИР) както следва: Сливен, Котел, Твърдица, Нова Загора, Стара Загора, Казанлък, Чирпан, Гурково, Бургас, Поморие, Несебър, Айтос, Камено,</w:t>
      </w:r>
      <w:r w:rsidR="00481734">
        <w:rPr>
          <w:rFonts w:ascii="Times New Roman" w:eastAsia="Calibri" w:hAnsi="Times New Roman"/>
          <w:color w:val="auto"/>
          <w:sz w:val="24"/>
          <w:szCs w:val="24"/>
          <w:lang w:val="bg-BG"/>
        </w:rPr>
        <w:t xml:space="preserve"> </w:t>
      </w:r>
      <w:r w:rsidRPr="00BD7BB1">
        <w:rPr>
          <w:rFonts w:ascii="Times New Roman" w:eastAsia="Calibri" w:hAnsi="Times New Roman"/>
          <w:color w:val="auto"/>
          <w:sz w:val="24"/>
          <w:szCs w:val="24"/>
          <w:lang w:val="bg-BG"/>
        </w:rPr>
        <w:t>Руен</w:t>
      </w:r>
      <w:r w:rsidR="00481734">
        <w:rPr>
          <w:rFonts w:ascii="Times New Roman" w:eastAsia="Calibri" w:hAnsi="Times New Roman"/>
          <w:color w:val="auto"/>
          <w:sz w:val="24"/>
          <w:szCs w:val="24"/>
          <w:lang w:val="bg-BG"/>
        </w:rPr>
        <w:t>,</w:t>
      </w:r>
      <w:r w:rsidRPr="00BD7BB1">
        <w:rPr>
          <w:rFonts w:ascii="Times New Roman" w:eastAsia="Calibri" w:hAnsi="Times New Roman"/>
          <w:color w:val="auto"/>
          <w:sz w:val="24"/>
          <w:szCs w:val="24"/>
          <w:lang w:val="bg-BG"/>
        </w:rPr>
        <w:t xml:space="preserve"> Ямбол, Тунджа и Елхово.</w:t>
      </w:r>
    </w:p>
    <w:p w:rsidR="00F25110" w:rsidRPr="00BD7BB1" w:rsidRDefault="00F25110" w:rsidP="00F25110">
      <w:pPr>
        <w:spacing w:after="200" w:line="360" w:lineRule="auto"/>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 </w:t>
      </w:r>
      <w:r w:rsidR="00565F5A">
        <w:rPr>
          <w:rFonts w:ascii="Times New Roman" w:eastAsia="Calibri" w:hAnsi="Times New Roman"/>
          <w:color w:val="auto"/>
          <w:sz w:val="24"/>
          <w:szCs w:val="24"/>
          <w:lang w:val="bg-BG"/>
        </w:rPr>
        <w:tab/>
      </w:r>
      <w:r w:rsidRPr="00BD7BB1">
        <w:rPr>
          <w:rFonts w:ascii="Times New Roman" w:eastAsia="Calibri" w:hAnsi="Times New Roman"/>
          <w:color w:val="auto"/>
          <w:sz w:val="24"/>
          <w:szCs w:val="24"/>
          <w:lang w:val="bg-BG"/>
        </w:rPr>
        <w:t xml:space="preserve">През 2014 г. в ЮИР са  предприети </w:t>
      </w:r>
      <w:r w:rsidRPr="00BD7BB1">
        <w:rPr>
          <w:rFonts w:ascii="Times New Roman" w:eastAsia="Calibri" w:hAnsi="Times New Roman"/>
          <w:b/>
          <w:color w:val="auto"/>
          <w:sz w:val="24"/>
          <w:szCs w:val="24"/>
          <w:lang w:val="bg-BG"/>
        </w:rPr>
        <w:t>мерки за повишаване на производителността и адаптивността на заетите</w:t>
      </w:r>
      <w:r w:rsidRPr="00BD7BB1">
        <w:rPr>
          <w:rFonts w:ascii="Times New Roman" w:eastAsia="Calibri" w:hAnsi="Times New Roman"/>
          <w:color w:val="auto"/>
          <w:sz w:val="24"/>
          <w:szCs w:val="24"/>
          <w:lang w:val="bg-BG"/>
        </w:rPr>
        <w:t xml:space="preserve"> по ОПРЧР на обща стойност 17937 020,70 лева.  Общият  брой проекти е 158 ( 101- приключени, . 57. - в процес на изпълнение) в 16 общини : Сливен, Нова Загора, Стара Загора, Казанлък, Раднево, Ямбол, Елхово</w:t>
      </w:r>
      <w:r w:rsidR="00481734">
        <w:rPr>
          <w:rFonts w:ascii="Times New Roman" w:eastAsia="Calibri" w:hAnsi="Times New Roman"/>
          <w:color w:val="auto"/>
          <w:sz w:val="24"/>
          <w:szCs w:val="24"/>
          <w:lang w:val="bg-BG"/>
        </w:rPr>
        <w:t>,</w:t>
      </w:r>
      <w:r w:rsidRPr="00BD7BB1">
        <w:rPr>
          <w:rFonts w:ascii="Times New Roman" w:eastAsia="Calibri" w:hAnsi="Times New Roman"/>
          <w:color w:val="auto"/>
          <w:sz w:val="24"/>
          <w:szCs w:val="24"/>
          <w:lang w:val="bg-BG"/>
        </w:rPr>
        <w:t xml:space="preserve"> Болярово, Бургас, Айтос, Поморие, Несебър, Карнобат, Созопол, Камено</w:t>
      </w:r>
      <w:r w:rsidR="00481734">
        <w:rPr>
          <w:rFonts w:ascii="Times New Roman" w:eastAsia="Calibri" w:hAnsi="Times New Roman"/>
          <w:color w:val="auto"/>
          <w:sz w:val="24"/>
          <w:szCs w:val="24"/>
          <w:lang w:val="bg-BG"/>
        </w:rPr>
        <w:t xml:space="preserve"> и</w:t>
      </w:r>
      <w:r w:rsidRPr="00BD7BB1">
        <w:rPr>
          <w:rFonts w:ascii="Times New Roman" w:eastAsia="Calibri" w:hAnsi="Times New Roman"/>
          <w:color w:val="auto"/>
          <w:sz w:val="24"/>
          <w:szCs w:val="24"/>
          <w:lang w:val="bg-BG"/>
        </w:rPr>
        <w:t xml:space="preserve"> Руен.</w:t>
      </w:r>
    </w:p>
    <w:p w:rsidR="00F25110" w:rsidRPr="00BD7BB1" w:rsidRDefault="00F25110" w:rsidP="00565F5A">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в ЮИР са предприети </w:t>
      </w:r>
      <w:r w:rsidRPr="00BD7BB1">
        <w:rPr>
          <w:rFonts w:ascii="Times New Roman" w:eastAsia="Calibri" w:hAnsi="Times New Roman"/>
          <w:b/>
          <w:color w:val="auto"/>
          <w:sz w:val="24"/>
          <w:szCs w:val="24"/>
          <w:lang w:val="bg-BG"/>
        </w:rPr>
        <w:t>мерки за социално включване и насърчаване на социалната икономика</w:t>
      </w:r>
      <w:r w:rsidRPr="00BD7BB1">
        <w:rPr>
          <w:rFonts w:ascii="Times New Roman" w:eastAsia="Calibri" w:hAnsi="Times New Roman"/>
          <w:color w:val="auto"/>
          <w:sz w:val="24"/>
          <w:szCs w:val="24"/>
          <w:lang w:val="bg-BG"/>
        </w:rPr>
        <w:t xml:space="preserve"> по ОПРЧР на обща стойност 16 848 650,02  лв.  Общият брой проекти е 108 проекта, приключили са 79 проекта, а в процес на изпълнение са 29 проекта  в почти всички общини от ЮИР: Сливен, Нова Загора, Твърдица, Казанлък, Гълъбово, Стара Загора, Мъглиж, Чирпан, Павел Баня, Николаево, Опан, Раднево, Гурково, Ямбол, Тунджа, Б</w:t>
      </w:r>
      <w:r w:rsidR="00590471">
        <w:rPr>
          <w:rFonts w:ascii="Times New Roman" w:eastAsia="Calibri" w:hAnsi="Times New Roman"/>
          <w:color w:val="auto"/>
          <w:sz w:val="24"/>
          <w:szCs w:val="24"/>
          <w:lang w:val="bg-BG"/>
        </w:rPr>
        <w:t xml:space="preserve">олярово, Елхово, </w:t>
      </w:r>
      <w:r w:rsidRPr="00BD7BB1">
        <w:rPr>
          <w:rFonts w:ascii="Times New Roman" w:eastAsia="Calibri" w:hAnsi="Times New Roman"/>
          <w:color w:val="auto"/>
          <w:sz w:val="24"/>
          <w:szCs w:val="24"/>
          <w:lang w:val="bg-BG"/>
        </w:rPr>
        <w:t>Стралджа, Бургас, Несебър, Средец, Айтос, Малко Търново, Созопол, Карнобат, Сунгурларе, Камено, Царево и Поморие.</w:t>
      </w:r>
    </w:p>
    <w:p w:rsidR="00F25110" w:rsidRPr="00BD7BB1" w:rsidRDefault="00F25110" w:rsidP="00565F5A">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С най-много проекти инвестиращи в </w:t>
      </w:r>
      <w:r w:rsidRPr="00BD7BB1">
        <w:rPr>
          <w:rFonts w:ascii="Times New Roman" w:eastAsia="Calibri" w:hAnsi="Times New Roman"/>
          <w:b/>
          <w:color w:val="auto"/>
          <w:sz w:val="24"/>
          <w:szCs w:val="24"/>
          <w:lang w:val="bg-BG"/>
        </w:rPr>
        <w:t xml:space="preserve">повишаване производителността и адаптивността на заетите </w:t>
      </w:r>
      <w:r w:rsidRPr="00BD7BB1">
        <w:rPr>
          <w:rFonts w:ascii="Times New Roman" w:eastAsia="Calibri" w:hAnsi="Times New Roman"/>
          <w:color w:val="auto"/>
          <w:sz w:val="24"/>
          <w:szCs w:val="24"/>
          <w:lang w:val="bg-BG"/>
        </w:rPr>
        <w:t>се отличава област Бургас, следвана от общините Ямбол, Стара Загора и Сливен. Чрез реализирането на тези проекти се цели:   повишаване на професионална квалификация;  развитие на  човешките ресурси; актуализиране и разширяване на компетенциите; повишаване на качеството на работната сила и качеството на обслужване; адаптивността</w:t>
      </w:r>
      <w:r w:rsidR="002C60FF">
        <w:rPr>
          <w:rFonts w:ascii="Times New Roman" w:eastAsia="Calibri" w:hAnsi="Times New Roman"/>
          <w:color w:val="auto"/>
          <w:sz w:val="24"/>
          <w:szCs w:val="24"/>
          <w:lang w:val="bg-BG"/>
        </w:rPr>
        <w:t>,</w:t>
      </w:r>
      <w:r w:rsidRPr="00BD7BB1">
        <w:rPr>
          <w:rFonts w:ascii="Times New Roman" w:eastAsia="Calibri" w:hAnsi="Times New Roman"/>
          <w:color w:val="auto"/>
          <w:sz w:val="24"/>
          <w:szCs w:val="24"/>
          <w:lang w:val="bg-BG"/>
        </w:rPr>
        <w:t xml:space="preserve"> ефективен</w:t>
      </w:r>
      <w:r w:rsidR="002C60FF">
        <w:rPr>
          <w:rFonts w:ascii="Times New Roman" w:eastAsia="Calibri" w:hAnsi="Times New Roman"/>
          <w:color w:val="auto"/>
          <w:sz w:val="24"/>
          <w:szCs w:val="24"/>
          <w:lang w:val="bg-BG"/>
        </w:rPr>
        <w:t>остта</w:t>
      </w:r>
      <w:r w:rsidRPr="00BD7BB1">
        <w:rPr>
          <w:rFonts w:ascii="Times New Roman" w:eastAsia="Calibri" w:hAnsi="Times New Roman"/>
          <w:color w:val="auto"/>
          <w:sz w:val="24"/>
          <w:szCs w:val="24"/>
          <w:lang w:val="bg-BG"/>
        </w:rPr>
        <w:t xml:space="preserve"> и качеството на заетите; повишаване на здравословните и безопасни условия на труд и оптимизация на организацията на трудовата дейност, както и в  усъвършенстване организацията на трудовата дейност за повишаване ефективността на производството и производителността на труда.</w:t>
      </w:r>
    </w:p>
    <w:p w:rsidR="00F25110" w:rsidRPr="00BD7BB1" w:rsidRDefault="00F25110" w:rsidP="00565F5A">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2014г. в ЮИР са предприети </w:t>
      </w:r>
      <w:r w:rsidRPr="00BD7BB1">
        <w:rPr>
          <w:rFonts w:ascii="Times New Roman" w:eastAsia="Calibri" w:hAnsi="Times New Roman"/>
          <w:b/>
          <w:color w:val="auto"/>
          <w:sz w:val="24"/>
          <w:szCs w:val="24"/>
          <w:lang w:val="bg-BG"/>
        </w:rPr>
        <w:t>мерки за подобряване качеството на образованието и обучението в съответствие с потребностите на пазара на труда за изграждане на икономика, основана на знанието</w:t>
      </w:r>
      <w:r w:rsidRPr="00BD7BB1">
        <w:rPr>
          <w:rFonts w:ascii="Times New Roman" w:eastAsia="Calibri" w:hAnsi="Times New Roman"/>
          <w:color w:val="auto"/>
          <w:sz w:val="24"/>
          <w:szCs w:val="24"/>
          <w:lang w:val="bg-BG"/>
        </w:rPr>
        <w:t xml:space="preserve"> по ОПРЧР на обща стойност 2 607 705,83 лв. Общият брой проекти е 22 (14 - приключили и 8 в процес на изпълнение)  в професионалните гимназии в общините Сливен, Стара Загора, Казанлък, Мъглиж, Павел Баня, Ямбол, Бургас  както и в  трите университета от ЮИР: Тракийски университет,  Бургаски свободен университет и  Университет „Проф. д-р Асен Златаров“.  </w:t>
      </w:r>
    </w:p>
    <w:p w:rsidR="00F25110" w:rsidRPr="00BD7BB1" w:rsidRDefault="00F25110" w:rsidP="00565F5A">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в ЮИР са предприети </w:t>
      </w:r>
      <w:r w:rsidRPr="00BD7BB1">
        <w:rPr>
          <w:rFonts w:ascii="Times New Roman" w:eastAsia="Calibri" w:hAnsi="Times New Roman"/>
          <w:b/>
          <w:color w:val="auto"/>
          <w:sz w:val="24"/>
          <w:szCs w:val="24"/>
          <w:lang w:val="bg-BG"/>
        </w:rPr>
        <w:t>мерки за социално включване и насърчаване на социалната икономика на основата на транснационално и междурегионално сътрудничество</w:t>
      </w:r>
      <w:r w:rsidRPr="00BD7BB1">
        <w:rPr>
          <w:rFonts w:ascii="Times New Roman" w:eastAsia="Calibri" w:hAnsi="Times New Roman"/>
          <w:color w:val="auto"/>
          <w:sz w:val="24"/>
          <w:szCs w:val="24"/>
          <w:lang w:val="bg-BG"/>
        </w:rPr>
        <w:t>. Реализирани са 8 проекта на територията на областите Стара Загора и Бургас в общините Стара Загора, Чирпан, Братя Даскалови, Бургас, Созопол и Несебър от ЮИР. В процес на изпълнение са 7 от тях . В резултат има финансирани интервенции в  следните области: заетост, обучение и учене през целия живот, социално включване, добро управление на проекти и програми. Проектите допринасят за укрепване на капацитета на ЮИР в тези области и за изпълнението на приоритет 2   през 2014г. с  общ бюджет  154 561,50 евро.</w:t>
      </w:r>
    </w:p>
    <w:p w:rsidR="00F25110" w:rsidRPr="00BD7BB1" w:rsidRDefault="00F25110" w:rsidP="00565F5A">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Развитието на социалното предприемачество, като част от стратегията за ефективно социално включване на уязвими групи, създава предпоставки за обединяването на икономическия и социалния ресурс за преодоляване на социалната изолация. Реализираните проекти на територията на ЮИР създават  условия за намаляване на бедността, чрез включването на уязвимите групи в различни форми на трудова дейност, с изразен социален ефект и създават предпоставки за устойчивост на мерките в сферата на социалната политика.</w:t>
      </w:r>
    </w:p>
    <w:p w:rsidR="00F25110" w:rsidRPr="00BD7BB1" w:rsidRDefault="00F25110" w:rsidP="00565F5A">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В ЮИР през 2014 г. се реализират 5 проекта по </w:t>
      </w:r>
      <w:r w:rsidRPr="00BD7BB1">
        <w:rPr>
          <w:rFonts w:ascii="Times New Roman" w:eastAsia="Calibri" w:hAnsi="Times New Roman"/>
          <w:b/>
          <w:color w:val="auto"/>
          <w:sz w:val="24"/>
          <w:szCs w:val="24"/>
          <w:lang w:val="bg-BG"/>
        </w:rPr>
        <w:t>схема “Ново работно място”, ПО1.Насърчаване на икономическата активност и развитие на пазар на труда на ОПРЧР</w:t>
      </w:r>
      <w:r w:rsidRPr="00BD7BB1">
        <w:rPr>
          <w:rFonts w:ascii="Times New Roman" w:eastAsia="Calibri" w:hAnsi="Times New Roman"/>
          <w:color w:val="auto"/>
          <w:sz w:val="24"/>
          <w:szCs w:val="24"/>
          <w:lang w:val="bg-BG"/>
        </w:rPr>
        <w:t xml:space="preserve"> на обща стойност /договорена/ 768 882,80лв. И 5</w:t>
      </w:r>
      <w:r w:rsidRPr="00BD7BB1">
        <w:rPr>
          <w:rFonts w:ascii="Times New Roman" w:eastAsia="Calibri" w:hAnsi="Times New Roman"/>
          <w:color w:val="auto"/>
          <w:sz w:val="24"/>
          <w:szCs w:val="24"/>
          <w:vertAlign w:val="superscript"/>
          <w:lang w:val="bg-BG"/>
        </w:rPr>
        <w:t>те</w:t>
      </w:r>
      <w:r w:rsidRPr="00BD7BB1">
        <w:rPr>
          <w:rFonts w:ascii="Times New Roman" w:eastAsia="Calibri" w:hAnsi="Times New Roman"/>
          <w:color w:val="auto"/>
          <w:sz w:val="24"/>
          <w:szCs w:val="24"/>
          <w:lang w:val="bg-BG"/>
        </w:rPr>
        <w:t xml:space="preserve"> проекта са в процес на изпълнение и към края на 2014г. са усвоени средства на стойност 206 122,00 лв. Проектите се реализират в общините, както следва: Община Бургас – 2 проекта, Община Ямбол – 1, Община Сливен – 1 и Община Стара Загора – 1. Схема “Ново работно място” освен да осигури обучение и заетост на безработни младежи,  подпомага и работодателите, като осигурява подкрепа за инвестиционните разходи и разходите за труд, свързани със създаването на новото работно място. Като добър пример може да бъде посочен  успешно реализирания проект с  бенефициен</w:t>
      </w:r>
      <w:r w:rsidR="00481734">
        <w:rPr>
          <w:rFonts w:ascii="Times New Roman" w:eastAsia="Calibri" w:hAnsi="Times New Roman"/>
          <w:color w:val="auto"/>
          <w:sz w:val="24"/>
          <w:szCs w:val="24"/>
          <w:lang w:val="bg-BG"/>
        </w:rPr>
        <w:t>т: ЕТ „</w:t>
      </w:r>
      <w:r w:rsidRPr="00BD7BB1">
        <w:rPr>
          <w:rFonts w:ascii="Times New Roman" w:eastAsia="Calibri" w:hAnsi="Times New Roman"/>
          <w:color w:val="auto"/>
          <w:sz w:val="24"/>
          <w:szCs w:val="24"/>
          <w:lang w:val="bg-BG"/>
        </w:rPr>
        <w:t>ВИТОН - ДАРИНА ДИМИТРОВА“– гр. Стара Загора</w:t>
      </w:r>
      <w:r w:rsidR="00F27304">
        <w:rPr>
          <w:rFonts w:ascii="Times New Roman" w:eastAsia="Calibri" w:hAnsi="Times New Roman"/>
          <w:color w:val="auto"/>
          <w:sz w:val="24"/>
          <w:szCs w:val="24"/>
          <w:lang w:val="bg-BG"/>
        </w:rPr>
        <w:t>,</w:t>
      </w:r>
      <w:r w:rsidRPr="00BD7BB1">
        <w:rPr>
          <w:rFonts w:ascii="Times New Roman" w:eastAsia="Calibri" w:hAnsi="Times New Roman"/>
          <w:color w:val="auto"/>
          <w:sz w:val="24"/>
          <w:szCs w:val="24"/>
          <w:lang w:val="bg-BG"/>
        </w:rPr>
        <w:t xml:space="preserve"> по който се обучават 24  безработни младежи до 29-годишна възраст, които вече са наети на работа.</w:t>
      </w:r>
    </w:p>
    <w:p w:rsidR="00F25110" w:rsidRPr="00BD7BB1" w:rsidRDefault="00F25110" w:rsidP="00565F5A">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За периода 2014 – 2020 г.  </w:t>
      </w:r>
      <w:r w:rsidRPr="00BD7BB1">
        <w:rPr>
          <w:rFonts w:ascii="Times New Roman" w:eastAsia="Calibri" w:hAnsi="Times New Roman"/>
          <w:b/>
          <w:color w:val="auto"/>
          <w:sz w:val="24"/>
          <w:szCs w:val="24"/>
          <w:lang w:val="bg-BG"/>
        </w:rPr>
        <w:t>процедура “Ново работно място“ ще стартира през 2015 г</w:t>
      </w:r>
      <w:r w:rsidRPr="00BD7BB1">
        <w:rPr>
          <w:rFonts w:ascii="Times New Roman" w:eastAsia="Calibri" w:hAnsi="Times New Roman"/>
          <w:color w:val="auto"/>
          <w:sz w:val="24"/>
          <w:szCs w:val="24"/>
          <w:lang w:val="bg-BG"/>
        </w:rPr>
        <w:t>. с цел да осигури предпоставки за създаване на устойчиви работни места за безработни и неактивни лица. Тази цел ще бъде постигната посредством комбинация от мерки за осигуряване на подходящи обучения, включително на работното място, както и предоставяне на разнообразни стимули за работодателите за разкриване на нови работни места. Операцията ще постави акцент върху интеграцията на едни от най-уязвимите групи на пазара на труда. Процедурата за безвъзмездна финансова помощ се реализира с финансовата подкрепа на Европейския Социален Фонд по ОП „Развитие на човешките ресурси” 2014 – 2020 г.</w:t>
      </w:r>
    </w:p>
    <w:p w:rsidR="00F25110" w:rsidRPr="00BD7BB1" w:rsidRDefault="00F25110" w:rsidP="00565F5A">
      <w:pPr>
        <w:spacing w:after="200" w:line="360" w:lineRule="auto"/>
        <w:ind w:firstLine="720"/>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По Програма за развитие на селските райони за периода  2007-2013 г. по мярка 111 „Професионално обучение, информационни дейности и разпространение на научни знания”  са обучени лица  в ЮИР за придобиване на знания за устойчиво управление на природните ресурси и опазване на околната среда и нови технически познания и умения , както и  по административни, управленски и маркетингови теми. През 2014 г. не е осъществен прием на заявления за подпомагане по мярка 111 на Програмата, но към края на 2013 г. са проведени теоретично обучения в Средец, Стара Загора, Братя Даскалови, Казанлък и  Елхово на темите : „Опазване компонентите на о</w:t>
      </w:r>
      <w:r w:rsidR="00F73806">
        <w:rPr>
          <w:rFonts w:ascii="Times New Roman" w:eastAsia="Calibri" w:hAnsi="Times New Roman"/>
          <w:color w:val="auto"/>
          <w:sz w:val="24"/>
          <w:szCs w:val="24"/>
          <w:lang w:val="bg-BG"/>
        </w:rPr>
        <w:t>колната среда в земеделието“;  „</w:t>
      </w:r>
      <w:r w:rsidRPr="00BD7BB1">
        <w:rPr>
          <w:rFonts w:ascii="Times New Roman" w:eastAsia="Calibri" w:hAnsi="Times New Roman"/>
          <w:color w:val="auto"/>
          <w:sz w:val="24"/>
          <w:szCs w:val="24"/>
          <w:lang w:val="bg-BG"/>
        </w:rPr>
        <w:t>Месодайно животновъдство</w:t>
      </w:r>
      <w:r w:rsidR="00F73806">
        <w:rPr>
          <w:rFonts w:ascii="Times New Roman" w:eastAsia="Calibri" w:hAnsi="Times New Roman"/>
          <w:color w:val="auto"/>
          <w:sz w:val="24"/>
          <w:szCs w:val="24"/>
          <w:lang w:val="bg-BG"/>
        </w:rPr>
        <w:t>“</w:t>
      </w:r>
      <w:r w:rsidRPr="00BD7BB1">
        <w:rPr>
          <w:rFonts w:ascii="Times New Roman" w:eastAsia="Calibri" w:hAnsi="Times New Roman"/>
          <w:color w:val="auto"/>
          <w:sz w:val="24"/>
          <w:szCs w:val="24"/>
          <w:lang w:val="bg-BG"/>
        </w:rPr>
        <w:t>. Съвременни технологии на хранене и отглеждане при</w:t>
      </w:r>
      <w:r w:rsidR="00F73806">
        <w:rPr>
          <w:rFonts w:ascii="Times New Roman" w:eastAsia="Calibri" w:hAnsi="Times New Roman"/>
          <w:color w:val="auto"/>
          <w:sz w:val="24"/>
          <w:szCs w:val="24"/>
          <w:lang w:val="bg-BG"/>
        </w:rPr>
        <w:t xml:space="preserve"> преживни непреживни животни“; „</w:t>
      </w:r>
      <w:r w:rsidRPr="00BD7BB1">
        <w:rPr>
          <w:rFonts w:ascii="Times New Roman" w:eastAsia="Calibri" w:hAnsi="Times New Roman"/>
          <w:color w:val="auto"/>
          <w:sz w:val="24"/>
          <w:szCs w:val="24"/>
          <w:lang w:val="bg-BG"/>
        </w:rPr>
        <w:t xml:space="preserve">Обучение за определени видове сечи на иглолистни гори-горско стопанство и  дърводобив“; </w:t>
      </w:r>
      <w:r w:rsidR="00F73806">
        <w:rPr>
          <w:rFonts w:ascii="Times New Roman" w:eastAsia="Calibri" w:hAnsi="Times New Roman"/>
          <w:color w:val="auto"/>
          <w:sz w:val="24"/>
          <w:szCs w:val="24"/>
          <w:lang w:val="bg-BG"/>
        </w:rPr>
        <w:t>„</w:t>
      </w:r>
      <w:r w:rsidRPr="00BD7BB1">
        <w:rPr>
          <w:rFonts w:ascii="Times New Roman" w:eastAsia="Calibri" w:hAnsi="Times New Roman"/>
          <w:color w:val="auto"/>
          <w:sz w:val="24"/>
          <w:szCs w:val="24"/>
          <w:lang w:val="bg-BG"/>
        </w:rPr>
        <w:t>Основни практики в лесовъдството-лесокултурни дейности"; "Основни практики в лесовъдство</w:t>
      </w:r>
      <w:r w:rsidR="00F73806">
        <w:rPr>
          <w:rFonts w:ascii="Times New Roman" w:eastAsia="Calibri" w:hAnsi="Times New Roman"/>
          <w:color w:val="auto"/>
          <w:sz w:val="24"/>
          <w:szCs w:val="24"/>
          <w:lang w:val="bg-BG"/>
        </w:rPr>
        <w:t>то-горско и ловно стопанство“; „</w:t>
      </w:r>
      <w:r w:rsidRPr="00BD7BB1">
        <w:rPr>
          <w:rFonts w:ascii="Times New Roman" w:eastAsia="Calibri" w:hAnsi="Times New Roman"/>
          <w:color w:val="auto"/>
          <w:sz w:val="24"/>
          <w:szCs w:val="24"/>
          <w:lang w:val="bg-BG"/>
        </w:rPr>
        <w:t>Как да отглеждаме овцете от породата Ил Дьо Франс</w:t>
      </w:r>
      <w:r w:rsidR="00F73806">
        <w:rPr>
          <w:rFonts w:ascii="Times New Roman" w:eastAsia="Calibri" w:hAnsi="Times New Roman"/>
          <w:color w:val="auto"/>
          <w:sz w:val="24"/>
          <w:szCs w:val="24"/>
          <w:lang w:val="bg-BG"/>
        </w:rPr>
        <w:t>“ и „</w:t>
      </w:r>
      <w:r w:rsidRPr="00BD7BB1">
        <w:rPr>
          <w:rFonts w:ascii="Times New Roman" w:eastAsia="Calibri" w:hAnsi="Times New Roman"/>
          <w:color w:val="auto"/>
          <w:sz w:val="24"/>
          <w:szCs w:val="24"/>
          <w:lang w:val="bg-BG"/>
        </w:rPr>
        <w:t>Ветеринарно-профил</w:t>
      </w:r>
      <w:r w:rsidR="00F73806">
        <w:rPr>
          <w:rFonts w:ascii="Times New Roman" w:eastAsia="Calibri" w:hAnsi="Times New Roman"/>
          <w:color w:val="auto"/>
          <w:sz w:val="24"/>
          <w:szCs w:val="24"/>
          <w:lang w:val="bg-BG"/>
        </w:rPr>
        <w:t>актични мероприятия във фермата“</w:t>
      </w:r>
      <w:r w:rsidRPr="00BD7BB1">
        <w:rPr>
          <w:rFonts w:ascii="Times New Roman" w:eastAsia="Calibri" w:hAnsi="Times New Roman"/>
          <w:color w:val="auto"/>
          <w:sz w:val="24"/>
          <w:szCs w:val="24"/>
          <w:lang w:val="bg-BG"/>
        </w:rPr>
        <w:t>.</w:t>
      </w:r>
    </w:p>
    <w:p w:rsidR="00F25110" w:rsidRPr="00565F5A" w:rsidRDefault="00F25110" w:rsidP="00F25110">
      <w:pPr>
        <w:spacing w:after="200" w:line="360" w:lineRule="auto"/>
        <w:jc w:val="both"/>
        <w:rPr>
          <w:rFonts w:ascii="Times New Roman" w:eastAsia="Calibri" w:hAnsi="Times New Roman"/>
          <w:b/>
          <w:color w:val="9B2D1F" w:themeColor="accent2"/>
          <w:sz w:val="24"/>
          <w:szCs w:val="24"/>
          <w:lang w:val="bg-BG"/>
        </w:rPr>
      </w:pPr>
      <w:r w:rsidRPr="00565F5A">
        <w:rPr>
          <w:rFonts w:ascii="Times New Roman" w:eastAsia="Calibri" w:hAnsi="Times New Roman"/>
          <w:b/>
          <w:color w:val="9B2D1F" w:themeColor="accent2"/>
          <w:sz w:val="24"/>
          <w:szCs w:val="24"/>
          <w:lang w:val="bg-BG"/>
        </w:rPr>
        <w:t>Приоритет 3. Укрепване на административния капацитет на местните и регионалните власти в Югоизточен район.</w:t>
      </w:r>
    </w:p>
    <w:p w:rsidR="00F25110" w:rsidRPr="00BD7BB1" w:rsidRDefault="00F25110" w:rsidP="00543DBD">
      <w:pPr>
        <w:spacing w:after="200" w:line="360" w:lineRule="auto"/>
        <w:ind w:firstLine="360"/>
        <w:jc w:val="both"/>
        <w:rPr>
          <w:rFonts w:ascii="Times New Roman" w:eastAsia="Calibri" w:hAnsi="Times New Roman"/>
          <w:color w:val="auto"/>
          <w:sz w:val="24"/>
          <w:szCs w:val="24"/>
          <w:lang w:val="bg-BG"/>
        </w:rPr>
      </w:pPr>
      <w:r w:rsidRPr="00BD7BB1">
        <w:rPr>
          <w:rFonts w:ascii="Times New Roman" w:eastAsia="Calibri" w:hAnsi="Times New Roman"/>
          <w:b/>
          <w:color w:val="auto"/>
          <w:sz w:val="24"/>
          <w:szCs w:val="24"/>
          <w:lang w:val="bg-BG"/>
        </w:rPr>
        <w:t xml:space="preserve">Общият брой експерти  от областните и общински администрации в ЮИР преминали обучение през 2014 г. възлиза на 125 бр. </w:t>
      </w:r>
      <w:r w:rsidRPr="00BD7BB1">
        <w:rPr>
          <w:rFonts w:ascii="Times New Roman" w:eastAsia="Calibri" w:hAnsi="Times New Roman"/>
          <w:color w:val="auto"/>
          <w:sz w:val="24"/>
          <w:szCs w:val="24"/>
          <w:lang w:val="bg-BG"/>
        </w:rPr>
        <w:t>или за област Бургас -69 бр</w:t>
      </w:r>
      <w:r w:rsidRPr="00BD7BB1">
        <w:rPr>
          <w:rFonts w:ascii="Times New Roman" w:eastAsia="Calibri" w:hAnsi="Times New Roman"/>
          <w:b/>
          <w:color w:val="auto"/>
          <w:sz w:val="24"/>
          <w:szCs w:val="24"/>
          <w:lang w:val="bg-BG"/>
        </w:rPr>
        <w:t xml:space="preserve">. </w:t>
      </w:r>
      <w:r w:rsidRPr="00BD7BB1">
        <w:rPr>
          <w:rFonts w:ascii="Times New Roman" w:eastAsia="Calibri" w:hAnsi="Times New Roman"/>
          <w:color w:val="auto"/>
          <w:sz w:val="24"/>
          <w:szCs w:val="24"/>
          <w:lang w:val="bg-BG"/>
        </w:rPr>
        <w:t xml:space="preserve">област Сливен – 15 бр., област Стара Загора – 17 бр. и област Ямбол – 24 бр. По направления е както следва: </w:t>
      </w:r>
    </w:p>
    <w:p w:rsidR="00F25110" w:rsidRPr="00BD7BB1" w:rsidRDefault="00F25110" w:rsidP="00957FF6">
      <w:pPr>
        <w:numPr>
          <w:ilvl w:val="0"/>
          <w:numId w:val="51"/>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Правни аспекти на административната дейност, противодействие и превенция на корупцията – 59 бр.;</w:t>
      </w:r>
      <w:r w:rsidRPr="00BD7BB1">
        <w:rPr>
          <w:rFonts w:ascii="Times New Roman" w:eastAsia="Calibri" w:hAnsi="Times New Roman"/>
          <w:color w:val="auto"/>
          <w:sz w:val="24"/>
          <w:szCs w:val="24"/>
          <w:lang w:val="bg-BG"/>
        </w:rPr>
        <w:tab/>
      </w:r>
    </w:p>
    <w:p w:rsidR="00F25110" w:rsidRPr="00BD7BB1" w:rsidRDefault="00F25110" w:rsidP="00957FF6">
      <w:pPr>
        <w:numPr>
          <w:ilvl w:val="0"/>
          <w:numId w:val="51"/>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Средства но ЕС – разработване и управление на проекти 22 бр.;</w:t>
      </w:r>
    </w:p>
    <w:p w:rsidR="00F25110" w:rsidRPr="00BD7BB1" w:rsidRDefault="00F25110" w:rsidP="00957FF6">
      <w:pPr>
        <w:numPr>
          <w:ilvl w:val="0"/>
          <w:numId w:val="51"/>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Управленски умения- 28 бр.;</w:t>
      </w:r>
      <w:r w:rsidRPr="00BD7BB1">
        <w:rPr>
          <w:rFonts w:ascii="Times New Roman" w:eastAsia="Calibri" w:hAnsi="Times New Roman"/>
          <w:color w:val="auto"/>
          <w:sz w:val="24"/>
          <w:szCs w:val="24"/>
          <w:lang w:val="bg-BG"/>
        </w:rPr>
        <w:tab/>
      </w:r>
    </w:p>
    <w:p w:rsidR="00333112" w:rsidRDefault="00F25110" w:rsidP="00333112">
      <w:pPr>
        <w:numPr>
          <w:ilvl w:val="0"/>
          <w:numId w:val="51"/>
        </w:numPr>
        <w:spacing w:after="200" w:line="360" w:lineRule="auto"/>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Финансово и стопанско управление-16 бр..</w:t>
      </w:r>
    </w:p>
    <w:p w:rsidR="00333112" w:rsidRDefault="00F25110" w:rsidP="00333112">
      <w:pPr>
        <w:spacing w:after="200" w:line="360" w:lineRule="auto"/>
        <w:ind w:firstLine="720"/>
        <w:contextualSpacing/>
        <w:jc w:val="both"/>
        <w:rPr>
          <w:rFonts w:ascii="Times New Roman" w:eastAsia="Calibri" w:hAnsi="Times New Roman"/>
          <w:color w:val="auto"/>
          <w:sz w:val="24"/>
          <w:szCs w:val="24"/>
          <w:lang w:val="bg-BG"/>
        </w:rPr>
      </w:pPr>
      <w:r w:rsidRPr="00333112">
        <w:rPr>
          <w:rFonts w:ascii="Times New Roman" w:eastAsia="Calibri" w:hAnsi="Times New Roman"/>
          <w:color w:val="auto"/>
          <w:sz w:val="24"/>
          <w:szCs w:val="24"/>
          <w:lang w:val="bg-BG"/>
        </w:rPr>
        <w:t>През 2014 г. общият брой служители, преминали обучение за развитие на уменията за управление на проекти и финансов контрол е 38 бр.. в ЮИР ( без  бр.прилагане на интегрирани системи за развитие).</w:t>
      </w:r>
    </w:p>
    <w:p w:rsidR="00333112" w:rsidRDefault="00F25110" w:rsidP="00333112">
      <w:pPr>
        <w:spacing w:after="200" w:line="360" w:lineRule="auto"/>
        <w:ind w:firstLine="720"/>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2014 г. в ЮИР са предприети мерки за </w:t>
      </w:r>
      <w:r w:rsidRPr="00BD7BB1">
        <w:rPr>
          <w:rFonts w:ascii="Times New Roman" w:eastAsia="Calibri" w:hAnsi="Times New Roman"/>
          <w:b/>
          <w:color w:val="auto"/>
          <w:sz w:val="24"/>
          <w:szCs w:val="24"/>
          <w:lang w:val="bg-BG"/>
        </w:rPr>
        <w:t>повишаване ефективността и оптимизация на структурата на общинска администрация</w:t>
      </w:r>
      <w:r w:rsidRPr="00BD7BB1">
        <w:rPr>
          <w:rFonts w:ascii="Times New Roman" w:eastAsia="Calibri" w:hAnsi="Times New Roman"/>
          <w:color w:val="auto"/>
          <w:sz w:val="24"/>
          <w:szCs w:val="24"/>
          <w:lang w:val="bg-BG"/>
        </w:rPr>
        <w:t xml:space="preserve"> по ОПАК на обща стойност изплатени средства 619 804  лв.  в общините  Бургас, Гълъбово, Малко  Търново, Котел,   Николаево, Раднево, Созопол, Средец,    Сунгурларе и</w:t>
      </w:r>
      <w:r w:rsidR="00333112">
        <w:rPr>
          <w:rFonts w:ascii="Times New Roman" w:eastAsia="Calibri" w:hAnsi="Times New Roman"/>
          <w:color w:val="auto"/>
          <w:sz w:val="24"/>
          <w:szCs w:val="24"/>
          <w:lang w:val="bg-BG"/>
        </w:rPr>
        <w:t xml:space="preserve"> Ямбол ( 10/33 общини в ЮИР).  </w:t>
      </w:r>
    </w:p>
    <w:p w:rsidR="00333112" w:rsidRDefault="00F25110" w:rsidP="00333112">
      <w:pPr>
        <w:spacing w:after="200" w:line="360" w:lineRule="auto"/>
        <w:ind w:firstLine="720"/>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Пример за успешно реализиран проект в това направление е  </w:t>
      </w:r>
      <w:r w:rsidRPr="00BD7BB1">
        <w:rPr>
          <w:rFonts w:ascii="Times New Roman" w:eastAsia="Calibri" w:hAnsi="Times New Roman"/>
          <w:b/>
          <w:color w:val="auto"/>
          <w:sz w:val="24"/>
          <w:szCs w:val="24"/>
          <w:lang w:val="bg-BG"/>
        </w:rPr>
        <w:t>проект „Повишаване ефективността и оптимизация на структурата на общинска администрация – Бургас“</w:t>
      </w:r>
      <w:r w:rsidRPr="00BD7BB1">
        <w:rPr>
          <w:rFonts w:ascii="Times New Roman" w:eastAsia="Calibri" w:hAnsi="Times New Roman"/>
          <w:color w:val="auto"/>
          <w:sz w:val="24"/>
          <w:szCs w:val="24"/>
          <w:lang w:val="bg-BG"/>
        </w:rPr>
        <w:t>. В рамките на проекта е извършен Функционален анализ на Община Бургас, чиято цел е оптимизиране на структурата, организацията и дейността на общинска администрация Бургас чрез идентифициране на: дублиращи се функции и дейности на структурни звена в Община Бургас; дублиращи се функции и дейности с тези на други институции, извън Община Бургас; нетипични за Община Бургас функции и дейности; функции и дейности, които могат да са обект на деконцентрация или децентрализация; реализирани политики за извършване на дейностите и функциите и постигнати резултати, с оглед оценка на тяхната ефективност; ресурси, които се използват, за да се изпълняват дейностите и възложените функции и оценка на тяхната ефикасност; извеждане на предложения, препоръки за подобряване на организационното структуриране, ефективността и ефикасността в дейността на администрацията;набелязване на план за прилагане на препо</w:t>
      </w:r>
      <w:r w:rsidR="00333112">
        <w:rPr>
          <w:rFonts w:ascii="Times New Roman" w:eastAsia="Calibri" w:hAnsi="Times New Roman"/>
          <w:color w:val="auto"/>
          <w:sz w:val="24"/>
          <w:szCs w:val="24"/>
          <w:lang w:val="bg-BG"/>
        </w:rPr>
        <w:t>ръките от функционалния анализ.</w:t>
      </w:r>
    </w:p>
    <w:p w:rsidR="00F25110" w:rsidRPr="00BD7BB1" w:rsidRDefault="00F25110" w:rsidP="00333112">
      <w:pPr>
        <w:spacing w:after="200" w:line="360" w:lineRule="auto"/>
        <w:ind w:firstLine="720"/>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Повишаване квалификацията на служителите в общинските администрации играе  важна роля в процеса на модернизиране и развитие на администрацията по различни теми като: формиране на политики, ефективно управление, координация и мониторинг; финансово управление; принципи на административното обслужване и умения за работа с клиенти; познания за ЕС, европейски институции, политики и процеси на вземане на решения съобразно правото на ЕО; оценка на въздействието върху околната среда; етика и антикорупционни практики; чуждоезикови и компютърни умения за успешна комуникация с европейските институции; междукултурно общуване, концепция за е-управление и др. В тази връзка към </w:t>
      </w:r>
      <w:r w:rsidRPr="00BD7BB1">
        <w:rPr>
          <w:rFonts w:ascii="Times New Roman" w:eastAsia="Calibri" w:hAnsi="Times New Roman"/>
          <w:color w:val="auto"/>
          <w:sz w:val="24"/>
          <w:szCs w:val="24"/>
        </w:rPr>
        <w:t xml:space="preserve"> </w:t>
      </w:r>
      <w:r w:rsidRPr="00BD7BB1">
        <w:rPr>
          <w:rFonts w:ascii="Times New Roman" w:eastAsia="Calibri" w:hAnsi="Times New Roman"/>
          <w:color w:val="auto"/>
          <w:sz w:val="24"/>
          <w:szCs w:val="24"/>
          <w:lang w:val="bg-BG"/>
        </w:rPr>
        <w:t xml:space="preserve">началото на 2014г в ЮИР са предприети мерки и за </w:t>
      </w:r>
      <w:r w:rsidRPr="00BD7BB1">
        <w:rPr>
          <w:rFonts w:ascii="Times New Roman" w:eastAsia="Calibri" w:hAnsi="Times New Roman"/>
          <w:b/>
          <w:color w:val="auto"/>
          <w:sz w:val="24"/>
          <w:szCs w:val="24"/>
          <w:lang w:val="bg-BG"/>
        </w:rPr>
        <w:t>повишаване на квалификацията на служителите в администрацията</w:t>
      </w:r>
      <w:r w:rsidRPr="00BD7BB1">
        <w:rPr>
          <w:rFonts w:ascii="Times New Roman" w:eastAsia="Calibri" w:hAnsi="Times New Roman"/>
          <w:color w:val="auto"/>
          <w:sz w:val="24"/>
          <w:szCs w:val="24"/>
          <w:lang w:val="bg-BG"/>
        </w:rPr>
        <w:t xml:space="preserve"> чрез обучение по ОПАК на обща стойност  1 503 573,65 лв.  в общините:   Приморско, Малко Търново, Бургас, Несебър, Созопол, Сливен, Котел, Опан, Николаево, Братя Даскалови, Павел Баня, Гурково, Стара Загора Раднево, Болярово, Стралджа и Ямбол (17/33 общини в ЮИР), както и в областните администрации на областите  Бургас, Стара Загора и Ямбол  (3/4 ОА в ЮИР ) и Регионална здравна инспекция - Стара Загора.</w:t>
      </w:r>
    </w:p>
    <w:p w:rsidR="00F25110" w:rsidRPr="00BD7BB1" w:rsidRDefault="00F25110" w:rsidP="00F25110">
      <w:pPr>
        <w:autoSpaceDE w:val="0"/>
        <w:autoSpaceDN w:val="0"/>
        <w:adjustRightInd w:val="0"/>
        <w:spacing w:after="0" w:line="360" w:lineRule="auto"/>
        <w:jc w:val="both"/>
        <w:rPr>
          <w:rFonts w:ascii="Times New Roman" w:eastAsia="Times New Roman" w:hAnsi="Times New Roman"/>
          <w:color w:val="auto"/>
          <w:sz w:val="24"/>
          <w:szCs w:val="24"/>
          <w:lang w:val="bg-BG" w:eastAsia="bg-BG"/>
        </w:rPr>
      </w:pPr>
    </w:p>
    <w:p w:rsidR="00F25110" w:rsidRPr="00294136" w:rsidRDefault="00F25110" w:rsidP="00294136">
      <w:pPr>
        <w:autoSpaceDE w:val="0"/>
        <w:autoSpaceDN w:val="0"/>
        <w:adjustRightInd w:val="0"/>
        <w:spacing w:after="0" w:line="360" w:lineRule="auto"/>
        <w:rPr>
          <w:rFonts w:ascii="Times New Roman" w:eastAsia="Times New Roman" w:hAnsi="Times New Roman"/>
          <w:b/>
          <w:color w:val="9B2D1F" w:themeColor="accent2"/>
          <w:sz w:val="24"/>
          <w:szCs w:val="24"/>
          <w:lang w:val="bg-BG" w:eastAsia="bg-BG"/>
        </w:rPr>
      </w:pPr>
      <w:r w:rsidRPr="00294136">
        <w:rPr>
          <w:rFonts w:ascii="Times New Roman" w:eastAsia="Times New Roman" w:hAnsi="Times New Roman"/>
          <w:b/>
          <w:color w:val="9B2D1F" w:themeColor="accent2"/>
          <w:sz w:val="24"/>
          <w:szCs w:val="24"/>
          <w:lang w:val="bg-BG" w:eastAsia="bg-BG"/>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p w:rsidR="00F25110" w:rsidRPr="00294136" w:rsidRDefault="00F25110" w:rsidP="00294136">
      <w:pPr>
        <w:autoSpaceDE w:val="0"/>
        <w:autoSpaceDN w:val="0"/>
        <w:adjustRightInd w:val="0"/>
        <w:spacing w:after="0" w:line="360" w:lineRule="auto"/>
        <w:jc w:val="both"/>
        <w:rPr>
          <w:rFonts w:ascii="Times New Roman" w:eastAsia="Times New Roman" w:hAnsi="Times New Roman"/>
          <w:b/>
          <w:bCs/>
          <w:color w:val="9B2D1F" w:themeColor="accent2"/>
          <w:sz w:val="24"/>
          <w:szCs w:val="24"/>
          <w:lang w:val="bg-BG" w:eastAsia="bg-BG"/>
        </w:rPr>
      </w:pPr>
      <w:r w:rsidRPr="00294136">
        <w:rPr>
          <w:rFonts w:ascii="Times New Roman" w:eastAsia="Times New Roman" w:hAnsi="Times New Roman"/>
          <w:b/>
          <w:color w:val="9B2D1F" w:themeColor="accent2"/>
          <w:sz w:val="24"/>
          <w:szCs w:val="24"/>
          <w:lang w:val="bg-BG" w:eastAsia="bg-BG"/>
        </w:rPr>
        <w:t xml:space="preserve">Приоритет </w:t>
      </w:r>
      <w:r w:rsidRPr="00294136">
        <w:rPr>
          <w:rFonts w:ascii="Times New Roman" w:eastAsia="Times New Roman" w:hAnsi="Times New Roman"/>
          <w:b/>
          <w:bCs/>
          <w:color w:val="9B2D1F" w:themeColor="accent2"/>
          <w:sz w:val="24"/>
          <w:szCs w:val="24"/>
          <w:lang w:val="bg-BG" w:eastAsia="bg-BG"/>
        </w:rPr>
        <w:t>1 - Развитие на трансграничното сътрудничество и мобилизиране потенциала на периферните гранични територии в Югоизточен район.</w:t>
      </w:r>
    </w:p>
    <w:p w:rsidR="00F25110" w:rsidRPr="00BD7BB1" w:rsidRDefault="00F25110"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Годишното наблюдение за 2014 г. показва, че финансовата подкрепа по стратегическа цел 3 е  получена от </w:t>
      </w:r>
      <w:r w:rsidRPr="00BD7BB1">
        <w:rPr>
          <w:rFonts w:ascii="Times New Roman" w:eastAsia="Times New Roman" w:hAnsi="Times New Roman"/>
          <w:b/>
          <w:color w:val="auto"/>
          <w:sz w:val="24"/>
          <w:szCs w:val="24"/>
          <w:lang w:val="bg-BG" w:eastAsia="bg-BG"/>
        </w:rPr>
        <w:t>Програмата за трансгранично сътрудничество „България - Турция“ от ИПП, Програмата за транснационално сътрудничество в Зона „Югоизточна Европа“ (South East European Space), Съвместната оперативна програма „Черноморски басейн“  и Програма за междурегионално сътрудничество „INTERREG IVC“,</w:t>
      </w:r>
      <w:r w:rsidRPr="00BD7BB1">
        <w:rPr>
          <w:rFonts w:ascii="Times New Roman" w:eastAsia="Times New Roman" w:hAnsi="Times New Roman"/>
          <w:color w:val="auto"/>
          <w:sz w:val="24"/>
          <w:szCs w:val="24"/>
          <w:lang w:val="bg-BG" w:eastAsia="bg-BG"/>
        </w:rPr>
        <w:t xml:space="preserve"> с подкрепата на Министерството на регионалното развитие и благоустройството и инициативата на  местни организации, асоциации и власти  в общините от ЮИР. </w:t>
      </w:r>
    </w:p>
    <w:p w:rsidR="00F25110" w:rsidRPr="00BD7BB1" w:rsidRDefault="00F25110"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 В резултат на изпълнението на проектите по програмите са финансирани интервенции в области като зелена инфраструктура,  научно-технологични паркове, предприемачество и занаяти,  културното наследство и туризъм, широколентови мрежи, градски транспорт и социално сближаване.</w:t>
      </w:r>
    </w:p>
    <w:p w:rsidR="00F25110" w:rsidRPr="00BD7BB1" w:rsidRDefault="00F25110" w:rsidP="00F25110">
      <w:pPr>
        <w:spacing w:after="0" w:line="360" w:lineRule="auto"/>
        <w:contextualSpacing/>
        <w:jc w:val="both"/>
        <w:rPr>
          <w:rFonts w:ascii="Times New Roman" w:eastAsia="Times New Roman" w:hAnsi="Times New Roman"/>
          <w:b/>
          <w:bCs/>
          <w:color w:val="auto"/>
          <w:sz w:val="24"/>
          <w:szCs w:val="24"/>
          <w:lang w:val="bg-BG" w:eastAsia="bg-BG"/>
        </w:rPr>
      </w:pPr>
      <w:r w:rsidRPr="00BD7BB1">
        <w:rPr>
          <w:rFonts w:ascii="Times New Roman" w:eastAsia="Times New Roman" w:hAnsi="Times New Roman"/>
          <w:b/>
          <w:bCs/>
          <w:color w:val="auto"/>
          <w:sz w:val="24"/>
          <w:szCs w:val="24"/>
          <w:lang w:val="bg-BG" w:eastAsia="bg-BG"/>
        </w:rPr>
        <w:t>Програма за Трансгранично сътрудничество по ИПП България-Турция 2007-2013</w:t>
      </w:r>
      <w:r w:rsidRPr="00BD7BB1">
        <w:rPr>
          <w:rFonts w:ascii="Times New Roman" w:eastAsia="Times New Roman" w:hAnsi="Times New Roman"/>
          <w:color w:val="auto"/>
          <w:sz w:val="24"/>
          <w:szCs w:val="24"/>
          <w:lang w:val="ru-RU"/>
        </w:rPr>
        <w:t>, съфинансирана от Инструмента за предприсъединителна помощ (ИПП), е отворена от месец декември 2007 г.</w:t>
      </w:r>
      <w:r w:rsidRPr="00BD7BB1">
        <w:rPr>
          <w:rFonts w:ascii="Times New Roman" w:eastAsia="Times New Roman" w:hAnsi="Times New Roman"/>
          <w:color w:val="auto"/>
          <w:sz w:val="24"/>
          <w:szCs w:val="24"/>
          <w:shd w:val="clear" w:color="auto" w:fill="FFFFFF"/>
          <w:lang w:val="bg-BG" w:eastAsia="bg-BG"/>
        </w:rPr>
        <w:t xml:space="preserve"> Избираемият трансграничен район на българска територия обхваща областите Бургас (включваща 13 общини), Ямбол (5 общини) и Хасково (11 общини), а на турска – провинциите Одрин и Къркларели. </w:t>
      </w:r>
      <w:r w:rsidRPr="00BD7BB1">
        <w:rPr>
          <w:rFonts w:ascii="Times New Roman" w:eastAsia="Times New Roman" w:hAnsi="Times New Roman"/>
          <w:bCs/>
          <w:color w:val="auto"/>
          <w:sz w:val="24"/>
          <w:szCs w:val="24"/>
          <w:lang w:val="bg-BG" w:eastAsia="bg-BG"/>
        </w:rPr>
        <w:tab/>
      </w:r>
    </w:p>
    <w:p w:rsidR="00F25110" w:rsidRPr="00BD7BB1" w:rsidRDefault="00F25110" w:rsidP="00F25110">
      <w:pPr>
        <w:tabs>
          <w:tab w:val="left" w:pos="930"/>
        </w:tabs>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ab/>
        <w:t xml:space="preserve">По информация на </w:t>
      </w:r>
      <w:r w:rsidRPr="00BD7BB1">
        <w:rPr>
          <w:rFonts w:ascii="Times New Roman" w:eastAsia="Times New Roman" w:hAnsi="Times New Roman"/>
          <w:color w:val="auto"/>
          <w:sz w:val="24"/>
          <w:szCs w:val="24"/>
          <w:lang w:val="bg-BG"/>
        </w:rPr>
        <w:t xml:space="preserve">Главна дирекция „Управление на териториалното сътрудничество“ на МРРБ </w:t>
      </w:r>
      <w:r w:rsidRPr="00BD7BB1">
        <w:rPr>
          <w:rFonts w:ascii="Times New Roman" w:eastAsia="Times New Roman" w:hAnsi="Times New Roman"/>
          <w:bCs/>
          <w:color w:val="auto"/>
          <w:sz w:val="24"/>
          <w:szCs w:val="24"/>
          <w:lang w:val="bg-BG" w:eastAsia="bg-BG"/>
        </w:rPr>
        <w:t>изпълнението на проекти по програмата за ЮИР е както следва:</w:t>
      </w:r>
    </w:p>
    <w:p w:rsidR="00F25110" w:rsidRPr="00BD7BB1" w:rsidRDefault="00F25110" w:rsidP="00F25110">
      <w:pPr>
        <w:tabs>
          <w:tab w:val="left" w:pos="930"/>
        </w:tabs>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bCs/>
          <w:color w:val="auto"/>
          <w:sz w:val="24"/>
          <w:szCs w:val="24"/>
          <w:lang w:val="bg-BG" w:eastAsia="bg-BG"/>
        </w:rPr>
        <w:t xml:space="preserve">            По първата покана</w:t>
      </w:r>
      <w:r w:rsidRPr="00BD7BB1">
        <w:rPr>
          <w:rFonts w:ascii="Times New Roman" w:eastAsia="Times New Roman" w:hAnsi="Times New Roman"/>
          <w:bCs/>
          <w:color w:val="auto"/>
          <w:sz w:val="24"/>
          <w:szCs w:val="24"/>
          <w:lang w:val="bg-BG" w:eastAsia="bg-BG"/>
        </w:rPr>
        <w:t xml:space="preserve">  в Югоизточен район са  сключени  30 договора с общ бюджет на българските партньори - 4 107 230 Евро. От тях с участие на партньори от Област Бургас  са 16 договора с общ бюджет на българските партньори - 1 980 222 евро и от Област Ямбол - 14 договора с бюджет за българските партньори - 2 127 008 евро.</w:t>
      </w:r>
    </w:p>
    <w:p w:rsidR="00F25110" w:rsidRPr="00BD7BB1" w:rsidRDefault="00F25110" w:rsidP="00F25110">
      <w:pPr>
        <w:tabs>
          <w:tab w:val="left" w:pos="930"/>
        </w:tabs>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Разпределението по общини е както следва: </w:t>
      </w:r>
    </w:p>
    <w:p w:rsidR="00F25110" w:rsidRPr="00BD7BB1" w:rsidRDefault="00F25110" w:rsidP="00957FF6">
      <w:pPr>
        <w:numPr>
          <w:ilvl w:val="0"/>
          <w:numId w:val="16"/>
        </w:numPr>
        <w:tabs>
          <w:tab w:val="left" w:pos="709"/>
        </w:tabs>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област Бургас: Бургас - 7 проекта, Малко Търново - 1, Несебър -1, Поморие - 1, Созопол - 2, Средец - 2 и Царево - 2; </w:t>
      </w:r>
    </w:p>
    <w:p w:rsidR="00F25110" w:rsidRPr="00BD7BB1" w:rsidRDefault="00F25110" w:rsidP="00957FF6">
      <w:pPr>
        <w:numPr>
          <w:ilvl w:val="0"/>
          <w:numId w:val="16"/>
        </w:numPr>
        <w:tabs>
          <w:tab w:val="left" w:pos="709"/>
        </w:tabs>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област Ямбол: Болярово - 2 проекта, Елхово - 2, Стралджа - 1, Тунджа -1 и Община Ямбол - 8 проекта;</w:t>
      </w:r>
    </w:p>
    <w:p w:rsidR="00F25110" w:rsidRPr="00BD7BB1" w:rsidRDefault="00F25110" w:rsidP="00F25110">
      <w:pPr>
        <w:tabs>
          <w:tab w:val="left" w:pos="930"/>
        </w:tabs>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 От 30 договора, 29 са успешно приключили, като 1 договор  с бюджет на българския партньор 44 541 евро е прекратен. Процентът на усвояване на отпуснатите средства за българските партньори 89 % , сравнително по-висок от този на турските партньори - около 65%;</w:t>
      </w:r>
    </w:p>
    <w:p w:rsidR="00F25110" w:rsidRPr="00BD7BB1" w:rsidRDefault="00F25110" w:rsidP="00F25110">
      <w:pPr>
        <w:tabs>
          <w:tab w:val="left" w:pos="930"/>
        </w:tabs>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bCs/>
          <w:color w:val="auto"/>
          <w:sz w:val="24"/>
          <w:szCs w:val="24"/>
          <w:lang w:val="bg-BG" w:eastAsia="bg-BG"/>
        </w:rPr>
        <w:t xml:space="preserve">            По втората покана</w:t>
      </w:r>
      <w:r w:rsidRPr="00BD7BB1">
        <w:rPr>
          <w:rFonts w:ascii="Times New Roman" w:eastAsia="Times New Roman" w:hAnsi="Times New Roman"/>
          <w:bCs/>
          <w:color w:val="auto"/>
          <w:sz w:val="24"/>
          <w:szCs w:val="24"/>
          <w:lang w:val="bg-BG" w:eastAsia="bg-BG"/>
        </w:rPr>
        <w:t xml:space="preserve">  в  Югоизточен район са  сключени 33 договора с общ бюджет на българските партньори - 4 210 530 Евро. С участие на партньори от Област Бургас 16 договора с общ бюджет на българските партньори 1 980 222 Евро и от Област Ямбол 12 договора с бюджет за българските партньори 1 447 017 Евро.</w:t>
      </w:r>
    </w:p>
    <w:p w:rsidR="00F25110" w:rsidRPr="00BD7BB1" w:rsidRDefault="00F25110" w:rsidP="00F25110">
      <w:pPr>
        <w:tabs>
          <w:tab w:val="left" w:pos="930"/>
        </w:tabs>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Разпределението по общини е както следва: </w:t>
      </w:r>
    </w:p>
    <w:p w:rsidR="00F25110" w:rsidRPr="00BD7BB1" w:rsidRDefault="00F25110" w:rsidP="00957FF6">
      <w:pPr>
        <w:numPr>
          <w:ilvl w:val="0"/>
          <w:numId w:val="17"/>
        </w:numPr>
        <w:tabs>
          <w:tab w:val="left" w:pos="709"/>
        </w:tabs>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област Бургас: Бургас - 12 проекта, Малко Търново - 1, Приморско - 1, Руен -1, Созопол - 2, Средец - 1 и Царево - 3;</w:t>
      </w:r>
    </w:p>
    <w:p w:rsidR="00F25110" w:rsidRPr="00BD7BB1" w:rsidRDefault="00F25110" w:rsidP="00957FF6">
      <w:pPr>
        <w:numPr>
          <w:ilvl w:val="0"/>
          <w:numId w:val="17"/>
        </w:numPr>
        <w:tabs>
          <w:tab w:val="left" w:pos="709"/>
        </w:tabs>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област Ямбол: Болярово - 2 проекта, Елхово - 1, Стралджа - 3, Тунджа - 1 и Община Ямбол - 5 проекта. </w:t>
      </w:r>
    </w:p>
    <w:p w:rsidR="00F25110" w:rsidRPr="00BD7BB1" w:rsidRDefault="00F25110" w:rsidP="00F25110">
      <w:pPr>
        <w:tabs>
          <w:tab w:val="left" w:pos="930"/>
        </w:tabs>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От 33 договора по втората покана, 1 договор на област Бургас с бюджет н</w:t>
      </w:r>
      <w:r w:rsidR="001849C5">
        <w:rPr>
          <w:rFonts w:ascii="Times New Roman" w:eastAsia="Times New Roman" w:hAnsi="Times New Roman"/>
          <w:bCs/>
          <w:color w:val="auto"/>
          <w:sz w:val="24"/>
          <w:szCs w:val="24"/>
          <w:lang w:val="bg-BG" w:eastAsia="bg-BG"/>
        </w:rPr>
        <w:t>а българския партньор - 69 287 Е</w:t>
      </w:r>
      <w:r w:rsidRPr="00BD7BB1">
        <w:rPr>
          <w:rFonts w:ascii="Times New Roman" w:eastAsia="Times New Roman" w:hAnsi="Times New Roman"/>
          <w:bCs/>
          <w:color w:val="auto"/>
          <w:sz w:val="24"/>
          <w:szCs w:val="24"/>
          <w:lang w:val="bg-BG" w:eastAsia="bg-BG"/>
        </w:rPr>
        <w:t>вро е прекратен.</w:t>
      </w:r>
    </w:p>
    <w:p w:rsidR="00F25110" w:rsidRPr="00BD7BB1" w:rsidRDefault="00F25110" w:rsidP="00F25110">
      <w:pPr>
        <w:tabs>
          <w:tab w:val="left" w:pos="930"/>
        </w:tabs>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bCs/>
          <w:color w:val="auto"/>
          <w:sz w:val="24"/>
          <w:szCs w:val="24"/>
          <w:lang w:val="bg-BG" w:eastAsia="bg-BG"/>
        </w:rPr>
        <w:t xml:space="preserve">            По третата покана</w:t>
      </w:r>
      <w:r w:rsidRPr="00BD7BB1">
        <w:rPr>
          <w:rFonts w:ascii="Times New Roman" w:eastAsia="Times New Roman" w:hAnsi="Times New Roman"/>
          <w:bCs/>
          <w:color w:val="auto"/>
          <w:sz w:val="24"/>
          <w:szCs w:val="24"/>
          <w:lang w:val="bg-BG" w:eastAsia="bg-BG"/>
        </w:rPr>
        <w:t xml:space="preserve">  в  Югоизточен район през 2014 г. са  сключени  26  договора в областите Бургас и Ямбол., с общ бюджет на българските партньори – 2 965 754 Евро.</w:t>
      </w:r>
    </w:p>
    <w:p w:rsidR="00F25110" w:rsidRPr="00BD7BB1" w:rsidRDefault="00F25110" w:rsidP="00F25110">
      <w:pPr>
        <w:autoSpaceDE w:val="0"/>
        <w:autoSpaceDN w:val="0"/>
        <w:adjustRightInd w:val="0"/>
        <w:spacing w:after="0" w:line="360" w:lineRule="auto"/>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bCs/>
          <w:color w:val="auto"/>
          <w:sz w:val="24"/>
          <w:szCs w:val="24"/>
          <w:lang w:val="bg-BG" w:eastAsia="bg-BG"/>
        </w:rPr>
        <w:t>Общия брой на</w:t>
      </w:r>
      <w:r w:rsidRPr="00BD7BB1">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
          <w:bCs/>
          <w:color w:val="auto"/>
          <w:sz w:val="24"/>
          <w:szCs w:val="24"/>
          <w:lang w:val="ru-RU"/>
        </w:rPr>
        <w:t xml:space="preserve">сключените договори по цялата програма към 31.12.2014 г. са 88 бр., </w:t>
      </w:r>
      <w:r w:rsidRPr="00BD7BB1">
        <w:rPr>
          <w:rFonts w:ascii="Times New Roman" w:eastAsia="Times New Roman" w:hAnsi="Times New Roman"/>
          <w:bCs/>
          <w:color w:val="auto"/>
          <w:sz w:val="24"/>
          <w:szCs w:val="24"/>
          <w:lang w:eastAsia="bg-BG"/>
        </w:rPr>
        <w:t>(</w:t>
      </w:r>
      <w:r w:rsidRPr="00BD7BB1">
        <w:rPr>
          <w:rFonts w:ascii="Times New Roman" w:eastAsia="Calibri" w:hAnsi="Times New Roman"/>
          <w:color w:val="auto"/>
          <w:sz w:val="24"/>
          <w:szCs w:val="24"/>
          <w:lang w:val="bg-BG"/>
        </w:rPr>
        <w:t>90 бр. проекти</w:t>
      </w:r>
      <w:r w:rsidRPr="00BD7BB1">
        <w:rPr>
          <w:rFonts w:ascii="Times New Roman" w:eastAsia="Calibri" w:hAnsi="Times New Roman"/>
          <w:color w:val="auto"/>
          <w:sz w:val="24"/>
          <w:szCs w:val="24"/>
        </w:rPr>
        <w:t xml:space="preserve"> – </w:t>
      </w:r>
      <w:r w:rsidRPr="00BD7BB1">
        <w:rPr>
          <w:rFonts w:ascii="Times New Roman" w:eastAsia="Calibri" w:hAnsi="Times New Roman"/>
          <w:color w:val="auto"/>
          <w:sz w:val="24"/>
          <w:szCs w:val="24"/>
          <w:lang w:val="bg-BG"/>
        </w:rPr>
        <w:t>2 бр.-прекратени на стойност - 69 286,94</w:t>
      </w:r>
      <w:r w:rsidRPr="00BD7BB1">
        <w:rPr>
          <w:rFonts w:ascii="Times New Roman" w:eastAsia="Calibri" w:hAnsi="Times New Roman"/>
          <w:b/>
          <w:color w:val="auto"/>
          <w:sz w:val="24"/>
          <w:szCs w:val="24"/>
        </w:rPr>
        <w:t xml:space="preserve"> </w:t>
      </w:r>
      <w:r w:rsidRPr="00BD7BB1">
        <w:rPr>
          <w:rFonts w:ascii="Times New Roman" w:eastAsia="Times New Roman" w:hAnsi="Times New Roman"/>
          <w:bCs/>
          <w:color w:val="auto"/>
          <w:sz w:val="24"/>
          <w:szCs w:val="24"/>
          <w:lang w:val="bg-BG" w:eastAsia="bg-BG"/>
        </w:rPr>
        <w:t>Евро</w:t>
      </w:r>
      <w:r w:rsidRPr="00BD7BB1">
        <w:rPr>
          <w:rFonts w:ascii="Times New Roman" w:eastAsia="Calibri" w:hAnsi="Times New Roman"/>
          <w:color w:val="auto"/>
          <w:sz w:val="24"/>
          <w:szCs w:val="24"/>
          <w:lang w:val="bg-BG"/>
        </w:rPr>
        <w:t>, приспаднати от общата сума</w:t>
      </w:r>
      <w:r w:rsidRPr="00BD7BB1">
        <w:rPr>
          <w:rFonts w:ascii="Times New Roman" w:eastAsia="Calibri" w:hAnsi="Times New Roman"/>
          <w:color w:val="auto"/>
          <w:sz w:val="24"/>
          <w:szCs w:val="24"/>
        </w:rPr>
        <w:t>)</w:t>
      </w:r>
      <w:r w:rsidRPr="00BD7BB1">
        <w:rPr>
          <w:rFonts w:ascii="Times New Roman" w:eastAsia="Calibri" w:hAnsi="Times New Roman"/>
          <w:color w:val="auto"/>
          <w:sz w:val="24"/>
          <w:szCs w:val="24"/>
          <w:lang w:val="bg-BG"/>
        </w:rPr>
        <w:t xml:space="preserve"> на обща стойност Бюджет в евро (ЕФРР и национално) - </w:t>
      </w:r>
      <w:r w:rsidRPr="00BD7BB1">
        <w:rPr>
          <w:rFonts w:ascii="Times New Roman" w:eastAsia="Calibri" w:hAnsi="Times New Roman"/>
          <w:b/>
          <w:color w:val="auto"/>
          <w:sz w:val="24"/>
          <w:szCs w:val="24"/>
        </w:rPr>
        <w:t xml:space="preserve">19 917 678,74 </w:t>
      </w:r>
      <w:r w:rsidRPr="00BD7BB1">
        <w:rPr>
          <w:rFonts w:ascii="Times New Roman" w:eastAsia="Times New Roman" w:hAnsi="Times New Roman"/>
          <w:bCs/>
          <w:color w:val="auto"/>
          <w:sz w:val="24"/>
          <w:szCs w:val="24"/>
          <w:lang w:val="bg-BG" w:eastAsia="bg-BG"/>
        </w:rPr>
        <w:t>Евро</w:t>
      </w:r>
      <w:r w:rsidRPr="00BD7BB1">
        <w:rPr>
          <w:rFonts w:ascii="Times New Roman" w:eastAsia="Calibri" w:hAnsi="Times New Roman"/>
          <w:color w:val="auto"/>
          <w:sz w:val="24"/>
          <w:szCs w:val="24"/>
          <w:lang w:val="bg-BG"/>
        </w:rPr>
        <w:t>,</w:t>
      </w:r>
      <w:r w:rsidRPr="00BD7BB1">
        <w:rPr>
          <w:rFonts w:ascii="Times New Roman" w:eastAsia="Calibri" w:hAnsi="Times New Roman"/>
          <w:b/>
          <w:color w:val="auto"/>
          <w:sz w:val="24"/>
          <w:szCs w:val="24"/>
          <w:lang w:val="bg-BG"/>
        </w:rPr>
        <w:t xml:space="preserve"> </w:t>
      </w:r>
      <w:r w:rsidRPr="00BD7BB1">
        <w:rPr>
          <w:rFonts w:ascii="Times New Roman" w:eastAsia="Calibri" w:hAnsi="Times New Roman"/>
          <w:color w:val="auto"/>
          <w:sz w:val="24"/>
          <w:szCs w:val="24"/>
          <w:lang w:val="bg-BG"/>
        </w:rPr>
        <w:t xml:space="preserve"> Бюджет в евро на българските партньори - </w:t>
      </w:r>
      <w:r w:rsidRPr="00BD7BB1">
        <w:rPr>
          <w:rFonts w:ascii="Times New Roman" w:eastAsia="Calibri" w:hAnsi="Times New Roman"/>
          <w:b/>
          <w:color w:val="auto"/>
          <w:sz w:val="24"/>
          <w:szCs w:val="24"/>
          <w:lang w:val="bg-BG"/>
        </w:rPr>
        <w:t>11 283 514</w:t>
      </w:r>
      <w:r w:rsidRPr="00BD7BB1">
        <w:rPr>
          <w:rFonts w:ascii="Times New Roman" w:eastAsia="Calibri" w:hAnsi="Times New Roman"/>
          <w:b/>
          <w:color w:val="auto"/>
          <w:sz w:val="24"/>
          <w:szCs w:val="24"/>
        </w:rPr>
        <w:t xml:space="preserve"> </w:t>
      </w:r>
      <w:r w:rsidRPr="00BD7BB1">
        <w:rPr>
          <w:rFonts w:ascii="Times New Roman" w:eastAsia="Calibri" w:hAnsi="Times New Roman"/>
          <w:bCs/>
          <w:color w:val="auto"/>
          <w:sz w:val="24"/>
          <w:szCs w:val="24"/>
          <w:lang w:val="bg-BG"/>
        </w:rPr>
        <w:t>Евро</w:t>
      </w:r>
      <w:r w:rsidRPr="00BD7BB1">
        <w:rPr>
          <w:rFonts w:ascii="Times New Roman" w:eastAsia="Calibri" w:hAnsi="Times New Roman"/>
          <w:color w:val="auto"/>
          <w:sz w:val="24"/>
          <w:szCs w:val="24"/>
          <w:lang w:val="bg-BG"/>
        </w:rPr>
        <w:t xml:space="preserve">, и изплатени </w:t>
      </w:r>
      <w:r w:rsidRPr="00BD7BB1">
        <w:rPr>
          <w:rFonts w:ascii="Times New Roman" w:eastAsia="Calibri" w:hAnsi="Times New Roman"/>
          <w:b/>
          <w:color w:val="auto"/>
          <w:sz w:val="24"/>
          <w:szCs w:val="24"/>
          <w:lang w:val="bg-BG"/>
        </w:rPr>
        <w:t xml:space="preserve">7 033 680  </w:t>
      </w:r>
      <w:r w:rsidRPr="00BD7BB1">
        <w:rPr>
          <w:rFonts w:ascii="Times New Roman" w:eastAsia="Times New Roman" w:hAnsi="Times New Roman"/>
          <w:bCs/>
          <w:color w:val="auto"/>
          <w:sz w:val="24"/>
          <w:szCs w:val="24"/>
          <w:lang w:val="bg-BG" w:eastAsia="bg-BG"/>
        </w:rPr>
        <w:t>Евро</w:t>
      </w:r>
      <w:r w:rsidRPr="00BD7BB1">
        <w:rPr>
          <w:rFonts w:ascii="Times New Roman" w:eastAsia="Calibri" w:hAnsi="Times New Roman"/>
          <w:color w:val="auto"/>
          <w:sz w:val="24"/>
          <w:szCs w:val="24"/>
          <w:lang w:val="bg-BG"/>
        </w:rPr>
        <w:t xml:space="preserve">. Само  за 2014 г. проектите, сключени в района са </w:t>
      </w:r>
      <w:r w:rsidRPr="00BD7BB1">
        <w:rPr>
          <w:rFonts w:ascii="Times New Roman" w:eastAsia="Calibri" w:hAnsi="Times New Roman"/>
          <w:b/>
          <w:color w:val="auto"/>
          <w:sz w:val="24"/>
          <w:szCs w:val="24"/>
          <w:lang w:val="bg-BG"/>
        </w:rPr>
        <w:t>26 бр.</w:t>
      </w:r>
      <w:r w:rsidRPr="00BD7BB1">
        <w:rPr>
          <w:rFonts w:ascii="Times New Roman" w:eastAsia="Calibri" w:hAnsi="Times New Roman"/>
          <w:color w:val="auto"/>
          <w:sz w:val="24"/>
          <w:szCs w:val="24"/>
          <w:lang w:val="bg-BG"/>
        </w:rPr>
        <w:t xml:space="preserve"> от общо </w:t>
      </w:r>
      <w:r w:rsidRPr="00BD7BB1">
        <w:rPr>
          <w:rFonts w:ascii="Times New Roman" w:eastAsia="Calibri" w:hAnsi="Times New Roman"/>
          <w:b/>
          <w:color w:val="auto"/>
          <w:sz w:val="24"/>
          <w:szCs w:val="24"/>
          <w:lang w:val="bg-BG"/>
        </w:rPr>
        <w:t>88 бр.</w:t>
      </w:r>
      <w:r w:rsidRPr="00BD7BB1">
        <w:rPr>
          <w:rFonts w:ascii="Times New Roman" w:eastAsia="Calibri" w:hAnsi="Times New Roman"/>
          <w:color w:val="auto"/>
          <w:sz w:val="24"/>
          <w:szCs w:val="24"/>
          <w:lang w:val="bg-BG"/>
        </w:rPr>
        <w:t xml:space="preserve"> проекти на стойност </w:t>
      </w:r>
      <w:r w:rsidRPr="00BD7BB1">
        <w:rPr>
          <w:rFonts w:ascii="Times New Roman" w:eastAsia="Calibri" w:hAnsi="Times New Roman"/>
          <w:b/>
          <w:color w:val="auto"/>
          <w:sz w:val="24"/>
          <w:szCs w:val="24"/>
          <w:lang w:val="bg-BG"/>
        </w:rPr>
        <w:t xml:space="preserve">2 965 754 </w:t>
      </w:r>
      <w:r w:rsidRPr="00BD7BB1">
        <w:rPr>
          <w:rFonts w:ascii="Times New Roman" w:eastAsia="Times New Roman" w:hAnsi="Times New Roman"/>
          <w:bCs/>
          <w:color w:val="auto"/>
          <w:sz w:val="24"/>
          <w:szCs w:val="24"/>
          <w:lang w:val="bg-BG" w:eastAsia="bg-BG"/>
        </w:rPr>
        <w:t xml:space="preserve">Евро.  Към момента по цялата програма </w:t>
      </w:r>
      <w:r w:rsidRPr="00BD7BB1">
        <w:rPr>
          <w:rFonts w:ascii="Times New Roman" w:eastAsia="Calibri" w:hAnsi="Times New Roman"/>
          <w:color w:val="auto"/>
          <w:sz w:val="24"/>
          <w:szCs w:val="24"/>
          <w:lang w:val="bg-BG"/>
        </w:rPr>
        <w:t>25 бр. проекти са в процес на изпълнение.</w:t>
      </w:r>
    </w:p>
    <w:p w:rsidR="00F25110" w:rsidRPr="00BD7BB1" w:rsidRDefault="00F25110" w:rsidP="00F25110">
      <w:pPr>
        <w:tabs>
          <w:tab w:val="left" w:pos="930"/>
        </w:tabs>
        <w:spacing w:after="0" w:line="360" w:lineRule="auto"/>
        <w:jc w:val="both"/>
        <w:rPr>
          <w:rFonts w:ascii="Times New Roman" w:eastAsia="Times New Roman" w:hAnsi="Times New Roman"/>
          <w:b/>
          <w:bCs/>
          <w:i/>
          <w:color w:val="auto"/>
          <w:sz w:val="24"/>
          <w:szCs w:val="24"/>
          <w:u w:val="single"/>
          <w:lang w:val="bg-BG" w:eastAsia="bg-BG"/>
        </w:rPr>
      </w:pPr>
      <w:r w:rsidRPr="00BD7BB1">
        <w:rPr>
          <w:rFonts w:ascii="Times New Roman" w:eastAsia="Times New Roman" w:hAnsi="Times New Roman"/>
          <w:bCs/>
          <w:color w:val="auto"/>
          <w:sz w:val="24"/>
          <w:szCs w:val="24"/>
          <w:lang w:val="bg-BG" w:eastAsia="bg-BG"/>
        </w:rPr>
        <w:t>По индикатор</w:t>
      </w:r>
      <w:r w:rsidR="00115538">
        <w:rPr>
          <w:rFonts w:ascii="Times New Roman" w:eastAsia="Times New Roman" w:hAnsi="Times New Roman"/>
          <w:bCs/>
          <w:color w:val="auto"/>
          <w:sz w:val="24"/>
          <w:szCs w:val="24"/>
          <w:lang w:val="bg-BG" w:eastAsia="bg-BG"/>
        </w:rPr>
        <w:t>а</w:t>
      </w:r>
      <w:r w:rsidRPr="00BD7BB1">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i/>
          <w:color w:val="auto"/>
          <w:sz w:val="24"/>
          <w:szCs w:val="24"/>
          <w:lang w:val="bg-BG" w:eastAsia="bg-BG"/>
        </w:rPr>
        <w:t xml:space="preserve">Брой проекти / инициативи за трансгранично сътрудничество сключени договори, </w:t>
      </w:r>
      <w:r w:rsidRPr="00BD7BB1">
        <w:rPr>
          <w:rFonts w:ascii="Times New Roman" w:eastAsia="Times New Roman" w:hAnsi="Times New Roman"/>
          <w:bCs/>
          <w:color w:val="auto"/>
          <w:sz w:val="24"/>
          <w:szCs w:val="24"/>
          <w:lang w:val="bg-BG" w:eastAsia="bg-BG"/>
        </w:rPr>
        <w:t>измерващ напредъка по Приоритет 1 се</w:t>
      </w:r>
      <w:r w:rsidRPr="00BD7BB1">
        <w:rPr>
          <w:rFonts w:ascii="Times New Roman" w:eastAsia="Times New Roman" w:hAnsi="Times New Roman"/>
          <w:b/>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 xml:space="preserve">наблюдава </w:t>
      </w:r>
      <w:r w:rsidRPr="00BD7BB1">
        <w:rPr>
          <w:rFonts w:ascii="Times New Roman" w:eastAsia="Times New Roman" w:hAnsi="Times New Roman"/>
          <w:b/>
          <w:bCs/>
          <w:color w:val="auto"/>
          <w:sz w:val="24"/>
          <w:szCs w:val="24"/>
          <w:lang w:val="bg-BG" w:eastAsia="bg-BG"/>
        </w:rPr>
        <w:t xml:space="preserve">83% </w:t>
      </w:r>
      <w:r w:rsidRPr="00BD7BB1">
        <w:rPr>
          <w:rFonts w:ascii="Times New Roman" w:eastAsia="Times New Roman" w:hAnsi="Times New Roman"/>
          <w:bCs/>
          <w:color w:val="auto"/>
          <w:sz w:val="24"/>
          <w:szCs w:val="24"/>
          <w:lang w:val="bg-BG" w:eastAsia="bg-BG"/>
        </w:rPr>
        <w:t xml:space="preserve">преизпълнение или с </w:t>
      </w:r>
      <w:r w:rsidRPr="00BD7BB1">
        <w:rPr>
          <w:rFonts w:ascii="Times New Roman" w:eastAsia="Times New Roman" w:hAnsi="Times New Roman"/>
          <w:b/>
          <w:bCs/>
          <w:color w:val="auto"/>
          <w:sz w:val="24"/>
          <w:szCs w:val="24"/>
          <w:lang w:val="bg-BG" w:eastAsia="bg-BG"/>
        </w:rPr>
        <w:t xml:space="preserve">40 броя </w:t>
      </w:r>
      <w:r w:rsidRPr="00BD7BB1">
        <w:rPr>
          <w:rFonts w:ascii="Times New Roman" w:eastAsia="Times New Roman" w:hAnsi="Times New Roman"/>
          <w:bCs/>
          <w:color w:val="auto"/>
          <w:sz w:val="24"/>
          <w:szCs w:val="24"/>
          <w:lang w:val="bg-BG" w:eastAsia="bg-BG"/>
        </w:rPr>
        <w:t>проекти повече, спрямо заложените  през  2011 г.- 48 бр.</w:t>
      </w:r>
    </w:p>
    <w:p w:rsidR="00F25110" w:rsidRPr="00BD7BB1" w:rsidRDefault="00F25110"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През 2014 г. в ЮИР в процес на изпълнение са проектите по </w:t>
      </w:r>
      <w:r w:rsidRPr="00BD7BB1">
        <w:rPr>
          <w:rFonts w:ascii="Times New Roman" w:eastAsia="Times New Roman" w:hAnsi="Times New Roman"/>
          <w:b/>
          <w:color w:val="auto"/>
          <w:sz w:val="24"/>
          <w:szCs w:val="24"/>
          <w:lang w:val="bg-BG" w:eastAsia="bg-BG"/>
        </w:rPr>
        <w:t>Програмата за ТГС  „България-Турция“</w:t>
      </w:r>
      <w:r w:rsidRPr="00BD7BB1">
        <w:rPr>
          <w:rFonts w:ascii="Times New Roman" w:eastAsia="Times New Roman" w:hAnsi="Times New Roman"/>
          <w:color w:val="auto"/>
          <w:sz w:val="24"/>
          <w:szCs w:val="24"/>
          <w:lang w:val="bg-BG" w:eastAsia="bg-BG"/>
        </w:rPr>
        <w:t xml:space="preserve">  в общините Бургас, Приморско, Царево, Средец, Малко Търново, Ямбол, Стралджа и Болярово: </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„Трансгранични образователни стратегии с фокус върху използването на ICT“;</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„Насърчаване на демокрацията на местно ниво“;</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„Уважение към равенството на половете в трансграничния регион“;</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„Разкажете ни за траките“;</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„Традиционни занаяти и приспособяването им към икономиката на трансграничния регион“;</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„Добри партньори – здраво бъдеще“;</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„По-чисто бъдеще“;</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„Здрав дух в здраво тяло“;</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„Изграждане на капацитет за управление на биоразградими отпадъци в трансграничния регион на Бургас и Къркларели“;</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„Трансграничен детски културен център“;</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„Повишаване устойчивото социално и икономическо развитие на граничните общини чрез осигуряване на достъпна инфраструктура и подобряване на населените места“;</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„Европейска академия за жени предприемачи“;</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„Обща агро-мобилна лаборатория и трансграничен център за обучение за устойчив агро-бизнес“;</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„Чиста енергия за осветление на обществени места в Стралджа и Кавакли“;</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„За по-добър живот“;</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„Традиции с бъдеще“;</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„Партньорска инициатива за валоризация на местното природно богатство и културно наследство“;</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„Тунджа и Сулоглу – Зелено Бъдеще“</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bCs/>
          <w:color w:val="auto"/>
          <w:sz w:val="24"/>
          <w:szCs w:val="24"/>
          <w:lang w:val="bg-BG" w:eastAsia="bg-BG"/>
        </w:rPr>
        <w:t>„Срещата на морето/езерото и природата с туризма”;</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„Иницииране на партньорства за валоризация на местните природни дадености и културното наследство“;</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„Подобряване на културното взаимодействие между община Болярово и община Юскюп, чрез развитие на културната инфраструктура“;</w:t>
      </w:r>
    </w:p>
    <w:p w:rsidR="00F25110" w:rsidRPr="00BD7BB1" w:rsidRDefault="00F25110" w:rsidP="00957FF6">
      <w:pPr>
        <w:numPr>
          <w:ilvl w:val="0"/>
          <w:numId w:val="18"/>
        </w:numPr>
        <w:shd w:val="clear" w:color="auto" w:fill="FFFFFF"/>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„Опазване на нематериалното културно наследство в региона на Елхово и Лалапаша чрез изграждане на инфраструктура за провеждане на традиционни събития“</w:t>
      </w:r>
    </w:p>
    <w:p w:rsidR="00F25110" w:rsidRPr="00BD7BB1" w:rsidRDefault="00F25110"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Друга инициатива през 2014 г. в посока </w:t>
      </w:r>
      <w:r w:rsidRPr="00BD7BB1">
        <w:rPr>
          <w:rFonts w:ascii="Times New Roman" w:eastAsia="Times New Roman" w:hAnsi="Times New Roman"/>
          <w:bCs/>
          <w:color w:val="auto"/>
          <w:sz w:val="24"/>
          <w:szCs w:val="24"/>
          <w:lang w:val="bg-BG" w:eastAsia="bg-BG"/>
        </w:rPr>
        <w:t>управление и развитие на граничните територии</w:t>
      </w:r>
      <w:r w:rsidRPr="00BD7BB1">
        <w:rPr>
          <w:rFonts w:ascii="Times New Roman" w:eastAsia="Times New Roman" w:hAnsi="Times New Roman"/>
          <w:color w:val="auto"/>
          <w:sz w:val="24"/>
          <w:szCs w:val="24"/>
          <w:lang w:val="bg-BG" w:eastAsia="bg-BG"/>
        </w:rPr>
        <w:t xml:space="preserve"> е стартиралата обществена поръчка за </w:t>
      </w:r>
      <w:r w:rsidRPr="00BD7BB1">
        <w:rPr>
          <w:rFonts w:ascii="Times New Roman" w:eastAsia="Times New Roman" w:hAnsi="Times New Roman"/>
          <w:bCs/>
          <w:color w:val="auto"/>
          <w:sz w:val="24"/>
          <w:szCs w:val="24"/>
          <w:lang w:eastAsia="bg-BG"/>
        </w:rPr>
        <w:t>„</w:t>
      </w:r>
      <w:r w:rsidRPr="00BD7BB1">
        <w:rPr>
          <w:rFonts w:ascii="Times New Roman" w:eastAsia="Times New Roman" w:hAnsi="Times New Roman"/>
          <w:bCs/>
          <w:i/>
          <w:color w:val="auto"/>
          <w:sz w:val="24"/>
          <w:szCs w:val="24"/>
          <w:lang w:eastAsia="bg-BG"/>
        </w:rPr>
        <w:t>Разработване на целенасочена инвестиционна</w:t>
      </w:r>
      <w:r w:rsidRPr="00BD7BB1">
        <w:rPr>
          <w:rFonts w:ascii="Times New Roman" w:eastAsia="Times New Roman" w:hAnsi="Times New Roman"/>
          <w:i/>
          <w:color w:val="auto"/>
          <w:sz w:val="24"/>
          <w:szCs w:val="24"/>
          <w:lang w:val="bg-BG" w:eastAsia="bg-BG"/>
        </w:rPr>
        <w:t xml:space="preserve"> </w:t>
      </w:r>
      <w:r w:rsidRPr="00BD7BB1">
        <w:rPr>
          <w:rFonts w:ascii="Times New Roman" w:eastAsia="Times New Roman" w:hAnsi="Times New Roman"/>
          <w:bCs/>
          <w:i/>
          <w:color w:val="auto"/>
          <w:sz w:val="24"/>
          <w:szCs w:val="24"/>
          <w:lang w:eastAsia="bg-BG"/>
        </w:rPr>
        <w:t>програма в подкрепа на развитието на Северозападна България, Родопите,</w:t>
      </w:r>
      <w:r w:rsidRPr="00BD7BB1">
        <w:rPr>
          <w:rFonts w:ascii="Times New Roman" w:eastAsia="Times New Roman" w:hAnsi="Times New Roman"/>
          <w:i/>
          <w:color w:val="auto"/>
          <w:sz w:val="24"/>
          <w:szCs w:val="24"/>
          <w:lang w:val="bg-BG" w:eastAsia="bg-BG"/>
        </w:rPr>
        <w:t xml:space="preserve"> </w:t>
      </w:r>
      <w:r w:rsidRPr="00BD7BB1">
        <w:rPr>
          <w:rFonts w:ascii="Times New Roman" w:eastAsia="Times New Roman" w:hAnsi="Times New Roman"/>
          <w:bCs/>
          <w:i/>
          <w:color w:val="auto"/>
          <w:sz w:val="24"/>
          <w:szCs w:val="24"/>
          <w:lang w:eastAsia="bg-BG"/>
        </w:rPr>
        <w:t>Странджа, пограничните, планинските и</w:t>
      </w:r>
      <w:r w:rsidRPr="00BD7BB1">
        <w:rPr>
          <w:rFonts w:ascii="Times New Roman" w:eastAsia="Times New Roman" w:hAnsi="Times New Roman"/>
          <w:bCs/>
          <w:i/>
          <w:color w:val="auto"/>
          <w:sz w:val="24"/>
          <w:szCs w:val="24"/>
          <w:lang w:val="bg-BG" w:eastAsia="bg-BG"/>
        </w:rPr>
        <w:t xml:space="preserve"> </w:t>
      </w:r>
      <w:r w:rsidRPr="00BD7BB1">
        <w:rPr>
          <w:rFonts w:ascii="Times New Roman" w:eastAsia="Times New Roman" w:hAnsi="Times New Roman"/>
          <w:bCs/>
          <w:i/>
          <w:color w:val="auto"/>
          <w:sz w:val="24"/>
          <w:szCs w:val="24"/>
          <w:lang w:eastAsia="bg-BG"/>
        </w:rPr>
        <w:t>полупланинските слабо развити</w:t>
      </w:r>
      <w:r w:rsidRPr="00BD7BB1">
        <w:rPr>
          <w:rFonts w:ascii="Times New Roman" w:eastAsia="Times New Roman" w:hAnsi="Times New Roman"/>
          <w:bCs/>
          <w:i/>
          <w:color w:val="auto"/>
          <w:sz w:val="24"/>
          <w:szCs w:val="24"/>
          <w:lang w:val="bg-BG" w:eastAsia="bg-BG"/>
        </w:rPr>
        <w:t xml:space="preserve">  </w:t>
      </w:r>
      <w:r w:rsidRPr="00BD7BB1">
        <w:rPr>
          <w:rFonts w:ascii="Times New Roman" w:eastAsia="Times New Roman" w:hAnsi="Times New Roman"/>
          <w:bCs/>
          <w:i/>
          <w:color w:val="auto"/>
          <w:sz w:val="24"/>
          <w:szCs w:val="24"/>
          <w:lang w:eastAsia="bg-BG"/>
        </w:rPr>
        <w:t>райони“</w:t>
      </w:r>
      <w:r w:rsidRPr="00BD7BB1">
        <w:rPr>
          <w:rFonts w:ascii="Times New Roman" w:eastAsia="Times New Roman" w:hAnsi="Times New Roman"/>
          <w:bCs/>
          <w:i/>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Очакванията са изготвяне на Интегриран стратегически планов документ за управление и развитие на граничните територии и слаборазвити територии.</w:t>
      </w:r>
    </w:p>
    <w:p w:rsidR="00F25110" w:rsidRPr="00BD7BB1" w:rsidRDefault="00F25110"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Реализирането на проектите в ЮИР в резултат допринасят за напредъка на </w:t>
      </w:r>
      <w:r w:rsidR="00B84A86">
        <w:rPr>
          <w:rFonts w:ascii="Times New Roman" w:eastAsia="Times New Roman" w:hAnsi="Times New Roman"/>
          <w:i/>
          <w:color w:val="auto"/>
          <w:sz w:val="24"/>
          <w:szCs w:val="24"/>
          <w:lang w:val="bg-BG" w:eastAsia="bg-BG"/>
        </w:rPr>
        <w:t xml:space="preserve">Приоритет 1 </w:t>
      </w:r>
      <w:r w:rsidRPr="00B84A86">
        <w:rPr>
          <w:rFonts w:ascii="Times New Roman" w:eastAsia="Times New Roman" w:hAnsi="Times New Roman"/>
          <w:bCs/>
          <w:i/>
          <w:color w:val="auto"/>
          <w:sz w:val="24"/>
          <w:szCs w:val="24"/>
          <w:lang w:val="bg-BG" w:eastAsia="bg-BG"/>
        </w:rPr>
        <w:t>Развитие на трансграничното сътрудничество и мобилизиране потенциала на периферните гранични територии в Югоизточен район.</w:t>
      </w:r>
      <w:r w:rsidRPr="00B84A86">
        <w:rPr>
          <w:rFonts w:ascii="Times New Roman" w:eastAsia="Times New Roman" w:hAnsi="Times New Roman"/>
          <w:b/>
          <w:bCs/>
          <w:color w:val="auto"/>
          <w:sz w:val="24"/>
          <w:szCs w:val="24"/>
          <w:lang w:val="bg-BG" w:eastAsia="bg-BG"/>
        </w:rPr>
        <w:t xml:space="preserve"> </w:t>
      </w:r>
      <w:r w:rsidRPr="00BD7BB1">
        <w:rPr>
          <w:rFonts w:ascii="Times New Roman" w:eastAsia="Times New Roman" w:hAnsi="Times New Roman"/>
          <w:b/>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Чрез</w:t>
      </w:r>
      <w:r w:rsidRPr="00BD7BB1">
        <w:rPr>
          <w:rFonts w:ascii="Times New Roman" w:eastAsia="Times New Roman" w:hAnsi="Times New Roman"/>
          <w:b/>
          <w:bCs/>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проектите се създават трансгранични междурегионални и транснационални партньорства, които  съдействат за развитието на трансграничната област. Във фокуса на проектите попада устойчивото социално и икономическо развитие с интервенции като подобряване на социалното развитие и връзките за социално сближаване, повишаване на икономическата конкурентоспособност, подпомагане в сферата на инфраструктурата, целящи подобряване на икономическия потенциал на региона от една страна, а от друга  подобряване качеството на живот, опазване на околната среда, природните ресурси, културното и историческото наследство.</w:t>
      </w:r>
    </w:p>
    <w:p w:rsidR="00F25110" w:rsidRPr="00B84A86" w:rsidRDefault="00F25110" w:rsidP="00B84A86">
      <w:pPr>
        <w:shd w:val="clear" w:color="auto" w:fill="FFFFFF"/>
        <w:spacing w:after="0" w:line="360" w:lineRule="auto"/>
        <w:jc w:val="both"/>
        <w:rPr>
          <w:rFonts w:ascii="Times New Roman" w:eastAsia="Times New Roman" w:hAnsi="Times New Roman"/>
          <w:b/>
          <w:bCs/>
          <w:color w:val="9B2D1F" w:themeColor="accent2"/>
          <w:sz w:val="24"/>
          <w:szCs w:val="24"/>
          <w:lang w:val="bg-BG" w:eastAsia="bg-BG"/>
        </w:rPr>
      </w:pPr>
      <w:r w:rsidRPr="00B84A86">
        <w:rPr>
          <w:rFonts w:ascii="Times New Roman" w:eastAsia="Times New Roman" w:hAnsi="Times New Roman"/>
          <w:b/>
          <w:color w:val="9B2D1F" w:themeColor="accent2"/>
          <w:sz w:val="24"/>
          <w:szCs w:val="24"/>
          <w:lang w:val="bg-BG" w:eastAsia="bg-BG"/>
        </w:rPr>
        <w:t xml:space="preserve">Приоритет </w:t>
      </w:r>
      <w:r w:rsidRPr="00B84A86">
        <w:rPr>
          <w:rFonts w:ascii="Times New Roman" w:eastAsia="Times New Roman" w:hAnsi="Times New Roman"/>
          <w:b/>
          <w:bCs/>
          <w:color w:val="9B2D1F" w:themeColor="accent2"/>
          <w:sz w:val="24"/>
          <w:szCs w:val="24"/>
          <w:lang w:val="bg-BG" w:eastAsia="bg-BG"/>
        </w:rPr>
        <w:t>2  Развитие на междурегионално и транснационално сътрудничество в помощ на постигане на стратегическите цели за развитие на Югоизточен район.</w:t>
      </w:r>
    </w:p>
    <w:p w:rsidR="00F25110" w:rsidRPr="00BD7BB1" w:rsidRDefault="00F25110"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Годишният преглед за 2014 г. показва, че финансова подкрепа по този приоритет е  оказана по </w:t>
      </w:r>
      <w:r w:rsidRPr="00BD7BB1">
        <w:rPr>
          <w:rFonts w:ascii="Times New Roman" w:eastAsia="Times New Roman" w:hAnsi="Times New Roman"/>
          <w:b/>
          <w:color w:val="auto"/>
          <w:sz w:val="24"/>
          <w:szCs w:val="24"/>
          <w:lang w:val="bg-BG" w:eastAsia="bg-BG"/>
        </w:rPr>
        <w:t>Оперативна програма за междурегионално сътрудничество ИНТЕРРЕГ IVС</w:t>
      </w:r>
      <w:r w:rsidRPr="00BD7BB1">
        <w:rPr>
          <w:rFonts w:ascii="Times New Roman" w:eastAsia="Times New Roman" w:hAnsi="Times New Roman"/>
          <w:color w:val="auto"/>
          <w:sz w:val="24"/>
          <w:szCs w:val="24"/>
          <w:lang w:val="bg-BG" w:eastAsia="bg-BG"/>
        </w:rPr>
        <w:t xml:space="preserve">. Програмата  е основната движеща сила на изграждането на мрежи по инициативата „Региони за икономическа промяна”.  През 2014 г. в ЮИР в процес на изпълнение </w:t>
      </w:r>
      <w:r w:rsidR="00115538">
        <w:rPr>
          <w:rFonts w:ascii="Times New Roman" w:eastAsia="Times New Roman" w:hAnsi="Times New Roman"/>
          <w:color w:val="auto"/>
          <w:sz w:val="24"/>
          <w:szCs w:val="24"/>
          <w:lang w:val="bg-BG" w:eastAsia="bg-BG"/>
        </w:rPr>
        <w:t xml:space="preserve">е </w:t>
      </w:r>
      <w:r w:rsidRPr="00BD7BB1">
        <w:rPr>
          <w:rFonts w:ascii="Times New Roman" w:eastAsia="Times New Roman" w:hAnsi="Times New Roman"/>
          <w:color w:val="auto"/>
          <w:sz w:val="24"/>
          <w:szCs w:val="24"/>
          <w:lang w:val="bg-BG" w:eastAsia="bg-BG"/>
        </w:rPr>
        <w:t xml:space="preserve">1 проект на община Сливен на стойност – </w:t>
      </w:r>
      <w:r w:rsidRPr="00BD7BB1">
        <w:rPr>
          <w:rFonts w:ascii="Times New Roman" w:eastAsia="Calibri" w:hAnsi="Times New Roman"/>
          <w:color w:val="auto"/>
          <w:sz w:val="24"/>
          <w:szCs w:val="24"/>
          <w:lang w:val="bg-BG" w:eastAsia="bg-BG"/>
        </w:rPr>
        <w:t>147 164 лв.</w:t>
      </w:r>
      <w:r w:rsidRPr="00BD7BB1">
        <w:rPr>
          <w:rFonts w:ascii="Times New Roman" w:eastAsia="Times New Roman" w:hAnsi="Times New Roman"/>
          <w:color w:val="auto"/>
          <w:sz w:val="24"/>
          <w:szCs w:val="24"/>
          <w:lang w:val="bg-BG" w:eastAsia="bg-BG"/>
        </w:rPr>
        <w:t>, в  резултат са налице интервенции в области като  научно-технологични паркове, културата и културното наследство, туризма и зелена инфрастр</w:t>
      </w:r>
      <w:r w:rsidR="00764D50">
        <w:rPr>
          <w:rFonts w:ascii="Times New Roman" w:eastAsia="Times New Roman" w:hAnsi="Times New Roman"/>
          <w:color w:val="auto"/>
          <w:sz w:val="24"/>
          <w:szCs w:val="24"/>
          <w:lang w:val="bg-BG" w:eastAsia="bg-BG"/>
        </w:rPr>
        <w:t>уктура.</w:t>
      </w:r>
      <w:r w:rsidRPr="00BD7BB1">
        <w:rPr>
          <w:rFonts w:ascii="Times New Roman" w:eastAsia="Times New Roman" w:hAnsi="Times New Roman"/>
          <w:color w:val="auto"/>
          <w:sz w:val="24"/>
          <w:szCs w:val="24"/>
          <w:lang w:val="bg-BG" w:eastAsia="bg-BG"/>
        </w:rPr>
        <w:t xml:space="preserve"> </w:t>
      </w:r>
    </w:p>
    <w:p w:rsidR="00F25110" w:rsidRPr="00BD7BB1" w:rsidRDefault="00F25110"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Друга програма, която допринася за напредъка е </w:t>
      </w:r>
      <w:r w:rsidRPr="00BD7BB1">
        <w:rPr>
          <w:rFonts w:ascii="Times New Roman" w:eastAsia="Times New Roman" w:hAnsi="Times New Roman"/>
          <w:b/>
          <w:color w:val="auto"/>
          <w:sz w:val="24"/>
          <w:szCs w:val="24"/>
          <w:lang w:val="bg-BG" w:eastAsia="bg-BG"/>
        </w:rPr>
        <w:t>Програмата за транснационално сътрудничество „Югоизточна Европа“</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която се фокусира върху повишаване качеството на процесите на териториална, икономическа и социална интеграция. Програмата поставя акцент върху кохезията, стабилността и конкурентоспособността на региона чрез развиването на транснационални партньорства и съвместни действия по въпроси от стратегическо значение. </w:t>
      </w:r>
      <w:r w:rsidRPr="00BD7BB1">
        <w:rPr>
          <w:rFonts w:ascii="Times New Roman" w:eastAsia="Times New Roman" w:hAnsi="Times New Roman"/>
          <w:b/>
          <w:color w:val="auto"/>
          <w:sz w:val="24"/>
          <w:szCs w:val="24"/>
          <w:lang w:val="bg-BG" w:eastAsia="bg-BG"/>
        </w:rPr>
        <w:t>Югоизточна Европа</w:t>
      </w:r>
      <w:r w:rsidRPr="00BD7BB1">
        <w:rPr>
          <w:rFonts w:ascii="Times New Roman" w:eastAsia="Times New Roman" w:hAnsi="Times New Roman"/>
          <w:color w:val="auto"/>
          <w:sz w:val="24"/>
          <w:szCs w:val="24"/>
          <w:lang w:val="bg-BG" w:eastAsia="bg-BG"/>
        </w:rPr>
        <w:t xml:space="preserve"> предлага уникални условия за подобряване на интеграцията, конкурентоспособността и следователно - териториалната кохезия. Районът представлява най-разнородната транснационална зона за сътрудничество в Европа и покрива 17 държави – Албания,Австрия, Босна и Херцеговина, България, Румъния, Хърватска, Република Македония, Гърция, Унгария, части от Италия, Сърбия, Черна гора, Словакия, Словения, части от Турция, Молдова и части от Украйна.</w:t>
      </w:r>
    </w:p>
    <w:p w:rsidR="00F25110" w:rsidRPr="00BD7BB1" w:rsidRDefault="00F25110"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 В Югоизточен район по Програмата „Югоизточна Европа“ за 2014 г. в процес на реализиране са проекти в общините Бургас и Сливен. В резултат на реализираните проекти има реализирани интервенции в области като: бизнес и предприемачество, градска мобилност, телекомуникационната инфраструктура, иновации в научнат</w:t>
      </w:r>
      <w:r w:rsidR="00764D50">
        <w:rPr>
          <w:rFonts w:ascii="Times New Roman" w:eastAsia="Times New Roman" w:hAnsi="Times New Roman"/>
          <w:color w:val="auto"/>
          <w:sz w:val="24"/>
          <w:szCs w:val="24"/>
          <w:lang w:val="bg-BG" w:eastAsia="bg-BG"/>
        </w:rPr>
        <w:t>а дейност и социално сближаване.</w:t>
      </w:r>
    </w:p>
    <w:p w:rsidR="00F25110" w:rsidRPr="00BD7BB1" w:rsidRDefault="00F25110"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 xml:space="preserve">Проект „Чрез съвместни инициативи за улесняване внедряването на широколентови мрежи в Югоизточна Европа </w:t>
      </w:r>
      <w:r w:rsidRPr="00BD7BB1">
        <w:rPr>
          <w:rFonts w:ascii="Times New Roman" w:eastAsia="Times New Roman" w:hAnsi="Times New Roman"/>
          <w:b/>
          <w:color w:val="auto"/>
          <w:sz w:val="24"/>
          <w:szCs w:val="24"/>
          <w:lang w:eastAsia="bg-BG"/>
        </w:rPr>
        <w:t>(</w:t>
      </w:r>
      <w:r w:rsidRPr="00BD7BB1">
        <w:rPr>
          <w:rFonts w:ascii="Times New Roman" w:eastAsia="Times New Roman" w:hAnsi="Times New Roman"/>
          <w:b/>
          <w:color w:val="auto"/>
          <w:sz w:val="24"/>
          <w:szCs w:val="24"/>
          <w:lang w:val="bg-BG" w:eastAsia="bg-BG"/>
        </w:rPr>
        <w:t>SIVA</w:t>
      </w:r>
      <w:r w:rsidRPr="00BD7BB1">
        <w:rPr>
          <w:rFonts w:ascii="Times New Roman" w:eastAsia="Times New Roman" w:hAnsi="Times New Roman"/>
          <w:b/>
          <w:color w:val="auto"/>
          <w:sz w:val="24"/>
          <w:szCs w:val="24"/>
          <w:lang w:eastAsia="bg-BG"/>
        </w:rPr>
        <w:t xml:space="preserve">) </w:t>
      </w:r>
      <w:r w:rsidRPr="00BD7BB1">
        <w:rPr>
          <w:rFonts w:ascii="Times New Roman" w:eastAsia="Times New Roman" w:hAnsi="Times New Roman"/>
          <w:color w:val="auto"/>
          <w:sz w:val="24"/>
          <w:szCs w:val="24"/>
          <w:lang w:val="bg-BG" w:eastAsia="bg-BG"/>
        </w:rPr>
        <w:t xml:space="preserve">на община Бургас  </w:t>
      </w:r>
      <w:r w:rsidR="00764D50">
        <w:rPr>
          <w:rFonts w:ascii="Times New Roman" w:eastAsia="Times New Roman" w:hAnsi="Times New Roman"/>
          <w:color w:val="auto"/>
          <w:sz w:val="24"/>
          <w:szCs w:val="24"/>
          <w:lang w:val="bg-BG" w:eastAsia="bg-BG"/>
        </w:rPr>
        <w:t xml:space="preserve">е </w:t>
      </w:r>
      <w:r w:rsidRPr="00BD7BB1">
        <w:rPr>
          <w:rFonts w:ascii="Times New Roman" w:eastAsia="Times New Roman" w:hAnsi="Times New Roman"/>
          <w:color w:val="auto"/>
          <w:sz w:val="24"/>
          <w:szCs w:val="24"/>
          <w:lang w:val="bg-BG" w:eastAsia="bg-BG"/>
        </w:rPr>
        <w:t>с 20 партньора от  Австрия , България, Гърция, Италия,  Словения, Македония  и Черна гора. Общата стойно</w:t>
      </w:r>
      <w:r w:rsidR="00764D50">
        <w:rPr>
          <w:rFonts w:ascii="Times New Roman" w:eastAsia="Times New Roman" w:hAnsi="Times New Roman"/>
          <w:color w:val="auto"/>
          <w:sz w:val="24"/>
          <w:szCs w:val="24"/>
          <w:lang w:val="bg-BG" w:eastAsia="bg-BG"/>
        </w:rPr>
        <w:t xml:space="preserve">ст на проекта е  94 704,00 Евро. </w:t>
      </w:r>
      <w:r w:rsidRPr="00BD7BB1">
        <w:rPr>
          <w:rFonts w:ascii="Times New Roman" w:eastAsia="Times New Roman" w:hAnsi="Times New Roman"/>
          <w:color w:val="auto"/>
          <w:sz w:val="24"/>
          <w:szCs w:val="24"/>
          <w:lang w:val="bg-BG" w:eastAsia="bg-BG"/>
        </w:rPr>
        <w:t xml:space="preserve">SIVA цели достъпът до информация, широколентовата свързаност и финансирането на виртуалната достъпност като  ключови компоненти, необходими за разработването, приемането и използването на ИКТ в икономиката и обществото. SIVA има за цел да допринесе за подобряване на достъпността на територии в ЮИЕ чрез широколентови услуги, като допълнение на физическа достъпност и по този начин намалява цифровото разделение в Югоизточна Европа. През 2014 г.  проектът е приключил. Очакваните резултатите  от SIVA са: подобрено вземане на решения базирани на доказателства и планиране на политики за разгръщане на широколентови мрежи; насърчаване и приемането на общи методологични рамки, база от знания, инструментални и техническите похвати на виртуалната достъпност; подобрените възможности за ефективни схеми за финансиране за виртуални инвестиции за достъпност; приемане на съвместни позиции в политиката между областните администрации; подобрение на регионалните оперативни планове и узряване на изпълнителните мерки и инвестиционни инициативи и принос към уеднаквяване на регионални стратегии за подобряване на виртуална достъпността на селските и отдалечените райони. </w:t>
      </w:r>
    </w:p>
    <w:p w:rsidR="00F25110" w:rsidRPr="00BD7BB1" w:rsidRDefault="00F25110"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Проект „Иновативни стратегии и планове за действие за увеличаване на социалната и икономическата роля на възрастните хора (SILVER CITY)“</w:t>
      </w:r>
      <w:r w:rsidRPr="00BD7BB1">
        <w:rPr>
          <w:rFonts w:ascii="Times New Roman" w:eastAsia="Times New Roman" w:hAnsi="Times New Roman"/>
          <w:color w:val="auto"/>
          <w:sz w:val="24"/>
          <w:szCs w:val="24"/>
          <w:lang w:val="bg-BG" w:eastAsia="bg-BG"/>
        </w:rPr>
        <w:t xml:space="preserve">  на община Бургас с водещ партньор община Будапеща, Унгария. Общата стойност на проекта, които е в</w:t>
      </w:r>
      <w:r w:rsidR="00815D3D">
        <w:rPr>
          <w:rFonts w:ascii="Times New Roman" w:eastAsia="Times New Roman" w:hAnsi="Times New Roman"/>
          <w:color w:val="auto"/>
          <w:sz w:val="24"/>
          <w:szCs w:val="24"/>
          <w:lang w:val="bg-BG" w:eastAsia="bg-BG"/>
        </w:rPr>
        <w:t xml:space="preserve"> приключил 09/2014  е  136 518 Е</w:t>
      </w:r>
      <w:r w:rsidRPr="00BD7BB1">
        <w:rPr>
          <w:rFonts w:ascii="Times New Roman" w:eastAsia="Times New Roman" w:hAnsi="Times New Roman"/>
          <w:color w:val="auto"/>
          <w:sz w:val="24"/>
          <w:szCs w:val="24"/>
          <w:lang w:val="bg-BG" w:eastAsia="bg-BG"/>
        </w:rPr>
        <w:t xml:space="preserve">вро.  Реализирането на SILVER CITY допринася за развитието на устойчиви общности, характеризиращи се със силно обществено лидерство и човешки капитал, социалното включване и доброто градско планиране в полза на всички и по-специално възрастните граждани. SILVER CITY подкрепя приоритети в Стратегията за устойчиво развитие на ЕС и стратегия „ЕС 2020“, свързани с балансирано местно развитие, социалните иновации, подобряване на социалното сближаване чрез значително увеличение на старши заетост, което води до подобряване на икономическите резултати и по-голяма солидарност между поколенията на местно ниво.  Основна цел на SILVER CITY е да допринесе за социално-икономическото развитие на партньорските градове чрез създаване на по-добри условия за възрастните хора да останат активни в обществото, с акцент върху финансови и институционални аспекти, социални услуги и качеството на живот в градовете и на работната среда. Очакваните резултати от проекта </w:t>
      </w:r>
      <w:r w:rsidR="00815D3D">
        <w:rPr>
          <w:rFonts w:ascii="Times New Roman" w:eastAsia="Times New Roman" w:hAnsi="Times New Roman"/>
          <w:color w:val="auto"/>
          <w:sz w:val="24"/>
          <w:szCs w:val="24"/>
          <w:lang w:val="bg-BG" w:eastAsia="bg-BG"/>
        </w:rPr>
        <w:t>са</w:t>
      </w:r>
      <w:r w:rsidRPr="00BD7BB1">
        <w:rPr>
          <w:rFonts w:ascii="Times New Roman" w:eastAsia="Times New Roman" w:hAnsi="Times New Roman"/>
          <w:color w:val="auto"/>
          <w:sz w:val="24"/>
          <w:szCs w:val="24"/>
          <w:lang w:val="bg-BG" w:eastAsia="bg-BG"/>
        </w:rPr>
        <w:t xml:space="preserve"> подчертаване значението на местни / регионални власти като катализатор за насърчаване на възрастните хора, интеграция в местните общности и в социално-икономически дейности; устойчив</w:t>
      </w:r>
      <w:r w:rsidR="009D77BD">
        <w:rPr>
          <w:rFonts w:ascii="Times New Roman" w:eastAsia="Times New Roman" w:hAnsi="Times New Roman"/>
          <w:color w:val="auto"/>
          <w:sz w:val="24"/>
          <w:szCs w:val="24"/>
          <w:lang w:val="bg-BG" w:eastAsia="bg-BG"/>
        </w:rPr>
        <w:t>и</w:t>
      </w:r>
      <w:r w:rsidRPr="00BD7BB1">
        <w:rPr>
          <w:rFonts w:ascii="Times New Roman" w:eastAsia="Times New Roman" w:hAnsi="Times New Roman"/>
          <w:color w:val="auto"/>
          <w:sz w:val="24"/>
          <w:szCs w:val="24"/>
          <w:lang w:val="bg-BG" w:eastAsia="bg-BG"/>
        </w:rPr>
        <w:t xml:space="preserve"> модели за сътрудничество на старши заетост и иновационни схеми за общността; положителна промяна в отношението на възрастните хора, местните работодатели и обществото към възрастните хора. потенциал социално-икономически принос.</w:t>
      </w:r>
    </w:p>
    <w:p w:rsidR="00F25110" w:rsidRPr="00BD7BB1" w:rsidRDefault="00F25110" w:rsidP="00F2511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През 2014 г. са предприети мерки за развитие на трансграничното сътрудничество по „</w:t>
      </w:r>
      <w:r w:rsidRPr="00BD7BB1">
        <w:rPr>
          <w:rFonts w:ascii="Times New Roman" w:eastAsia="Times New Roman" w:hAnsi="Times New Roman"/>
          <w:b/>
          <w:color w:val="auto"/>
          <w:sz w:val="24"/>
          <w:szCs w:val="24"/>
          <w:lang w:val="bg-BG" w:eastAsia="bg-BG"/>
        </w:rPr>
        <w:t>Съвместната оперативна програма на Черноморския басейн</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 xml:space="preserve">Black sea)“, </w:t>
      </w:r>
      <w:r w:rsidRPr="00BD7BB1">
        <w:rPr>
          <w:rFonts w:ascii="Times New Roman" w:eastAsia="Times New Roman" w:hAnsi="Times New Roman"/>
          <w:color w:val="auto"/>
          <w:sz w:val="24"/>
          <w:szCs w:val="24"/>
          <w:lang w:val="bg-BG" w:eastAsia="bg-BG"/>
        </w:rPr>
        <w:t>които са</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насочени към насърчаване на икономическото и социалното развитие на района на Черно море; Черноморска мрежа за устойчив туризъм;  иновации в областта на устойчивото управление и опазване на естествените природни зони; превенция на природни бедствия; сътрудничество между пристанищните власти за наблюдение и охрана на контейнери. </w:t>
      </w:r>
    </w:p>
    <w:p w:rsidR="00D40166" w:rsidRDefault="00F25110" w:rsidP="00D40166">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В процес на изпълнение през 2014 г. е  </w:t>
      </w:r>
      <w:r w:rsidRPr="00BD7BB1">
        <w:rPr>
          <w:rFonts w:ascii="Times New Roman" w:eastAsia="Times New Roman" w:hAnsi="Times New Roman"/>
          <w:b/>
          <w:color w:val="auto"/>
          <w:sz w:val="24"/>
          <w:szCs w:val="24"/>
          <w:lang w:val="bg-BG" w:eastAsia="bg-BG"/>
        </w:rPr>
        <w:t>проект  „Иновации в областта на устойчивото управление и опазване на естествените природни зони – „4GREENINN“</w:t>
      </w:r>
      <w:r w:rsidR="00815D3D">
        <w:rPr>
          <w:rFonts w:ascii="Times New Roman" w:eastAsia="Times New Roman" w:hAnsi="Times New Roman"/>
          <w:color w:val="auto"/>
          <w:sz w:val="24"/>
          <w:szCs w:val="24"/>
          <w:lang w:val="bg-BG" w:eastAsia="bg-BG"/>
        </w:rPr>
        <w:t xml:space="preserve"> на обща стойност - 187990,37 Е</w:t>
      </w:r>
      <w:r w:rsidRPr="00BD7BB1">
        <w:rPr>
          <w:rFonts w:ascii="Times New Roman" w:eastAsia="Times New Roman" w:hAnsi="Times New Roman"/>
          <w:color w:val="auto"/>
          <w:sz w:val="24"/>
          <w:szCs w:val="24"/>
          <w:lang w:val="bg-BG" w:eastAsia="bg-BG"/>
        </w:rPr>
        <w:t>вро с водеща организация  Община Бургас и партньори:НПО „Фонд Севастопол“, Украйна и Агенция за регионално развитие в Югоизточен регион за планиране - СЕРДА, Браила, Румъния. Реализирането на проекта  ще доведе до устойчиво управление на защитените природни зони в басейна на Черно море и насърчаване развитието на иновативни методи за тяхното интегриране в стратегическите документи за градско и социално-икономическо развитие в регионите, партньори по проекта.</w:t>
      </w:r>
    </w:p>
    <w:p w:rsidR="00F25110" w:rsidRPr="00D40166" w:rsidRDefault="00D40166" w:rsidP="00D40166">
      <w:pPr>
        <w:shd w:val="clear" w:color="auto" w:fill="FFFFFF"/>
        <w:spacing w:after="0" w:line="360" w:lineRule="auto"/>
        <w:ind w:firstLine="720"/>
        <w:jc w:val="both"/>
        <w:rPr>
          <w:rFonts w:ascii="Times New Roman" w:eastAsia="Times New Roman" w:hAnsi="Times New Roman"/>
          <w:b/>
          <w:i/>
          <w:color w:val="9B2D1F" w:themeColor="accent2"/>
          <w:sz w:val="24"/>
          <w:szCs w:val="24"/>
          <w:lang w:val="bg-BG" w:eastAsia="bg-BG"/>
        </w:rPr>
      </w:pPr>
      <w:r w:rsidRPr="00D40166">
        <w:rPr>
          <w:rFonts w:ascii="Times New Roman" w:eastAsia="Times New Roman" w:hAnsi="Times New Roman"/>
          <w:b/>
          <w:i/>
          <w:color w:val="9B2D1F" w:themeColor="accent2"/>
          <w:sz w:val="24"/>
          <w:szCs w:val="24"/>
          <w:lang w:val="bg-BG" w:eastAsia="bg-BG"/>
        </w:rPr>
        <w:t>Таблица 12</w:t>
      </w:r>
      <w:r>
        <w:rPr>
          <w:rFonts w:ascii="Times New Roman" w:eastAsia="Times New Roman" w:hAnsi="Times New Roman"/>
          <w:color w:val="auto"/>
          <w:sz w:val="24"/>
          <w:szCs w:val="24"/>
          <w:lang w:val="bg-BG" w:eastAsia="bg-BG"/>
        </w:rPr>
        <w:t xml:space="preserve"> </w:t>
      </w:r>
      <w:r w:rsidRPr="00D40166">
        <w:rPr>
          <w:rFonts w:ascii="Times New Roman" w:eastAsia="Times New Roman" w:hAnsi="Times New Roman"/>
          <w:b/>
          <w:i/>
          <w:color w:val="9B2D1F" w:themeColor="accent2"/>
          <w:sz w:val="24"/>
          <w:szCs w:val="24"/>
          <w:lang w:val="bg-BG"/>
        </w:rPr>
        <w:t>Справка за проекти,</w:t>
      </w:r>
      <w:r>
        <w:rPr>
          <w:rFonts w:ascii="Times New Roman" w:eastAsia="Times New Roman" w:hAnsi="Times New Roman"/>
          <w:b/>
          <w:i/>
          <w:color w:val="9B2D1F" w:themeColor="accent2"/>
          <w:sz w:val="24"/>
          <w:szCs w:val="24"/>
          <w:lang w:val="bg-BG"/>
        </w:rPr>
        <w:t xml:space="preserve"> </w:t>
      </w:r>
      <w:r w:rsidR="00F25110" w:rsidRPr="00D40166">
        <w:rPr>
          <w:rFonts w:ascii="Times New Roman" w:eastAsia="Times New Roman" w:hAnsi="Times New Roman"/>
          <w:b/>
          <w:i/>
          <w:color w:val="9B2D1F" w:themeColor="accent2"/>
          <w:sz w:val="24"/>
          <w:szCs w:val="24"/>
          <w:lang w:val="bg-BG"/>
        </w:rPr>
        <w:t>на територията на Ю</w:t>
      </w:r>
      <w:r>
        <w:rPr>
          <w:rFonts w:ascii="Times New Roman" w:eastAsia="Times New Roman" w:hAnsi="Times New Roman"/>
          <w:b/>
          <w:i/>
          <w:color w:val="9B2D1F" w:themeColor="accent2"/>
          <w:sz w:val="24"/>
          <w:szCs w:val="24"/>
          <w:lang w:val="bg-BG"/>
        </w:rPr>
        <w:t>гоизточен район  към 31.12.2014</w:t>
      </w:r>
      <w:r w:rsidR="00F25110" w:rsidRPr="00D40166">
        <w:rPr>
          <w:rFonts w:ascii="Times New Roman" w:eastAsia="Times New Roman" w:hAnsi="Times New Roman"/>
          <w:b/>
          <w:i/>
          <w:color w:val="9B2D1F" w:themeColor="accent2"/>
          <w:sz w:val="24"/>
          <w:szCs w:val="24"/>
          <w:lang w:val="bg-BG"/>
        </w:rPr>
        <w:t xml:space="preserve">г.,финансирани  в посока </w:t>
      </w:r>
      <w:r w:rsidR="00F25110" w:rsidRPr="00D40166">
        <w:rPr>
          <w:rFonts w:ascii="Times New Roman" w:eastAsia="Times New Roman" w:hAnsi="Times New Roman"/>
          <w:b/>
          <w:bCs/>
          <w:i/>
          <w:color w:val="9B2D1F" w:themeColor="accent2"/>
          <w:sz w:val="24"/>
          <w:szCs w:val="24"/>
          <w:lang w:val="bg-BG"/>
        </w:rPr>
        <w:t xml:space="preserve">Реализирани за разширяване на сътрудничеството  и насърчаване на икономическия, социалния и културния обмен между регионите на България и Европа </w:t>
      </w:r>
    </w:p>
    <w:p w:rsidR="00F25110" w:rsidRPr="00BD7BB1" w:rsidRDefault="00F25110" w:rsidP="00F25110">
      <w:pPr>
        <w:spacing w:after="0" w:line="240" w:lineRule="auto"/>
        <w:jc w:val="center"/>
        <w:rPr>
          <w:rFonts w:ascii="Times New Roman" w:eastAsia="Times New Roman" w:hAnsi="Times New Roman"/>
          <w:color w:val="auto"/>
          <w:sz w:val="24"/>
          <w:szCs w:val="24"/>
          <w:lang w:val="bg-BG"/>
        </w:rPr>
      </w:pPr>
      <w:r w:rsidRPr="00BD7BB1">
        <w:rPr>
          <w:rFonts w:ascii="Times New Roman" w:eastAsia="Times New Roman" w:hAnsi="Times New Roman"/>
          <w:bCs/>
          <w:color w:val="auto"/>
          <w:sz w:val="24"/>
          <w:szCs w:val="24"/>
          <w:lang w:val="bg-BG"/>
        </w:rPr>
        <w:t xml:space="preserve"> </w:t>
      </w: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2"/>
        <w:gridCol w:w="1843"/>
        <w:gridCol w:w="2126"/>
        <w:gridCol w:w="1984"/>
        <w:gridCol w:w="1702"/>
        <w:gridCol w:w="1417"/>
      </w:tblGrid>
      <w:tr w:rsidR="00820CB7" w:rsidRPr="00BD7BB1" w:rsidTr="00820CB7">
        <w:tc>
          <w:tcPr>
            <w:tcW w:w="567" w:type="dxa"/>
            <w:shd w:val="clear" w:color="auto" w:fill="F4B29B" w:themeFill="accent1" w:themeFillTint="66"/>
          </w:tcPr>
          <w:p w:rsidR="00F25110" w:rsidRPr="00BD7BB1" w:rsidRDefault="00F25110" w:rsidP="00F25110">
            <w:pPr>
              <w:spacing w:after="0" w:line="240" w:lineRule="auto"/>
              <w:ind w:right="-127"/>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w:t>
            </w:r>
          </w:p>
        </w:tc>
        <w:tc>
          <w:tcPr>
            <w:tcW w:w="1702" w:type="dxa"/>
            <w:shd w:val="clear" w:color="auto" w:fill="F4B29B" w:themeFill="accent1" w:themeFillTint="66"/>
          </w:tcPr>
          <w:p w:rsidR="00F25110" w:rsidRPr="00BD7BB1" w:rsidRDefault="00F25110" w:rsidP="00F25110">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Наименование на източника на финансиране и съответната програма</w:t>
            </w:r>
          </w:p>
        </w:tc>
        <w:tc>
          <w:tcPr>
            <w:tcW w:w="1843" w:type="dxa"/>
            <w:shd w:val="clear" w:color="auto" w:fill="F4B29B" w:themeFill="accent1" w:themeFillTint="66"/>
          </w:tcPr>
          <w:p w:rsidR="00F25110" w:rsidRPr="00BD7BB1" w:rsidRDefault="00F25110" w:rsidP="00F25110">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Наименование на проекта</w:t>
            </w:r>
          </w:p>
        </w:tc>
        <w:tc>
          <w:tcPr>
            <w:tcW w:w="2126" w:type="dxa"/>
            <w:shd w:val="clear" w:color="auto" w:fill="F4B29B" w:themeFill="accent1" w:themeFillTint="66"/>
          </w:tcPr>
          <w:p w:rsidR="00F25110" w:rsidRPr="00BD7BB1" w:rsidRDefault="00F25110" w:rsidP="00F25110">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Бенефициент, Партньор</w:t>
            </w:r>
          </w:p>
          <w:p w:rsidR="00F25110" w:rsidRPr="00BD7BB1" w:rsidRDefault="00F25110" w:rsidP="00F25110">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(наименование, местонахождение)</w:t>
            </w:r>
          </w:p>
        </w:tc>
        <w:tc>
          <w:tcPr>
            <w:tcW w:w="1984" w:type="dxa"/>
            <w:shd w:val="clear" w:color="auto" w:fill="F4B29B" w:themeFill="accent1" w:themeFillTint="66"/>
          </w:tcPr>
          <w:p w:rsidR="00F25110" w:rsidRPr="00BD7BB1" w:rsidRDefault="00F25110" w:rsidP="00F25110">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Статус на проекта</w:t>
            </w:r>
          </w:p>
          <w:p w:rsidR="00F25110" w:rsidRPr="00BD7BB1" w:rsidRDefault="00F25110" w:rsidP="00F25110">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 xml:space="preserve">(приключил, </w:t>
            </w:r>
          </w:p>
          <w:p w:rsidR="00F25110" w:rsidRPr="00BD7BB1" w:rsidRDefault="00F25110" w:rsidP="00F25110">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в процес на изпълнение през 2014 г. )</w:t>
            </w:r>
          </w:p>
        </w:tc>
        <w:tc>
          <w:tcPr>
            <w:tcW w:w="1702" w:type="dxa"/>
            <w:shd w:val="clear" w:color="auto" w:fill="F4B29B" w:themeFill="accent1" w:themeFillTint="66"/>
          </w:tcPr>
          <w:p w:rsidR="00F25110" w:rsidRPr="00BD7BB1" w:rsidRDefault="00F25110" w:rsidP="00F25110">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Общ размер на договорените средства</w:t>
            </w:r>
          </w:p>
        </w:tc>
        <w:tc>
          <w:tcPr>
            <w:tcW w:w="1417" w:type="dxa"/>
            <w:shd w:val="clear" w:color="auto" w:fill="F4B29B" w:themeFill="accent1" w:themeFillTint="66"/>
          </w:tcPr>
          <w:p w:rsidR="00F25110" w:rsidRPr="00BD7BB1" w:rsidRDefault="00F25110" w:rsidP="00F25110">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Изплатени средства</w:t>
            </w:r>
          </w:p>
        </w:tc>
      </w:tr>
      <w:tr w:rsidR="00F25110" w:rsidRPr="00BD7BB1" w:rsidTr="006614F6">
        <w:tc>
          <w:tcPr>
            <w:tcW w:w="567" w:type="dxa"/>
          </w:tcPr>
          <w:p w:rsidR="00F25110" w:rsidRPr="00BD7BB1" w:rsidRDefault="00F25110" w:rsidP="00F25110">
            <w:pPr>
              <w:spacing w:after="0" w:line="240" w:lineRule="auto"/>
              <w:rPr>
                <w:rFonts w:ascii="Times New Roman" w:eastAsia="Times New Roman" w:hAnsi="Times New Roman"/>
                <w:color w:val="auto"/>
                <w:sz w:val="20"/>
                <w:lang w:val="bg-BG"/>
              </w:rPr>
            </w:pPr>
          </w:p>
        </w:tc>
        <w:tc>
          <w:tcPr>
            <w:tcW w:w="1702" w:type="dxa"/>
            <w:shd w:val="clear" w:color="auto" w:fill="auto"/>
          </w:tcPr>
          <w:p w:rsidR="00F25110" w:rsidRPr="00BD7BB1" w:rsidRDefault="00F25110" w:rsidP="00F25110">
            <w:pPr>
              <w:spacing w:after="0" w:line="240" w:lineRule="auto"/>
              <w:rPr>
                <w:rFonts w:ascii="Times New Roman" w:eastAsia="Times New Roman" w:hAnsi="Times New Roman"/>
                <w:b/>
                <w:color w:val="auto"/>
                <w:sz w:val="20"/>
                <w:lang w:val="bg-BG"/>
              </w:rPr>
            </w:pPr>
            <w:r w:rsidRPr="00BD7BB1">
              <w:rPr>
                <w:rFonts w:ascii="Times New Roman" w:eastAsia="Times New Roman" w:hAnsi="Times New Roman"/>
                <w:b/>
                <w:color w:val="auto"/>
                <w:sz w:val="20"/>
                <w:lang w:val="bg-BG"/>
              </w:rPr>
              <w:t>ОА -</w:t>
            </w:r>
            <w:r w:rsidRPr="00BD7BB1">
              <w:rPr>
                <w:rFonts w:ascii="Times New Roman" w:eastAsia="Times New Roman" w:hAnsi="Times New Roman"/>
                <w:b/>
                <w:color w:val="auto"/>
                <w:sz w:val="20"/>
              </w:rPr>
              <w:t xml:space="preserve"> </w:t>
            </w:r>
            <w:r w:rsidRPr="00BD7BB1">
              <w:rPr>
                <w:rFonts w:ascii="Times New Roman" w:eastAsia="Times New Roman" w:hAnsi="Times New Roman"/>
                <w:b/>
                <w:color w:val="auto"/>
                <w:sz w:val="20"/>
                <w:lang w:val="bg-BG"/>
              </w:rPr>
              <w:t>Бургас</w:t>
            </w:r>
          </w:p>
        </w:tc>
        <w:tc>
          <w:tcPr>
            <w:tcW w:w="1843" w:type="dxa"/>
            <w:shd w:val="clear" w:color="auto" w:fill="auto"/>
          </w:tcPr>
          <w:p w:rsidR="00F25110" w:rsidRPr="00BD7BB1" w:rsidRDefault="00F25110" w:rsidP="00F25110">
            <w:pPr>
              <w:spacing w:after="0" w:line="240" w:lineRule="auto"/>
              <w:rPr>
                <w:rFonts w:ascii="Times New Roman" w:eastAsia="Times New Roman" w:hAnsi="Times New Roman"/>
                <w:color w:val="auto"/>
                <w:sz w:val="20"/>
                <w:lang w:val="bg-BG"/>
              </w:rPr>
            </w:pPr>
          </w:p>
        </w:tc>
        <w:tc>
          <w:tcPr>
            <w:tcW w:w="2126" w:type="dxa"/>
            <w:shd w:val="clear" w:color="auto" w:fill="auto"/>
          </w:tcPr>
          <w:p w:rsidR="00F25110" w:rsidRPr="00BD7BB1" w:rsidRDefault="00F25110" w:rsidP="00F25110">
            <w:pPr>
              <w:spacing w:after="0" w:line="240" w:lineRule="auto"/>
              <w:rPr>
                <w:rFonts w:ascii="Times New Roman" w:eastAsia="Times New Roman" w:hAnsi="Times New Roman"/>
                <w:color w:val="auto"/>
                <w:sz w:val="20"/>
                <w:lang w:val="bg-BG"/>
              </w:rPr>
            </w:pPr>
          </w:p>
        </w:tc>
        <w:tc>
          <w:tcPr>
            <w:tcW w:w="1984" w:type="dxa"/>
            <w:shd w:val="clear" w:color="auto" w:fill="auto"/>
          </w:tcPr>
          <w:p w:rsidR="00F25110" w:rsidRPr="00BD7BB1" w:rsidRDefault="00F25110" w:rsidP="00F25110">
            <w:pPr>
              <w:spacing w:after="0" w:line="240" w:lineRule="auto"/>
              <w:rPr>
                <w:rFonts w:ascii="Times New Roman" w:eastAsia="Times New Roman" w:hAnsi="Times New Roman"/>
                <w:color w:val="auto"/>
                <w:sz w:val="20"/>
                <w:lang w:val="bg-BG"/>
              </w:rPr>
            </w:pPr>
          </w:p>
        </w:tc>
        <w:tc>
          <w:tcPr>
            <w:tcW w:w="1702" w:type="dxa"/>
            <w:shd w:val="clear" w:color="auto" w:fill="auto"/>
          </w:tcPr>
          <w:p w:rsidR="00F25110" w:rsidRPr="00BD7BB1" w:rsidRDefault="00F25110" w:rsidP="00F25110">
            <w:pPr>
              <w:spacing w:after="0" w:line="240" w:lineRule="auto"/>
              <w:rPr>
                <w:rFonts w:ascii="Times New Roman" w:eastAsia="Times New Roman" w:hAnsi="Times New Roman"/>
                <w:color w:val="auto"/>
                <w:sz w:val="20"/>
                <w:lang w:val="bg-BG"/>
              </w:rPr>
            </w:pPr>
          </w:p>
        </w:tc>
        <w:tc>
          <w:tcPr>
            <w:tcW w:w="1417" w:type="dxa"/>
            <w:shd w:val="clear" w:color="auto" w:fill="auto"/>
          </w:tcPr>
          <w:p w:rsidR="00F25110" w:rsidRPr="00BD7BB1" w:rsidRDefault="00F25110" w:rsidP="00F25110">
            <w:pPr>
              <w:spacing w:after="0" w:line="240" w:lineRule="auto"/>
              <w:rPr>
                <w:rFonts w:ascii="Times New Roman" w:eastAsia="Times New Roman" w:hAnsi="Times New Roman"/>
                <w:color w:val="auto"/>
                <w:sz w:val="20"/>
                <w:lang w:val="bg-BG"/>
              </w:rPr>
            </w:pPr>
          </w:p>
        </w:tc>
      </w:tr>
      <w:tr w:rsidR="00F25110" w:rsidRPr="00BD7BB1" w:rsidTr="006614F6">
        <w:tc>
          <w:tcPr>
            <w:tcW w:w="567" w:type="dxa"/>
            <w:tcBorders>
              <w:top w:val="single" w:sz="4" w:space="0" w:color="auto"/>
              <w:left w:val="single" w:sz="4" w:space="0" w:color="auto"/>
              <w:bottom w:val="single" w:sz="4" w:space="0" w:color="auto"/>
              <w:right w:val="single" w:sz="4" w:space="0" w:color="auto"/>
            </w:tcBorders>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1</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Секторна програма „Леонардо да Винчи“</w:t>
            </w:r>
          </w:p>
          <w:p w:rsidR="00F25110" w:rsidRPr="00BD7BB1" w:rsidRDefault="00F25110" w:rsidP="00820CB7">
            <w:pPr>
              <w:spacing w:after="0" w:line="240" w:lineRule="auto"/>
              <w:rPr>
                <w:rFonts w:ascii="Times New Roman" w:eastAsia="Times New Roman" w:hAnsi="Times New Roman"/>
                <w:color w:val="auto"/>
                <w:sz w:val="20"/>
                <w:lang w:val="bg-BG"/>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b/>
                <w:color w:val="auto"/>
                <w:sz w:val="20"/>
              </w:rPr>
              <w:t>SMARTER -PA</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 xml:space="preserve">Областна администрация Бургас </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 xml:space="preserve">Институт за работа и техника, </w:t>
            </w:r>
            <w:r w:rsidRPr="00BD7BB1">
              <w:rPr>
                <w:rFonts w:ascii="Times New Roman" w:eastAsia="Times New Roman" w:hAnsi="Times New Roman"/>
                <w:color w:val="auto"/>
                <w:sz w:val="20"/>
                <w:lang w:val="en-GB"/>
              </w:rPr>
              <w:t xml:space="preserve"> </w:t>
            </w:r>
            <w:r w:rsidRPr="00BD7BB1">
              <w:rPr>
                <w:rFonts w:ascii="Times New Roman" w:eastAsia="Times New Roman" w:hAnsi="Times New Roman"/>
                <w:color w:val="auto"/>
                <w:sz w:val="20"/>
                <w:lang w:val="bg-BG"/>
              </w:rPr>
              <w:t xml:space="preserve">Гелзенкирхен, </w:t>
            </w:r>
            <w:r w:rsidRPr="00BD7BB1">
              <w:rPr>
                <w:rFonts w:ascii="Times New Roman" w:eastAsia="Times New Roman" w:hAnsi="Times New Roman"/>
                <w:bCs/>
                <w:color w:val="auto"/>
                <w:sz w:val="20"/>
                <w:lang w:val="bg-BG"/>
              </w:rPr>
              <w:t>Германия</w:t>
            </w:r>
          </w:p>
          <w:p w:rsidR="00F25110" w:rsidRPr="00BD7BB1" w:rsidRDefault="00F25110" w:rsidP="00820CB7">
            <w:pPr>
              <w:spacing w:after="0" w:line="240" w:lineRule="auto"/>
              <w:rPr>
                <w:rFonts w:ascii="Times New Roman" w:eastAsia="Times New Roman" w:hAnsi="Times New Roman"/>
                <w:bCs/>
                <w:color w:val="auto"/>
                <w:sz w:val="20"/>
                <w:lang w:val="bg-BG"/>
              </w:rPr>
            </w:pPr>
            <w:r w:rsidRPr="00BD7BB1">
              <w:rPr>
                <w:rFonts w:ascii="Times New Roman" w:eastAsia="Times New Roman" w:hAnsi="Times New Roman"/>
                <w:color w:val="auto"/>
                <w:sz w:val="20"/>
                <w:lang w:val="de-DE"/>
              </w:rPr>
              <w:t>Anatoliki</w:t>
            </w:r>
            <w:r w:rsidRPr="00BD7BB1">
              <w:rPr>
                <w:rFonts w:ascii="Times New Roman" w:eastAsia="Times New Roman" w:hAnsi="Times New Roman"/>
                <w:color w:val="auto"/>
                <w:sz w:val="20"/>
                <w:lang w:val="bg-BG"/>
              </w:rPr>
              <w:t xml:space="preserve"> </w:t>
            </w:r>
            <w:r w:rsidRPr="00BD7BB1">
              <w:rPr>
                <w:rFonts w:ascii="Times New Roman" w:eastAsia="Times New Roman" w:hAnsi="Times New Roman"/>
                <w:color w:val="auto"/>
                <w:sz w:val="20"/>
                <w:lang w:val="de-DE"/>
              </w:rPr>
              <w:t xml:space="preserve">S.A., </w:t>
            </w:r>
            <w:r w:rsidRPr="00BD7BB1">
              <w:rPr>
                <w:rFonts w:ascii="Times New Roman" w:eastAsia="Times New Roman" w:hAnsi="Times New Roman"/>
                <w:color w:val="auto"/>
                <w:sz w:val="20"/>
                <w:lang w:val="bg-BG"/>
              </w:rPr>
              <w:t xml:space="preserve">Солун, </w:t>
            </w:r>
            <w:r w:rsidRPr="00BD7BB1">
              <w:rPr>
                <w:rFonts w:ascii="Times New Roman" w:eastAsia="Times New Roman" w:hAnsi="Times New Roman"/>
                <w:bCs/>
                <w:color w:val="auto"/>
                <w:sz w:val="20"/>
                <w:lang w:val="bg-BG"/>
              </w:rPr>
              <w:t>Гърция</w:t>
            </w:r>
          </w:p>
          <w:p w:rsidR="00F25110" w:rsidRPr="00BD7BB1" w:rsidRDefault="00F25110" w:rsidP="00820CB7">
            <w:pPr>
              <w:spacing w:after="0" w:line="240" w:lineRule="auto"/>
              <w:rPr>
                <w:rFonts w:ascii="Times New Roman" w:eastAsia="Times New Roman" w:hAnsi="Times New Roman"/>
                <w:bCs/>
                <w:color w:val="auto"/>
                <w:sz w:val="20"/>
              </w:rPr>
            </w:pPr>
            <w:r w:rsidRPr="00BD7BB1">
              <w:rPr>
                <w:rFonts w:ascii="Times New Roman" w:eastAsia="Times New Roman" w:hAnsi="Times New Roman"/>
                <w:color w:val="auto"/>
                <w:sz w:val="20"/>
                <w:lang w:val="bg-BG"/>
              </w:rPr>
              <w:t>Общински съвет Мурсия</w:t>
            </w:r>
            <w:r w:rsidRPr="00BD7BB1">
              <w:rPr>
                <w:rFonts w:ascii="Times New Roman" w:eastAsia="Times New Roman" w:hAnsi="Times New Roman"/>
                <w:color w:val="auto"/>
                <w:sz w:val="20"/>
                <w:lang w:val="de-DE"/>
              </w:rPr>
              <w:t xml:space="preserve">, </w:t>
            </w:r>
            <w:r w:rsidRPr="00BD7BB1">
              <w:rPr>
                <w:rFonts w:ascii="Times New Roman" w:eastAsia="Times New Roman" w:hAnsi="Times New Roman"/>
                <w:bCs/>
                <w:color w:val="auto"/>
                <w:sz w:val="20"/>
                <w:lang w:val="bg-BG"/>
              </w:rPr>
              <w:t>Испания</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Институт за творчески дейности</w:t>
            </w:r>
            <w:r w:rsidRPr="00BD7BB1">
              <w:rPr>
                <w:rFonts w:ascii="Times New Roman" w:eastAsia="Times New Roman" w:hAnsi="Times New Roman"/>
                <w:color w:val="auto"/>
                <w:sz w:val="20"/>
                <w:lang w:val="de-DE"/>
              </w:rPr>
              <w:t xml:space="preserve">, </w:t>
            </w:r>
            <w:r w:rsidRPr="00BD7BB1">
              <w:rPr>
                <w:rFonts w:ascii="Times New Roman" w:eastAsia="Times New Roman" w:hAnsi="Times New Roman"/>
                <w:color w:val="auto"/>
                <w:sz w:val="20"/>
                <w:lang w:val="bg-BG"/>
              </w:rPr>
              <w:t>Полша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 xml:space="preserve">В процес на изпълнение – стартирал на </w:t>
            </w:r>
            <w:r w:rsidRPr="00BD7BB1">
              <w:rPr>
                <w:rFonts w:ascii="Times New Roman" w:eastAsia="Times New Roman" w:hAnsi="Times New Roman"/>
                <w:color w:val="auto"/>
                <w:sz w:val="20"/>
              </w:rPr>
              <w:t>20.09.2013</w:t>
            </w:r>
            <w:r w:rsidRPr="00BD7BB1">
              <w:rPr>
                <w:rFonts w:ascii="Times New Roman" w:eastAsia="Times New Roman" w:hAnsi="Times New Roman"/>
                <w:color w:val="auto"/>
                <w:sz w:val="20"/>
                <w:lang w:val="bg-BG"/>
              </w:rPr>
              <w:t xml:space="preserve"> г.</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af-ZA"/>
              </w:rPr>
              <w:t>39</w:t>
            </w:r>
            <w:r w:rsidRPr="00BD7BB1">
              <w:rPr>
                <w:rFonts w:ascii="Times New Roman" w:eastAsia="Times New Roman" w:hAnsi="Times New Roman"/>
                <w:color w:val="auto"/>
                <w:sz w:val="20"/>
                <w:lang w:val="bg-BG"/>
              </w:rPr>
              <w:t xml:space="preserve"> </w:t>
            </w:r>
            <w:r w:rsidRPr="00BD7BB1">
              <w:rPr>
                <w:rFonts w:ascii="Times New Roman" w:eastAsia="Times New Roman" w:hAnsi="Times New Roman"/>
                <w:color w:val="auto"/>
                <w:sz w:val="20"/>
                <w:lang w:val="af-ZA"/>
              </w:rPr>
              <w:t>116,6</w:t>
            </w:r>
            <w:r w:rsidRPr="00BD7BB1">
              <w:rPr>
                <w:rFonts w:ascii="Times New Roman" w:eastAsia="Times New Roman" w:hAnsi="Times New Roman"/>
                <w:color w:val="auto"/>
                <w:sz w:val="20"/>
                <w:lang w:val="bg-BG"/>
              </w:rPr>
              <w:t>0 лв.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31 293,28 лв.</w:t>
            </w:r>
          </w:p>
          <w:p w:rsidR="00F25110" w:rsidRPr="00BD7BB1" w:rsidRDefault="00F25110" w:rsidP="00820CB7">
            <w:pPr>
              <w:spacing w:after="0" w:line="240" w:lineRule="auto"/>
              <w:rPr>
                <w:rFonts w:ascii="Times New Roman" w:eastAsia="Times New Roman" w:hAnsi="Times New Roman"/>
                <w:color w:val="auto"/>
                <w:sz w:val="20"/>
                <w:lang w:val="bg-BG"/>
              </w:rPr>
            </w:pPr>
          </w:p>
        </w:tc>
      </w:tr>
      <w:tr w:rsidR="00F25110" w:rsidRPr="00BD7BB1" w:rsidTr="006614F6">
        <w:tc>
          <w:tcPr>
            <w:tcW w:w="567" w:type="dxa"/>
            <w:tcBorders>
              <w:top w:val="single" w:sz="4" w:space="0" w:color="auto"/>
              <w:left w:val="single" w:sz="4" w:space="0" w:color="auto"/>
              <w:bottom w:val="single" w:sz="4" w:space="0" w:color="auto"/>
              <w:right w:val="single" w:sz="4" w:space="0" w:color="auto"/>
            </w:tcBorders>
          </w:tcPr>
          <w:p w:rsidR="00F25110" w:rsidRPr="00BD7BB1" w:rsidRDefault="00F25110" w:rsidP="00820CB7">
            <w:pPr>
              <w:spacing w:after="0" w:line="240" w:lineRule="auto"/>
              <w:rPr>
                <w:rFonts w:ascii="Times New Roman" w:eastAsia="Times New Roman" w:hAnsi="Times New Roman"/>
                <w:bCs/>
                <w:color w:val="auto"/>
                <w:sz w:val="20"/>
                <w:lang w:val="bg-BG"/>
              </w:rPr>
            </w:pPr>
            <w:r w:rsidRPr="00BD7BB1">
              <w:rPr>
                <w:rFonts w:ascii="Times New Roman" w:eastAsia="Times New Roman" w:hAnsi="Times New Roman"/>
                <w:bCs/>
                <w:color w:val="auto"/>
                <w:sz w:val="20"/>
                <w:lang w:val="bg-BG"/>
              </w:rPr>
              <w:t>2</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bCs/>
                <w:color w:val="auto"/>
                <w:sz w:val="20"/>
              </w:rPr>
            </w:pPr>
            <w:r w:rsidRPr="00BD7BB1">
              <w:rPr>
                <w:rFonts w:ascii="Times New Roman" w:eastAsia="Times New Roman" w:hAnsi="Times New Roman"/>
                <w:bCs/>
                <w:color w:val="auto"/>
                <w:sz w:val="20"/>
                <w:lang w:val="bg-BG"/>
              </w:rPr>
              <w:t>Инструмент за европейско добросъседство и партньорство</w:t>
            </w:r>
          </w:p>
          <w:p w:rsidR="00F25110" w:rsidRPr="00BD7BB1" w:rsidRDefault="00F25110" w:rsidP="00820CB7">
            <w:pPr>
              <w:spacing w:after="0" w:line="240" w:lineRule="auto"/>
              <w:rPr>
                <w:rFonts w:ascii="Times New Roman" w:eastAsia="Times New Roman" w:hAnsi="Times New Roman"/>
                <w:bCs/>
                <w:color w:val="auto"/>
                <w:sz w:val="20"/>
                <w:lang w:val="bg-BG"/>
              </w:rPr>
            </w:pPr>
            <w:r w:rsidRPr="00BD7BB1">
              <w:rPr>
                <w:rFonts w:ascii="Times New Roman" w:eastAsia="Times New Roman" w:hAnsi="Times New Roman"/>
                <w:bCs/>
                <w:color w:val="auto"/>
                <w:sz w:val="20"/>
                <w:lang w:val="bg-BG"/>
              </w:rPr>
              <w:t>Съвместна оперативна програма „Черноморски басейн“ 2007-2013 г.</w:t>
            </w:r>
          </w:p>
          <w:p w:rsidR="00F25110" w:rsidRPr="00BD7BB1" w:rsidRDefault="00F25110" w:rsidP="00820CB7">
            <w:pPr>
              <w:spacing w:after="0" w:line="240" w:lineRule="auto"/>
              <w:rPr>
                <w:rFonts w:ascii="Times New Roman" w:eastAsia="Times New Roman" w:hAnsi="Times New Roman"/>
                <w:color w:val="auto"/>
                <w:sz w:val="20"/>
                <w:lang w:val="bg-BG"/>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bCs/>
                <w:color w:val="auto"/>
                <w:sz w:val="20"/>
                <w:lang w:val="bg-BG"/>
              </w:rPr>
            </w:pPr>
            <w:r w:rsidRPr="00BD7BB1">
              <w:rPr>
                <w:rFonts w:ascii="Times New Roman" w:eastAsia="Times New Roman" w:hAnsi="Times New Roman"/>
                <w:b/>
                <w:bCs/>
                <w:color w:val="auto"/>
                <w:sz w:val="20"/>
              </w:rPr>
              <w:t xml:space="preserve"> </w:t>
            </w:r>
            <w:r w:rsidRPr="00BD7BB1">
              <w:rPr>
                <w:rFonts w:ascii="Times New Roman" w:eastAsia="Times New Roman" w:hAnsi="Times New Roman"/>
                <w:b/>
                <w:bCs/>
                <w:color w:val="auto"/>
                <w:sz w:val="20"/>
                <w:lang w:val="bg-BG"/>
              </w:rPr>
              <w:t>„</w:t>
            </w:r>
            <w:r w:rsidRPr="00BD7BB1">
              <w:rPr>
                <w:rFonts w:ascii="Times New Roman" w:eastAsia="Times New Roman" w:hAnsi="Times New Roman"/>
                <w:bCs/>
                <w:color w:val="auto"/>
                <w:sz w:val="20"/>
                <w:lang w:val="bg-BG"/>
              </w:rPr>
              <w:t>Платформа за културен обмен в Черноморския басейн“</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bCs/>
                <w:color w:val="auto"/>
                <w:sz w:val="20"/>
              </w:rPr>
              <w:t>CULTUR-EXP</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bCs/>
                <w:color w:val="auto"/>
                <w:sz w:val="20"/>
                <w:lang w:val="bg-BG"/>
              </w:rPr>
            </w:pPr>
            <w:r w:rsidRPr="00BD7BB1">
              <w:rPr>
                <w:rFonts w:ascii="Times New Roman" w:eastAsia="Times New Roman" w:hAnsi="Times New Roman"/>
                <w:bCs/>
                <w:color w:val="auto"/>
                <w:sz w:val="20"/>
                <w:lang w:val="bg-BG"/>
              </w:rPr>
              <w:t xml:space="preserve">Грузинска асоциация за изследователни и образователни мрежи </w:t>
            </w:r>
            <w:r w:rsidRPr="00BD7BB1">
              <w:rPr>
                <w:rFonts w:ascii="Times New Roman" w:eastAsia="Times New Roman" w:hAnsi="Times New Roman"/>
                <w:bCs/>
                <w:color w:val="auto"/>
                <w:sz w:val="20"/>
              </w:rPr>
              <w:t>(GRENA),</w:t>
            </w:r>
            <w:r w:rsidRPr="00BD7BB1">
              <w:rPr>
                <w:rFonts w:ascii="Times New Roman" w:eastAsia="Times New Roman" w:hAnsi="Times New Roman"/>
                <w:bCs/>
                <w:color w:val="auto"/>
                <w:sz w:val="20"/>
                <w:lang w:val="bg-BG"/>
              </w:rPr>
              <w:t>Грузия</w:t>
            </w:r>
            <w:r w:rsidRPr="00BD7BB1">
              <w:rPr>
                <w:rFonts w:ascii="Times New Roman" w:eastAsia="Times New Roman" w:hAnsi="Times New Roman"/>
                <w:bCs/>
                <w:color w:val="auto"/>
                <w:sz w:val="20"/>
              </w:rPr>
              <w:t xml:space="preserve"> –</w:t>
            </w:r>
            <w:r w:rsidRPr="00BD7BB1">
              <w:rPr>
                <w:rFonts w:ascii="Times New Roman" w:eastAsia="Times New Roman" w:hAnsi="Times New Roman"/>
                <w:bCs/>
                <w:color w:val="auto"/>
                <w:sz w:val="20"/>
                <w:lang w:val="bg-BG"/>
              </w:rPr>
              <w:t xml:space="preserve"> Водещ партньор</w:t>
            </w:r>
          </w:p>
          <w:p w:rsidR="00F25110" w:rsidRPr="00BD7BB1" w:rsidRDefault="00F25110" w:rsidP="00820CB7">
            <w:pPr>
              <w:spacing w:after="0" w:line="240" w:lineRule="auto"/>
              <w:rPr>
                <w:rFonts w:ascii="Times New Roman" w:eastAsia="Times New Roman" w:hAnsi="Times New Roman"/>
                <w:bCs/>
                <w:color w:val="auto"/>
                <w:sz w:val="20"/>
                <w:lang w:val="bg-BG"/>
              </w:rPr>
            </w:pPr>
            <w:r w:rsidRPr="00BD7BB1">
              <w:rPr>
                <w:rFonts w:ascii="Times New Roman" w:eastAsia="Times New Roman" w:hAnsi="Times New Roman"/>
                <w:bCs/>
                <w:color w:val="auto"/>
                <w:sz w:val="20"/>
                <w:lang w:val="bg-BG"/>
              </w:rPr>
              <w:t>Партньори:</w:t>
            </w:r>
          </w:p>
          <w:p w:rsidR="00F25110" w:rsidRPr="00BD7BB1" w:rsidRDefault="00F25110" w:rsidP="00820CB7">
            <w:pPr>
              <w:spacing w:after="0" w:line="240" w:lineRule="auto"/>
              <w:rPr>
                <w:rFonts w:ascii="Times New Roman" w:eastAsia="Times New Roman" w:hAnsi="Times New Roman"/>
                <w:bCs/>
                <w:color w:val="auto"/>
                <w:sz w:val="20"/>
              </w:rPr>
            </w:pPr>
            <w:r w:rsidRPr="00BD7BB1">
              <w:rPr>
                <w:rFonts w:ascii="Times New Roman" w:eastAsia="Times New Roman" w:hAnsi="Times New Roman"/>
                <w:bCs/>
                <w:color w:val="auto"/>
                <w:sz w:val="20"/>
                <w:lang w:val="bg-BG"/>
              </w:rPr>
              <w:t xml:space="preserve">Областна администрация Бургас </w:t>
            </w:r>
          </w:p>
          <w:p w:rsidR="00F25110" w:rsidRPr="00BD7BB1" w:rsidRDefault="00F25110" w:rsidP="00820CB7">
            <w:pPr>
              <w:spacing w:after="0" w:line="240" w:lineRule="auto"/>
              <w:rPr>
                <w:rFonts w:ascii="Times New Roman" w:eastAsia="Times New Roman" w:hAnsi="Times New Roman"/>
                <w:bCs/>
                <w:color w:val="auto"/>
                <w:sz w:val="20"/>
                <w:lang w:val="bg-BG"/>
              </w:rPr>
            </w:pPr>
            <w:r w:rsidRPr="00BD7BB1">
              <w:rPr>
                <w:rFonts w:ascii="Times New Roman" w:eastAsia="Times New Roman" w:hAnsi="Times New Roman"/>
                <w:bCs/>
                <w:color w:val="auto"/>
                <w:sz w:val="20"/>
                <w:lang w:val="bg-BG"/>
              </w:rPr>
              <w:t xml:space="preserve">Европейска регионална рамка за сътрудничество </w:t>
            </w:r>
            <w:r w:rsidRPr="00BD7BB1">
              <w:rPr>
                <w:rFonts w:ascii="Times New Roman" w:eastAsia="Times New Roman" w:hAnsi="Times New Roman"/>
                <w:bCs/>
                <w:color w:val="auto"/>
                <w:sz w:val="20"/>
                <w:lang w:val="en-GB"/>
              </w:rPr>
              <w:t xml:space="preserve">(ERFC), </w:t>
            </w:r>
            <w:r w:rsidRPr="00BD7BB1">
              <w:rPr>
                <w:rFonts w:ascii="Times New Roman" w:eastAsia="Times New Roman" w:hAnsi="Times New Roman"/>
                <w:bCs/>
                <w:color w:val="auto"/>
                <w:sz w:val="20"/>
                <w:lang w:val="bg-BG"/>
              </w:rPr>
              <w:t>Гърция</w:t>
            </w:r>
          </w:p>
          <w:p w:rsidR="00F25110" w:rsidRPr="00BD7BB1" w:rsidRDefault="00F25110" w:rsidP="00820CB7">
            <w:pPr>
              <w:spacing w:after="0" w:line="240" w:lineRule="auto"/>
              <w:rPr>
                <w:rFonts w:ascii="Times New Roman" w:eastAsia="Times New Roman" w:hAnsi="Times New Roman"/>
                <w:bCs/>
                <w:color w:val="auto"/>
                <w:sz w:val="20"/>
                <w:lang w:val="en-GB"/>
              </w:rPr>
            </w:pPr>
            <w:r w:rsidRPr="00BD7BB1">
              <w:rPr>
                <w:rFonts w:ascii="Times New Roman" w:eastAsia="Times New Roman" w:hAnsi="Times New Roman"/>
                <w:bCs/>
                <w:color w:val="auto"/>
                <w:sz w:val="20"/>
                <w:lang w:val="bg-BG"/>
              </w:rPr>
              <w:t>НПО Арменски паметници</w:t>
            </w:r>
            <w:r w:rsidRPr="00BD7BB1">
              <w:rPr>
                <w:rFonts w:ascii="Times New Roman" w:eastAsia="Times New Roman" w:hAnsi="Times New Roman"/>
                <w:bCs/>
                <w:color w:val="auto"/>
                <w:sz w:val="20"/>
                <w:lang w:val="en-GB"/>
              </w:rPr>
              <w:t xml:space="preserve"> (AMAP), </w:t>
            </w:r>
            <w:r w:rsidRPr="00BD7BB1">
              <w:rPr>
                <w:rFonts w:ascii="Times New Roman" w:eastAsia="Times New Roman" w:hAnsi="Times New Roman"/>
                <w:bCs/>
                <w:color w:val="auto"/>
                <w:sz w:val="20"/>
                <w:lang w:val="bg-BG"/>
              </w:rPr>
              <w:t>Армения</w:t>
            </w:r>
          </w:p>
          <w:p w:rsidR="00F25110" w:rsidRPr="00BD7BB1" w:rsidRDefault="00F25110" w:rsidP="00820CB7">
            <w:pPr>
              <w:spacing w:after="0" w:line="240" w:lineRule="auto"/>
              <w:rPr>
                <w:rFonts w:ascii="Times New Roman" w:eastAsia="Times New Roman" w:hAnsi="Times New Roman"/>
                <w:bCs/>
                <w:color w:val="auto"/>
                <w:sz w:val="20"/>
                <w:lang w:val="bg-BG"/>
              </w:rPr>
            </w:pPr>
            <w:r w:rsidRPr="00BD7BB1">
              <w:rPr>
                <w:rFonts w:ascii="Times New Roman" w:eastAsia="Times New Roman" w:hAnsi="Times New Roman"/>
                <w:bCs/>
                <w:color w:val="auto"/>
                <w:sz w:val="20"/>
                <w:lang w:val="bg-BG"/>
              </w:rPr>
              <w:t xml:space="preserve">Молдовска асоциация за изследователни и образователни мрежи </w:t>
            </w:r>
            <w:r w:rsidRPr="00BD7BB1">
              <w:rPr>
                <w:rFonts w:ascii="Times New Roman" w:eastAsia="Times New Roman" w:hAnsi="Times New Roman"/>
                <w:bCs/>
                <w:color w:val="auto"/>
                <w:sz w:val="20"/>
                <w:lang w:val="en-GB"/>
              </w:rPr>
              <w:t>(RENAM),</w:t>
            </w:r>
            <w:r w:rsidRPr="00BD7BB1">
              <w:rPr>
                <w:rFonts w:ascii="Times New Roman" w:eastAsia="Times New Roman" w:hAnsi="Times New Roman"/>
                <w:bCs/>
                <w:color w:val="auto"/>
                <w:sz w:val="20"/>
                <w:lang w:val="bg-BG"/>
              </w:rPr>
              <w:t xml:space="preserve"> Молдова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bCs/>
                <w:color w:val="auto"/>
                <w:sz w:val="20"/>
                <w:lang w:val="bg-BG"/>
              </w:rPr>
            </w:pPr>
            <w:r w:rsidRPr="00BD7BB1">
              <w:rPr>
                <w:rFonts w:ascii="Times New Roman" w:eastAsia="Times New Roman" w:hAnsi="Times New Roman"/>
                <w:bCs/>
                <w:color w:val="auto"/>
                <w:sz w:val="20"/>
                <w:lang w:val="bg-BG"/>
              </w:rPr>
              <w:t>В процес на изпълнение – стартирал на 01.07.2013 г.</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bCs/>
                <w:color w:val="auto"/>
                <w:sz w:val="20"/>
                <w:lang w:val="bg-BG"/>
              </w:rPr>
              <w:t>Период на изпълнение – 24 месеца</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bCs/>
                <w:color w:val="auto"/>
                <w:sz w:val="20"/>
                <w:lang w:val="bg-BG"/>
              </w:rPr>
              <w:t>109 396,20</w:t>
            </w:r>
          </w:p>
          <w:p w:rsidR="00F25110" w:rsidRPr="00BD7BB1" w:rsidRDefault="00F25110" w:rsidP="00820CB7">
            <w:pPr>
              <w:spacing w:after="0" w:line="240" w:lineRule="auto"/>
              <w:jc w:val="center"/>
              <w:rPr>
                <w:rFonts w:ascii="Times New Roman" w:eastAsia="Times New Roman" w:hAnsi="Times New Roman"/>
                <w:color w:val="auto"/>
                <w:sz w:val="20"/>
                <w:lang w:val="bg-BG"/>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86 904,33</w:t>
            </w:r>
          </w:p>
        </w:tc>
      </w:tr>
      <w:tr w:rsidR="00F25110" w:rsidRPr="00BD7BB1" w:rsidTr="006614F6">
        <w:tc>
          <w:tcPr>
            <w:tcW w:w="567" w:type="dxa"/>
            <w:tcBorders>
              <w:top w:val="single" w:sz="4" w:space="0" w:color="auto"/>
              <w:left w:val="single" w:sz="4" w:space="0" w:color="auto"/>
              <w:bottom w:val="single" w:sz="4" w:space="0" w:color="auto"/>
              <w:right w:val="single" w:sz="4" w:space="0" w:color="auto"/>
            </w:tcBorders>
          </w:tcPr>
          <w:p w:rsidR="00F25110" w:rsidRPr="00BD7BB1" w:rsidRDefault="00F25110" w:rsidP="00820CB7">
            <w:pPr>
              <w:spacing w:after="0" w:line="240" w:lineRule="auto"/>
              <w:rPr>
                <w:rFonts w:ascii="Times New Roman" w:eastAsia="Times New Roman" w:hAnsi="Times New Roman"/>
                <w:bCs/>
                <w:color w:val="auto"/>
                <w:sz w:val="20"/>
                <w:lang w:val="bg-BG"/>
              </w:rPr>
            </w:pPr>
            <w:r w:rsidRPr="00BD7BB1">
              <w:rPr>
                <w:rFonts w:ascii="Times New Roman" w:eastAsia="Times New Roman" w:hAnsi="Times New Roman"/>
                <w:bCs/>
                <w:color w:val="auto"/>
                <w:sz w:val="20"/>
                <w:lang w:val="bg-BG"/>
              </w:rPr>
              <w:t>3</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bCs/>
                <w:color w:val="auto"/>
                <w:sz w:val="20"/>
              </w:rPr>
            </w:pPr>
            <w:r w:rsidRPr="00BD7BB1">
              <w:rPr>
                <w:rFonts w:ascii="Times New Roman" w:eastAsia="Times New Roman" w:hAnsi="Times New Roman"/>
                <w:bCs/>
                <w:color w:val="auto"/>
                <w:sz w:val="20"/>
                <w:lang w:val="bg-BG"/>
              </w:rPr>
              <w:t>Инструмент за европейско добросъседство и партньорство</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Съвместна оперативна програма „Черноморски басейн“ 2007-2013 г.</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„Туристически пътеки в Черноморския регион“</w:t>
            </w:r>
          </w:p>
          <w:p w:rsidR="00F25110" w:rsidRPr="00BD7BB1" w:rsidRDefault="00F25110" w:rsidP="00820CB7">
            <w:pPr>
              <w:spacing w:after="0" w:line="240" w:lineRule="auto"/>
              <w:rPr>
                <w:rFonts w:ascii="Times New Roman" w:eastAsia="Times New Roman" w:hAnsi="Times New Roman"/>
                <w:color w:val="auto"/>
                <w:sz w:val="20"/>
              </w:rPr>
            </w:pPr>
            <w:r w:rsidRPr="00BD7BB1">
              <w:rPr>
                <w:rFonts w:ascii="Times New Roman" w:eastAsia="Times New Roman" w:hAnsi="Times New Roman"/>
                <w:color w:val="auto"/>
                <w:sz w:val="20"/>
              </w:rPr>
              <w:t>BSB - TOUR</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Префектура Централна Македония, Гърция – Водещ партньор</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Партньори:</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Областна администрация Бургас, България Държавна агенция за опазване на околната  среда, Украйна</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Международен център за Кавказки туризъм, Грузия</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Съвещателен екологичен център Каху, Молдова</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НПО Агрикола, Украйна</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Арменска държавна аграрна асоциация, Армения</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Агенция за развитие на Тракия, Агенция за развитие на Мармара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В процес на изпълнение, стратирал на 01.01.2014 г.</w:t>
            </w:r>
          </w:p>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Период на изпълнение – 24 месеца</w:t>
            </w: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215 498, 49 лв.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r w:rsidRPr="00BD7BB1">
              <w:rPr>
                <w:rFonts w:ascii="Times New Roman" w:eastAsia="Times New Roman" w:hAnsi="Times New Roman"/>
                <w:color w:val="auto"/>
                <w:sz w:val="20"/>
                <w:lang w:val="bg-BG"/>
              </w:rPr>
              <w:t>75 424, 47 лв.</w:t>
            </w:r>
          </w:p>
        </w:tc>
      </w:tr>
      <w:tr w:rsidR="00F25110" w:rsidRPr="00BD7BB1" w:rsidTr="006614F6">
        <w:tc>
          <w:tcPr>
            <w:tcW w:w="567" w:type="dxa"/>
            <w:tcBorders>
              <w:top w:val="single" w:sz="4" w:space="0" w:color="auto"/>
              <w:left w:val="single" w:sz="4" w:space="0" w:color="auto"/>
              <w:bottom w:val="single" w:sz="4" w:space="0" w:color="auto"/>
              <w:right w:val="single" w:sz="4" w:space="0" w:color="auto"/>
            </w:tcBorders>
          </w:tcPr>
          <w:p w:rsidR="00F25110" w:rsidRPr="00BD7BB1" w:rsidRDefault="00F25110" w:rsidP="00820CB7">
            <w:pPr>
              <w:spacing w:after="0" w:line="240" w:lineRule="auto"/>
              <w:rPr>
                <w:rFonts w:ascii="Times New Roman" w:eastAsia="Times New Roman" w:hAnsi="Times New Roman"/>
                <w:b/>
                <w:bCs/>
                <w:color w:val="auto"/>
                <w:sz w:val="20"/>
                <w:lang w:val="bg-BG"/>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b/>
                <w:bCs/>
                <w:color w:val="auto"/>
                <w:sz w:val="20"/>
                <w:lang w:val="bg-BG"/>
              </w:rPr>
            </w:pPr>
            <w:r w:rsidRPr="00BD7BB1">
              <w:rPr>
                <w:rFonts w:ascii="Times New Roman" w:eastAsia="Times New Roman" w:hAnsi="Times New Roman"/>
                <w:b/>
                <w:bCs/>
                <w:color w:val="auto"/>
                <w:sz w:val="20"/>
                <w:lang w:val="bg-BG"/>
              </w:rPr>
              <w:t>Община Бургас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b/>
                <w:color w:val="auto"/>
                <w:sz w:val="20"/>
                <w:lang w:val="bg-BG"/>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820CB7">
            <w:pPr>
              <w:spacing w:after="0" w:line="240" w:lineRule="auto"/>
              <w:rPr>
                <w:rFonts w:ascii="Times New Roman" w:eastAsia="Times New Roman" w:hAnsi="Times New Roman"/>
                <w:color w:val="auto"/>
                <w:sz w:val="20"/>
                <w:lang w:val="bg-BG"/>
              </w:rPr>
            </w:pPr>
          </w:p>
        </w:tc>
      </w:tr>
    </w:tbl>
    <w:p w:rsidR="00F25110" w:rsidRPr="00BD7BB1" w:rsidRDefault="00F25110" w:rsidP="00820CB7">
      <w:pPr>
        <w:spacing w:after="0" w:line="240" w:lineRule="auto"/>
        <w:rPr>
          <w:rFonts w:ascii="Times New Roman" w:eastAsia="Times New Roman" w:hAnsi="Times New Roman"/>
          <w:vanish/>
          <w:color w:val="auto"/>
          <w:sz w:val="20"/>
          <w:lang w:val="bg-BG" w:eastAsia="bg-BG"/>
        </w:rPr>
      </w:pPr>
    </w:p>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2"/>
        <w:gridCol w:w="1843"/>
        <w:gridCol w:w="2126"/>
        <w:gridCol w:w="1985"/>
        <w:gridCol w:w="1701"/>
        <w:gridCol w:w="1417"/>
      </w:tblGrid>
      <w:tr w:rsidR="00F25110" w:rsidRPr="00BD7BB1" w:rsidTr="006614F6">
        <w:tc>
          <w:tcPr>
            <w:tcW w:w="56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4</w:t>
            </w:r>
          </w:p>
        </w:tc>
        <w:tc>
          <w:tcPr>
            <w:tcW w:w="1702"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Съвместната оперативна програма на Черноморския басейн 2007-2013</w:t>
            </w:r>
          </w:p>
        </w:tc>
        <w:tc>
          <w:tcPr>
            <w:tcW w:w="1843"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Проект  „Черноморска мрежа за устойчив туризъм – Стратегии за Съвместен маркетинг в туризма и развитие на Черноморския регион“ – BS NST</w:t>
            </w:r>
          </w:p>
        </w:tc>
        <w:tc>
          <w:tcPr>
            <w:tcW w:w="2126"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 xml:space="preserve">Институт за бизнес консултации </w:t>
            </w: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(Business Consulting Institute), Кишинев, Молдова</w:t>
            </w:r>
          </w:p>
        </w:tc>
        <w:tc>
          <w:tcPr>
            <w:tcW w:w="1985"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В процес на изпълнение през 2014</w:t>
            </w:r>
          </w:p>
        </w:tc>
        <w:tc>
          <w:tcPr>
            <w:tcW w:w="1701"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99 815 евро</w:t>
            </w:r>
          </w:p>
        </w:tc>
        <w:tc>
          <w:tcPr>
            <w:tcW w:w="141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Първи аванс - 52709, 72 лв</w:t>
            </w:r>
          </w:p>
          <w:p w:rsidR="00F25110" w:rsidRPr="00BD7BB1" w:rsidRDefault="00F25110" w:rsidP="00820CB7">
            <w:pPr>
              <w:spacing w:after="0" w:line="240" w:lineRule="auto"/>
              <w:jc w:val="center"/>
              <w:rPr>
                <w:rFonts w:ascii="Times New Roman" w:eastAsia="Calibri" w:hAnsi="Times New Roman"/>
                <w:color w:val="auto"/>
                <w:sz w:val="20"/>
                <w:lang w:val="bg-BG" w:eastAsia="bg-BG"/>
              </w:rPr>
            </w:pPr>
          </w:p>
          <w:p w:rsidR="00F25110" w:rsidRPr="00BD7BB1" w:rsidRDefault="00F25110" w:rsidP="00820CB7">
            <w:pPr>
              <w:spacing w:after="0" w:line="240" w:lineRule="auto"/>
              <w:jc w:val="center"/>
              <w:rPr>
                <w:rFonts w:ascii="Times New Roman" w:eastAsia="Calibri" w:hAnsi="Times New Roman"/>
                <w:color w:val="auto"/>
                <w:sz w:val="20"/>
                <w:lang w:val="bg-BG" w:eastAsia="bg-BG"/>
              </w:rPr>
            </w:pP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Втори аванс – 87 849.53 лв.</w:t>
            </w:r>
          </w:p>
        </w:tc>
      </w:tr>
      <w:tr w:rsidR="00F25110" w:rsidRPr="00BD7BB1" w:rsidTr="006614F6">
        <w:tc>
          <w:tcPr>
            <w:tcW w:w="56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5</w:t>
            </w:r>
          </w:p>
        </w:tc>
        <w:tc>
          <w:tcPr>
            <w:tcW w:w="1702"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Съвместната оперативна програма на Черноморския басейн 2007-2013</w:t>
            </w:r>
          </w:p>
        </w:tc>
        <w:tc>
          <w:tcPr>
            <w:tcW w:w="1843"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Проект  „Иновации в областта на устойчивото управление и опазване на естествените природни зони - 4GREENINN“</w:t>
            </w:r>
          </w:p>
        </w:tc>
        <w:tc>
          <w:tcPr>
            <w:tcW w:w="2126"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Община Бургас</w:t>
            </w:r>
          </w:p>
        </w:tc>
        <w:tc>
          <w:tcPr>
            <w:tcW w:w="1985"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В процес на изпълнение през 2014</w:t>
            </w:r>
          </w:p>
        </w:tc>
        <w:tc>
          <w:tcPr>
            <w:tcW w:w="1701"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187990,37 евро</w:t>
            </w:r>
          </w:p>
        </w:tc>
        <w:tc>
          <w:tcPr>
            <w:tcW w:w="141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 xml:space="preserve">Аванс – </w:t>
            </w:r>
            <w:r w:rsidRPr="00BD7BB1">
              <w:rPr>
                <w:rFonts w:ascii="Times New Roman" w:eastAsia="Calibri" w:hAnsi="Times New Roman"/>
                <w:color w:val="auto"/>
                <w:sz w:val="20"/>
                <w:lang w:eastAsia="bg-BG"/>
              </w:rPr>
              <w:t>50751.76</w:t>
            </w:r>
            <w:r w:rsidRPr="00BD7BB1">
              <w:rPr>
                <w:rFonts w:ascii="Times New Roman" w:eastAsia="Calibri" w:hAnsi="Times New Roman"/>
                <w:color w:val="auto"/>
                <w:sz w:val="20"/>
                <w:lang w:val="bg-BG" w:eastAsia="bg-BG"/>
              </w:rPr>
              <w:t xml:space="preserve"> евро</w:t>
            </w:r>
          </w:p>
          <w:p w:rsidR="00F25110" w:rsidRPr="00BD7BB1" w:rsidRDefault="00F25110" w:rsidP="00820CB7">
            <w:pPr>
              <w:spacing w:after="0" w:line="240" w:lineRule="auto"/>
              <w:jc w:val="center"/>
              <w:rPr>
                <w:rFonts w:ascii="Times New Roman" w:eastAsia="Calibri" w:hAnsi="Times New Roman"/>
                <w:color w:val="auto"/>
                <w:sz w:val="20"/>
                <w:lang w:eastAsia="bg-BG"/>
              </w:rPr>
            </w:pP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 xml:space="preserve">Втори аванс – </w:t>
            </w: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84586,27 евро</w:t>
            </w:r>
          </w:p>
        </w:tc>
      </w:tr>
      <w:tr w:rsidR="00F25110" w:rsidRPr="00BD7BB1" w:rsidTr="006614F6">
        <w:tc>
          <w:tcPr>
            <w:tcW w:w="56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6</w:t>
            </w:r>
          </w:p>
        </w:tc>
        <w:tc>
          <w:tcPr>
            <w:tcW w:w="1702"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Оперативна програма за транснационално сътрудничество „Югоизточна Европа 2007 – 2013“</w:t>
            </w:r>
          </w:p>
        </w:tc>
        <w:tc>
          <w:tcPr>
            <w:tcW w:w="1843"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Проект „</w:t>
            </w: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наука в югоизточна европа"-повишаване на иновациите чрез изграждане на капацитет и мрежа от научни центрове в югоизточна европа (see science)</w:t>
            </w:r>
          </w:p>
        </w:tc>
        <w:tc>
          <w:tcPr>
            <w:tcW w:w="2126"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Община Дебресен, Унгария</w:t>
            </w:r>
          </w:p>
        </w:tc>
        <w:tc>
          <w:tcPr>
            <w:tcW w:w="1985"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eastAsia="bg-BG"/>
              </w:rPr>
            </w:pPr>
            <w:r w:rsidRPr="00BD7BB1">
              <w:rPr>
                <w:rFonts w:ascii="Times New Roman" w:eastAsia="Calibri" w:hAnsi="Times New Roman"/>
                <w:color w:val="auto"/>
                <w:sz w:val="20"/>
                <w:lang w:val="bg-BG" w:eastAsia="bg-BG"/>
              </w:rPr>
              <w:t>Приключил</w:t>
            </w:r>
          </w:p>
        </w:tc>
        <w:tc>
          <w:tcPr>
            <w:tcW w:w="1701"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97 860 евро</w:t>
            </w:r>
          </w:p>
        </w:tc>
        <w:tc>
          <w:tcPr>
            <w:tcW w:w="141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97 860 евро</w:t>
            </w:r>
          </w:p>
        </w:tc>
      </w:tr>
      <w:tr w:rsidR="00F25110" w:rsidRPr="00BD7BB1" w:rsidTr="006614F6">
        <w:tc>
          <w:tcPr>
            <w:tcW w:w="567" w:type="dxa"/>
            <w:shd w:val="clear" w:color="auto" w:fill="auto"/>
          </w:tcPr>
          <w:p w:rsidR="00F25110" w:rsidRPr="00BD7BB1" w:rsidRDefault="00F25110" w:rsidP="00820CB7">
            <w:pPr>
              <w:spacing w:after="0" w:line="240" w:lineRule="auto"/>
              <w:jc w:val="center"/>
              <w:rPr>
                <w:rFonts w:ascii="Times New Roman" w:eastAsia="Calibri" w:hAnsi="Times New Roman"/>
                <w:b/>
                <w:color w:val="auto"/>
                <w:sz w:val="20"/>
                <w:lang w:val="bg-BG" w:eastAsia="bg-BG"/>
              </w:rPr>
            </w:pPr>
            <w:r w:rsidRPr="00BD7BB1">
              <w:rPr>
                <w:rFonts w:ascii="Times New Roman" w:eastAsia="Calibri" w:hAnsi="Times New Roman"/>
                <w:b/>
                <w:color w:val="auto"/>
                <w:sz w:val="20"/>
                <w:lang w:val="bg-BG" w:eastAsia="bg-BG"/>
              </w:rPr>
              <w:t>7</w:t>
            </w:r>
          </w:p>
        </w:tc>
        <w:tc>
          <w:tcPr>
            <w:tcW w:w="1702"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Оперативна програма за транснационално сътрудничество „Югоизточна Европа 2007 – 2013“</w:t>
            </w:r>
          </w:p>
        </w:tc>
        <w:tc>
          <w:tcPr>
            <w:tcW w:w="1843"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„Подобряване на виртуалната достъпност в Югоизточна Европа чрез съвместни инициативи улесняващи внедряването на широколентови мрежи/SIVA/“</w:t>
            </w:r>
          </w:p>
          <w:p w:rsidR="00F25110" w:rsidRPr="00BD7BB1" w:rsidRDefault="00F25110" w:rsidP="00820CB7">
            <w:pPr>
              <w:spacing w:after="0" w:line="240" w:lineRule="auto"/>
              <w:jc w:val="center"/>
              <w:rPr>
                <w:rFonts w:ascii="Times New Roman" w:eastAsia="Calibri" w:hAnsi="Times New Roman"/>
                <w:color w:val="auto"/>
                <w:sz w:val="20"/>
                <w:lang w:val="bg-BG" w:eastAsia="bg-BG"/>
              </w:rPr>
            </w:pP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„South East Europe improved virtual accessibility trough joint initiatives facilitating the rollout of broadband networks /SIVA/“</w:t>
            </w:r>
          </w:p>
        </w:tc>
        <w:tc>
          <w:tcPr>
            <w:tcW w:w="2126"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Община Бургас, водещ партньор Регионална асоциация на местните власти Западна Македония, Гърция</w:t>
            </w:r>
          </w:p>
          <w:p w:rsidR="00F25110" w:rsidRPr="00BD7BB1" w:rsidRDefault="00F25110" w:rsidP="00820CB7">
            <w:pPr>
              <w:spacing w:after="0" w:line="240" w:lineRule="auto"/>
              <w:jc w:val="center"/>
              <w:rPr>
                <w:rFonts w:ascii="Times New Roman" w:eastAsia="Calibri" w:hAnsi="Times New Roman"/>
                <w:color w:val="auto"/>
                <w:sz w:val="20"/>
                <w:lang w:val="bg-BG" w:eastAsia="bg-BG"/>
              </w:rPr>
            </w:pP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 xml:space="preserve">(Regional Association of Local Governments </w:t>
            </w: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Of Western Macedonia (PED DM)</w:t>
            </w:r>
          </w:p>
        </w:tc>
        <w:tc>
          <w:tcPr>
            <w:tcW w:w="1985"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Приключил</w:t>
            </w:r>
          </w:p>
        </w:tc>
        <w:tc>
          <w:tcPr>
            <w:tcW w:w="1701"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94 704,00 евро</w:t>
            </w:r>
          </w:p>
        </w:tc>
        <w:tc>
          <w:tcPr>
            <w:tcW w:w="141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50 989,47 евро</w:t>
            </w:r>
          </w:p>
        </w:tc>
      </w:tr>
      <w:tr w:rsidR="00F25110" w:rsidRPr="00BD7BB1" w:rsidTr="006614F6">
        <w:tc>
          <w:tcPr>
            <w:tcW w:w="56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8</w:t>
            </w:r>
          </w:p>
        </w:tc>
        <w:tc>
          <w:tcPr>
            <w:tcW w:w="1702"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ОП „Югоизточна Европа“ 2007-2013</w:t>
            </w:r>
          </w:p>
        </w:tc>
        <w:tc>
          <w:tcPr>
            <w:tcW w:w="1843"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СРЕБЪРЕН ГРАД – Иновативни стратегии и планове за действия за увеличаване на социално икономическата роля на възрастните хора</w:t>
            </w:r>
          </w:p>
        </w:tc>
        <w:tc>
          <w:tcPr>
            <w:tcW w:w="2126"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Община Будапеща, Зугло, Унгария  - водещ партньор</w:t>
            </w: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Община Бургас - партньор</w:t>
            </w:r>
          </w:p>
        </w:tc>
        <w:tc>
          <w:tcPr>
            <w:tcW w:w="1985"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Приключил 09/2014</w:t>
            </w:r>
          </w:p>
        </w:tc>
        <w:tc>
          <w:tcPr>
            <w:tcW w:w="1701"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 xml:space="preserve"> 136 518 евро</w:t>
            </w:r>
          </w:p>
        </w:tc>
        <w:tc>
          <w:tcPr>
            <w:tcW w:w="141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eastAsia="bg-BG"/>
              </w:rPr>
            </w:pPr>
            <w:r w:rsidRPr="00BD7BB1">
              <w:rPr>
                <w:rFonts w:ascii="Times New Roman" w:eastAsia="Calibri" w:hAnsi="Times New Roman"/>
                <w:color w:val="auto"/>
                <w:sz w:val="20"/>
                <w:lang w:eastAsia="bg-BG"/>
              </w:rPr>
              <w:t>90 221.45</w:t>
            </w:r>
            <w:r w:rsidRPr="00BD7BB1">
              <w:rPr>
                <w:rFonts w:ascii="Times New Roman" w:eastAsia="Calibri" w:hAnsi="Times New Roman"/>
                <w:color w:val="auto"/>
                <w:sz w:val="20"/>
                <w:lang w:val="bg-BG" w:eastAsia="bg-BG"/>
              </w:rPr>
              <w:t xml:space="preserve"> евро</w:t>
            </w:r>
          </w:p>
          <w:p w:rsidR="00F25110" w:rsidRPr="00BD7BB1" w:rsidRDefault="00F25110" w:rsidP="00820CB7">
            <w:pPr>
              <w:spacing w:after="0" w:line="240" w:lineRule="auto"/>
              <w:jc w:val="center"/>
              <w:rPr>
                <w:rFonts w:ascii="Times New Roman" w:eastAsia="Calibri" w:hAnsi="Times New Roman"/>
                <w:color w:val="auto"/>
                <w:sz w:val="20"/>
                <w:lang w:eastAsia="bg-BG"/>
              </w:rPr>
            </w:pPr>
          </w:p>
          <w:p w:rsidR="00F25110" w:rsidRPr="00BD7BB1" w:rsidRDefault="00F25110" w:rsidP="00820CB7">
            <w:pPr>
              <w:spacing w:after="0" w:line="240" w:lineRule="auto"/>
              <w:jc w:val="center"/>
              <w:rPr>
                <w:rFonts w:ascii="Times New Roman" w:eastAsia="Calibri" w:hAnsi="Times New Roman"/>
                <w:color w:val="auto"/>
                <w:sz w:val="20"/>
                <w:lang w:eastAsia="bg-BG"/>
              </w:rPr>
            </w:pPr>
            <w:r w:rsidRPr="00BD7BB1">
              <w:rPr>
                <w:rFonts w:ascii="Times New Roman" w:eastAsia="Calibri" w:hAnsi="Times New Roman"/>
                <w:color w:val="auto"/>
                <w:sz w:val="20"/>
                <w:lang w:val="bg-BG" w:eastAsia="bg-BG"/>
              </w:rPr>
              <w:t xml:space="preserve">( 73 839,29 евро </w:t>
            </w:r>
          </w:p>
          <w:p w:rsidR="00F25110" w:rsidRPr="00BD7BB1" w:rsidRDefault="00F25110" w:rsidP="00820CB7">
            <w:pPr>
              <w:spacing w:after="0" w:line="240" w:lineRule="auto"/>
              <w:jc w:val="center"/>
              <w:rPr>
                <w:rFonts w:ascii="Times New Roman" w:eastAsia="Calibri" w:hAnsi="Times New Roman"/>
                <w:color w:val="auto"/>
                <w:sz w:val="20"/>
                <w:lang w:eastAsia="bg-BG"/>
              </w:rPr>
            </w:pP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32 040,23 лв.)</w:t>
            </w:r>
          </w:p>
        </w:tc>
      </w:tr>
      <w:tr w:rsidR="00F25110" w:rsidRPr="00BD7BB1" w:rsidTr="006614F6">
        <w:tc>
          <w:tcPr>
            <w:tcW w:w="56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9</w:t>
            </w:r>
          </w:p>
        </w:tc>
        <w:tc>
          <w:tcPr>
            <w:tcW w:w="1702"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„Интелигентна Енергия – Европа“</w:t>
            </w:r>
          </w:p>
        </w:tc>
        <w:tc>
          <w:tcPr>
            <w:tcW w:w="1843"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ФИЕСТА – Целенасочени действия за ефективно спестяване на енергия в домакинствата</w:t>
            </w:r>
          </w:p>
        </w:tc>
        <w:tc>
          <w:tcPr>
            <w:tcW w:w="2126"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 xml:space="preserve">Научен парк – </w:t>
            </w:r>
            <w:r w:rsidRPr="00BD7BB1">
              <w:rPr>
                <w:rFonts w:ascii="Times New Roman" w:eastAsia="Calibri" w:hAnsi="Times New Roman"/>
                <w:color w:val="auto"/>
                <w:sz w:val="20"/>
                <w:lang w:eastAsia="bg-BG"/>
              </w:rPr>
              <w:t xml:space="preserve">AREA, </w:t>
            </w:r>
            <w:r w:rsidRPr="00BD7BB1">
              <w:rPr>
                <w:rFonts w:ascii="Times New Roman" w:eastAsia="Calibri" w:hAnsi="Times New Roman"/>
                <w:color w:val="auto"/>
                <w:sz w:val="20"/>
                <w:lang w:val="bg-BG" w:eastAsia="bg-BG"/>
              </w:rPr>
              <w:t>Триест, Италия - водещ партньор</w:t>
            </w: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Община Бургас - партньор</w:t>
            </w:r>
          </w:p>
        </w:tc>
        <w:tc>
          <w:tcPr>
            <w:tcW w:w="1985"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В процес на изпълнение</w:t>
            </w:r>
          </w:p>
        </w:tc>
        <w:tc>
          <w:tcPr>
            <w:tcW w:w="1701"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62 515 евро</w:t>
            </w:r>
          </w:p>
        </w:tc>
        <w:tc>
          <w:tcPr>
            <w:tcW w:w="141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14 065,80 евро</w:t>
            </w:r>
          </w:p>
        </w:tc>
      </w:tr>
      <w:tr w:rsidR="00F25110" w:rsidRPr="00BD7BB1" w:rsidTr="006614F6">
        <w:tc>
          <w:tcPr>
            <w:tcW w:w="567"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10</w:t>
            </w:r>
          </w:p>
        </w:tc>
        <w:tc>
          <w:tcPr>
            <w:tcW w:w="1702"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Съвместната оперативна програма на Черноморския басейн 2007-2013</w:t>
            </w:r>
          </w:p>
          <w:p w:rsidR="00F25110" w:rsidRPr="00BD7BB1" w:rsidRDefault="00F25110" w:rsidP="00820CB7">
            <w:pPr>
              <w:spacing w:after="0" w:line="240" w:lineRule="auto"/>
              <w:rPr>
                <w:rFonts w:ascii="Times New Roman" w:eastAsia="Calibri" w:hAnsi="Times New Roman"/>
                <w:color w:val="auto"/>
                <w:sz w:val="20"/>
                <w:lang w:eastAsia="bg-BG"/>
              </w:rPr>
            </w:pPr>
          </w:p>
        </w:tc>
        <w:tc>
          <w:tcPr>
            <w:tcW w:w="1843"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eastAsia="bg-BG"/>
              </w:rPr>
            </w:pPr>
            <w:r w:rsidRPr="00BD7BB1">
              <w:rPr>
                <w:rFonts w:ascii="Times New Roman" w:eastAsia="Calibri" w:hAnsi="Times New Roman"/>
                <w:color w:val="auto"/>
                <w:sz w:val="20"/>
                <w:lang w:eastAsia="bg-BG"/>
              </w:rPr>
              <w:t>HOTBLACKSEA</w:t>
            </w:r>
          </w:p>
          <w:p w:rsidR="00F25110" w:rsidRPr="00BD7BB1" w:rsidRDefault="00F25110" w:rsidP="00820CB7">
            <w:pPr>
              <w:spacing w:after="0" w:line="240" w:lineRule="auto"/>
              <w:jc w:val="center"/>
              <w:rPr>
                <w:rFonts w:ascii="Times New Roman" w:eastAsia="Calibri" w:hAnsi="Times New Roman"/>
                <w:color w:val="auto"/>
                <w:sz w:val="20"/>
                <w:lang w:eastAsia="bg-BG"/>
              </w:rPr>
            </w:pPr>
            <w:r w:rsidRPr="00BD7BB1">
              <w:rPr>
                <w:rFonts w:ascii="Times New Roman" w:eastAsia="Calibri" w:hAnsi="Times New Roman"/>
                <w:color w:val="auto"/>
                <w:sz w:val="20"/>
                <w:lang w:val="ru-RU" w:eastAsia="bg-BG"/>
              </w:rPr>
              <w:t>“Интегрирано управление на уязвимите хабитати и опазване на Черноморската екосистема</w:t>
            </w:r>
            <w:r w:rsidRPr="00BD7BB1">
              <w:rPr>
                <w:rFonts w:ascii="Times New Roman" w:eastAsia="Calibri" w:hAnsi="Times New Roman"/>
                <w:color w:val="auto"/>
                <w:sz w:val="20"/>
                <w:lang w:eastAsia="bg-BG"/>
              </w:rPr>
              <w:t>”</w:t>
            </w:r>
          </w:p>
        </w:tc>
        <w:tc>
          <w:tcPr>
            <w:tcW w:w="2126"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Водещ партньор Национален институт за разследване и развитие, Букурещ, Румъния. Община Бургас е партньор</w:t>
            </w:r>
          </w:p>
        </w:tc>
        <w:tc>
          <w:tcPr>
            <w:tcW w:w="1985"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В процес на изпълнение</w:t>
            </w:r>
          </w:p>
        </w:tc>
        <w:tc>
          <w:tcPr>
            <w:tcW w:w="1701"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62 943,22 евро от СОП, национално съфинансиране – 6933,69 евро</w:t>
            </w:r>
          </w:p>
        </w:tc>
        <w:tc>
          <w:tcPr>
            <w:tcW w:w="141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109427,62 лева (55 949,45 Евро)</w:t>
            </w:r>
          </w:p>
        </w:tc>
      </w:tr>
      <w:tr w:rsidR="00F25110" w:rsidRPr="00BD7BB1" w:rsidTr="006614F6">
        <w:tc>
          <w:tcPr>
            <w:tcW w:w="567"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p>
        </w:tc>
        <w:tc>
          <w:tcPr>
            <w:tcW w:w="1702" w:type="dxa"/>
            <w:shd w:val="clear" w:color="auto" w:fill="auto"/>
          </w:tcPr>
          <w:p w:rsidR="00F25110" w:rsidRPr="00BD7BB1" w:rsidRDefault="00F25110" w:rsidP="00820CB7">
            <w:pPr>
              <w:spacing w:after="0" w:line="240" w:lineRule="auto"/>
              <w:rPr>
                <w:rFonts w:ascii="Times New Roman" w:eastAsia="Calibri" w:hAnsi="Times New Roman"/>
                <w:b/>
                <w:color w:val="auto"/>
                <w:sz w:val="20"/>
                <w:lang w:val="bg-BG" w:eastAsia="bg-BG"/>
              </w:rPr>
            </w:pPr>
            <w:r w:rsidRPr="00BD7BB1">
              <w:rPr>
                <w:rFonts w:ascii="Times New Roman" w:eastAsia="Calibri" w:hAnsi="Times New Roman"/>
                <w:b/>
                <w:color w:val="auto"/>
                <w:sz w:val="20"/>
                <w:lang w:val="bg-BG" w:eastAsia="bg-BG"/>
              </w:rPr>
              <w:t>Община Сливен</w:t>
            </w:r>
          </w:p>
        </w:tc>
        <w:tc>
          <w:tcPr>
            <w:tcW w:w="1843"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p>
        </w:tc>
        <w:tc>
          <w:tcPr>
            <w:tcW w:w="2126"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p>
        </w:tc>
        <w:tc>
          <w:tcPr>
            <w:tcW w:w="1985"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p>
        </w:tc>
        <w:tc>
          <w:tcPr>
            <w:tcW w:w="1701"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p>
        </w:tc>
        <w:tc>
          <w:tcPr>
            <w:tcW w:w="141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p>
        </w:tc>
      </w:tr>
      <w:tr w:rsidR="00F25110" w:rsidRPr="00BD7BB1" w:rsidTr="006614F6">
        <w:tc>
          <w:tcPr>
            <w:tcW w:w="567"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11</w:t>
            </w:r>
          </w:p>
        </w:tc>
        <w:tc>
          <w:tcPr>
            <w:tcW w:w="1702"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Финансов механизъм на Европейското икономическо пространство 2009-2014</w:t>
            </w:r>
          </w:p>
        </w:tc>
        <w:tc>
          <w:tcPr>
            <w:tcW w:w="1843"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Творческо пространство за малки и големи</w:t>
            </w:r>
          </w:p>
        </w:tc>
        <w:tc>
          <w:tcPr>
            <w:tcW w:w="2126"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Община Сливен</w:t>
            </w:r>
          </w:p>
        </w:tc>
        <w:tc>
          <w:tcPr>
            <w:tcW w:w="1985"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 xml:space="preserve">В процес на </w:t>
            </w: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изпълнение</w:t>
            </w:r>
          </w:p>
        </w:tc>
        <w:tc>
          <w:tcPr>
            <w:tcW w:w="1701"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431406,45 лв.</w:t>
            </w:r>
          </w:p>
        </w:tc>
        <w:tc>
          <w:tcPr>
            <w:tcW w:w="141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4000</w:t>
            </w:r>
          </w:p>
        </w:tc>
      </w:tr>
      <w:tr w:rsidR="00F25110" w:rsidRPr="00BD7BB1" w:rsidTr="006614F6">
        <w:tc>
          <w:tcPr>
            <w:tcW w:w="567"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12</w:t>
            </w:r>
          </w:p>
        </w:tc>
        <w:tc>
          <w:tcPr>
            <w:tcW w:w="1702"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INTERREG IVC</w:t>
            </w:r>
          </w:p>
        </w:tc>
        <w:tc>
          <w:tcPr>
            <w:tcW w:w="1843"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JEWEL</w:t>
            </w:r>
          </w:p>
        </w:tc>
        <w:tc>
          <w:tcPr>
            <w:tcW w:w="2126"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Община Сливен</w:t>
            </w:r>
          </w:p>
        </w:tc>
        <w:tc>
          <w:tcPr>
            <w:tcW w:w="1985"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В процес на изпълнение</w:t>
            </w:r>
          </w:p>
        </w:tc>
        <w:tc>
          <w:tcPr>
            <w:tcW w:w="1701"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147164</w:t>
            </w:r>
          </w:p>
        </w:tc>
        <w:tc>
          <w:tcPr>
            <w:tcW w:w="141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205 177,04 лв.</w:t>
            </w:r>
          </w:p>
        </w:tc>
      </w:tr>
      <w:tr w:rsidR="00F25110" w:rsidRPr="00BD7BB1" w:rsidTr="006614F6">
        <w:tc>
          <w:tcPr>
            <w:tcW w:w="567"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p>
        </w:tc>
        <w:tc>
          <w:tcPr>
            <w:tcW w:w="1702"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r w:rsidRPr="00BD7BB1">
              <w:rPr>
                <w:rFonts w:ascii="Times New Roman" w:eastAsia="Calibri" w:hAnsi="Times New Roman"/>
                <w:b/>
                <w:color w:val="auto"/>
                <w:sz w:val="20"/>
                <w:lang w:val="bg-BG" w:eastAsia="bg-BG"/>
              </w:rPr>
              <w:t>Община Казанлък</w:t>
            </w:r>
          </w:p>
        </w:tc>
        <w:tc>
          <w:tcPr>
            <w:tcW w:w="1843"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p>
        </w:tc>
        <w:tc>
          <w:tcPr>
            <w:tcW w:w="2126"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p>
        </w:tc>
        <w:tc>
          <w:tcPr>
            <w:tcW w:w="1985"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p>
        </w:tc>
        <w:tc>
          <w:tcPr>
            <w:tcW w:w="1701"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p>
        </w:tc>
        <w:tc>
          <w:tcPr>
            <w:tcW w:w="141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p>
        </w:tc>
      </w:tr>
      <w:tr w:rsidR="00F25110" w:rsidRPr="00BD7BB1" w:rsidTr="006614F6">
        <w:tc>
          <w:tcPr>
            <w:tcW w:w="567"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13</w:t>
            </w:r>
          </w:p>
        </w:tc>
        <w:tc>
          <w:tcPr>
            <w:tcW w:w="1702"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Програма „Учене през целия живот“, секторна програма „Коменски”</w:t>
            </w:r>
          </w:p>
        </w:tc>
        <w:tc>
          <w:tcPr>
            <w:tcW w:w="1843" w:type="dxa"/>
            <w:shd w:val="clear" w:color="auto" w:fill="auto"/>
          </w:tcPr>
          <w:p w:rsidR="00F25110" w:rsidRPr="00BD7BB1" w:rsidRDefault="00F25110" w:rsidP="00820CB7">
            <w:pPr>
              <w:spacing w:after="0" w:line="240" w:lineRule="auto"/>
              <w:rPr>
                <w:rFonts w:ascii="Times New Roman" w:eastAsia="Calibri" w:hAnsi="Times New Roman"/>
                <w:color w:val="auto"/>
                <w:sz w:val="20"/>
                <w:lang w:val="bg-BG" w:eastAsia="bg-BG"/>
              </w:rPr>
            </w:pPr>
          </w:p>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Times New Roman" w:hAnsi="Times New Roman"/>
                <w:color w:val="auto"/>
                <w:sz w:val="24"/>
                <w:szCs w:val="24"/>
                <w:lang w:val="bg-BG" w:eastAsia="bg-BG"/>
              </w:rPr>
              <w:t>„Подобни и различни – обичаи и традиции за създаване на регионална, национална и европейска идентичност“</w:t>
            </w:r>
          </w:p>
        </w:tc>
        <w:tc>
          <w:tcPr>
            <w:tcW w:w="2126"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Община Казанлък</w:t>
            </w:r>
          </w:p>
        </w:tc>
        <w:tc>
          <w:tcPr>
            <w:tcW w:w="1985"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В процес на изпълнение</w:t>
            </w:r>
          </w:p>
        </w:tc>
        <w:tc>
          <w:tcPr>
            <w:tcW w:w="1701"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87 973,86 лв.</w:t>
            </w:r>
          </w:p>
        </w:tc>
        <w:tc>
          <w:tcPr>
            <w:tcW w:w="1417" w:type="dxa"/>
            <w:shd w:val="clear" w:color="auto" w:fill="auto"/>
          </w:tcPr>
          <w:p w:rsidR="00F25110" w:rsidRPr="00BD7BB1" w:rsidRDefault="00F25110" w:rsidP="00820CB7">
            <w:pPr>
              <w:spacing w:after="0" w:line="240" w:lineRule="auto"/>
              <w:jc w:val="center"/>
              <w:rPr>
                <w:rFonts w:ascii="Times New Roman" w:eastAsia="Calibri" w:hAnsi="Times New Roman"/>
                <w:color w:val="auto"/>
                <w:sz w:val="20"/>
                <w:lang w:val="bg-BG" w:eastAsia="bg-BG"/>
              </w:rPr>
            </w:pPr>
            <w:r w:rsidRPr="00BD7BB1">
              <w:rPr>
                <w:rFonts w:ascii="Times New Roman" w:eastAsia="Calibri" w:hAnsi="Times New Roman"/>
                <w:color w:val="auto"/>
                <w:sz w:val="20"/>
                <w:lang w:val="bg-BG" w:eastAsia="bg-BG"/>
              </w:rPr>
              <w:t>75 759,55 лв.</w:t>
            </w:r>
          </w:p>
        </w:tc>
      </w:tr>
    </w:tbl>
    <w:p w:rsidR="00F25110" w:rsidRPr="00BD7BB1" w:rsidRDefault="00F25110" w:rsidP="00820CB7">
      <w:pPr>
        <w:autoSpaceDE w:val="0"/>
        <w:autoSpaceDN w:val="0"/>
        <w:adjustRightInd w:val="0"/>
        <w:spacing w:after="0" w:line="240" w:lineRule="auto"/>
        <w:rPr>
          <w:rFonts w:ascii="Times New Roman" w:eastAsia="Times New Roman" w:hAnsi="Times New Roman"/>
          <w:i/>
          <w:color w:val="auto"/>
          <w:sz w:val="20"/>
          <w:lang w:val="bg-BG"/>
        </w:rPr>
      </w:pPr>
    </w:p>
    <w:p w:rsidR="00F25110" w:rsidRPr="00BD7BB1" w:rsidRDefault="00F25110" w:rsidP="00820CB7">
      <w:pPr>
        <w:autoSpaceDE w:val="0"/>
        <w:autoSpaceDN w:val="0"/>
        <w:adjustRightInd w:val="0"/>
        <w:spacing w:after="0" w:line="240" w:lineRule="auto"/>
        <w:rPr>
          <w:rFonts w:ascii="Times New Roman" w:eastAsia="Times New Roman" w:hAnsi="Times New Roman"/>
          <w:b/>
          <w:i/>
          <w:color w:val="auto"/>
          <w:sz w:val="20"/>
          <w:lang w:val="bg-BG"/>
        </w:rPr>
      </w:pPr>
    </w:p>
    <w:p w:rsidR="00F25110" w:rsidRPr="00BD7BB1" w:rsidRDefault="00F25110" w:rsidP="00306A60">
      <w:pPr>
        <w:shd w:val="clear" w:color="auto" w:fill="FFFFFF"/>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На база подадените справки от общините за проекти, </w:t>
      </w:r>
      <w:r w:rsidRPr="00BD7BB1">
        <w:rPr>
          <w:rFonts w:ascii="Times New Roman" w:eastAsia="Times New Roman" w:hAnsi="Times New Roman"/>
          <w:color w:val="auto"/>
          <w:sz w:val="24"/>
          <w:szCs w:val="24"/>
          <w:lang w:val="bg-BG"/>
        </w:rPr>
        <w:t xml:space="preserve">финансирани  от други финансови източници, извън тези по Оперативните програми и ТГС България -Турция, </w:t>
      </w:r>
      <w:r w:rsidRPr="00BD7BB1">
        <w:rPr>
          <w:rFonts w:ascii="Times New Roman" w:eastAsia="Times New Roman" w:hAnsi="Times New Roman"/>
          <w:i/>
          <w:color w:val="auto"/>
          <w:sz w:val="24"/>
          <w:szCs w:val="24"/>
          <w:lang w:val="bg-BG"/>
        </w:rPr>
        <w:t xml:space="preserve">в посока </w:t>
      </w:r>
      <w:r w:rsidRPr="00BD7BB1">
        <w:rPr>
          <w:rFonts w:ascii="Times New Roman" w:eastAsia="Times New Roman" w:hAnsi="Times New Roman"/>
          <w:bCs/>
          <w:i/>
          <w:color w:val="auto"/>
          <w:sz w:val="24"/>
          <w:szCs w:val="24"/>
          <w:lang w:val="bg-BG"/>
        </w:rPr>
        <w:t>реализирани за разширяване на сътрудничеството  и насърчаване на икономическия, социалния и културния обмен между регионите на България и Европа</w:t>
      </w:r>
      <w:r w:rsidRPr="00BD7BB1">
        <w:rPr>
          <w:rFonts w:ascii="Times New Roman" w:eastAsia="Times New Roman" w:hAnsi="Times New Roman"/>
          <w:bCs/>
          <w:color w:val="auto"/>
          <w:sz w:val="24"/>
          <w:szCs w:val="24"/>
          <w:lang w:val="bg-BG"/>
        </w:rPr>
        <w:t xml:space="preserve">, </w:t>
      </w:r>
      <w:r w:rsidRPr="00BD7BB1">
        <w:rPr>
          <w:rFonts w:ascii="Times New Roman" w:eastAsia="Times New Roman" w:hAnsi="Times New Roman"/>
          <w:color w:val="auto"/>
          <w:sz w:val="24"/>
          <w:szCs w:val="24"/>
          <w:lang w:val="bg-BG" w:eastAsia="bg-BG"/>
        </w:rPr>
        <w:t>на територията на Югоизточен район  към 31.12.2014 г. се изпълняват 13 бр. проекти, от които 3 бр.  приключени и 10 бр. в процес на изпълнение. Проектите са  разпределени както следва: ОА -  Бургас – 3 бр., община Бургас -7 бр., община Сливен- 2 бр., община Казанлък -1бр.</w:t>
      </w:r>
    </w:p>
    <w:p w:rsidR="00F25110" w:rsidRPr="00D40166" w:rsidRDefault="00F25110" w:rsidP="00F25110">
      <w:pPr>
        <w:spacing w:after="120" w:line="360" w:lineRule="auto"/>
        <w:contextualSpacing/>
        <w:jc w:val="both"/>
        <w:rPr>
          <w:rFonts w:ascii="Times New Roman" w:eastAsia="Calibri" w:hAnsi="Times New Roman"/>
          <w:b/>
          <w:bCs/>
          <w:color w:val="9B2D1F" w:themeColor="accent2"/>
          <w:sz w:val="24"/>
          <w:szCs w:val="24"/>
          <w:lang w:val="bg-BG"/>
        </w:rPr>
      </w:pPr>
      <w:r w:rsidRPr="00D40166">
        <w:rPr>
          <w:rFonts w:ascii="Times New Roman" w:eastAsia="Calibri" w:hAnsi="Times New Roman"/>
          <w:b/>
          <w:color w:val="9B2D1F" w:themeColor="accent2"/>
          <w:sz w:val="24"/>
          <w:szCs w:val="24"/>
          <w:lang w:val="bg-BG"/>
        </w:rPr>
        <w:t xml:space="preserve">Приоритет </w:t>
      </w:r>
      <w:r w:rsidRPr="00D40166">
        <w:rPr>
          <w:rFonts w:ascii="Times New Roman" w:eastAsia="Calibri" w:hAnsi="Times New Roman"/>
          <w:b/>
          <w:bCs/>
          <w:color w:val="9B2D1F" w:themeColor="accent2"/>
          <w:sz w:val="24"/>
          <w:szCs w:val="24"/>
          <w:lang w:val="bg-BG"/>
        </w:rPr>
        <w:t>3 Опазване българската акватория на Черно море и развитие на морското дело и рибарството в Югоизточен район.</w:t>
      </w:r>
    </w:p>
    <w:p w:rsidR="00F25110" w:rsidRPr="00BD7BB1" w:rsidRDefault="00F25110" w:rsidP="00F25110">
      <w:pPr>
        <w:spacing w:after="120" w:line="360" w:lineRule="auto"/>
        <w:contextualSpacing/>
        <w:jc w:val="both"/>
        <w:rPr>
          <w:rFonts w:ascii="Times New Roman" w:eastAsia="Calibri" w:hAnsi="Times New Roman"/>
          <w:b/>
          <w:bCs/>
          <w:color w:val="auto"/>
          <w:sz w:val="24"/>
          <w:szCs w:val="24"/>
          <w:lang w:val="bg-BG" w:eastAsia="bg-BG"/>
        </w:rPr>
      </w:pPr>
      <w:r w:rsidRPr="00BD7BB1">
        <w:rPr>
          <w:rFonts w:ascii="Times New Roman" w:eastAsia="Calibri" w:hAnsi="Times New Roman"/>
          <w:bCs/>
          <w:color w:val="auto"/>
          <w:sz w:val="24"/>
          <w:szCs w:val="24"/>
          <w:lang w:val="bg-BG"/>
        </w:rPr>
        <w:t>По данни, подадени от</w:t>
      </w:r>
      <w:r w:rsidRPr="00BD7BB1">
        <w:rPr>
          <w:rFonts w:ascii="Times New Roman" w:eastAsia="Calibri" w:hAnsi="Times New Roman"/>
          <w:b/>
          <w:bCs/>
          <w:color w:val="auto"/>
          <w:sz w:val="24"/>
          <w:szCs w:val="24"/>
          <w:lang w:val="bg-BG"/>
        </w:rPr>
        <w:t xml:space="preserve">  </w:t>
      </w:r>
      <w:r w:rsidRPr="00BD7BB1">
        <w:rPr>
          <w:rFonts w:ascii="Times New Roman" w:eastAsia="Calibri" w:hAnsi="Times New Roman"/>
          <w:color w:val="auto"/>
          <w:sz w:val="24"/>
          <w:szCs w:val="24"/>
          <w:lang w:val="bg-BG" w:eastAsia="bg-BG"/>
        </w:rPr>
        <w:t>Института по Океанология - Българска Академия на Науките гр. Варна</w:t>
      </w:r>
      <w:r w:rsidRPr="00BD7BB1">
        <w:rPr>
          <w:rFonts w:ascii="Times New Roman" w:eastAsia="Calibri" w:hAnsi="Times New Roman"/>
          <w:bCs/>
          <w:color w:val="auto"/>
          <w:sz w:val="24"/>
          <w:szCs w:val="24"/>
          <w:lang w:val="bg-BG"/>
        </w:rPr>
        <w:t xml:space="preserve"> към 2014 г.</w:t>
      </w:r>
      <w:r w:rsidRPr="00BD7BB1">
        <w:rPr>
          <w:rFonts w:ascii="Times New Roman" w:eastAsia="Calibri" w:hAnsi="Times New Roman"/>
          <w:color w:val="auto"/>
          <w:sz w:val="24"/>
          <w:szCs w:val="24"/>
          <w:lang w:val="bg-BG" w:eastAsia="bg-BG"/>
        </w:rPr>
        <w:t xml:space="preserve">, </w:t>
      </w:r>
      <w:r w:rsidRPr="00BD7BB1">
        <w:rPr>
          <w:rFonts w:ascii="Times New Roman" w:eastAsia="Calibri" w:hAnsi="Times New Roman"/>
          <w:b/>
          <w:bCs/>
          <w:i/>
          <w:color w:val="auto"/>
          <w:sz w:val="24"/>
          <w:szCs w:val="24"/>
          <w:lang w:val="bg-BG" w:eastAsia="bg-BG"/>
        </w:rPr>
        <w:t>Реализираните проекти за намаляване на негативното въздействие от риболова върху крайбрежните територии</w:t>
      </w:r>
      <w:r w:rsidRPr="00BD7BB1">
        <w:rPr>
          <w:rFonts w:ascii="Times New Roman" w:eastAsia="Calibri" w:hAnsi="Times New Roman"/>
          <w:b/>
          <w:bCs/>
          <w:color w:val="auto"/>
          <w:sz w:val="24"/>
          <w:szCs w:val="24"/>
          <w:lang w:val="bg-BG" w:eastAsia="bg-BG"/>
        </w:rPr>
        <w:t xml:space="preserve"> </w:t>
      </w:r>
      <w:r w:rsidRPr="00BD7BB1">
        <w:rPr>
          <w:rFonts w:ascii="Times New Roman" w:eastAsia="Calibri" w:hAnsi="Times New Roman"/>
          <w:color w:val="auto"/>
          <w:sz w:val="24"/>
          <w:szCs w:val="24"/>
          <w:lang w:val="bg-BG" w:eastAsia="bg-BG"/>
        </w:rPr>
        <w:t>на територията на Югоизточен район са :</w:t>
      </w:r>
    </w:p>
    <w:p w:rsidR="00F25110" w:rsidRPr="00BD7BB1" w:rsidRDefault="00F25110" w:rsidP="00306A60">
      <w:pPr>
        <w:numPr>
          <w:ilvl w:val="0"/>
          <w:numId w:val="29"/>
        </w:numPr>
        <w:spacing w:after="120" w:line="360" w:lineRule="auto"/>
        <w:ind w:left="0" w:firstLine="1134"/>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Изследване и определяне на запаси от трицона пред българския бряг на Черно море чрез прилагането на хидроакустичен метод и биологичен мониторинг на разтоварванията от промишлени улови на целеви вид трицона</w:t>
      </w:r>
      <w:r w:rsidRPr="00BD7BB1">
        <w:rPr>
          <w:rFonts w:ascii="Times New Roman" w:eastAsia="Calibri" w:hAnsi="Times New Roman"/>
          <w:color w:val="auto"/>
          <w:sz w:val="24"/>
          <w:szCs w:val="24"/>
        </w:rPr>
        <w:t xml:space="preserve"> </w:t>
      </w:r>
      <w:r w:rsidRPr="00BD7BB1">
        <w:rPr>
          <w:rFonts w:ascii="Times New Roman" w:eastAsia="Calibri" w:hAnsi="Times New Roman"/>
          <w:i/>
          <w:iCs/>
          <w:color w:val="auto"/>
          <w:sz w:val="24"/>
          <w:szCs w:val="24"/>
        </w:rPr>
        <w:t xml:space="preserve">{Sprattus sprattus) </w:t>
      </w:r>
      <w:r w:rsidRPr="00BD7BB1">
        <w:rPr>
          <w:rFonts w:ascii="Times New Roman" w:eastAsia="Calibri" w:hAnsi="Times New Roman"/>
          <w:color w:val="auto"/>
          <w:sz w:val="24"/>
          <w:szCs w:val="24"/>
          <w:lang w:val="bg-BG"/>
        </w:rPr>
        <w:t>през периода август - ноември 2014 г.</w:t>
      </w:r>
    </w:p>
    <w:p w:rsidR="00F25110" w:rsidRPr="00BD7BB1" w:rsidRDefault="00F25110" w:rsidP="00306A60">
      <w:pPr>
        <w:numPr>
          <w:ilvl w:val="0"/>
          <w:numId w:val="29"/>
        </w:numPr>
        <w:spacing w:after="120" w:line="360" w:lineRule="auto"/>
        <w:ind w:left="0" w:firstLine="1080"/>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rPr>
        <w:t xml:space="preserve">Coordinating research in support to application of EAF (Ecosystem Approach to Fisheries) and management advice in the Mediterranean and Black Seas- CREAM. </w:t>
      </w:r>
      <w:r w:rsidRPr="00BD7BB1">
        <w:rPr>
          <w:rFonts w:ascii="Times New Roman" w:eastAsia="Calibri" w:hAnsi="Times New Roman"/>
          <w:color w:val="auto"/>
          <w:sz w:val="24"/>
          <w:szCs w:val="24"/>
          <w:lang w:val="bg-BG"/>
        </w:rPr>
        <w:t>(Координиране на научните изследвания в подкрепа на прилагането на екосистемния подход при риболова (ЕПР) и управленски съвет за Средиземно и Черно морета).</w:t>
      </w:r>
      <w:r w:rsidRPr="00BD7BB1">
        <w:rPr>
          <w:rFonts w:ascii="Times New Roman" w:eastAsia="Calibri" w:hAnsi="Times New Roman"/>
          <w:color w:val="auto"/>
          <w:sz w:val="24"/>
          <w:szCs w:val="24"/>
        </w:rPr>
        <w:t xml:space="preserve"> FP7-KBBE-2010-4,</w:t>
      </w:r>
      <w:r w:rsidRPr="00BD7BB1">
        <w:rPr>
          <w:rFonts w:ascii="Times New Roman" w:eastAsia="Calibri" w:hAnsi="Times New Roman"/>
          <w:color w:val="auto"/>
          <w:sz w:val="24"/>
          <w:szCs w:val="24"/>
          <w:lang w:val="bg-BG"/>
        </w:rPr>
        <w:t xml:space="preserve"> период на договора: 2011 - 2014 г.</w:t>
      </w:r>
    </w:p>
    <w:p w:rsidR="00F25110" w:rsidRPr="00306A60" w:rsidRDefault="00F25110" w:rsidP="00F25110">
      <w:pPr>
        <w:numPr>
          <w:ilvl w:val="0"/>
          <w:numId w:val="29"/>
        </w:numPr>
        <w:spacing w:after="120" w:line="360" w:lineRule="auto"/>
        <w:ind w:left="0" w:firstLine="1080"/>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Анализ на генетичната структура на споделените запаси на калкана между турските и българските крайбрежни води във връзка с тяхното двустранно устойчиво използване. ЕБР, Одобрен от БАН с решение 32-35-12/22.03.2013г. Период на договора: 2013 - 2015 г.</w:t>
      </w:r>
    </w:p>
    <w:p w:rsidR="00F25110" w:rsidRPr="00BD7BB1" w:rsidRDefault="00F25110" w:rsidP="00F25110">
      <w:pPr>
        <w:spacing w:after="120" w:line="360" w:lineRule="auto"/>
        <w:contextualSpacing/>
        <w:jc w:val="both"/>
        <w:rPr>
          <w:rFonts w:ascii="Times New Roman" w:eastAsia="Calibri" w:hAnsi="Times New Roman"/>
          <w:b/>
          <w:bCs/>
          <w:i/>
          <w:color w:val="auto"/>
          <w:sz w:val="24"/>
          <w:szCs w:val="24"/>
          <w:lang w:val="bg-BG"/>
        </w:rPr>
      </w:pPr>
      <w:r w:rsidRPr="00BD7BB1">
        <w:rPr>
          <w:rFonts w:ascii="Times New Roman" w:eastAsia="Calibri" w:hAnsi="Times New Roman"/>
          <w:b/>
          <w:bCs/>
          <w:i/>
          <w:color w:val="auto"/>
          <w:sz w:val="24"/>
          <w:szCs w:val="24"/>
          <w:lang w:val="bg-BG"/>
        </w:rPr>
        <w:t xml:space="preserve">Реализираните проекти за морско планиране, морски проучвания и морски надзор върху замърсяванията </w:t>
      </w:r>
      <w:r w:rsidRPr="00BD7BB1">
        <w:rPr>
          <w:rFonts w:ascii="Times New Roman" w:eastAsia="Calibri" w:hAnsi="Times New Roman"/>
          <w:bCs/>
          <w:color w:val="auto"/>
          <w:sz w:val="24"/>
          <w:szCs w:val="24"/>
          <w:lang w:val="bg-BG"/>
        </w:rPr>
        <w:t>на територията на Югоизточен район са :</w:t>
      </w:r>
    </w:p>
    <w:p w:rsidR="00F25110" w:rsidRPr="00BD7BB1" w:rsidRDefault="00F25110" w:rsidP="00EF2F67">
      <w:pPr>
        <w:numPr>
          <w:ilvl w:val="0"/>
          <w:numId w:val="30"/>
        </w:numPr>
        <w:spacing w:after="120" w:line="360" w:lineRule="auto"/>
        <w:ind w:left="-142" w:firstLine="1222"/>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Мониторинг на морски води (Споразумения между Министерство на околната среда и водите и Институт по Океанология, БАН за 2012, 2013 и 2014г).</w:t>
      </w:r>
    </w:p>
    <w:p w:rsidR="00EF2F67" w:rsidRDefault="00F25110" w:rsidP="00EF2F67">
      <w:pPr>
        <w:numPr>
          <w:ilvl w:val="0"/>
          <w:numId w:val="30"/>
        </w:numPr>
        <w:spacing w:after="120" w:line="360" w:lineRule="auto"/>
        <w:ind w:left="-142" w:firstLine="1135"/>
        <w:contextualSpacing/>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Проект Херас „Подводното археологическо наследство от западната част на Черноморския шелф",</w:t>
      </w:r>
      <w:r w:rsidRPr="00BD7BB1">
        <w:rPr>
          <w:rFonts w:ascii="Times New Roman" w:eastAsia="Calibri" w:hAnsi="Times New Roman"/>
          <w:color w:val="auto"/>
          <w:sz w:val="24"/>
          <w:szCs w:val="24"/>
        </w:rPr>
        <w:t xml:space="preserve"> HERAS MIS-ETC Code</w:t>
      </w:r>
      <w:r w:rsidRPr="00BD7BB1">
        <w:rPr>
          <w:rFonts w:ascii="Times New Roman" w:eastAsia="Calibri" w:hAnsi="Times New Roman"/>
          <w:color w:val="auto"/>
          <w:sz w:val="24"/>
          <w:szCs w:val="24"/>
          <w:lang w:val="bg-BG"/>
        </w:rPr>
        <w:t xml:space="preserve"> 578. Финансиран по Програмата за трансгранично сътрудничество Румъния -България. Срок на изпълнение: 23/08/2013-23/02/2015.</w:t>
      </w:r>
    </w:p>
    <w:p w:rsidR="007D1331" w:rsidRPr="00EF2F67" w:rsidRDefault="00F25110" w:rsidP="00EF2F67">
      <w:pPr>
        <w:numPr>
          <w:ilvl w:val="0"/>
          <w:numId w:val="30"/>
        </w:numPr>
        <w:spacing w:after="120" w:line="360" w:lineRule="auto"/>
        <w:ind w:left="-142" w:firstLine="1222"/>
        <w:contextualSpacing/>
        <w:jc w:val="both"/>
        <w:rPr>
          <w:rFonts w:ascii="Times New Roman" w:eastAsia="Calibri" w:hAnsi="Times New Roman"/>
          <w:color w:val="auto"/>
          <w:sz w:val="24"/>
          <w:szCs w:val="24"/>
          <w:lang w:val="bg-BG"/>
        </w:rPr>
      </w:pPr>
      <w:r w:rsidRPr="00EF2F67">
        <w:rPr>
          <w:rFonts w:ascii="Times New Roman" w:eastAsia="Calibri" w:hAnsi="Times New Roman"/>
          <w:color w:val="auto"/>
          <w:sz w:val="24"/>
          <w:szCs w:val="24"/>
          <w:lang w:val="bg-BG"/>
        </w:rPr>
        <w:t>Споразумение между МОСВ и Институт по океанология, БАН за изпълнение на дейностите по мониторинг на морски води, съгласно член 171 ал.2 т.З от Закона за водите. Наблюдавани са определени пунктове в едномилната зона на българското черноморско крайбрежие в четири последователни месеца за замърсявания на повърхностни морски води с приоритетни вещества и специфични замърсители, указани със Заповед №182/26.02.2013г. на Министъра на МОСВ.</w:t>
      </w:r>
    </w:p>
    <w:p w:rsidR="007D1331" w:rsidRDefault="00F25110" w:rsidP="00EF2F67">
      <w:pPr>
        <w:numPr>
          <w:ilvl w:val="0"/>
          <w:numId w:val="30"/>
        </w:numPr>
        <w:spacing w:after="120" w:line="360" w:lineRule="auto"/>
        <w:ind w:left="-142" w:firstLine="284"/>
        <w:contextualSpacing/>
        <w:jc w:val="both"/>
        <w:rPr>
          <w:rFonts w:ascii="Times New Roman" w:eastAsia="Calibri" w:hAnsi="Times New Roman"/>
          <w:color w:val="auto"/>
          <w:sz w:val="24"/>
          <w:szCs w:val="24"/>
          <w:lang w:val="bg-BG"/>
        </w:rPr>
      </w:pPr>
      <w:r w:rsidRPr="007D1331">
        <w:rPr>
          <w:rFonts w:ascii="Times New Roman" w:eastAsia="Calibri" w:hAnsi="Times New Roman"/>
          <w:color w:val="auto"/>
          <w:sz w:val="24"/>
          <w:szCs w:val="24"/>
        </w:rPr>
        <w:t>Towards COast to COast NETworks of marine protected areas (from the shore to the high and deep sea), coupled with sea-based wind energy potential (CoCoNet). 7FP ENVIRONMENT (INCLUDING CLIMATE CHANGE) OCEAN.201</w:t>
      </w:r>
      <w:r w:rsidRPr="007D1331">
        <w:rPr>
          <w:rFonts w:ascii="Times New Roman" w:eastAsia="Calibri" w:hAnsi="Times New Roman"/>
          <w:color w:val="auto"/>
          <w:sz w:val="24"/>
          <w:szCs w:val="24"/>
          <w:lang w:val="bg-BG"/>
        </w:rPr>
        <w:t>1-4. Период на договора: 2012 - 2016 г.</w:t>
      </w:r>
    </w:p>
    <w:p w:rsidR="007D1331" w:rsidRDefault="00F25110" w:rsidP="007D1331">
      <w:pPr>
        <w:numPr>
          <w:ilvl w:val="0"/>
          <w:numId w:val="30"/>
        </w:numPr>
        <w:spacing w:after="120" w:line="360" w:lineRule="auto"/>
        <w:ind w:left="-142" w:firstLine="360"/>
        <w:contextualSpacing/>
        <w:jc w:val="both"/>
        <w:rPr>
          <w:rFonts w:ascii="Times New Roman" w:eastAsia="Calibri" w:hAnsi="Times New Roman"/>
          <w:color w:val="auto"/>
          <w:sz w:val="24"/>
          <w:szCs w:val="24"/>
          <w:lang w:val="bg-BG"/>
        </w:rPr>
      </w:pPr>
      <w:r w:rsidRPr="007D1331">
        <w:rPr>
          <w:rFonts w:ascii="Times New Roman" w:eastAsia="Calibri" w:hAnsi="Times New Roman"/>
          <w:color w:val="auto"/>
          <w:sz w:val="24"/>
          <w:szCs w:val="24"/>
        </w:rPr>
        <w:t>Policy-oriented marine Environmental Research in the Southern EUropean Seas</w:t>
      </w:r>
      <w:r w:rsidRPr="007D1331">
        <w:rPr>
          <w:rFonts w:ascii="Times New Roman" w:eastAsia="Calibri" w:hAnsi="Times New Roman"/>
          <w:color w:val="auto"/>
          <w:sz w:val="24"/>
          <w:szCs w:val="24"/>
          <w:lang w:val="bg-BG"/>
        </w:rPr>
        <w:t xml:space="preserve"> -</w:t>
      </w:r>
      <w:r w:rsidRPr="007D1331">
        <w:rPr>
          <w:rFonts w:ascii="Times New Roman" w:eastAsia="Calibri" w:hAnsi="Times New Roman"/>
          <w:color w:val="auto"/>
          <w:sz w:val="24"/>
          <w:szCs w:val="24"/>
        </w:rPr>
        <w:t>PERSEUS.</w:t>
      </w:r>
      <w:r w:rsidRPr="007D1331">
        <w:rPr>
          <w:rFonts w:ascii="Times New Roman" w:eastAsia="Calibri" w:hAnsi="Times New Roman"/>
          <w:color w:val="auto"/>
          <w:sz w:val="24"/>
          <w:szCs w:val="24"/>
          <w:lang w:val="bg-BG"/>
        </w:rPr>
        <w:t xml:space="preserve"> (Научно-изследователски подходи в подкрепа на политиките за околната среда на Южно-Европейските морета).</w:t>
      </w:r>
      <w:r w:rsidRPr="007D1331">
        <w:rPr>
          <w:rFonts w:ascii="Times New Roman" w:eastAsia="Calibri" w:hAnsi="Times New Roman"/>
          <w:color w:val="auto"/>
          <w:sz w:val="24"/>
          <w:szCs w:val="24"/>
        </w:rPr>
        <w:t xml:space="preserve"> FP7, Theme [OCEAN.2011-3] Assessing and predicting the combined effects of natural and human-made pressures in the Mediterranean and the Black Sea in view of their better governance.</w:t>
      </w:r>
      <w:r w:rsidRPr="007D1331">
        <w:rPr>
          <w:rFonts w:ascii="Times New Roman" w:eastAsia="Calibri" w:hAnsi="Times New Roman"/>
          <w:color w:val="auto"/>
          <w:sz w:val="24"/>
          <w:szCs w:val="24"/>
          <w:lang w:val="bg-BG"/>
        </w:rPr>
        <w:t xml:space="preserve"> Период на договора: 2012 -2016 г.</w:t>
      </w:r>
    </w:p>
    <w:p w:rsidR="007D1331" w:rsidRDefault="00F25110" w:rsidP="007D1331">
      <w:pPr>
        <w:numPr>
          <w:ilvl w:val="0"/>
          <w:numId w:val="30"/>
        </w:numPr>
        <w:spacing w:after="120" w:line="360" w:lineRule="auto"/>
        <w:ind w:left="-142" w:firstLine="360"/>
        <w:contextualSpacing/>
        <w:jc w:val="both"/>
        <w:rPr>
          <w:rFonts w:ascii="Times New Roman" w:eastAsia="Calibri" w:hAnsi="Times New Roman"/>
          <w:color w:val="auto"/>
          <w:sz w:val="24"/>
          <w:szCs w:val="24"/>
          <w:lang w:val="bg-BG"/>
        </w:rPr>
      </w:pPr>
      <w:r w:rsidRPr="007D1331">
        <w:rPr>
          <w:rFonts w:ascii="Times New Roman" w:eastAsia="Calibri" w:hAnsi="Times New Roman"/>
          <w:color w:val="auto"/>
          <w:sz w:val="24"/>
          <w:szCs w:val="24"/>
        </w:rPr>
        <w:t>IRIS-SES Integrated Regional monitoring Implementation Strategy in the South European Seas</w:t>
      </w:r>
      <w:r w:rsidRPr="007D1331">
        <w:rPr>
          <w:rFonts w:ascii="Times New Roman" w:eastAsia="Calibri" w:hAnsi="Times New Roman"/>
          <w:color w:val="auto"/>
          <w:sz w:val="24"/>
          <w:szCs w:val="24"/>
          <w:lang w:val="bg-BG"/>
        </w:rPr>
        <w:t xml:space="preserve"> Регионалната стратегия за осъществяване на интегриран мониторинг в южно-европейските морета.</w:t>
      </w:r>
      <w:r w:rsidRPr="007D1331">
        <w:rPr>
          <w:rFonts w:ascii="Times New Roman" w:eastAsia="Calibri" w:hAnsi="Times New Roman"/>
          <w:color w:val="auto"/>
          <w:sz w:val="24"/>
          <w:szCs w:val="24"/>
        </w:rPr>
        <w:t xml:space="preserve"> PP/ENV D2/SEA</w:t>
      </w:r>
      <w:r w:rsidRPr="007D1331">
        <w:rPr>
          <w:rFonts w:ascii="Times New Roman" w:eastAsia="Calibri" w:hAnsi="Times New Roman"/>
          <w:color w:val="auto"/>
          <w:sz w:val="24"/>
          <w:szCs w:val="24"/>
          <w:lang w:val="bg-BG"/>
        </w:rPr>
        <w:t xml:space="preserve"> 2012</w:t>
      </w:r>
      <w:r w:rsidRPr="007D1331">
        <w:rPr>
          <w:rFonts w:ascii="Times New Roman" w:eastAsia="Calibri" w:hAnsi="Times New Roman"/>
          <w:color w:val="auto"/>
          <w:sz w:val="24"/>
          <w:szCs w:val="24"/>
        </w:rPr>
        <w:t xml:space="preserve"> Pilot project</w:t>
      </w:r>
      <w:r w:rsidRPr="007D1331">
        <w:rPr>
          <w:rFonts w:ascii="Times New Roman" w:eastAsia="Calibri" w:hAnsi="Times New Roman"/>
          <w:color w:val="auto"/>
          <w:sz w:val="24"/>
          <w:szCs w:val="24"/>
          <w:lang w:val="bg-BG"/>
        </w:rPr>
        <w:t xml:space="preserve"> -</w:t>
      </w:r>
      <w:r w:rsidRPr="007D1331">
        <w:rPr>
          <w:rFonts w:ascii="Times New Roman" w:eastAsia="Calibri" w:hAnsi="Times New Roman"/>
          <w:color w:val="auto"/>
          <w:sz w:val="24"/>
          <w:szCs w:val="24"/>
        </w:rPr>
        <w:t>New Knowledge for an integrated management of human activites in the sea.</w:t>
      </w:r>
      <w:r w:rsidRPr="007D1331">
        <w:rPr>
          <w:rFonts w:ascii="Times New Roman" w:eastAsia="Calibri" w:hAnsi="Times New Roman"/>
          <w:color w:val="auto"/>
          <w:sz w:val="24"/>
          <w:szCs w:val="24"/>
          <w:lang w:val="bg-BG"/>
        </w:rPr>
        <w:t xml:space="preserve"> Период на договора: 2013 - 2015 г.</w:t>
      </w:r>
    </w:p>
    <w:p w:rsidR="007D1331" w:rsidRDefault="00F25110" w:rsidP="007D1331">
      <w:pPr>
        <w:numPr>
          <w:ilvl w:val="0"/>
          <w:numId w:val="30"/>
        </w:numPr>
        <w:spacing w:after="120" w:line="360" w:lineRule="auto"/>
        <w:ind w:left="-142" w:firstLine="360"/>
        <w:contextualSpacing/>
        <w:jc w:val="both"/>
        <w:rPr>
          <w:rFonts w:ascii="Times New Roman" w:eastAsia="Calibri" w:hAnsi="Times New Roman"/>
          <w:color w:val="auto"/>
          <w:sz w:val="24"/>
          <w:szCs w:val="24"/>
          <w:lang w:val="bg-BG"/>
        </w:rPr>
      </w:pPr>
      <w:r w:rsidRPr="007D1331">
        <w:rPr>
          <w:rFonts w:ascii="Times New Roman" w:eastAsia="Calibri" w:hAnsi="Times New Roman"/>
          <w:color w:val="auto"/>
          <w:sz w:val="24"/>
          <w:szCs w:val="24"/>
        </w:rPr>
        <w:t xml:space="preserve">MISIS MSFD Guiding Improvements in the Black Sea Integrated Monitoring System </w:t>
      </w:r>
      <w:r w:rsidRPr="007D1331">
        <w:rPr>
          <w:rFonts w:ascii="Times New Roman" w:eastAsia="Calibri" w:hAnsi="Times New Roman"/>
          <w:color w:val="auto"/>
          <w:sz w:val="24"/>
          <w:szCs w:val="24"/>
          <w:lang w:val="bg-BG"/>
        </w:rPr>
        <w:t>(Оптимизиране на Интегрирана Мониторингова Система за Черно море в съответствие с Рамковата Директива за Морска Стратегия (РДМС)). ЕК Подготвителни дейности - Мониторинг на Черноморския басейн и съвместна Европейска рамкова програма за развитието на Черноморския регион, период на договора: 2012 - 2014 г.</w:t>
      </w:r>
    </w:p>
    <w:p w:rsidR="007D1331" w:rsidRDefault="00F25110" w:rsidP="007D1331">
      <w:pPr>
        <w:numPr>
          <w:ilvl w:val="0"/>
          <w:numId w:val="30"/>
        </w:numPr>
        <w:spacing w:after="120" w:line="360" w:lineRule="auto"/>
        <w:ind w:left="-142" w:firstLine="360"/>
        <w:contextualSpacing/>
        <w:jc w:val="both"/>
        <w:rPr>
          <w:rFonts w:ascii="Times New Roman" w:eastAsia="Calibri" w:hAnsi="Times New Roman"/>
          <w:color w:val="auto"/>
          <w:sz w:val="24"/>
          <w:szCs w:val="24"/>
          <w:lang w:val="bg-BG"/>
        </w:rPr>
      </w:pPr>
      <w:r w:rsidRPr="007D1331">
        <w:rPr>
          <w:rFonts w:ascii="Times New Roman" w:eastAsia="Calibri" w:hAnsi="Times New Roman"/>
          <w:color w:val="auto"/>
          <w:sz w:val="24"/>
          <w:szCs w:val="24"/>
        </w:rPr>
        <w:t>DEVelopment Of innovative Tools for understanding marine biodiversity and assessing good Environmental Status</w:t>
      </w:r>
      <w:r w:rsidRPr="007D1331">
        <w:rPr>
          <w:rFonts w:ascii="Times New Roman" w:eastAsia="Calibri" w:hAnsi="Times New Roman"/>
          <w:color w:val="auto"/>
          <w:sz w:val="24"/>
          <w:szCs w:val="24"/>
          <w:lang w:val="bg-BG"/>
        </w:rPr>
        <w:t xml:space="preserve"> -</w:t>
      </w:r>
      <w:r w:rsidRPr="007D1331">
        <w:rPr>
          <w:rFonts w:ascii="Times New Roman" w:eastAsia="Calibri" w:hAnsi="Times New Roman"/>
          <w:color w:val="auto"/>
          <w:sz w:val="24"/>
          <w:szCs w:val="24"/>
        </w:rPr>
        <w:t xml:space="preserve"> DEVOTES.</w:t>
      </w:r>
      <w:r w:rsidRPr="007D1331">
        <w:rPr>
          <w:rFonts w:ascii="Times New Roman" w:eastAsia="Calibri" w:hAnsi="Times New Roman"/>
          <w:color w:val="auto"/>
          <w:sz w:val="24"/>
          <w:szCs w:val="24"/>
          <w:lang w:val="bg-BG"/>
        </w:rPr>
        <w:t xml:space="preserve"> (Разработване на иновативни подходи за изследване на биоразнообразието и оценка на добро състояние на морската околна среда).</w:t>
      </w:r>
      <w:r w:rsidRPr="007D1331">
        <w:rPr>
          <w:rFonts w:ascii="Times New Roman" w:eastAsia="Calibri" w:hAnsi="Times New Roman"/>
          <w:color w:val="auto"/>
          <w:sz w:val="24"/>
          <w:szCs w:val="24"/>
        </w:rPr>
        <w:t xml:space="preserve"> EC [ENV.2012.6.2-3], Innovative Tools for Understanding and Assessing Good Environmental Status (GES) of Marine Waters (The Ocean for Tomorrow').</w:t>
      </w:r>
      <w:r w:rsidRPr="007D1331">
        <w:rPr>
          <w:rFonts w:ascii="Times New Roman" w:eastAsia="Calibri" w:hAnsi="Times New Roman"/>
          <w:color w:val="auto"/>
          <w:sz w:val="24"/>
          <w:szCs w:val="24"/>
          <w:lang w:val="bg-BG"/>
        </w:rPr>
        <w:t xml:space="preserve"> Период на договора: 2012 -2016 г.</w:t>
      </w:r>
    </w:p>
    <w:p w:rsidR="00F25110" w:rsidRPr="007D1331" w:rsidRDefault="00F25110" w:rsidP="007D1331">
      <w:pPr>
        <w:numPr>
          <w:ilvl w:val="0"/>
          <w:numId w:val="30"/>
        </w:numPr>
        <w:spacing w:after="120" w:line="360" w:lineRule="auto"/>
        <w:ind w:left="-142" w:firstLine="360"/>
        <w:contextualSpacing/>
        <w:jc w:val="both"/>
        <w:rPr>
          <w:rFonts w:ascii="Times New Roman" w:eastAsia="Calibri" w:hAnsi="Times New Roman"/>
          <w:color w:val="auto"/>
          <w:sz w:val="24"/>
          <w:szCs w:val="24"/>
          <w:lang w:val="bg-BG"/>
        </w:rPr>
      </w:pPr>
      <w:r w:rsidRPr="007D1331">
        <w:rPr>
          <w:rFonts w:ascii="Times New Roman" w:eastAsia="Calibri" w:hAnsi="Times New Roman"/>
          <w:color w:val="auto"/>
          <w:sz w:val="24"/>
          <w:szCs w:val="24"/>
        </w:rPr>
        <w:t>HOTBLACKSEA</w:t>
      </w:r>
      <w:r w:rsidRPr="007D1331">
        <w:rPr>
          <w:rFonts w:ascii="Times New Roman" w:eastAsia="Calibri" w:hAnsi="Times New Roman"/>
          <w:color w:val="auto"/>
          <w:sz w:val="24"/>
          <w:szCs w:val="24"/>
          <w:lang w:val="ru-RU"/>
        </w:rPr>
        <w:t>“Интегрирано управление на уязвимите хабитати и опазване на Черноморската екосистема</w:t>
      </w:r>
      <w:r w:rsidR="00A6496C">
        <w:rPr>
          <w:rFonts w:ascii="Times New Roman" w:eastAsia="Calibri" w:hAnsi="Times New Roman"/>
          <w:color w:val="auto"/>
          <w:sz w:val="24"/>
          <w:szCs w:val="24"/>
          <w:lang w:val="bg-BG"/>
        </w:rPr>
        <w:t>”, финансиран по Съв</w:t>
      </w:r>
      <w:r w:rsidRPr="007D1331">
        <w:rPr>
          <w:rFonts w:ascii="Times New Roman" w:eastAsia="Calibri" w:hAnsi="Times New Roman"/>
          <w:color w:val="auto"/>
          <w:sz w:val="24"/>
          <w:szCs w:val="24"/>
          <w:lang w:val="bg-BG"/>
        </w:rPr>
        <w:t>местна оперативна програма за Черноморския басейн 2007-2013, общ</w:t>
      </w:r>
      <w:r w:rsidR="00A6496C">
        <w:rPr>
          <w:rFonts w:ascii="Times New Roman" w:eastAsia="Calibri" w:hAnsi="Times New Roman"/>
          <w:color w:val="auto"/>
          <w:sz w:val="24"/>
          <w:szCs w:val="24"/>
          <w:lang w:val="bg-BG"/>
        </w:rPr>
        <w:t>ина Бургас на стойност 69876,91Е</w:t>
      </w:r>
      <w:r w:rsidRPr="007D1331">
        <w:rPr>
          <w:rFonts w:ascii="Times New Roman" w:eastAsia="Calibri" w:hAnsi="Times New Roman"/>
          <w:color w:val="auto"/>
          <w:sz w:val="24"/>
          <w:szCs w:val="24"/>
          <w:lang w:val="bg-BG"/>
        </w:rPr>
        <w:t>вро.</w:t>
      </w:r>
    </w:p>
    <w:p w:rsidR="00F25110" w:rsidRPr="00306A60" w:rsidRDefault="00F25110" w:rsidP="00F25110">
      <w:pPr>
        <w:spacing w:after="120" w:line="360" w:lineRule="auto"/>
        <w:contextualSpacing/>
        <w:jc w:val="both"/>
        <w:rPr>
          <w:rFonts w:ascii="Times New Roman" w:eastAsia="Calibri" w:hAnsi="Times New Roman"/>
          <w:i/>
          <w:color w:val="auto"/>
          <w:sz w:val="24"/>
          <w:szCs w:val="24"/>
          <w:lang w:val="bg-BG"/>
        </w:rPr>
      </w:pPr>
      <w:r w:rsidRPr="00BD7BB1">
        <w:rPr>
          <w:rFonts w:ascii="Times New Roman" w:eastAsia="Calibri" w:hAnsi="Times New Roman"/>
          <w:i/>
          <w:color w:val="auto"/>
          <w:sz w:val="24"/>
          <w:szCs w:val="24"/>
          <w:lang w:val="bg-BG"/>
        </w:rPr>
        <w:t xml:space="preserve">Извод: На база на направения преглед на напредъка на Стратегическа цел 3 може да се заключи, че в изпълнение на мерките по това направление се наблюдава добър напредък в резултат на изпълняващите се проекти по програмите за международно и трансгранично сътрудничество в ЮИР през 2014 г. </w:t>
      </w:r>
    </w:p>
    <w:p w:rsidR="00F25110" w:rsidRPr="00D50F54" w:rsidRDefault="00F25110" w:rsidP="00D50F54">
      <w:pPr>
        <w:autoSpaceDE w:val="0"/>
        <w:autoSpaceDN w:val="0"/>
        <w:adjustRightInd w:val="0"/>
        <w:spacing w:after="0" w:line="360" w:lineRule="auto"/>
        <w:jc w:val="both"/>
        <w:rPr>
          <w:rFonts w:ascii="Times New Roman" w:eastAsia="Times New Roman" w:hAnsi="Times New Roman"/>
          <w:b/>
          <w:color w:val="9B2D1F" w:themeColor="accent2"/>
          <w:sz w:val="24"/>
          <w:szCs w:val="24"/>
          <w:lang w:val="bg-BG" w:eastAsia="bg-BG"/>
        </w:rPr>
      </w:pPr>
      <w:r w:rsidRPr="00D50F54">
        <w:rPr>
          <w:rFonts w:ascii="Times New Roman" w:eastAsia="Times New Roman" w:hAnsi="Times New Roman"/>
          <w:b/>
          <w:color w:val="9B2D1F" w:themeColor="accent2"/>
          <w:sz w:val="24"/>
          <w:szCs w:val="24"/>
          <w:lang w:val="bg-BG" w:eastAsia="bg-BG"/>
        </w:rPr>
        <w:t>Стратегическа цел 4: „Балансирано териториално развитие на ЮИР чрез укрепване на градовете-центрове, подобряване свързаността в района и качеството на средата в населените места..“</w:t>
      </w:r>
    </w:p>
    <w:p w:rsidR="00F25110" w:rsidRPr="00D50F54" w:rsidRDefault="00F25110" w:rsidP="00D50F54">
      <w:pPr>
        <w:autoSpaceDE w:val="0"/>
        <w:autoSpaceDN w:val="0"/>
        <w:adjustRightInd w:val="0"/>
        <w:spacing w:after="0" w:line="360" w:lineRule="auto"/>
        <w:jc w:val="both"/>
        <w:rPr>
          <w:rFonts w:ascii="Times New Roman" w:eastAsia="Times New Roman" w:hAnsi="Times New Roman"/>
          <w:b/>
          <w:bCs/>
          <w:color w:val="9B2D1F" w:themeColor="accent2"/>
          <w:sz w:val="24"/>
          <w:szCs w:val="24"/>
          <w:lang w:val="bg-BG" w:eastAsia="bg-BG"/>
        </w:rPr>
      </w:pPr>
      <w:r w:rsidRPr="00D50F54">
        <w:rPr>
          <w:rFonts w:ascii="Times New Roman" w:eastAsia="Times New Roman" w:hAnsi="Times New Roman"/>
          <w:b/>
          <w:color w:val="9B2D1F" w:themeColor="accent2"/>
          <w:sz w:val="24"/>
          <w:szCs w:val="24"/>
          <w:lang w:val="bg-BG" w:eastAsia="bg-BG"/>
        </w:rPr>
        <w:t xml:space="preserve">Приоритет </w:t>
      </w:r>
      <w:r w:rsidRPr="00D50F54">
        <w:rPr>
          <w:rFonts w:ascii="Times New Roman" w:eastAsia="Times New Roman" w:hAnsi="Times New Roman"/>
          <w:b/>
          <w:bCs/>
          <w:color w:val="9B2D1F" w:themeColor="accent2"/>
          <w:sz w:val="24"/>
          <w:szCs w:val="24"/>
          <w:lang w:val="bg-BG" w:eastAsia="bg-BG"/>
        </w:rPr>
        <w:t>1</w:t>
      </w:r>
      <w:r w:rsidR="00D50F54" w:rsidRPr="00D50F54">
        <w:rPr>
          <w:rFonts w:ascii="Times New Roman" w:eastAsia="Times New Roman" w:hAnsi="Times New Roman"/>
          <w:b/>
          <w:bCs/>
          <w:color w:val="9B2D1F" w:themeColor="accent2"/>
          <w:sz w:val="24"/>
          <w:szCs w:val="24"/>
          <w:lang w:val="bg-BG" w:eastAsia="bg-BG"/>
        </w:rPr>
        <w:t xml:space="preserve"> </w:t>
      </w:r>
      <w:r w:rsidRPr="00D50F54">
        <w:rPr>
          <w:rFonts w:ascii="Times New Roman" w:eastAsia="Times New Roman" w:hAnsi="Times New Roman"/>
          <w:b/>
          <w:bCs/>
          <w:color w:val="9B2D1F" w:themeColor="accent2"/>
          <w:sz w:val="24"/>
          <w:szCs w:val="24"/>
          <w:lang w:val="bg-BG" w:eastAsia="bg-BG"/>
        </w:rPr>
        <w:t>Интегрирано развитие на градовете в Югоизточен район и подобряване качеството на градската среда.</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ОП „Региони в растеж ”</w:t>
      </w:r>
      <w:r w:rsidRPr="00BD7BB1">
        <w:rPr>
          <w:rFonts w:ascii="Times New Roman" w:eastAsia="Times New Roman" w:hAnsi="Times New Roman"/>
          <w:color w:val="auto"/>
          <w:sz w:val="24"/>
          <w:szCs w:val="24"/>
          <w:lang w:val="bg-BG" w:eastAsia="bg-BG"/>
        </w:rPr>
        <w:t xml:space="preserve"> за периода 2014-2020 г. ще продължи да подпомага категоризираните градски центрове в България, в рамките на следните две приоритетни оси: </w:t>
      </w:r>
      <w:r w:rsidRPr="00BD7BB1">
        <w:rPr>
          <w:rFonts w:ascii="Times New Roman" w:eastAsia="Times New Roman" w:hAnsi="Times New Roman"/>
          <w:i/>
          <w:color w:val="auto"/>
          <w:sz w:val="24"/>
          <w:szCs w:val="24"/>
          <w:lang w:val="bg-BG" w:eastAsia="bg-BG"/>
        </w:rPr>
        <w:t xml:space="preserve">Приоритетна ос 1 „Устойчиво и интегрирано градско развитие” </w:t>
      </w:r>
      <w:r w:rsidRPr="00BD7BB1">
        <w:rPr>
          <w:rFonts w:ascii="Times New Roman" w:eastAsia="Times New Roman" w:hAnsi="Times New Roman"/>
          <w:color w:val="auto"/>
          <w:sz w:val="24"/>
          <w:szCs w:val="24"/>
          <w:lang w:val="bg-BG" w:eastAsia="bg-BG"/>
        </w:rPr>
        <w:t xml:space="preserve">по операция </w:t>
      </w:r>
      <w:r w:rsidRPr="00BD7BB1">
        <w:rPr>
          <w:rFonts w:ascii="Times New Roman" w:eastAsia="Times New Roman" w:hAnsi="Times New Roman"/>
          <w:i/>
          <w:color w:val="auto"/>
          <w:sz w:val="24"/>
          <w:szCs w:val="24"/>
          <w:lang w:val="bg-BG" w:eastAsia="bg-BG"/>
        </w:rPr>
        <w:t>1.4 „Подобряване на физическата среда и превенция на риска”</w:t>
      </w:r>
      <w:r w:rsidRPr="00BD7BB1">
        <w:rPr>
          <w:rFonts w:ascii="Times New Roman" w:eastAsia="Times New Roman" w:hAnsi="Times New Roman"/>
          <w:color w:val="auto"/>
          <w:sz w:val="24"/>
          <w:szCs w:val="24"/>
          <w:lang w:val="bg-BG" w:eastAsia="bg-BG"/>
        </w:rPr>
        <w:t xml:space="preserve"> и  </w:t>
      </w:r>
      <w:r w:rsidRPr="00BD7BB1">
        <w:rPr>
          <w:rFonts w:ascii="Times New Roman" w:eastAsia="Times New Roman" w:hAnsi="Times New Roman"/>
          <w:i/>
          <w:color w:val="auto"/>
          <w:sz w:val="24"/>
          <w:szCs w:val="24"/>
          <w:lang w:val="bg-BG" w:eastAsia="bg-BG"/>
        </w:rPr>
        <w:t>Приоритетна ос 4 „Местно развитие и сътрудничество”</w:t>
      </w:r>
      <w:r w:rsidRPr="00BD7BB1">
        <w:rPr>
          <w:rFonts w:ascii="Times New Roman" w:eastAsia="Times New Roman" w:hAnsi="Times New Roman"/>
          <w:color w:val="auto"/>
          <w:sz w:val="24"/>
          <w:szCs w:val="24"/>
          <w:lang w:val="bg-BG" w:eastAsia="bg-BG"/>
        </w:rPr>
        <w:t xml:space="preserve">, операция </w:t>
      </w:r>
      <w:r w:rsidRPr="00BD7BB1">
        <w:rPr>
          <w:rFonts w:ascii="Times New Roman" w:eastAsia="Times New Roman" w:hAnsi="Times New Roman"/>
          <w:i/>
          <w:color w:val="auto"/>
          <w:sz w:val="24"/>
          <w:szCs w:val="24"/>
          <w:lang w:val="bg-BG" w:eastAsia="bg-BG"/>
        </w:rPr>
        <w:t>4.1 „Дребномащабни местни инвестиции”.</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Съгласно Националната концепция за пространствено развитие за периода 2013-2025 г. и възприетия подход на ОПРР 2014-2020, 67-те града са разпределени в четири йерархични нива. Между УО на ОПРР и конкретните бенефициенти (67 общини) в рамките на интегрираната приоритетна ос 1 „Устойчиво и интегрирано градско развитие“,  са подписани договори за безвъзмездна финансова помощ за подготовката на ИПГВР.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В рамките на ИПГВР ще се финансира културна инфраструктура, както и общинска образователна и социална инфраструктура и подобряване на градската среда, изведени като списък от проекти от съответната община и които ще бъдат одобрявани, като част от ИПГВР. На територията на Югоизточен райо</w:t>
      </w:r>
      <w:r w:rsidR="00272822">
        <w:rPr>
          <w:rFonts w:ascii="Times New Roman" w:eastAsia="Times New Roman" w:hAnsi="Times New Roman"/>
          <w:color w:val="auto"/>
          <w:sz w:val="24"/>
          <w:szCs w:val="24"/>
          <w:lang w:val="bg-BG" w:eastAsia="bg-BG"/>
        </w:rPr>
        <w:t>н</w:t>
      </w:r>
      <w:r w:rsidRPr="00BD7BB1">
        <w:rPr>
          <w:rFonts w:ascii="Times New Roman" w:eastAsia="Times New Roman" w:hAnsi="Times New Roman"/>
          <w:color w:val="auto"/>
          <w:sz w:val="24"/>
          <w:szCs w:val="24"/>
          <w:lang w:val="bg-BG" w:eastAsia="bg-BG"/>
        </w:rPr>
        <w:t xml:space="preserve"> в областта на градското развитие през следващия планов период ще бъдат подпомагани градовете: Бургас, Стара Загора, Сливен, Ямбол, Казанлък, Карнобат, Нова Загора, Поморие, Елхово, Малко Търново на основа на Интегрираните планове за градско развитие като центрове за растеж, покриващи както урбанизираните територии, така и тези определени като селски райони. Ще се подкрепи и развитието на пътната инфраструктура -  ІІ и ІІІ клас, осигуряваща връзките с ТЕN-Т мрежата и подобряваща връзките на населените места с центровете за растеж.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През 2014 г. в рамките на Югоизточен район продължава разработването на интегрирани планове за градско възстановяване и развитие. По данни ИСУН по </w:t>
      </w:r>
      <w:r w:rsidRPr="00BD7BB1">
        <w:rPr>
          <w:rFonts w:ascii="Times New Roman" w:eastAsia="Times New Roman" w:hAnsi="Times New Roman"/>
          <w:i/>
          <w:color w:val="auto"/>
          <w:sz w:val="24"/>
          <w:szCs w:val="24"/>
          <w:lang w:val="bg-BG" w:eastAsia="bg-BG"/>
        </w:rPr>
        <w:t xml:space="preserve">Схема </w:t>
      </w:r>
      <w:r w:rsidRPr="00BD7BB1">
        <w:rPr>
          <w:rFonts w:ascii="Times New Roman" w:eastAsia="Times New Roman" w:hAnsi="Times New Roman"/>
          <w:b/>
          <w:i/>
          <w:color w:val="auto"/>
          <w:sz w:val="24"/>
          <w:szCs w:val="24"/>
          <w:lang w:val="bg-BG" w:eastAsia="bg-BG"/>
        </w:rPr>
        <w:t>„Подкрепа за интегрирани планове за градско възстановяване и развитие”</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по ОПРР проектите на 10 – те града от района </w:t>
      </w:r>
      <w:r w:rsidRPr="00BD7BB1">
        <w:rPr>
          <w:rFonts w:ascii="Times New Roman" w:eastAsia="Times New Roman" w:hAnsi="Times New Roman"/>
          <w:color w:val="auto"/>
          <w:sz w:val="24"/>
          <w:szCs w:val="24"/>
          <w:lang w:eastAsia="bg-BG"/>
        </w:rPr>
        <w:t>(</w:t>
      </w:r>
      <w:r w:rsidRPr="00BD7BB1">
        <w:rPr>
          <w:rFonts w:ascii="Times New Roman" w:eastAsia="Times New Roman" w:hAnsi="Times New Roman"/>
          <w:color w:val="auto"/>
          <w:sz w:val="24"/>
          <w:szCs w:val="24"/>
          <w:lang w:val="bg-BG" w:eastAsia="bg-BG"/>
        </w:rPr>
        <w:t>Бургас, Поморие, Карнобат, Малко Търново,Стара Загора, Нова Загора, Елхово, Ямбол,Сливен, Казанлък</w:t>
      </w:r>
      <w:r w:rsidRPr="00BD7BB1">
        <w:rPr>
          <w:rFonts w:ascii="Times New Roman" w:eastAsia="Times New Roman" w:hAnsi="Times New Roman"/>
          <w:color w:val="auto"/>
          <w:sz w:val="24"/>
          <w:szCs w:val="24"/>
          <w:lang w:eastAsia="bg-BG"/>
        </w:rPr>
        <w:t xml:space="preserve">) </w:t>
      </w:r>
      <w:r w:rsidRPr="00BD7BB1">
        <w:rPr>
          <w:rFonts w:ascii="Times New Roman" w:eastAsia="Times New Roman" w:hAnsi="Times New Roman"/>
          <w:color w:val="auto"/>
          <w:sz w:val="24"/>
          <w:szCs w:val="24"/>
          <w:lang w:val="bg-BG" w:eastAsia="bg-BG"/>
        </w:rPr>
        <w:t>с обща стойност – 34 417 715,36 лв. Проектите за ИПГР са приключили в градовете Бургас, Стара Загора, Ямбол,Сливен, Казанлък. В процес на изпълнение са проектите за ИПГР в градовете Карнобат, Нова Загора, Малко Търново, Поморие, Елхово.</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b/>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Към 2014 г. населението, живеещо на територията на 5-те града в Югоизточен район с реализирани проекти за разработване на планове за интегрирано градско развитие  по официални данни на НСИ наброява </w:t>
      </w:r>
      <w:r w:rsidRPr="00BD7BB1">
        <w:rPr>
          <w:rFonts w:ascii="Times New Roman" w:eastAsia="Times New Roman" w:hAnsi="Times New Roman"/>
          <w:b/>
          <w:bCs/>
          <w:color w:val="auto"/>
          <w:sz w:val="24"/>
          <w:szCs w:val="24"/>
          <w:lang w:val="bg-BG" w:eastAsia="bg-BG"/>
        </w:rPr>
        <w:t>585 268 души.</w:t>
      </w:r>
    </w:p>
    <w:p w:rsidR="00F25110" w:rsidRPr="00BD7BB1" w:rsidRDefault="00F25110" w:rsidP="00F25110">
      <w:pPr>
        <w:spacing w:after="0" w:line="360" w:lineRule="auto"/>
        <w:ind w:firstLine="708"/>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През 2014 г. в ЮИР са предприети мерки за подобряване на физическата среда и превенция на риска по ОПРР - процедура</w:t>
      </w:r>
      <w:r w:rsidRPr="00BD7BB1">
        <w:rPr>
          <w:rFonts w:ascii="Times New Roman" w:eastAsia="Times New Roman" w:hAnsi="Times New Roman"/>
          <w:b/>
          <w:color w:val="auto"/>
          <w:sz w:val="24"/>
          <w:szCs w:val="24"/>
          <w:lang w:val="bg-BG" w:eastAsia="bg-BG"/>
        </w:rPr>
        <w:t xml:space="preserve"> „Зелена и достъпна градска среда</w:t>
      </w:r>
      <w:r w:rsidRPr="00BD7BB1">
        <w:rPr>
          <w:rFonts w:ascii="Times New Roman" w:eastAsia="Times New Roman" w:hAnsi="Times New Roman"/>
          <w:color w:val="auto"/>
          <w:sz w:val="24"/>
          <w:szCs w:val="24"/>
          <w:lang w:val="bg-BG" w:eastAsia="bg-BG"/>
        </w:rPr>
        <w:t xml:space="preserve">”. </w:t>
      </w:r>
    </w:p>
    <w:p w:rsidR="00F25110" w:rsidRPr="00BD7BB1" w:rsidRDefault="00F25110" w:rsidP="00F25110">
      <w:pPr>
        <w:spacing w:after="0" w:line="360" w:lineRule="auto"/>
        <w:ind w:firstLine="708"/>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Проектите на територията на Югоизточен район са общо </w:t>
      </w:r>
      <w:r w:rsidRPr="00BD7BB1">
        <w:rPr>
          <w:rFonts w:ascii="Times New Roman" w:eastAsia="Times New Roman" w:hAnsi="Times New Roman"/>
          <w:b/>
          <w:color w:val="auto"/>
          <w:sz w:val="24"/>
          <w:szCs w:val="24"/>
          <w:lang w:val="bg-BG" w:eastAsia="bg-BG"/>
        </w:rPr>
        <w:t>6 бр</w:t>
      </w:r>
      <w:r w:rsidRPr="00BD7BB1">
        <w:rPr>
          <w:rFonts w:ascii="Times New Roman" w:eastAsia="Times New Roman" w:hAnsi="Times New Roman"/>
          <w:color w:val="auto"/>
          <w:sz w:val="24"/>
          <w:szCs w:val="24"/>
          <w:lang w:val="bg-BG" w:eastAsia="bg-BG"/>
        </w:rPr>
        <w:t>., от които в  процес на изпълнение са 5 бр. и 1бр.  приключен. Основната цел на проектите е подобряване на физическата и жизнената среда в градовете, повишаване качеството на живот и получаване на нови възможности за икономическо, културно и социално развитие.обновяване на зони за обществен отдих:</w:t>
      </w:r>
    </w:p>
    <w:p w:rsidR="00F25110" w:rsidRPr="00BD7BB1" w:rsidRDefault="00F25110" w:rsidP="00957FF6">
      <w:pPr>
        <w:numPr>
          <w:ilvl w:val="0"/>
          <w:numId w:val="11"/>
        </w:numPr>
        <w:spacing w:after="0" w:line="360" w:lineRule="auto"/>
        <w:ind w:left="0" w:firstLine="1068"/>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„Благоустрояване, озеленяване и рехабилитация на улична мрежа на </w:t>
      </w:r>
      <w:r w:rsidRPr="00BD7BB1">
        <w:rPr>
          <w:rFonts w:ascii="Times New Roman" w:eastAsia="Times New Roman" w:hAnsi="Times New Roman"/>
          <w:b/>
          <w:color w:val="auto"/>
          <w:sz w:val="24"/>
          <w:szCs w:val="24"/>
          <w:lang w:val="bg-BG" w:eastAsia="bg-BG"/>
        </w:rPr>
        <w:t>град Камено“</w:t>
      </w:r>
      <w:r w:rsidRPr="00BD7BB1">
        <w:rPr>
          <w:rFonts w:ascii="Times New Roman" w:eastAsia="Times New Roman" w:hAnsi="Times New Roman"/>
          <w:color w:val="auto"/>
          <w:sz w:val="24"/>
          <w:szCs w:val="24"/>
          <w:lang w:val="bg-BG" w:eastAsia="bg-BG"/>
        </w:rPr>
        <w:t xml:space="preserve"> с обща стойност 3 281 730лв., изплатени 3112 019лв., приключен на 16.02.2014г. Целта на проекта цели повишаване качеството на живот и екологичните условия, както и предотвратяването на рисковете, чрез подобряване на физическата среда в гр. Камено.</w:t>
      </w:r>
    </w:p>
    <w:p w:rsidR="00F25110" w:rsidRPr="00BD7BB1" w:rsidRDefault="00F25110" w:rsidP="00957FF6">
      <w:pPr>
        <w:numPr>
          <w:ilvl w:val="0"/>
          <w:numId w:val="11"/>
        </w:numPr>
        <w:spacing w:after="0" w:line="360" w:lineRule="auto"/>
        <w:ind w:left="0" w:firstLine="1068"/>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„Интегриран проект за обновяване на значими пространства в </w:t>
      </w:r>
      <w:r w:rsidRPr="00BD7BB1">
        <w:rPr>
          <w:rFonts w:ascii="Times New Roman" w:eastAsia="Times New Roman" w:hAnsi="Times New Roman"/>
          <w:b/>
          <w:color w:val="auto"/>
          <w:sz w:val="24"/>
          <w:szCs w:val="24"/>
          <w:lang w:val="bg-BG" w:eastAsia="bg-BG"/>
        </w:rPr>
        <w:t>град Бургас</w:t>
      </w:r>
      <w:r w:rsidRPr="00BD7BB1">
        <w:rPr>
          <w:rFonts w:ascii="Times New Roman" w:eastAsia="Times New Roman" w:hAnsi="Times New Roman"/>
          <w:color w:val="auto"/>
          <w:sz w:val="24"/>
          <w:szCs w:val="24"/>
          <w:lang w:val="bg-BG" w:eastAsia="bg-BG"/>
        </w:rPr>
        <w:t xml:space="preserve">“ на обща стойност </w:t>
      </w:r>
      <w:r w:rsidRPr="00BD7BB1">
        <w:rPr>
          <w:rFonts w:ascii="Times New Roman" w:eastAsia="Times New Roman" w:hAnsi="Times New Roman"/>
          <w:b/>
          <w:color w:val="auto"/>
          <w:sz w:val="24"/>
          <w:szCs w:val="24"/>
          <w:lang w:val="bg-BG" w:eastAsia="bg-BG"/>
        </w:rPr>
        <w:t>12 234 898 лв</w:t>
      </w:r>
      <w:r w:rsidRPr="00BD7BB1">
        <w:rPr>
          <w:rFonts w:ascii="Times New Roman" w:eastAsia="Times New Roman" w:hAnsi="Times New Roman"/>
          <w:color w:val="auto"/>
          <w:sz w:val="24"/>
          <w:szCs w:val="24"/>
          <w:lang w:val="bg-BG" w:eastAsia="bg-BG"/>
        </w:rPr>
        <w:t>., изплатени 4 181 970 лв. в процес на изпълнение . Проектът  цели осигуряване на устойчива градска /среда с по-високо качество на живот и нови възможности за икономическо и социално развитие чрез интегрирано въздействие върху значими градски пространства;</w:t>
      </w:r>
    </w:p>
    <w:p w:rsidR="00F25110" w:rsidRPr="00BD7BB1" w:rsidRDefault="00F25110" w:rsidP="00957FF6">
      <w:pPr>
        <w:numPr>
          <w:ilvl w:val="0"/>
          <w:numId w:val="11"/>
        </w:numPr>
        <w:spacing w:after="0" w:line="360" w:lineRule="auto"/>
        <w:ind w:left="0" w:firstLine="1068"/>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„Зелена и достъпна градска среда за жителите на </w:t>
      </w:r>
      <w:r w:rsidRPr="00BD7BB1">
        <w:rPr>
          <w:rFonts w:ascii="Times New Roman" w:eastAsia="Times New Roman" w:hAnsi="Times New Roman"/>
          <w:b/>
          <w:color w:val="auto"/>
          <w:sz w:val="24"/>
          <w:szCs w:val="24"/>
          <w:lang w:val="bg-BG" w:eastAsia="bg-BG"/>
        </w:rPr>
        <w:t>Стара Загора</w:t>
      </w:r>
      <w:r w:rsidRPr="00BD7BB1">
        <w:rPr>
          <w:rFonts w:ascii="Times New Roman" w:eastAsia="Times New Roman" w:hAnsi="Times New Roman"/>
          <w:color w:val="auto"/>
          <w:sz w:val="24"/>
          <w:szCs w:val="24"/>
          <w:lang w:val="bg-BG" w:eastAsia="bg-BG"/>
        </w:rPr>
        <w:t xml:space="preserve">” на обща стойност  9 401 071,75 лв., изплатени 4 267 036 лв. в процес на изпълнение. Проектът цели преодоляване недостига на зелени площи и местата за отдих в град Стара Загора, подобряване на съществуващите и създаване на нови зелени площи, използване на празни и пустеещи земи по  велосипедни алеи, свързващи центъра с други важни части на града; </w:t>
      </w:r>
    </w:p>
    <w:p w:rsidR="00F25110" w:rsidRPr="00BD7BB1" w:rsidRDefault="00F25110" w:rsidP="00957FF6">
      <w:pPr>
        <w:numPr>
          <w:ilvl w:val="0"/>
          <w:numId w:val="11"/>
        </w:numPr>
        <w:spacing w:after="0" w:line="360" w:lineRule="auto"/>
        <w:ind w:left="0" w:firstLine="1068"/>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„Подобряване на физическата и жизнена среда на градския център за осигуряване на устойчива и екологична градска среда за по-високо качество на живот и нови възможности за социално и икономическо развитие“, нa община </w:t>
      </w:r>
      <w:r w:rsidRPr="00BD7BB1">
        <w:rPr>
          <w:rFonts w:ascii="Times New Roman" w:eastAsia="Times New Roman" w:hAnsi="Times New Roman"/>
          <w:b/>
          <w:color w:val="auto"/>
          <w:sz w:val="24"/>
          <w:szCs w:val="24"/>
          <w:lang w:val="bg-BG" w:eastAsia="bg-BG"/>
        </w:rPr>
        <w:t>Казанлък</w:t>
      </w:r>
      <w:r w:rsidRPr="00BD7BB1">
        <w:rPr>
          <w:rFonts w:ascii="Times New Roman" w:eastAsia="Times New Roman" w:hAnsi="Times New Roman"/>
          <w:color w:val="auto"/>
          <w:sz w:val="24"/>
          <w:szCs w:val="24"/>
          <w:lang w:val="bg-BG" w:eastAsia="bg-BG"/>
        </w:rPr>
        <w:t xml:space="preserve"> с обща стойност 7 118 080,04 лв., изплатени 3 427 234 лв. в процес на изпълнение. Проектът цели подобряване на физическата и жизнената среда на гр. Казанлък, като иманентно присъщо условие за постигане на устойчива, екологична и безопасна среда, повишаване качеството на живот и получаване на нови възможности за икономическо, културно и социално развитие;</w:t>
      </w:r>
    </w:p>
    <w:p w:rsidR="00F25110" w:rsidRPr="00BD7BB1" w:rsidRDefault="00F25110" w:rsidP="00957FF6">
      <w:pPr>
        <w:numPr>
          <w:ilvl w:val="0"/>
          <w:numId w:val="11"/>
        </w:numPr>
        <w:spacing w:after="0" w:line="360" w:lineRule="auto"/>
        <w:ind w:left="0" w:firstLine="1068"/>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 „Зелени, достъпни и активни пешеходни зони” на  община </w:t>
      </w:r>
      <w:r w:rsidRPr="00BD7BB1">
        <w:rPr>
          <w:rFonts w:ascii="Times New Roman" w:eastAsia="Times New Roman" w:hAnsi="Times New Roman"/>
          <w:b/>
          <w:color w:val="auto"/>
          <w:sz w:val="24"/>
          <w:szCs w:val="24"/>
          <w:lang w:val="bg-BG" w:eastAsia="bg-BG"/>
        </w:rPr>
        <w:t xml:space="preserve">Сливен </w:t>
      </w:r>
      <w:r w:rsidRPr="00BD7BB1">
        <w:rPr>
          <w:rFonts w:ascii="Times New Roman" w:eastAsia="Times New Roman" w:hAnsi="Times New Roman"/>
          <w:color w:val="auto"/>
          <w:sz w:val="24"/>
          <w:szCs w:val="24"/>
          <w:lang w:val="bg-BG" w:eastAsia="bg-BG"/>
        </w:rPr>
        <w:t xml:space="preserve">с  обща стойност </w:t>
      </w:r>
      <w:r w:rsidRPr="00BD7BB1">
        <w:rPr>
          <w:rFonts w:ascii="Times New Roman" w:eastAsia="Times New Roman" w:hAnsi="Times New Roman"/>
          <w:b/>
          <w:color w:val="auto"/>
          <w:sz w:val="24"/>
          <w:szCs w:val="24"/>
          <w:lang w:val="bg-BG" w:eastAsia="bg-BG"/>
        </w:rPr>
        <w:t>5 259 379,44 лв.,</w:t>
      </w:r>
      <w:r w:rsidRPr="00BD7BB1">
        <w:rPr>
          <w:rFonts w:ascii="Times New Roman" w:eastAsia="Times New Roman" w:hAnsi="Times New Roman"/>
          <w:color w:val="auto"/>
          <w:sz w:val="24"/>
          <w:szCs w:val="24"/>
          <w:lang w:val="bg-BG" w:eastAsia="bg-BG"/>
        </w:rPr>
        <w:t xml:space="preserve"> в процес на изпълнение. Проектът цели да допринесе за: повишаване на привлекателността и конкурентоспособността на град Сливен като център на агломерационен ареал, посредством подобряване на физическата, жизнена и екологична среда, с оглед осигуряване на добро качество на живот, достъп до основни услуги и нови възможности за икономическо и социално развитие;</w:t>
      </w:r>
    </w:p>
    <w:p w:rsidR="00F25110" w:rsidRPr="00BD7BB1" w:rsidRDefault="00F25110" w:rsidP="00957FF6">
      <w:pPr>
        <w:numPr>
          <w:ilvl w:val="0"/>
          <w:numId w:val="11"/>
        </w:numPr>
        <w:spacing w:after="0" w:line="360" w:lineRule="auto"/>
        <w:ind w:left="0" w:firstLine="1068"/>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 „Осигуряване на устойчиво и интегрирано развитие чрез обновяване и модернизиране на градската среда в община </w:t>
      </w:r>
      <w:r w:rsidRPr="00BD7BB1">
        <w:rPr>
          <w:rFonts w:ascii="Times New Roman" w:eastAsia="Times New Roman" w:hAnsi="Times New Roman"/>
          <w:b/>
          <w:color w:val="auto"/>
          <w:sz w:val="24"/>
          <w:szCs w:val="24"/>
          <w:lang w:val="bg-BG" w:eastAsia="bg-BG"/>
        </w:rPr>
        <w:t>Ямбол</w:t>
      </w:r>
      <w:r w:rsidRPr="00BD7BB1">
        <w:rPr>
          <w:rFonts w:ascii="Times New Roman" w:eastAsia="Times New Roman" w:hAnsi="Times New Roman"/>
          <w:color w:val="auto"/>
          <w:sz w:val="24"/>
          <w:szCs w:val="24"/>
          <w:lang w:val="bg-BG" w:eastAsia="bg-BG"/>
        </w:rPr>
        <w:t xml:space="preserve">“ на обща стойност  </w:t>
      </w:r>
      <w:r w:rsidRPr="00BD7BB1">
        <w:rPr>
          <w:rFonts w:ascii="Times New Roman" w:eastAsia="Times New Roman" w:hAnsi="Times New Roman"/>
          <w:b/>
          <w:color w:val="auto"/>
          <w:sz w:val="24"/>
          <w:szCs w:val="24"/>
          <w:lang w:val="bg-BG" w:eastAsia="bg-BG"/>
        </w:rPr>
        <w:t>9 581 848,59 лв.,</w:t>
      </w:r>
      <w:r w:rsidRPr="00BD7BB1">
        <w:rPr>
          <w:rFonts w:ascii="Times New Roman" w:eastAsia="Times New Roman" w:hAnsi="Times New Roman"/>
          <w:color w:val="auto"/>
          <w:sz w:val="24"/>
          <w:szCs w:val="24"/>
          <w:lang w:val="bg-BG" w:eastAsia="bg-BG"/>
        </w:rPr>
        <w:t xml:space="preserve"> изплатени 1 728 679лв., в процес на изпълнение. Общата цел на проекта е да създаде устойчива, естетична и безопасна градска жизнена среда, допринасяща за по-високо качество на живот, по-голяма сигурност за гражданите и създаваща предпоставки за ускорено социално-икономическо развитие и по-високо ниво на инвестиции.</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Проектите по процедура </w:t>
      </w:r>
      <w:r w:rsidRPr="00BD7BB1">
        <w:rPr>
          <w:rFonts w:ascii="Times New Roman" w:eastAsia="Times New Roman" w:hAnsi="Times New Roman"/>
          <w:b/>
          <w:bCs/>
          <w:color w:val="auto"/>
          <w:sz w:val="24"/>
          <w:szCs w:val="24"/>
          <w:lang w:val="bg-BG" w:eastAsia="bg-BG"/>
        </w:rPr>
        <w:t>„Зелена и достъпна градска среда“</w:t>
      </w:r>
      <w:r w:rsidRPr="00BD7BB1">
        <w:rPr>
          <w:rFonts w:ascii="Times New Roman" w:eastAsia="Times New Roman" w:hAnsi="Times New Roman"/>
          <w:bCs/>
          <w:color w:val="auto"/>
          <w:sz w:val="24"/>
          <w:szCs w:val="24"/>
          <w:lang w:val="bg-BG" w:eastAsia="bg-BG"/>
        </w:rPr>
        <w:t xml:space="preserve"> са 6 бр. на територията на гр. Камено, гр. Бургас, гр.Стара Загора, гр. Казанлък, гр.Сливен, гр.Ямбол, от които 1бр. е приключен през 2014 г., а 5 бр. са в процес на изпълнение. </w:t>
      </w:r>
      <w:r w:rsidRPr="00BD7BB1">
        <w:rPr>
          <w:rFonts w:ascii="Times New Roman" w:eastAsia="Times New Roman" w:hAnsi="Times New Roman"/>
          <w:color w:val="auto"/>
          <w:sz w:val="24"/>
          <w:szCs w:val="24"/>
          <w:lang w:val="bg-BG" w:eastAsia="bg-BG"/>
        </w:rPr>
        <w:t>Според резултатите от реализацията на проекти, изпълнени по линия на ОПРР, площта на създадените/ обновени и възстановени зелени площи в градски агломерации в ЮИР възлиза на 1200 км</w:t>
      </w:r>
      <w:r w:rsidRPr="00BD7BB1">
        <w:rPr>
          <w:rFonts w:ascii="Times New Roman" w:eastAsia="Times New Roman" w:hAnsi="Times New Roman"/>
          <w:color w:val="auto"/>
          <w:sz w:val="24"/>
          <w:szCs w:val="24"/>
          <w:vertAlign w:val="superscript"/>
          <w:lang w:val="bg-BG" w:eastAsia="bg-BG"/>
        </w:rPr>
        <w:t>2</w:t>
      </w:r>
      <w:r w:rsidRPr="00BD7BB1">
        <w:rPr>
          <w:rFonts w:ascii="Times New Roman" w:eastAsia="Times New Roman" w:hAnsi="Times New Roman"/>
          <w:color w:val="auto"/>
          <w:sz w:val="24"/>
          <w:szCs w:val="24"/>
          <w:lang w:val="bg-BG" w:eastAsia="bg-BG"/>
        </w:rPr>
        <w:t xml:space="preserve">  площ. Предвид общата територия на ЮИР - 19 799 км</w:t>
      </w:r>
      <w:r w:rsidRPr="00BD7BB1">
        <w:rPr>
          <w:rFonts w:ascii="Times New Roman" w:eastAsia="Times New Roman" w:hAnsi="Times New Roman"/>
          <w:color w:val="auto"/>
          <w:sz w:val="24"/>
          <w:szCs w:val="24"/>
          <w:vertAlign w:val="superscript"/>
          <w:lang w:val="bg-BG" w:eastAsia="bg-BG"/>
        </w:rPr>
        <w:t>2</w:t>
      </w:r>
      <w:r w:rsidRPr="00BD7BB1">
        <w:rPr>
          <w:rFonts w:ascii="Times New Roman" w:eastAsia="Times New Roman" w:hAnsi="Times New Roman"/>
          <w:color w:val="auto"/>
          <w:sz w:val="24"/>
          <w:szCs w:val="24"/>
          <w:lang w:val="bg-BG" w:eastAsia="bg-BG"/>
        </w:rPr>
        <w:t xml:space="preserve">,  формирания относителен </w:t>
      </w:r>
      <w:r w:rsidRPr="00BD7BB1">
        <w:rPr>
          <w:rFonts w:ascii="Times New Roman" w:eastAsia="Times New Roman" w:hAnsi="Times New Roman"/>
          <w:b/>
          <w:i/>
          <w:color w:val="auto"/>
          <w:sz w:val="24"/>
          <w:szCs w:val="24"/>
          <w:lang w:val="bg-BG" w:eastAsia="bg-BG"/>
        </w:rPr>
        <w:t>дял  създадени /обновени градски зелени площи е 6,1%.</w:t>
      </w:r>
    </w:p>
    <w:p w:rsidR="00F25110" w:rsidRPr="00BD7BB1" w:rsidRDefault="00F25110" w:rsidP="00F25110">
      <w:pPr>
        <w:autoSpaceDE w:val="0"/>
        <w:autoSpaceDN w:val="0"/>
        <w:adjustRightInd w:val="0"/>
        <w:spacing w:after="0" w:line="360" w:lineRule="auto"/>
        <w:jc w:val="both"/>
        <w:rPr>
          <w:rFonts w:ascii="Times New Roman" w:eastAsia="Times New Roman" w:hAnsi="Times New Roman"/>
          <w:color w:val="auto"/>
          <w:sz w:val="24"/>
          <w:szCs w:val="24"/>
          <w:lang w:val="bg-BG" w:eastAsia="bg-BG"/>
        </w:rPr>
      </w:pPr>
    </w:p>
    <w:p w:rsidR="00F25110" w:rsidRPr="00BD7BB1" w:rsidRDefault="00F25110" w:rsidP="001223C9">
      <w:pPr>
        <w:autoSpaceDE w:val="0"/>
        <w:autoSpaceDN w:val="0"/>
        <w:adjustRightInd w:val="0"/>
        <w:spacing w:after="0" w:line="360" w:lineRule="auto"/>
        <w:ind w:firstLine="708"/>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През 2014 г. в рамките на  Операция </w:t>
      </w:r>
      <w:r w:rsidRPr="00BD7BB1">
        <w:rPr>
          <w:rFonts w:ascii="Times New Roman" w:eastAsia="Times New Roman" w:hAnsi="Times New Roman"/>
          <w:b/>
          <w:color w:val="auto"/>
          <w:sz w:val="24"/>
          <w:szCs w:val="24"/>
          <w:lang w:val="bg-BG" w:eastAsia="bg-BG"/>
        </w:rPr>
        <w:t xml:space="preserve">1.5. Системи за устойчив градски транспорт </w:t>
      </w:r>
      <w:r w:rsidRPr="00BD7BB1">
        <w:rPr>
          <w:rFonts w:ascii="Times New Roman" w:eastAsia="Times New Roman" w:hAnsi="Times New Roman"/>
          <w:color w:val="auto"/>
          <w:sz w:val="24"/>
          <w:szCs w:val="24"/>
          <w:lang w:val="bg-BG" w:eastAsia="bg-BG"/>
        </w:rPr>
        <w:t>на</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ОПРР</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2007-2013,</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продължава изпълнението на</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един от големите проекти, а именно:</w:t>
      </w:r>
    </w:p>
    <w:p w:rsidR="00F25110" w:rsidRPr="00BD7BB1" w:rsidRDefault="00F25110" w:rsidP="00957FF6">
      <w:pPr>
        <w:numPr>
          <w:ilvl w:val="0"/>
          <w:numId w:val="9"/>
        </w:numPr>
        <w:spacing w:before="100" w:beforeAutospacing="1" w:after="100" w:afterAutospacing="1" w:line="360" w:lineRule="auto"/>
        <w:ind w:left="0" w:firstLine="1068"/>
        <w:jc w:val="both"/>
        <w:rPr>
          <w:rFonts w:ascii="Times New Roman" w:eastAsia="Times New Roman" w:hAnsi="Times New Roman"/>
          <w:color w:val="auto"/>
          <w:sz w:val="24"/>
          <w:szCs w:val="24"/>
          <w:lang w:val="ru-RU" w:eastAsia="bg-BG"/>
        </w:rPr>
      </w:pPr>
      <w:r w:rsidRPr="00BD7BB1">
        <w:rPr>
          <w:rFonts w:ascii="Times New Roman" w:eastAsia="Times New Roman" w:hAnsi="Times New Roman"/>
          <w:b/>
          <w:i/>
          <w:color w:val="auto"/>
          <w:sz w:val="24"/>
          <w:szCs w:val="24"/>
          <w:lang w:val="bg-BG" w:eastAsia="bg-BG"/>
        </w:rPr>
        <w:t>„Интегриран градски транспорт на Бургас”</w:t>
      </w:r>
      <w:r w:rsidRPr="00BD7BB1">
        <w:rPr>
          <w:rFonts w:ascii="Times New Roman" w:eastAsia="Times New Roman" w:hAnsi="Times New Roman"/>
          <w:b/>
          <w:color w:val="auto"/>
          <w:sz w:val="24"/>
          <w:szCs w:val="24"/>
          <w:lang w:val="bg-BG" w:eastAsia="bg-BG"/>
        </w:rPr>
        <w:t>-</w:t>
      </w:r>
      <w:r w:rsidRPr="00BD7BB1">
        <w:rPr>
          <w:rFonts w:ascii="Times New Roman" w:eastAsia="Times New Roman" w:hAnsi="Times New Roman"/>
          <w:color w:val="auto"/>
          <w:sz w:val="24"/>
          <w:szCs w:val="24"/>
          <w:lang w:val="bg-BG" w:eastAsia="bg-BG"/>
        </w:rPr>
        <w:t xml:space="preserve"> на обща стойност -</w:t>
      </w:r>
      <w:r w:rsidRPr="00BD7BB1">
        <w:rPr>
          <w:rFonts w:ascii="Times New Roman" w:eastAsia="Times New Roman" w:hAnsi="Times New Roman"/>
          <w:bCs/>
          <w:color w:val="auto"/>
          <w:sz w:val="24"/>
          <w:szCs w:val="24"/>
          <w:lang w:val="ru-RU" w:eastAsia="bg-BG"/>
        </w:rPr>
        <w:t xml:space="preserve">66 925 440,40 </w:t>
      </w:r>
      <w:r w:rsidR="00A80059">
        <w:rPr>
          <w:rFonts w:ascii="Times New Roman" w:eastAsia="Times New Roman" w:hAnsi="Times New Roman"/>
          <w:bCs/>
          <w:color w:val="auto"/>
          <w:sz w:val="24"/>
          <w:szCs w:val="24"/>
          <w:lang w:val="ru-RU" w:eastAsia="bg-BG"/>
        </w:rPr>
        <w:t>Е</w:t>
      </w:r>
      <w:r w:rsidRPr="00BD7BB1">
        <w:rPr>
          <w:rFonts w:ascii="Times New Roman" w:eastAsia="Times New Roman" w:hAnsi="Times New Roman"/>
          <w:bCs/>
          <w:color w:val="auto"/>
          <w:sz w:val="24"/>
          <w:szCs w:val="24"/>
          <w:lang w:val="ru-RU" w:eastAsia="bg-BG"/>
        </w:rPr>
        <w:t>вро</w:t>
      </w:r>
      <w:r w:rsidRPr="00BD7BB1">
        <w:rPr>
          <w:rFonts w:ascii="Times New Roman" w:eastAsia="Times New Roman" w:hAnsi="Times New Roman"/>
          <w:color w:val="auto"/>
          <w:sz w:val="24"/>
          <w:szCs w:val="24"/>
          <w:lang w:val="bg-BG" w:eastAsia="bg-BG"/>
        </w:rPr>
        <w:t xml:space="preserve"> или 130 894 784 лв., изплатени - 64 807 099 лв. В основата на проектното предложение стои интегрираният подход при подобряването на системата за градски транспорт в Бургас, като по този начин се гарантира постигането на значителен социално-икономически ефект. </w:t>
      </w:r>
      <w:r w:rsidRPr="00BD7BB1">
        <w:rPr>
          <w:rFonts w:ascii="Times New Roman" w:eastAsia="Times New Roman" w:hAnsi="Times New Roman"/>
          <w:color w:val="auto"/>
          <w:sz w:val="24"/>
          <w:szCs w:val="24"/>
          <w:lang w:val="ru-RU" w:eastAsia="bg-BG"/>
        </w:rPr>
        <w:t xml:space="preserve">Проектът предвижда набор от мерки за модернизация на обществения транспорт и насърчаване на придвижването по алтернативни начини (пеш или чрез велосипеди), както и проучвания за бъдещи инвестиции, които да надградят постигнатите резултати. </w:t>
      </w:r>
      <w:r w:rsidRPr="00BD7BB1">
        <w:rPr>
          <w:rFonts w:ascii="Times New Roman" w:eastAsia="Times New Roman" w:hAnsi="Times New Roman"/>
          <w:i/>
          <w:color w:val="auto"/>
          <w:sz w:val="24"/>
          <w:szCs w:val="24"/>
          <w:lang w:val="ru-RU"/>
        </w:rPr>
        <w:t>Компоненти на проекта: Обновяване на подвижния състав и базите за поддръжка; Изграждане на централна автобусна спирка и обновяване на автобусни терминали; Въвеждане на нова оптимизирана и атрактивна автобусна маршрутна мрежа и на система за бърз автобусен транспорт; Изграждане на велоалеи и пешеходни надлези; Въвеждане на интегрирана електронна билетна система и система за информиране на пътниците в реално време по спирките и в автобусите; Единен център за контрол и управление на трафика, подпомаган от системи за видеонаблюдение и контрол на обществения транспорт; Светофарна уредба с приоритет за автобусите на градския транспорт.</w:t>
      </w:r>
      <w:r w:rsidRPr="00BD7BB1">
        <w:rPr>
          <w:rFonts w:ascii="Times New Roman" w:eastAsia="Times New Roman" w:hAnsi="Times New Roman"/>
          <w:color w:val="auto"/>
          <w:sz w:val="24"/>
          <w:szCs w:val="24"/>
          <w:lang w:val="ru-RU"/>
        </w:rPr>
        <w:t xml:space="preserve"> </w:t>
      </w:r>
    </w:p>
    <w:p w:rsidR="00F25110" w:rsidRPr="00BD7BB1" w:rsidRDefault="00F25110" w:rsidP="00957FF6">
      <w:pPr>
        <w:numPr>
          <w:ilvl w:val="0"/>
          <w:numId w:val="9"/>
        </w:numPr>
        <w:spacing w:before="100" w:beforeAutospacing="1" w:after="100" w:afterAutospacing="1" w:line="360" w:lineRule="auto"/>
        <w:ind w:left="0" w:firstLine="1068"/>
        <w:jc w:val="both"/>
        <w:rPr>
          <w:rFonts w:ascii="Times New Roman" w:eastAsia="Times New Roman" w:hAnsi="Times New Roman"/>
          <w:b/>
          <w:color w:val="auto"/>
          <w:sz w:val="24"/>
          <w:szCs w:val="24"/>
          <w:lang w:val="ru-RU" w:eastAsia="bg-BG"/>
        </w:rPr>
      </w:pPr>
      <w:r w:rsidRPr="00BD7BB1">
        <w:rPr>
          <w:rFonts w:ascii="Times New Roman" w:eastAsia="Times New Roman" w:hAnsi="Times New Roman"/>
          <w:b/>
          <w:bCs/>
          <w:color w:val="auto"/>
          <w:sz w:val="24"/>
          <w:szCs w:val="24"/>
          <w:lang w:val="ru-RU"/>
        </w:rPr>
        <w:t>Напредъкът в изпълнението на проекта през 2014 г.</w:t>
      </w:r>
      <w:r w:rsidRPr="00BD7BB1">
        <w:rPr>
          <w:rFonts w:ascii="Times New Roman" w:eastAsia="Times New Roman" w:hAnsi="Times New Roman"/>
          <w:bCs/>
          <w:color w:val="auto"/>
          <w:sz w:val="24"/>
          <w:szCs w:val="24"/>
          <w:lang w:val="ru-RU"/>
        </w:rPr>
        <w:t xml:space="preserve"> </w:t>
      </w:r>
      <w:r w:rsidRPr="00BD7BB1">
        <w:rPr>
          <w:rFonts w:ascii="Times New Roman" w:eastAsia="Times New Roman" w:hAnsi="Times New Roman"/>
          <w:b/>
          <w:bCs/>
          <w:color w:val="auto"/>
          <w:sz w:val="24"/>
          <w:szCs w:val="24"/>
          <w:lang w:val="ru-RU"/>
        </w:rPr>
        <w:t>се изразява в следните действия:</w:t>
      </w:r>
    </w:p>
    <w:p w:rsidR="00F25110" w:rsidRPr="00BD7BB1" w:rsidRDefault="00F25110" w:rsidP="00957FF6">
      <w:pPr>
        <w:numPr>
          <w:ilvl w:val="0"/>
          <w:numId w:val="22"/>
        </w:num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 xml:space="preserve">На 30.01.2014 г. е подписан договор с изпълнител за „Изпълнение на мерки за информация и публичност“, на стойност 193 575,11 </w:t>
      </w:r>
      <w:r w:rsidR="00A80059">
        <w:rPr>
          <w:rFonts w:ascii="Times New Roman" w:eastAsia="Times New Roman" w:hAnsi="Times New Roman"/>
          <w:bCs/>
          <w:color w:val="auto"/>
          <w:sz w:val="24"/>
          <w:szCs w:val="24"/>
          <w:lang w:val="ru-RU"/>
        </w:rPr>
        <w:t>Е</w:t>
      </w:r>
      <w:r w:rsidRPr="00BD7BB1">
        <w:rPr>
          <w:rFonts w:ascii="Times New Roman" w:eastAsia="Times New Roman" w:hAnsi="Times New Roman"/>
          <w:bCs/>
          <w:color w:val="auto"/>
          <w:sz w:val="24"/>
          <w:szCs w:val="24"/>
          <w:lang w:val="ru-RU"/>
        </w:rPr>
        <w:t>вро с ДДС. Договорът е в процес на изпълнение.</w:t>
      </w:r>
    </w:p>
    <w:p w:rsidR="00F25110" w:rsidRPr="00BD7BB1" w:rsidRDefault="00F25110" w:rsidP="00957FF6">
      <w:pPr>
        <w:numPr>
          <w:ilvl w:val="0"/>
          <w:numId w:val="22"/>
        </w:num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 xml:space="preserve">На 30.01.2014 г. е подписан договор с изпълнител за „Извършване на консултантски услуги за упражняване на строителен надзор и изготвяне на технически паспорти за обектите“, на стойност 724 275,00 </w:t>
      </w:r>
      <w:r w:rsidR="00A80059">
        <w:rPr>
          <w:rFonts w:ascii="Times New Roman" w:eastAsia="Times New Roman" w:hAnsi="Times New Roman"/>
          <w:bCs/>
          <w:color w:val="auto"/>
          <w:sz w:val="24"/>
          <w:szCs w:val="24"/>
          <w:lang w:val="ru-RU"/>
        </w:rPr>
        <w:t>Е</w:t>
      </w:r>
      <w:r w:rsidRPr="00BD7BB1">
        <w:rPr>
          <w:rFonts w:ascii="Times New Roman" w:eastAsia="Times New Roman" w:hAnsi="Times New Roman"/>
          <w:bCs/>
          <w:color w:val="auto"/>
          <w:sz w:val="24"/>
          <w:szCs w:val="24"/>
          <w:lang w:val="ru-RU"/>
        </w:rPr>
        <w:t>вро с ДДС. Услугата включва упражняване на строителен надзор по време на строителство, изготвяне на окончателен доклад и изготвяне на технически паспорти на обектите. Договорът е в процес на изпълнение.</w:t>
      </w:r>
    </w:p>
    <w:p w:rsidR="00F25110" w:rsidRPr="00BD7BB1" w:rsidRDefault="00F25110" w:rsidP="00957FF6">
      <w:pPr>
        <w:numPr>
          <w:ilvl w:val="0"/>
          <w:numId w:val="22"/>
        </w:num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 xml:space="preserve">На 05.06.2014 г. е подписан договор с изпълнител за „Изграждане на мрежа от велосипедни алеи извън трасето на Бързата автобусна линия – Етап 1 (в обхвата на централна градска част и прилежащите квартали на гр. Бургас), на стойност 2 064 239,31 </w:t>
      </w:r>
      <w:r w:rsidR="00A80059">
        <w:rPr>
          <w:rFonts w:ascii="Times New Roman" w:eastAsia="Times New Roman" w:hAnsi="Times New Roman"/>
          <w:bCs/>
          <w:color w:val="auto"/>
          <w:sz w:val="24"/>
          <w:szCs w:val="24"/>
          <w:lang w:val="ru-RU"/>
        </w:rPr>
        <w:t>Е</w:t>
      </w:r>
      <w:r w:rsidRPr="00BD7BB1">
        <w:rPr>
          <w:rFonts w:ascii="Times New Roman" w:eastAsia="Times New Roman" w:hAnsi="Times New Roman"/>
          <w:bCs/>
          <w:color w:val="auto"/>
          <w:sz w:val="24"/>
          <w:szCs w:val="24"/>
          <w:lang w:val="ru-RU"/>
        </w:rPr>
        <w:t>вро с ДДС. Договорът е в процес на изпълнение.</w:t>
      </w:r>
    </w:p>
    <w:p w:rsidR="00F25110" w:rsidRPr="00BD7BB1" w:rsidRDefault="00F25110" w:rsidP="00957FF6">
      <w:pPr>
        <w:numPr>
          <w:ilvl w:val="0"/>
          <w:numId w:val="22"/>
        </w:num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 xml:space="preserve">На 12.06.2014 г. е подписан договор с изпълнител за „Строителство на Централна автобусна спирка, включително реконструкция на пътно платно на бул. „Сан Стефано“, в участъка между ул. „Стефан Стамболов“ и ул. „Христо Ботев“, както и реконструкция на светофарни системи и съпътстваща техническа инфраструктура“, на стойност 1 640 333,25 </w:t>
      </w:r>
      <w:r w:rsidR="00A80059">
        <w:rPr>
          <w:rFonts w:ascii="Times New Roman" w:eastAsia="Times New Roman" w:hAnsi="Times New Roman"/>
          <w:bCs/>
          <w:color w:val="auto"/>
          <w:sz w:val="24"/>
          <w:szCs w:val="24"/>
          <w:lang w:val="ru-RU"/>
        </w:rPr>
        <w:t>Е</w:t>
      </w:r>
      <w:r w:rsidR="00A80059" w:rsidRPr="00BD7BB1">
        <w:rPr>
          <w:rFonts w:ascii="Times New Roman" w:eastAsia="Times New Roman" w:hAnsi="Times New Roman"/>
          <w:bCs/>
          <w:color w:val="auto"/>
          <w:sz w:val="24"/>
          <w:szCs w:val="24"/>
          <w:lang w:val="ru-RU"/>
        </w:rPr>
        <w:t xml:space="preserve">вро </w:t>
      </w:r>
      <w:r w:rsidRPr="00BD7BB1">
        <w:rPr>
          <w:rFonts w:ascii="Times New Roman" w:eastAsia="Times New Roman" w:hAnsi="Times New Roman"/>
          <w:bCs/>
          <w:color w:val="auto"/>
          <w:sz w:val="24"/>
          <w:szCs w:val="24"/>
          <w:lang w:val="ru-RU"/>
        </w:rPr>
        <w:t>с ДДС. Договорът е в процес на изпълнение.</w:t>
      </w:r>
    </w:p>
    <w:p w:rsidR="00F25110" w:rsidRPr="00BD7BB1" w:rsidRDefault="00F25110" w:rsidP="00957FF6">
      <w:pPr>
        <w:numPr>
          <w:ilvl w:val="0"/>
          <w:numId w:val="22"/>
        </w:num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 xml:space="preserve">На 29.08.2014 г. е подписан договор с изпълнител за: „Реконструкция и разширяване на терминал „Меден Рудник“ и прилежаща територия“, на стойност    1 266 863,50 </w:t>
      </w:r>
      <w:r w:rsidR="00A80059">
        <w:rPr>
          <w:rFonts w:ascii="Times New Roman" w:eastAsia="Times New Roman" w:hAnsi="Times New Roman"/>
          <w:bCs/>
          <w:color w:val="auto"/>
          <w:sz w:val="24"/>
          <w:szCs w:val="24"/>
          <w:lang w:val="ru-RU"/>
        </w:rPr>
        <w:t>Е</w:t>
      </w:r>
      <w:r w:rsidR="00A80059" w:rsidRPr="00BD7BB1">
        <w:rPr>
          <w:rFonts w:ascii="Times New Roman" w:eastAsia="Times New Roman" w:hAnsi="Times New Roman"/>
          <w:bCs/>
          <w:color w:val="auto"/>
          <w:sz w:val="24"/>
          <w:szCs w:val="24"/>
          <w:lang w:val="ru-RU"/>
        </w:rPr>
        <w:t>вро</w:t>
      </w:r>
      <w:r w:rsidRPr="00BD7BB1">
        <w:rPr>
          <w:rFonts w:ascii="Times New Roman" w:eastAsia="Times New Roman" w:hAnsi="Times New Roman"/>
          <w:bCs/>
          <w:color w:val="auto"/>
          <w:sz w:val="24"/>
          <w:szCs w:val="24"/>
          <w:lang w:val="ru-RU"/>
        </w:rPr>
        <w:t xml:space="preserve"> с ДДС. Договорът е в процес на изпълнение.</w:t>
      </w:r>
    </w:p>
    <w:p w:rsidR="00F25110" w:rsidRPr="00BD7BB1" w:rsidRDefault="00F25110" w:rsidP="00957FF6">
      <w:pPr>
        <w:numPr>
          <w:ilvl w:val="0"/>
          <w:numId w:val="22"/>
        </w:num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На 29.09.2014 г. е подписан договор с изпълнител за „Преустройство и реконструкция на Автогара Юг и прилежаща територия“, на стойност 3 506 688,44 евро с ДДС. Договорът е в процес на изпълнение.</w:t>
      </w:r>
    </w:p>
    <w:p w:rsidR="00F25110" w:rsidRPr="00BD7BB1" w:rsidRDefault="00F25110" w:rsidP="00957FF6">
      <w:pPr>
        <w:numPr>
          <w:ilvl w:val="0"/>
          <w:numId w:val="22"/>
        </w:num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На 31.10.2014 г. е подписан договор с изпълнител за „Инженеринг (проектиране и строителство) на четири броя надлези, включително кръгово кръстовище „Трапезица“, на стойност 2 233 312,11 евро с ДДС. Договорът е в процес на изпълнение.</w:t>
      </w:r>
    </w:p>
    <w:p w:rsidR="00F25110" w:rsidRPr="00BD7BB1" w:rsidRDefault="00F25110" w:rsidP="00957FF6">
      <w:pPr>
        <w:numPr>
          <w:ilvl w:val="0"/>
          <w:numId w:val="22"/>
        </w:num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 xml:space="preserve">На 27.11.2014 г. е подписан договор с изпълнител за „Изграждане на Бърза автобусна линия и система от велосипедни алеи по Бързата автобусна линия включително реконструкция на светофари за изграждане на система с приоритет за автобуси – Етап 1“, на стойност 7 815 955,03 </w:t>
      </w:r>
      <w:r w:rsidR="00A80059">
        <w:rPr>
          <w:rFonts w:ascii="Times New Roman" w:eastAsia="Times New Roman" w:hAnsi="Times New Roman"/>
          <w:bCs/>
          <w:color w:val="auto"/>
          <w:sz w:val="24"/>
          <w:szCs w:val="24"/>
          <w:lang w:val="ru-RU"/>
        </w:rPr>
        <w:t>Е</w:t>
      </w:r>
      <w:r w:rsidR="00A80059" w:rsidRPr="00BD7BB1">
        <w:rPr>
          <w:rFonts w:ascii="Times New Roman" w:eastAsia="Times New Roman" w:hAnsi="Times New Roman"/>
          <w:bCs/>
          <w:color w:val="auto"/>
          <w:sz w:val="24"/>
          <w:szCs w:val="24"/>
          <w:lang w:val="ru-RU"/>
        </w:rPr>
        <w:t>вро</w:t>
      </w:r>
      <w:r w:rsidRPr="00BD7BB1">
        <w:rPr>
          <w:rFonts w:ascii="Times New Roman" w:eastAsia="Times New Roman" w:hAnsi="Times New Roman"/>
          <w:bCs/>
          <w:color w:val="auto"/>
          <w:sz w:val="24"/>
          <w:szCs w:val="24"/>
          <w:lang w:val="ru-RU"/>
        </w:rPr>
        <w:t xml:space="preserve"> с ДДС. Договорът е в процес на изпълнение.</w:t>
      </w:r>
    </w:p>
    <w:p w:rsidR="00F25110" w:rsidRPr="00BD7BB1" w:rsidRDefault="00F25110" w:rsidP="00957FF6">
      <w:pPr>
        <w:numPr>
          <w:ilvl w:val="0"/>
          <w:numId w:val="22"/>
        </w:num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Предстои сключване на договор с изпълнител за „Доставка</w:t>
      </w:r>
      <w:r w:rsidRPr="00BD7BB1">
        <w:rPr>
          <w:rFonts w:ascii="Times New Roman" w:eastAsia="Times New Roman" w:hAnsi="Times New Roman"/>
          <w:color w:val="auto"/>
          <w:sz w:val="24"/>
          <w:lang w:val="ru-RU"/>
        </w:rPr>
        <w:t xml:space="preserve"> и монтаж на интегрирана билетна система, информационна система за пътници в реално време и система за управление на обществения транспорт</w:t>
      </w:r>
      <w:r w:rsidRPr="00BD7BB1">
        <w:rPr>
          <w:rFonts w:ascii="Times New Roman" w:eastAsia="Times New Roman" w:hAnsi="Times New Roman"/>
          <w:bCs/>
          <w:color w:val="auto"/>
          <w:sz w:val="24"/>
          <w:szCs w:val="24"/>
          <w:lang w:val="ru-RU"/>
        </w:rPr>
        <w:t>“. Първоначално процедурата е обжалвана пред ВАС, издадено е решение за преразглеждане. Новото решение на възложителя също е обжалвано пред КЗК и в последствие пред ВАС.</w:t>
      </w:r>
    </w:p>
    <w:p w:rsidR="00F25110" w:rsidRPr="00BD7BB1" w:rsidRDefault="00F25110" w:rsidP="00957FF6">
      <w:pPr>
        <w:numPr>
          <w:ilvl w:val="0"/>
          <w:numId w:val="22"/>
        </w:num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През 2015 г. предстои да бъдат обявени следните процедури за избор на изпълнители:</w:t>
      </w:r>
    </w:p>
    <w:p w:rsidR="00F25110" w:rsidRPr="00BD7BB1" w:rsidRDefault="00F25110" w:rsidP="00957FF6">
      <w:pPr>
        <w:numPr>
          <w:ilvl w:val="0"/>
          <w:numId w:val="22"/>
        </w:numPr>
        <w:tabs>
          <w:tab w:val="left" w:pos="284"/>
        </w:tabs>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Предпроектно проучвание за надграждане на системата за бърз автобусен транспорт;</w:t>
      </w:r>
    </w:p>
    <w:p w:rsidR="00F25110" w:rsidRPr="00BD7BB1" w:rsidRDefault="00F25110" w:rsidP="00957FF6">
      <w:pPr>
        <w:numPr>
          <w:ilvl w:val="0"/>
          <w:numId w:val="22"/>
        </w:numPr>
        <w:tabs>
          <w:tab w:val="left" w:pos="284"/>
        </w:tabs>
        <w:spacing w:before="120" w:after="0" w:line="360" w:lineRule="auto"/>
        <w:jc w:val="both"/>
        <w:rPr>
          <w:rFonts w:ascii="Times New Roman" w:eastAsia="Times New Roman" w:hAnsi="Times New Roman"/>
          <w:color w:val="auto"/>
          <w:sz w:val="24"/>
          <w:lang w:val="ru-RU"/>
        </w:rPr>
      </w:pPr>
      <w:r w:rsidRPr="00BD7BB1">
        <w:rPr>
          <w:rFonts w:ascii="Times New Roman" w:eastAsia="Times New Roman" w:hAnsi="Times New Roman"/>
          <w:bCs/>
          <w:color w:val="auto"/>
          <w:sz w:val="24"/>
          <w:szCs w:val="24"/>
          <w:lang w:val="ru-RU"/>
        </w:rPr>
        <w:t>Изграждане</w:t>
      </w:r>
      <w:r w:rsidRPr="00BD7BB1">
        <w:rPr>
          <w:rFonts w:ascii="Times New Roman" w:eastAsia="Times New Roman" w:hAnsi="Times New Roman"/>
          <w:color w:val="auto"/>
          <w:sz w:val="24"/>
          <w:lang w:val="ru-RU"/>
        </w:rPr>
        <w:t xml:space="preserve"> на мрежа от велосипедни алеи извън трасето на Бързата автобусна линия – </w:t>
      </w:r>
      <w:r w:rsidRPr="00BD7BB1">
        <w:rPr>
          <w:rFonts w:ascii="Times New Roman" w:eastAsia="Times New Roman" w:hAnsi="Times New Roman"/>
          <w:bCs/>
          <w:color w:val="auto"/>
          <w:sz w:val="24"/>
          <w:szCs w:val="24"/>
          <w:lang w:val="ru-RU"/>
        </w:rPr>
        <w:t>етап</w:t>
      </w:r>
      <w:r w:rsidRPr="00BD7BB1">
        <w:rPr>
          <w:rFonts w:ascii="Times New Roman" w:eastAsia="Times New Roman" w:hAnsi="Times New Roman"/>
          <w:color w:val="auto"/>
          <w:sz w:val="24"/>
          <w:lang w:val="ru-RU"/>
        </w:rPr>
        <w:t xml:space="preserve"> 2</w:t>
      </w:r>
      <w:r w:rsidRPr="00BD7BB1">
        <w:rPr>
          <w:rFonts w:ascii="Times New Roman" w:eastAsia="Times New Roman" w:hAnsi="Times New Roman"/>
          <w:bCs/>
          <w:color w:val="auto"/>
          <w:sz w:val="24"/>
          <w:szCs w:val="24"/>
          <w:lang w:val="ru-RU"/>
        </w:rPr>
        <w:t xml:space="preserve"> /</w:t>
      </w:r>
      <w:r w:rsidRPr="00BD7BB1">
        <w:rPr>
          <w:rFonts w:ascii="Times New Roman" w:eastAsia="Times New Roman" w:hAnsi="Times New Roman"/>
          <w:color w:val="auto"/>
          <w:sz w:val="24"/>
          <w:lang w:val="ru-RU"/>
        </w:rPr>
        <w:t xml:space="preserve">в </w:t>
      </w:r>
      <w:r w:rsidRPr="00BD7BB1">
        <w:rPr>
          <w:rFonts w:ascii="Times New Roman" w:eastAsia="Times New Roman" w:hAnsi="Times New Roman"/>
          <w:bCs/>
          <w:color w:val="auto"/>
          <w:sz w:val="24"/>
          <w:szCs w:val="24"/>
          <w:lang w:val="ru-RU"/>
        </w:rPr>
        <w:t>обхвата на отдалечените квартали на гр. Бургас/.</w:t>
      </w:r>
    </w:p>
    <w:p w:rsidR="00F25110" w:rsidRPr="00BD7BB1" w:rsidRDefault="00F25110" w:rsidP="00957FF6">
      <w:pPr>
        <w:numPr>
          <w:ilvl w:val="0"/>
          <w:numId w:val="22"/>
        </w:numPr>
        <w:spacing w:before="120" w:after="0" w:line="360" w:lineRule="auto"/>
        <w:jc w:val="both"/>
        <w:rPr>
          <w:rFonts w:ascii="Times New Roman" w:eastAsia="Times New Roman" w:hAnsi="Times New Roman"/>
          <w:color w:val="auto"/>
          <w:sz w:val="24"/>
          <w:szCs w:val="24"/>
          <w:lang w:val="ru-RU"/>
        </w:rPr>
      </w:pPr>
      <w:r w:rsidRPr="00BD7BB1">
        <w:rPr>
          <w:rFonts w:ascii="Times New Roman" w:eastAsia="Times New Roman" w:hAnsi="Times New Roman"/>
          <w:color w:val="auto"/>
          <w:sz w:val="24"/>
          <w:szCs w:val="24"/>
          <w:lang w:val="ru-RU"/>
        </w:rPr>
        <w:t xml:space="preserve">През 2014 г. УО на ОПРР е одобрил искане за прецизиране обхвата на част от предложените в предпроектното проучване параметри след преглед на представена от бенефициента обосновка. Одобрената промяна се състои в промяна на трасетата на част от предвидените в предпроектното проучване велосипедни алеи </w:t>
      </w:r>
      <w:r w:rsidRPr="00BD7BB1">
        <w:rPr>
          <w:rFonts w:ascii="Times New Roman" w:eastAsia="Times New Roman" w:hAnsi="Times New Roman"/>
          <w:color w:val="auto"/>
          <w:sz w:val="24"/>
          <w:lang w:val="ru-RU"/>
        </w:rPr>
        <w:t xml:space="preserve">и </w:t>
      </w:r>
      <w:r w:rsidRPr="00BD7BB1">
        <w:rPr>
          <w:rFonts w:ascii="Times New Roman" w:eastAsia="Times New Roman" w:hAnsi="Times New Roman"/>
          <w:color w:val="auto"/>
          <w:sz w:val="24"/>
          <w:szCs w:val="24"/>
          <w:lang w:val="ru-RU"/>
        </w:rPr>
        <w:t>разширяване на обхвата на интервенция чрез</w:t>
      </w:r>
      <w:r w:rsidRPr="00BD7BB1">
        <w:rPr>
          <w:rFonts w:ascii="Times New Roman" w:eastAsia="Times New Roman" w:hAnsi="Times New Roman"/>
          <w:color w:val="auto"/>
          <w:sz w:val="24"/>
          <w:lang w:val="ru-RU"/>
        </w:rPr>
        <w:t xml:space="preserve"> изграждане на нови </w:t>
      </w:r>
      <w:r w:rsidRPr="00BD7BB1">
        <w:rPr>
          <w:rFonts w:ascii="Times New Roman" w:eastAsia="Times New Roman" w:hAnsi="Times New Roman"/>
          <w:color w:val="auto"/>
          <w:sz w:val="24"/>
          <w:szCs w:val="24"/>
          <w:lang w:val="ru-RU"/>
        </w:rPr>
        <w:t>такива. Предвидените за изграждане велосипедни алеи условно са разделени в 3 групи:</w:t>
      </w:r>
    </w:p>
    <w:p w:rsidR="00F25110" w:rsidRPr="00BD7BB1" w:rsidRDefault="00F25110" w:rsidP="00957FF6">
      <w:pPr>
        <w:numPr>
          <w:ilvl w:val="0"/>
          <w:numId w:val="22"/>
        </w:numPr>
        <w:spacing w:before="120" w:after="0" w:line="360" w:lineRule="auto"/>
        <w:jc w:val="both"/>
        <w:rPr>
          <w:rFonts w:ascii="Times New Roman" w:eastAsia="Times New Roman" w:hAnsi="Times New Roman"/>
          <w:color w:val="auto"/>
          <w:sz w:val="24"/>
          <w:szCs w:val="24"/>
          <w:lang w:val="ru-RU"/>
        </w:rPr>
      </w:pPr>
      <w:r w:rsidRPr="00BD7BB1">
        <w:rPr>
          <w:rFonts w:ascii="Times New Roman" w:eastAsia="Times New Roman" w:hAnsi="Times New Roman"/>
          <w:color w:val="auto"/>
          <w:sz w:val="24"/>
          <w:szCs w:val="24"/>
          <w:lang w:val="ru-RU"/>
        </w:rPr>
        <w:t>Велосипедни алеи по трасето на Бързата автобусна линия, които ще бъдат разглеждани като неразделна част от техническите инвестиционни проекти на Бързата автобусна линия;</w:t>
      </w:r>
    </w:p>
    <w:p w:rsidR="00F25110" w:rsidRPr="00BD7BB1" w:rsidRDefault="00F25110" w:rsidP="00957FF6">
      <w:pPr>
        <w:numPr>
          <w:ilvl w:val="0"/>
          <w:numId w:val="22"/>
        </w:numPr>
        <w:spacing w:before="120" w:after="0" w:line="360" w:lineRule="auto"/>
        <w:jc w:val="both"/>
        <w:rPr>
          <w:rFonts w:ascii="Times New Roman" w:eastAsia="Times New Roman" w:hAnsi="Times New Roman"/>
          <w:color w:val="auto"/>
          <w:sz w:val="24"/>
          <w:szCs w:val="24"/>
          <w:lang w:val="ru-RU"/>
        </w:rPr>
      </w:pPr>
      <w:r w:rsidRPr="00BD7BB1">
        <w:rPr>
          <w:rFonts w:ascii="Times New Roman" w:eastAsia="Times New Roman" w:hAnsi="Times New Roman"/>
          <w:color w:val="auto"/>
          <w:sz w:val="24"/>
          <w:szCs w:val="24"/>
          <w:lang w:val="ru-RU"/>
        </w:rPr>
        <w:t>Велосипедни алеи извън трасето на Бързата автобусна линия – Етап 1 /в централна градска част/;</w:t>
      </w:r>
    </w:p>
    <w:p w:rsidR="00F25110" w:rsidRPr="00BD7BB1" w:rsidRDefault="00F25110" w:rsidP="00957FF6">
      <w:pPr>
        <w:numPr>
          <w:ilvl w:val="0"/>
          <w:numId w:val="22"/>
        </w:numPr>
        <w:spacing w:before="120" w:after="0" w:line="360" w:lineRule="auto"/>
        <w:jc w:val="both"/>
        <w:rPr>
          <w:rFonts w:ascii="Times New Roman" w:eastAsia="Times New Roman" w:hAnsi="Times New Roman"/>
          <w:color w:val="auto"/>
          <w:sz w:val="24"/>
          <w:lang w:val="bg-BG"/>
        </w:rPr>
      </w:pPr>
      <w:r w:rsidRPr="00BD7BB1">
        <w:rPr>
          <w:rFonts w:ascii="Times New Roman" w:eastAsia="Times New Roman" w:hAnsi="Times New Roman"/>
          <w:color w:val="auto"/>
          <w:sz w:val="24"/>
          <w:szCs w:val="24"/>
          <w:lang w:val="ru-RU"/>
        </w:rPr>
        <w:t>Велосипедни алеи извън трасето на Бързата автобусна линия – Етап 2 /в обхвата на отдалечените квартали на гр. Бургас;</w:t>
      </w:r>
      <w:r w:rsidRPr="00BD7BB1">
        <w:rPr>
          <w:rFonts w:ascii="Times New Roman" w:eastAsia="Times New Roman" w:hAnsi="Times New Roman"/>
          <w:color w:val="auto"/>
          <w:sz w:val="24"/>
          <w:lang w:val="ru-RU"/>
        </w:rPr>
        <w:t xml:space="preserve"> </w:t>
      </w:r>
    </w:p>
    <w:p w:rsidR="00F25110" w:rsidRPr="00BD7BB1" w:rsidRDefault="00F25110" w:rsidP="00F25110">
      <w:pPr>
        <w:spacing w:before="120" w:after="0" w:line="360" w:lineRule="auto"/>
        <w:jc w:val="both"/>
        <w:rPr>
          <w:rFonts w:ascii="Times New Roman" w:eastAsia="Times New Roman" w:hAnsi="Times New Roman"/>
          <w:color w:val="auto"/>
          <w:sz w:val="24"/>
          <w:szCs w:val="24"/>
          <w:lang w:val="bg-BG"/>
        </w:rPr>
      </w:pPr>
      <w:r w:rsidRPr="00BD7BB1">
        <w:rPr>
          <w:rFonts w:ascii="Times New Roman" w:eastAsia="Times New Roman" w:hAnsi="Times New Roman"/>
          <w:color w:val="auto"/>
          <w:sz w:val="24"/>
          <w:szCs w:val="24"/>
          <w:lang w:val="ru-RU"/>
        </w:rPr>
        <w:t>Целесъобразността на горепосочените изменения е обоснована от бенефициента, посредством подкрепяща документация. Одобрението на измененията не води до съществени промени в заложените основни параметри на компонентите. Целите и бюджетът на проекта остават непроменени.</w:t>
      </w:r>
    </w:p>
    <w:p w:rsidR="00F25110" w:rsidRPr="00BD7BB1" w:rsidRDefault="00F25110" w:rsidP="00F25110">
      <w:p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През 2014 г. е сключено допълнително споразумение към договора за предоставяне на безвъзмездна финансова помощ, обхващащо следните промени:</w:t>
      </w:r>
    </w:p>
    <w:p w:rsidR="00F25110" w:rsidRPr="00BD7BB1" w:rsidRDefault="00F25110" w:rsidP="00957FF6">
      <w:pPr>
        <w:numPr>
          <w:ilvl w:val="0"/>
          <w:numId w:val="23"/>
        </w:num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color w:val="auto"/>
          <w:sz w:val="24"/>
          <w:lang w:val="ru-RU"/>
        </w:rPr>
        <w:t>увеличаване</w:t>
      </w:r>
      <w:r w:rsidRPr="00BD7BB1">
        <w:rPr>
          <w:rFonts w:ascii="Times New Roman" w:eastAsia="Times New Roman" w:hAnsi="Times New Roman"/>
          <w:bCs/>
          <w:color w:val="auto"/>
          <w:sz w:val="24"/>
          <w:szCs w:val="24"/>
          <w:lang w:val="ru-RU"/>
        </w:rPr>
        <w:t xml:space="preserve"> на общия размер по авансови и междинни плащания до 90% от размера на одобрената БФП;</w:t>
      </w:r>
    </w:p>
    <w:p w:rsidR="00F25110" w:rsidRPr="00BD7BB1" w:rsidRDefault="00F25110" w:rsidP="00957FF6">
      <w:pPr>
        <w:numPr>
          <w:ilvl w:val="0"/>
          <w:numId w:val="23"/>
        </w:num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възможност за увеличение на общия размер по авансови и междинни плащания до 95% от размера на одобрената БФП, при представяне на банкова гаранция.</w:t>
      </w:r>
    </w:p>
    <w:p w:rsidR="00F25110" w:rsidRPr="00BD7BB1" w:rsidRDefault="00F25110" w:rsidP="00F25110">
      <w:pPr>
        <w:spacing w:before="120" w:after="0" w:line="360" w:lineRule="auto"/>
        <w:jc w:val="both"/>
        <w:rPr>
          <w:rFonts w:ascii="Times New Roman" w:eastAsia="Times New Roman" w:hAnsi="Times New Roman"/>
          <w:bCs/>
          <w:color w:val="auto"/>
          <w:sz w:val="24"/>
          <w:szCs w:val="24"/>
          <w:lang w:val="ru-RU"/>
        </w:rPr>
      </w:pPr>
      <w:r w:rsidRPr="00BD7BB1">
        <w:rPr>
          <w:rFonts w:ascii="Times New Roman" w:eastAsia="Times New Roman" w:hAnsi="Times New Roman"/>
          <w:bCs/>
          <w:color w:val="auto"/>
          <w:sz w:val="24"/>
          <w:szCs w:val="24"/>
          <w:lang w:val="ru-RU"/>
        </w:rPr>
        <w:t xml:space="preserve">През 2014 г. по проекта са осъществени плащания в размер на </w:t>
      </w:r>
      <w:r w:rsidRPr="00BD7BB1">
        <w:rPr>
          <w:rFonts w:ascii="Times New Roman" w:eastAsia="Times New Roman" w:hAnsi="Times New Roman"/>
          <w:b/>
          <w:bCs/>
          <w:color w:val="auto"/>
          <w:sz w:val="24"/>
          <w:szCs w:val="24"/>
          <w:lang w:val="ru-RU"/>
        </w:rPr>
        <w:t xml:space="preserve">2 965 449,86 </w:t>
      </w:r>
      <w:r w:rsidR="00A80059" w:rsidRPr="00A80059">
        <w:rPr>
          <w:rFonts w:ascii="Times New Roman" w:eastAsia="Times New Roman" w:hAnsi="Times New Roman"/>
          <w:b/>
          <w:bCs/>
          <w:color w:val="auto"/>
          <w:sz w:val="24"/>
          <w:szCs w:val="24"/>
          <w:lang w:val="ru-RU"/>
        </w:rPr>
        <w:t>Евро</w:t>
      </w:r>
      <w:r w:rsidRPr="00A80059">
        <w:rPr>
          <w:rFonts w:ascii="Times New Roman" w:eastAsia="Times New Roman" w:hAnsi="Times New Roman"/>
          <w:b/>
          <w:bCs/>
          <w:color w:val="auto"/>
          <w:sz w:val="24"/>
          <w:szCs w:val="24"/>
          <w:lang w:val="ru-RU"/>
        </w:rPr>
        <w:t>.</w:t>
      </w:r>
    </w:p>
    <w:p w:rsidR="00F25110" w:rsidRPr="00BD7BB1" w:rsidRDefault="00F25110" w:rsidP="00F25110">
      <w:pPr>
        <w:spacing w:before="100" w:beforeAutospacing="1" w:after="100" w:afterAutospacing="1" w:line="360" w:lineRule="auto"/>
        <w:jc w:val="both"/>
        <w:rPr>
          <w:rFonts w:ascii="Times New Roman" w:eastAsia="Times New Roman" w:hAnsi="Times New Roman"/>
          <w:b/>
          <w:bCs/>
          <w:color w:val="auto"/>
          <w:sz w:val="24"/>
          <w:szCs w:val="24"/>
          <w:lang w:val="ru-RU"/>
        </w:rPr>
      </w:pPr>
      <w:r w:rsidRPr="00BD7BB1">
        <w:rPr>
          <w:rFonts w:ascii="Times New Roman" w:eastAsia="Times New Roman" w:hAnsi="Times New Roman"/>
          <w:color w:val="auto"/>
          <w:sz w:val="24"/>
          <w:szCs w:val="24"/>
          <w:lang w:val="ru-RU" w:eastAsia="bg-BG"/>
        </w:rPr>
        <w:t xml:space="preserve">По </w:t>
      </w:r>
      <w:r w:rsidRPr="00BD7BB1">
        <w:rPr>
          <w:rFonts w:ascii="Times New Roman" w:eastAsia="Times New Roman" w:hAnsi="Times New Roman"/>
          <w:i/>
          <w:color w:val="auto"/>
          <w:sz w:val="24"/>
          <w:szCs w:val="24"/>
          <w:lang w:val="ru-RU" w:eastAsia="bg-BG"/>
        </w:rPr>
        <w:t>Схема „Подкрепа за интегриран градски транспорт в 5-те големи града”</w:t>
      </w:r>
      <w:r w:rsidRPr="00BD7BB1">
        <w:rPr>
          <w:rFonts w:ascii="Times New Roman" w:eastAsia="Times New Roman" w:hAnsi="Times New Roman"/>
          <w:color w:val="auto"/>
          <w:sz w:val="24"/>
          <w:szCs w:val="24"/>
          <w:lang w:val="ru-RU" w:eastAsia="bg-BG"/>
        </w:rPr>
        <w:t xml:space="preserve"> на ОПРР от  Югоизточен район е включен </w:t>
      </w:r>
      <w:r w:rsidRPr="00BD7BB1">
        <w:rPr>
          <w:rFonts w:ascii="Times New Roman" w:eastAsia="Times New Roman" w:hAnsi="Times New Roman"/>
          <w:b/>
          <w:color w:val="auto"/>
          <w:sz w:val="24"/>
          <w:szCs w:val="24"/>
          <w:lang w:val="ru-RU" w:eastAsia="bg-BG"/>
        </w:rPr>
        <w:t>гр.Стара Загора</w:t>
      </w:r>
      <w:r w:rsidRPr="00BD7BB1">
        <w:rPr>
          <w:rFonts w:ascii="Times New Roman" w:eastAsia="Times New Roman" w:hAnsi="Times New Roman"/>
          <w:color w:val="auto"/>
          <w:sz w:val="24"/>
          <w:szCs w:val="24"/>
          <w:lang w:val="ru-RU" w:eastAsia="bg-BG"/>
        </w:rPr>
        <w:t>. Целта на операцията е да осигури достъпност и сближаване чрез ефикасни и устойчиви градски транспортни системи. Проектите целят създаване на по-ефективен и бърз градски транспорт с по-малко потребление на енергия, изграждане на по-достъпна вторична инфраструктура на обществените транспортни мрежи и въвеждане на природосъобразни видове градски транспорт.</w:t>
      </w:r>
      <w:r w:rsidRPr="00BD7BB1">
        <w:rPr>
          <w:rFonts w:ascii="Times New Roman" w:eastAsia="Times New Roman" w:hAnsi="Times New Roman"/>
          <w:b/>
          <w:bCs/>
          <w:color w:val="auto"/>
          <w:sz w:val="24"/>
          <w:szCs w:val="24"/>
          <w:lang w:val="ru-RU"/>
        </w:rPr>
        <w:t xml:space="preserve"> </w:t>
      </w:r>
    </w:p>
    <w:p w:rsidR="00F25110" w:rsidRPr="00BD7BB1" w:rsidRDefault="00F25110" w:rsidP="00957FF6">
      <w:pPr>
        <w:numPr>
          <w:ilvl w:val="0"/>
          <w:numId w:val="9"/>
        </w:numPr>
        <w:spacing w:before="100" w:beforeAutospacing="1" w:after="100" w:afterAutospacing="1" w:line="360" w:lineRule="auto"/>
        <w:jc w:val="both"/>
        <w:rPr>
          <w:rFonts w:ascii="Times New Roman" w:eastAsia="Times New Roman" w:hAnsi="Times New Roman"/>
          <w:i/>
          <w:color w:val="auto"/>
          <w:sz w:val="24"/>
          <w:szCs w:val="24"/>
          <w:lang w:val="ru-RU" w:eastAsia="bg-BG"/>
        </w:rPr>
      </w:pPr>
      <w:r w:rsidRPr="00BD7BB1">
        <w:rPr>
          <w:rFonts w:ascii="Times New Roman" w:eastAsia="Times New Roman" w:hAnsi="Times New Roman"/>
          <w:b/>
          <w:bCs/>
          <w:i/>
          <w:color w:val="auto"/>
          <w:sz w:val="24"/>
          <w:szCs w:val="24"/>
          <w:lang w:val="ru-RU" w:eastAsia="bg-BG"/>
        </w:rPr>
        <w:t>Проект за интегриран градски транспорт на Стара Загора</w:t>
      </w:r>
    </w:p>
    <w:p w:rsidR="00F25110" w:rsidRPr="00BD7BB1" w:rsidRDefault="00F25110" w:rsidP="00F25110">
      <w:pPr>
        <w:spacing w:before="100" w:beforeAutospacing="1" w:after="100" w:afterAutospacing="1" w:line="360" w:lineRule="auto"/>
        <w:jc w:val="both"/>
        <w:rPr>
          <w:rFonts w:ascii="Times New Roman" w:eastAsia="Times New Roman" w:hAnsi="Times New Roman"/>
          <w:i/>
          <w:color w:val="auto"/>
          <w:sz w:val="24"/>
          <w:szCs w:val="24"/>
          <w:lang w:val="ru-RU" w:eastAsia="bg-BG"/>
        </w:rPr>
      </w:pPr>
      <w:r w:rsidRPr="00BD7BB1">
        <w:rPr>
          <w:rFonts w:ascii="Times New Roman" w:eastAsia="Times New Roman" w:hAnsi="Times New Roman"/>
          <w:color w:val="auto"/>
          <w:sz w:val="24"/>
          <w:szCs w:val="24"/>
          <w:lang w:val="ru-RU" w:eastAsia="bg-BG"/>
        </w:rPr>
        <w:t xml:space="preserve">Проект </w:t>
      </w:r>
      <w:r w:rsidRPr="00BD7BB1">
        <w:rPr>
          <w:rFonts w:ascii="Times New Roman" w:eastAsia="Times New Roman" w:hAnsi="Times New Roman"/>
          <w:color w:val="auto"/>
          <w:sz w:val="24"/>
          <w:szCs w:val="24"/>
          <w:lang w:val="en-GB" w:eastAsia="bg-BG"/>
        </w:rPr>
        <w:t>BG</w:t>
      </w:r>
      <w:r w:rsidRPr="00BD7BB1">
        <w:rPr>
          <w:rFonts w:ascii="Times New Roman" w:eastAsia="Times New Roman" w:hAnsi="Times New Roman"/>
          <w:color w:val="auto"/>
          <w:sz w:val="24"/>
          <w:szCs w:val="24"/>
          <w:lang w:val="ru-RU" w:eastAsia="bg-BG"/>
        </w:rPr>
        <w:t>161</w:t>
      </w:r>
      <w:r w:rsidRPr="00BD7BB1">
        <w:rPr>
          <w:rFonts w:ascii="Times New Roman" w:eastAsia="Times New Roman" w:hAnsi="Times New Roman"/>
          <w:color w:val="auto"/>
          <w:sz w:val="24"/>
          <w:szCs w:val="24"/>
          <w:lang w:val="en-GB" w:eastAsia="bg-BG"/>
        </w:rPr>
        <w:t>PO</w:t>
      </w:r>
      <w:r w:rsidRPr="00BD7BB1">
        <w:rPr>
          <w:rFonts w:ascii="Times New Roman" w:eastAsia="Times New Roman" w:hAnsi="Times New Roman"/>
          <w:color w:val="auto"/>
          <w:sz w:val="24"/>
          <w:szCs w:val="24"/>
          <w:lang w:val="ru-RU" w:eastAsia="bg-BG"/>
        </w:rPr>
        <w:t xml:space="preserve">001/1.5-03/2011/003 </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ru-RU" w:eastAsia="bg-BG"/>
        </w:rPr>
        <w:t xml:space="preserve">Модернизация и развитие на устойчив градски транспорт в град Стара Загора“ е на стойност </w:t>
      </w:r>
      <w:r w:rsidRPr="00BD7BB1">
        <w:rPr>
          <w:rFonts w:ascii="Times New Roman" w:eastAsia="Times New Roman" w:hAnsi="Times New Roman"/>
          <w:b/>
          <w:color w:val="auto"/>
          <w:sz w:val="24"/>
          <w:szCs w:val="24"/>
          <w:lang w:val="ru-RU" w:eastAsia="bg-BG"/>
        </w:rPr>
        <w:t xml:space="preserve">14 778 126,33 </w:t>
      </w:r>
      <w:r w:rsidR="00A80059">
        <w:rPr>
          <w:rFonts w:ascii="Times New Roman" w:eastAsia="Times New Roman" w:hAnsi="Times New Roman"/>
          <w:b/>
          <w:color w:val="auto"/>
          <w:sz w:val="24"/>
          <w:szCs w:val="24"/>
          <w:lang w:val="ru-RU" w:eastAsia="bg-BG"/>
        </w:rPr>
        <w:t>Е</w:t>
      </w:r>
      <w:r w:rsidRPr="00BD7BB1">
        <w:rPr>
          <w:rFonts w:ascii="Times New Roman" w:eastAsia="Times New Roman" w:hAnsi="Times New Roman"/>
          <w:b/>
          <w:color w:val="auto"/>
          <w:sz w:val="24"/>
          <w:szCs w:val="24"/>
          <w:lang w:val="ru-RU" w:eastAsia="bg-BG"/>
        </w:rPr>
        <w:t>вро,</w:t>
      </w:r>
      <w:r w:rsidRPr="00BD7BB1">
        <w:rPr>
          <w:rFonts w:ascii="Times New Roman" w:eastAsia="Times New Roman" w:hAnsi="Times New Roman"/>
          <w:color w:val="auto"/>
          <w:sz w:val="24"/>
          <w:szCs w:val="24"/>
          <w:lang w:val="ru-RU" w:eastAsia="bg-BG"/>
        </w:rPr>
        <w:t xml:space="preserve"> от които </w:t>
      </w:r>
      <w:r w:rsidR="00A80059">
        <w:rPr>
          <w:rFonts w:ascii="Times New Roman" w:eastAsia="Times New Roman" w:hAnsi="Times New Roman"/>
          <w:b/>
          <w:bCs/>
          <w:color w:val="auto"/>
          <w:sz w:val="24"/>
          <w:szCs w:val="24"/>
          <w:lang w:val="ru-RU" w:eastAsia="bg-BG"/>
        </w:rPr>
        <w:t>12 600 000 Е</w:t>
      </w:r>
      <w:r w:rsidRPr="00BD7BB1">
        <w:rPr>
          <w:rFonts w:ascii="Times New Roman" w:eastAsia="Times New Roman" w:hAnsi="Times New Roman"/>
          <w:b/>
          <w:bCs/>
          <w:color w:val="auto"/>
          <w:sz w:val="24"/>
          <w:szCs w:val="24"/>
          <w:lang w:val="ru-RU" w:eastAsia="bg-BG"/>
        </w:rPr>
        <w:t xml:space="preserve">вро </w:t>
      </w:r>
      <w:r w:rsidRPr="00BD7BB1">
        <w:rPr>
          <w:rFonts w:ascii="Times New Roman" w:eastAsia="Times New Roman" w:hAnsi="Times New Roman"/>
          <w:color w:val="auto"/>
          <w:sz w:val="24"/>
          <w:szCs w:val="24"/>
          <w:lang w:val="ru-RU" w:eastAsia="bg-BG"/>
        </w:rPr>
        <w:t xml:space="preserve">– безвъзмездна финансова помощ и </w:t>
      </w:r>
      <w:r w:rsidRPr="00BD7BB1">
        <w:rPr>
          <w:rFonts w:ascii="Times New Roman" w:eastAsia="Times New Roman" w:hAnsi="Times New Roman"/>
          <w:b/>
          <w:color w:val="auto"/>
          <w:sz w:val="24"/>
          <w:szCs w:val="24"/>
          <w:lang w:val="ru-RU" w:eastAsia="bg-BG"/>
        </w:rPr>
        <w:t xml:space="preserve">2 178 126,33 </w:t>
      </w:r>
      <w:r w:rsidR="00A80059">
        <w:rPr>
          <w:rFonts w:ascii="Times New Roman" w:eastAsia="Times New Roman" w:hAnsi="Times New Roman"/>
          <w:b/>
          <w:color w:val="auto"/>
          <w:sz w:val="24"/>
          <w:szCs w:val="24"/>
          <w:lang w:val="ru-RU" w:eastAsia="bg-BG"/>
        </w:rPr>
        <w:t>Е</w:t>
      </w:r>
      <w:r w:rsidRPr="00BD7BB1">
        <w:rPr>
          <w:rFonts w:ascii="Times New Roman" w:eastAsia="Times New Roman" w:hAnsi="Times New Roman"/>
          <w:b/>
          <w:color w:val="auto"/>
          <w:sz w:val="24"/>
          <w:szCs w:val="24"/>
          <w:lang w:val="ru-RU" w:eastAsia="bg-BG"/>
        </w:rPr>
        <w:t>вро –</w:t>
      </w:r>
      <w:r w:rsidRPr="00BD7BB1">
        <w:rPr>
          <w:rFonts w:ascii="Times New Roman" w:eastAsia="Times New Roman" w:hAnsi="Times New Roman"/>
          <w:color w:val="auto"/>
          <w:sz w:val="24"/>
          <w:szCs w:val="24"/>
          <w:lang w:val="ru-RU" w:eastAsia="bg-BG"/>
        </w:rPr>
        <w:t xml:space="preserve"> собствен принос на община Стара Загора. Договорът за предоставяне на БФП е сключен на 5 юли 2012 г. и е с продължителност на изпълнение 36 месеца. </w:t>
      </w:r>
      <w:r w:rsidRPr="00BD7BB1">
        <w:rPr>
          <w:rFonts w:ascii="Times New Roman" w:eastAsia="Times New Roman" w:hAnsi="Times New Roman"/>
          <w:i/>
          <w:color w:val="auto"/>
          <w:sz w:val="24"/>
          <w:szCs w:val="24"/>
          <w:lang w:val="en-GB" w:eastAsia="bg-BG"/>
        </w:rPr>
        <w:t>Компоненти по проекта:</w:t>
      </w:r>
      <w:r w:rsidRPr="00BD7BB1">
        <w:rPr>
          <w:rFonts w:ascii="Times New Roman" w:eastAsia="Times New Roman" w:hAnsi="Times New Roman"/>
          <w:color w:val="auto"/>
          <w:sz w:val="24"/>
          <w:szCs w:val="24"/>
          <w:lang w:val="ru-RU" w:eastAsia="bg-BG"/>
        </w:rPr>
        <w:t xml:space="preserve"> </w:t>
      </w:r>
      <w:r w:rsidRPr="00BD7BB1">
        <w:rPr>
          <w:rFonts w:ascii="Times New Roman" w:eastAsia="Times New Roman" w:hAnsi="Times New Roman"/>
          <w:i/>
          <w:color w:val="auto"/>
          <w:sz w:val="24"/>
          <w:szCs w:val="24"/>
          <w:lang w:val="en-GB" w:eastAsia="bg-BG"/>
        </w:rPr>
        <w:t>Закупуване на нови тролейбуси</w:t>
      </w:r>
      <w:r w:rsidRPr="00BD7BB1">
        <w:rPr>
          <w:rFonts w:ascii="Times New Roman" w:eastAsia="Times New Roman" w:hAnsi="Times New Roman"/>
          <w:i/>
          <w:color w:val="auto"/>
          <w:sz w:val="24"/>
          <w:szCs w:val="24"/>
          <w:lang w:val="bg-BG" w:eastAsia="bg-BG"/>
        </w:rPr>
        <w:t>;</w:t>
      </w:r>
      <w:r w:rsidRPr="00BD7BB1">
        <w:rPr>
          <w:rFonts w:ascii="Times New Roman" w:eastAsia="Times New Roman" w:hAnsi="Times New Roman"/>
          <w:i/>
          <w:color w:val="auto"/>
          <w:sz w:val="24"/>
          <w:szCs w:val="24"/>
          <w:lang w:val="en-GB" w:eastAsia="bg-BG"/>
        </w:rPr>
        <w:t>Поддръжка на тролейбусната мрежа</w:t>
      </w:r>
      <w:r w:rsidRPr="00BD7BB1">
        <w:rPr>
          <w:rFonts w:ascii="Times New Roman" w:eastAsia="Times New Roman" w:hAnsi="Times New Roman"/>
          <w:i/>
          <w:color w:val="auto"/>
          <w:sz w:val="24"/>
          <w:szCs w:val="24"/>
          <w:lang w:val="bg-BG" w:eastAsia="bg-BG"/>
        </w:rPr>
        <w:t>;</w:t>
      </w:r>
      <w:r w:rsidRPr="00BD7BB1">
        <w:rPr>
          <w:rFonts w:ascii="Times New Roman" w:eastAsia="Times New Roman" w:hAnsi="Times New Roman"/>
          <w:i/>
          <w:color w:val="auto"/>
          <w:sz w:val="24"/>
          <w:szCs w:val="24"/>
          <w:lang w:val="en-GB" w:eastAsia="bg-BG"/>
        </w:rPr>
        <w:t>Изграждане на велоалеи</w:t>
      </w:r>
      <w:r w:rsidRPr="00BD7BB1">
        <w:rPr>
          <w:rFonts w:ascii="Times New Roman" w:eastAsia="Times New Roman" w:hAnsi="Times New Roman"/>
          <w:i/>
          <w:color w:val="auto"/>
          <w:sz w:val="24"/>
          <w:szCs w:val="24"/>
          <w:lang w:val="bg-BG" w:eastAsia="bg-BG"/>
        </w:rPr>
        <w:t>;</w:t>
      </w:r>
      <w:r w:rsidRPr="00BD7BB1">
        <w:rPr>
          <w:rFonts w:ascii="Times New Roman" w:eastAsia="Times New Roman" w:hAnsi="Times New Roman"/>
          <w:i/>
          <w:color w:val="auto"/>
          <w:sz w:val="24"/>
          <w:szCs w:val="24"/>
          <w:lang w:val="en-GB" w:eastAsia="bg-BG"/>
        </w:rPr>
        <w:t>Интервенции в пътната мрежа</w:t>
      </w:r>
      <w:r w:rsidRPr="00BD7BB1">
        <w:rPr>
          <w:rFonts w:ascii="Times New Roman" w:eastAsia="Times New Roman" w:hAnsi="Times New Roman"/>
          <w:i/>
          <w:color w:val="auto"/>
          <w:sz w:val="24"/>
          <w:szCs w:val="24"/>
          <w:lang w:val="bg-BG" w:eastAsia="bg-BG"/>
        </w:rPr>
        <w:t>;</w:t>
      </w:r>
      <w:r w:rsidRPr="00BD7BB1">
        <w:rPr>
          <w:rFonts w:ascii="Times New Roman" w:eastAsia="Times New Roman" w:hAnsi="Times New Roman"/>
          <w:i/>
          <w:color w:val="auto"/>
          <w:sz w:val="24"/>
          <w:szCs w:val="24"/>
          <w:lang w:val="ru-RU" w:eastAsia="bg-BG"/>
        </w:rPr>
        <w:t xml:space="preserve">Рехабилитация на спирките за обществен транспорт;Въвеждане на информационна система (телематика);Ремонт и рехабилитация на тролейбусно депо;Доставка на оборудване за депо;Специализиран автомобил за ремонт и поддръжка. </w:t>
      </w:r>
    </w:p>
    <w:p w:rsidR="00F25110" w:rsidRPr="00876B43" w:rsidRDefault="00F25110" w:rsidP="00876B43">
      <w:pPr>
        <w:pStyle w:val="ListParagraph"/>
        <w:numPr>
          <w:ilvl w:val="0"/>
          <w:numId w:val="9"/>
        </w:numPr>
        <w:spacing w:before="100" w:beforeAutospacing="1" w:after="100" w:afterAutospacing="1" w:line="360" w:lineRule="auto"/>
        <w:rPr>
          <w:lang w:val="ru-RU" w:eastAsia="bg-BG"/>
        </w:rPr>
      </w:pPr>
      <w:r w:rsidRPr="00876B43">
        <w:rPr>
          <w:b/>
          <w:bCs/>
          <w:lang w:val="ru-RU" w:eastAsia="bg-BG"/>
        </w:rPr>
        <w:t>Напредъкът в изпълнението на проекта през 2014 г. се изразява в следните действия:</w:t>
      </w:r>
    </w:p>
    <w:p w:rsidR="00F25110" w:rsidRPr="00BD7BB1" w:rsidRDefault="00F25110" w:rsidP="00957FF6">
      <w:pPr>
        <w:numPr>
          <w:ilvl w:val="0"/>
          <w:numId w:val="24"/>
        </w:numPr>
        <w:spacing w:before="100" w:beforeAutospacing="1" w:after="100" w:afterAutospacing="1" w:line="360" w:lineRule="auto"/>
        <w:jc w:val="both"/>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 xml:space="preserve">На 23.04.2014 г. е подписан договор за </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ru-RU" w:eastAsia="bg-BG"/>
        </w:rPr>
        <w:t xml:space="preserve">Изработване на работен проект за ремонт и ремонт/рехабилитация на контактна мрежа и изграждане на ВКМ система в град Стара Загора” на стойност 2 409 948 </w:t>
      </w:r>
      <w:r w:rsidR="00A80059">
        <w:rPr>
          <w:rFonts w:ascii="Times New Roman" w:eastAsia="Times New Roman" w:hAnsi="Times New Roman"/>
          <w:bCs/>
          <w:color w:val="auto"/>
          <w:sz w:val="24"/>
          <w:szCs w:val="24"/>
          <w:lang w:val="ru-RU"/>
        </w:rPr>
        <w:t>Е</w:t>
      </w:r>
      <w:r w:rsidR="00A80059" w:rsidRPr="00BD7BB1">
        <w:rPr>
          <w:rFonts w:ascii="Times New Roman" w:eastAsia="Times New Roman" w:hAnsi="Times New Roman"/>
          <w:bCs/>
          <w:color w:val="auto"/>
          <w:sz w:val="24"/>
          <w:szCs w:val="24"/>
          <w:lang w:val="ru-RU"/>
        </w:rPr>
        <w:t>вро</w:t>
      </w:r>
      <w:r w:rsidRPr="00BD7BB1">
        <w:rPr>
          <w:rFonts w:ascii="Times New Roman" w:eastAsia="Times New Roman" w:hAnsi="Times New Roman"/>
          <w:color w:val="auto"/>
          <w:sz w:val="24"/>
          <w:szCs w:val="24"/>
          <w:lang w:val="ru-RU" w:eastAsia="bg-BG"/>
        </w:rPr>
        <w:t xml:space="preserve"> с ДДС. Строително-ремонтните дейности са в процес на изпълнение.</w:t>
      </w:r>
    </w:p>
    <w:p w:rsidR="00F25110" w:rsidRPr="00BD7BB1" w:rsidRDefault="00F25110" w:rsidP="00957FF6">
      <w:pPr>
        <w:numPr>
          <w:ilvl w:val="0"/>
          <w:numId w:val="24"/>
        </w:numPr>
        <w:spacing w:before="100" w:beforeAutospacing="1" w:after="100" w:afterAutospacing="1" w:line="360" w:lineRule="auto"/>
        <w:jc w:val="both"/>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 xml:space="preserve">На 24.04.2014 г. е подписан договор с изпълнител с предмет </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ru-RU" w:eastAsia="bg-BG"/>
        </w:rPr>
        <w:t>Ремонт и рехабилитация на тролейбусно депо</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ru-RU" w:eastAsia="bg-BG"/>
        </w:rPr>
        <w:t xml:space="preserve"> на стойност 51 248,05 </w:t>
      </w:r>
      <w:r w:rsidR="00A80059">
        <w:rPr>
          <w:rFonts w:ascii="Times New Roman" w:eastAsia="Times New Roman" w:hAnsi="Times New Roman"/>
          <w:bCs/>
          <w:color w:val="auto"/>
          <w:sz w:val="24"/>
          <w:szCs w:val="24"/>
          <w:lang w:val="ru-RU"/>
        </w:rPr>
        <w:t>Е</w:t>
      </w:r>
      <w:r w:rsidR="00A80059" w:rsidRPr="00BD7BB1">
        <w:rPr>
          <w:rFonts w:ascii="Times New Roman" w:eastAsia="Times New Roman" w:hAnsi="Times New Roman"/>
          <w:bCs/>
          <w:color w:val="auto"/>
          <w:sz w:val="24"/>
          <w:szCs w:val="24"/>
          <w:lang w:val="ru-RU"/>
        </w:rPr>
        <w:t>вро</w:t>
      </w:r>
      <w:r w:rsidRPr="00BD7BB1">
        <w:rPr>
          <w:rFonts w:ascii="Times New Roman" w:eastAsia="Times New Roman" w:hAnsi="Times New Roman"/>
          <w:color w:val="auto"/>
          <w:sz w:val="24"/>
          <w:szCs w:val="24"/>
          <w:lang w:val="ru-RU" w:eastAsia="bg-BG"/>
        </w:rPr>
        <w:t xml:space="preserve"> с ДДС. Договорът е изпълнен.</w:t>
      </w:r>
    </w:p>
    <w:p w:rsidR="00F25110" w:rsidRPr="00BD7BB1" w:rsidRDefault="00F25110" w:rsidP="00957FF6">
      <w:pPr>
        <w:numPr>
          <w:ilvl w:val="0"/>
          <w:numId w:val="24"/>
        </w:numPr>
        <w:spacing w:before="100" w:beforeAutospacing="1" w:after="100" w:afterAutospacing="1" w:line="360" w:lineRule="auto"/>
        <w:jc w:val="both"/>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На 23.04.2014 г. е подписан договор с изпълнител с предмет „Доставка на оборудване за депо</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ru-RU" w:eastAsia="bg-BG"/>
        </w:rPr>
        <w:t xml:space="preserve"> на стойност 43 258,97 </w:t>
      </w:r>
      <w:r w:rsidR="00A80059">
        <w:rPr>
          <w:rFonts w:ascii="Times New Roman" w:eastAsia="Times New Roman" w:hAnsi="Times New Roman"/>
          <w:bCs/>
          <w:color w:val="auto"/>
          <w:sz w:val="24"/>
          <w:szCs w:val="24"/>
          <w:lang w:val="ru-RU"/>
        </w:rPr>
        <w:t>Е</w:t>
      </w:r>
      <w:r w:rsidR="00A80059" w:rsidRPr="00BD7BB1">
        <w:rPr>
          <w:rFonts w:ascii="Times New Roman" w:eastAsia="Times New Roman" w:hAnsi="Times New Roman"/>
          <w:bCs/>
          <w:color w:val="auto"/>
          <w:sz w:val="24"/>
          <w:szCs w:val="24"/>
          <w:lang w:val="ru-RU"/>
        </w:rPr>
        <w:t>вро</w:t>
      </w:r>
      <w:r w:rsidRPr="00BD7BB1">
        <w:rPr>
          <w:rFonts w:ascii="Times New Roman" w:eastAsia="Times New Roman" w:hAnsi="Times New Roman"/>
          <w:color w:val="auto"/>
          <w:sz w:val="24"/>
          <w:szCs w:val="24"/>
          <w:lang w:val="ru-RU" w:eastAsia="bg-BG"/>
        </w:rPr>
        <w:t xml:space="preserve"> с ДДС. Договорът е изпълнен.</w:t>
      </w:r>
    </w:p>
    <w:p w:rsidR="00F25110" w:rsidRPr="00BD7BB1" w:rsidRDefault="00F25110" w:rsidP="00957FF6">
      <w:pPr>
        <w:numPr>
          <w:ilvl w:val="0"/>
          <w:numId w:val="24"/>
        </w:numPr>
        <w:spacing w:before="100" w:beforeAutospacing="1" w:after="100" w:afterAutospacing="1" w:line="360" w:lineRule="auto"/>
        <w:jc w:val="both"/>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 xml:space="preserve">На 19.05.2014 г. е подписан договор с изпълнител с предмет </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ru-RU" w:eastAsia="bg-BG"/>
        </w:rPr>
        <w:t xml:space="preserve">Изготвяне на инвестиционни проекти и строителни работи по градска пътна мрежа” на стойност 1 091 395 </w:t>
      </w:r>
      <w:r w:rsidR="00A80059">
        <w:rPr>
          <w:rFonts w:ascii="Times New Roman" w:eastAsia="Times New Roman" w:hAnsi="Times New Roman"/>
          <w:bCs/>
          <w:color w:val="auto"/>
          <w:sz w:val="24"/>
          <w:szCs w:val="24"/>
          <w:lang w:val="ru-RU"/>
        </w:rPr>
        <w:t>Е</w:t>
      </w:r>
      <w:r w:rsidR="00A80059" w:rsidRPr="00BD7BB1">
        <w:rPr>
          <w:rFonts w:ascii="Times New Roman" w:eastAsia="Times New Roman" w:hAnsi="Times New Roman"/>
          <w:bCs/>
          <w:color w:val="auto"/>
          <w:sz w:val="24"/>
          <w:szCs w:val="24"/>
          <w:lang w:val="ru-RU"/>
        </w:rPr>
        <w:t>вро</w:t>
      </w:r>
      <w:r w:rsidRPr="00BD7BB1">
        <w:rPr>
          <w:rFonts w:ascii="Times New Roman" w:eastAsia="Times New Roman" w:hAnsi="Times New Roman"/>
          <w:color w:val="auto"/>
          <w:sz w:val="24"/>
          <w:szCs w:val="24"/>
          <w:lang w:val="ru-RU" w:eastAsia="bg-BG"/>
        </w:rPr>
        <w:t xml:space="preserve"> с ДДС. Строително-ремонтните дейности са в процес на изпълнение.</w:t>
      </w:r>
    </w:p>
    <w:p w:rsidR="00F25110" w:rsidRPr="00BD7BB1" w:rsidRDefault="00F25110" w:rsidP="00957FF6">
      <w:pPr>
        <w:numPr>
          <w:ilvl w:val="0"/>
          <w:numId w:val="24"/>
        </w:numPr>
        <w:spacing w:before="100" w:beforeAutospacing="1" w:after="100" w:afterAutospacing="1" w:line="360" w:lineRule="auto"/>
        <w:jc w:val="both"/>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 xml:space="preserve">На 17.06.2014 г. е подписан договор с изпълнител с предмет </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ru-RU" w:eastAsia="bg-BG"/>
        </w:rPr>
        <w:t xml:space="preserve">Изработване работен проект за ремонт и рехабилитация на токоизправителни станции (ТИС)” на стойност 748 676 </w:t>
      </w:r>
      <w:r w:rsidR="00A80059">
        <w:rPr>
          <w:rFonts w:ascii="Times New Roman" w:eastAsia="Times New Roman" w:hAnsi="Times New Roman"/>
          <w:bCs/>
          <w:color w:val="auto"/>
          <w:sz w:val="24"/>
          <w:szCs w:val="24"/>
          <w:lang w:val="ru-RU"/>
        </w:rPr>
        <w:t>Е</w:t>
      </w:r>
      <w:r w:rsidR="00A80059" w:rsidRPr="00BD7BB1">
        <w:rPr>
          <w:rFonts w:ascii="Times New Roman" w:eastAsia="Times New Roman" w:hAnsi="Times New Roman"/>
          <w:bCs/>
          <w:color w:val="auto"/>
          <w:sz w:val="24"/>
          <w:szCs w:val="24"/>
          <w:lang w:val="ru-RU"/>
        </w:rPr>
        <w:t>вро</w:t>
      </w:r>
      <w:r w:rsidR="00A80059" w:rsidRPr="00BD7BB1">
        <w:rPr>
          <w:rFonts w:ascii="Times New Roman" w:eastAsia="Times New Roman" w:hAnsi="Times New Roman"/>
          <w:color w:val="auto"/>
          <w:sz w:val="24"/>
          <w:szCs w:val="24"/>
          <w:lang w:val="ru-RU" w:eastAsia="bg-BG"/>
        </w:rPr>
        <w:t xml:space="preserve"> </w:t>
      </w:r>
      <w:r w:rsidRPr="00BD7BB1">
        <w:rPr>
          <w:rFonts w:ascii="Times New Roman" w:eastAsia="Times New Roman" w:hAnsi="Times New Roman"/>
          <w:color w:val="auto"/>
          <w:sz w:val="24"/>
          <w:szCs w:val="24"/>
          <w:lang w:val="ru-RU" w:eastAsia="bg-BG"/>
        </w:rPr>
        <w:t>с ДДС. Строително-ремонтните дейности са в процес на изпълнение.</w:t>
      </w:r>
    </w:p>
    <w:p w:rsidR="00F25110" w:rsidRPr="00BD7BB1" w:rsidRDefault="00F25110" w:rsidP="00957FF6">
      <w:pPr>
        <w:numPr>
          <w:ilvl w:val="0"/>
          <w:numId w:val="24"/>
        </w:numPr>
        <w:spacing w:before="100" w:beforeAutospacing="1" w:after="100" w:afterAutospacing="1" w:line="360" w:lineRule="auto"/>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 xml:space="preserve">На 16.07.2014 г. е подписан договор с изпълнител с предмет „Строителен надзор по изпълнението на ремонта и рехабилитацията на ВКМ и ТИС” на стойност 8 878 </w:t>
      </w:r>
      <w:r w:rsidR="00A80059">
        <w:rPr>
          <w:rFonts w:ascii="Times New Roman" w:eastAsia="Times New Roman" w:hAnsi="Times New Roman"/>
          <w:bCs/>
          <w:color w:val="auto"/>
          <w:sz w:val="24"/>
          <w:szCs w:val="24"/>
          <w:lang w:val="ru-RU"/>
        </w:rPr>
        <w:t>Е</w:t>
      </w:r>
      <w:r w:rsidR="00A80059" w:rsidRPr="00BD7BB1">
        <w:rPr>
          <w:rFonts w:ascii="Times New Roman" w:eastAsia="Times New Roman" w:hAnsi="Times New Roman"/>
          <w:bCs/>
          <w:color w:val="auto"/>
          <w:sz w:val="24"/>
          <w:szCs w:val="24"/>
          <w:lang w:val="ru-RU"/>
        </w:rPr>
        <w:t>вро</w:t>
      </w:r>
      <w:r w:rsidRPr="00BD7BB1">
        <w:rPr>
          <w:rFonts w:ascii="Times New Roman" w:eastAsia="Times New Roman" w:hAnsi="Times New Roman"/>
          <w:color w:val="auto"/>
          <w:sz w:val="24"/>
          <w:szCs w:val="24"/>
          <w:lang w:val="ru-RU" w:eastAsia="bg-BG"/>
        </w:rPr>
        <w:t xml:space="preserve"> с ДДС, който е в процес на изпълнение.</w:t>
      </w:r>
    </w:p>
    <w:p w:rsidR="00F25110" w:rsidRPr="00BD7BB1" w:rsidRDefault="00F25110" w:rsidP="00957FF6">
      <w:pPr>
        <w:numPr>
          <w:ilvl w:val="0"/>
          <w:numId w:val="24"/>
        </w:numPr>
        <w:spacing w:before="100" w:beforeAutospacing="1" w:after="100" w:afterAutospacing="1" w:line="360" w:lineRule="auto"/>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 xml:space="preserve">На 28.08.2014 г. е подписан договор с изпълнител с предмет „Изработване на проект, доставка, изграждане и въвеждане на информационна система (телематика) в градски транспорт на град Стара Загора“ на стойност 2 930 160 </w:t>
      </w:r>
      <w:r w:rsidR="00A80059">
        <w:rPr>
          <w:rFonts w:ascii="Times New Roman" w:eastAsia="Times New Roman" w:hAnsi="Times New Roman"/>
          <w:bCs/>
          <w:color w:val="auto"/>
          <w:sz w:val="24"/>
          <w:szCs w:val="24"/>
          <w:lang w:val="ru-RU"/>
        </w:rPr>
        <w:t>Е</w:t>
      </w:r>
      <w:r w:rsidR="00A80059" w:rsidRPr="00BD7BB1">
        <w:rPr>
          <w:rFonts w:ascii="Times New Roman" w:eastAsia="Times New Roman" w:hAnsi="Times New Roman"/>
          <w:bCs/>
          <w:color w:val="auto"/>
          <w:sz w:val="24"/>
          <w:szCs w:val="24"/>
          <w:lang w:val="ru-RU"/>
        </w:rPr>
        <w:t>вро</w:t>
      </w:r>
      <w:r w:rsidRPr="00BD7BB1">
        <w:rPr>
          <w:rFonts w:ascii="Times New Roman" w:eastAsia="Times New Roman" w:hAnsi="Times New Roman"/>
          <w:color w:val="auto"/>
          <w:sz w:val="24"/>
          <w:szCs w:val="24"/>
          <w:lang w:val="ru-RU" w:eastAsia="bg-BG"/>
        </w:rPr>
        <w:t xml:space="preserve"> с ДДС. Договорът е в процес на изпълнение, предстои изготвяне на инвестиционен проект.</w:t>
      </w:r>
    </w:p>
    <w:p w:rsidR="00F25110" w:rsidRPr="00BD7BB1" w:rsidRDefault="00F25110" w:rsidP="00957FF6">
      <w:pPr>
        <w:numPr>
          <w:ilvl w:val="0"/>
          <w:numId w:val="24"/>
        </w:numPr>
        <w:spacing w:before="100" w:beforeAutospacing="1" w:after="100" w:afterAutospacing="1" w:line="360" w:lineRule="auto"/>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 xml:space="preserve">На 12.09.2014г. е подписан договор с изпълнител с предмет „Финансов одит” на стойност 7 301 </w:t>
      </w:r>
      <w:r w:rsidR="00A80059">
        <w:rPr>
          <w:rFonts w:ascii="Times New Roman" w:eastAsia="Times New Roman" w:hAnsi="Times New Roman"/>
          <w:bCs/>
          <w:color w:val="auto"/>
          <w:sz w:val="24"/>
          <w:szCs w:val="24"/>
          <w:lang w:val="ru-RU"/>
        </w:rPr>
        <w:t>Е</w:t>
      </w:r>
      <w:r w:rsidR="00A80059" w:rsidRPr="00BD7BB1">
        <w:rPr>
          <w:rFonts w:ascii="Times New Roman" w:eastAsia="Times New Roman" w:hAnsi="Times New Roman"/>
          <w:bCs/>
          <w:color w:val="auto"/>
          <w:sz w:val="24"/>
          <w:szCs w:val="24"/>
          <w:lang w:val="ru-RU"/>
        </w:rPr>
        <w:t>вро</w:t>
      </w:r>
      <w:r w:rsidRPr="00BD7BB1">
        <w:rPr>
          <w:rFonts w:ascii="Times New Roman" w:eastAsia="Times New Roman" w:hAnsi="Times New Roman"/>
          <w:color w:val="auto"/>
          <w:sz w:val="24"/>
          <w:szCs w:val="24"/>
          <w:lang w:val="ru-RU" w:eastAsia="bg-BG"/>
        </w:rPr>
        <w:t xml:space="preserve"> с ДДС, който е в процес на изпълнение.</w:t>
      </w:r>
    </w:p>
    <w:p w:rsidR="00F25110" w:rsidRPr="00BD7BB1" w:rsidRDefault="00F25110" w:rsidP="00447592">
      <w:pPr>
        <w:spacing w:before="100" w:beforeAutospacing="1" w:after="100" w:afterAutospacing="1" w:line="360" w:lineRule="auto"/>
        <w:ind w:firstLine="720"/>
        <w:rPr>
          <w:rFonts w:ascii="Times New Roman" w:eastAsia="Times New Roman" w:hAnsi="Times New Roman"/>
          <w:b/>
          <w:bCs/>
          <w:color w:val="auto"/>
          <w:sz w:val="24"/>
          <w:szCs w:val="24"/>
          <w:lang w:val="ru-RU" w:eastAsia="bg-BG"/>
        </w:rPr>
      </w:pPr>
      <w:r w:rsidRPr="00BD7BB1">
        <w:rPr>
          <w:rFonts w:ascii="Times New Roman" w:eastAsia="Times New Roman" w:hAnsi="Times New Roman"/>
          <w:b/>
          <w:bCs/>
          <w:color w:val="auto"/>
          <w:sz w:val="24"/>
          <w:szCs w:val="24"/>
          <w:lang w:val="ru-RU" w:eastAsia="bg-BG"/>
        </w:rPr>
        <w:t>Процедури в процес на оценка към 31.12.2014 г.:</w:t>
      </w:r>
    </w:p>
    <w:p w:rsidR="00F25110" w:rsidRPr="00BD7BB1" w:rsidRDefault="00F25110" w:rsidP="00957FF6">
      <w:pPr>
        <w:numPr>
          <w:ilvl w:val="0"/>
          <w:numId w:val="25"/>
        </w:numPr>
        <w:spacing w:before="100" w:beforeAutospacing="1" w:after="100" w:afterAutospacing="1" w:line="360" w:lineRule="auto"/>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eastAsia="bg-BG"/>
        </w:rPr>
        <w:t>Закупуване на 14 тролейбуса и специализиран автомобил за ремонт и поддръжка и доставка на оборудване за депо. Издадени са Решения на възложителя за избор на изпълнители по двете поръчки. Предстои да бъдат сключени договори.</w:t>
      </w:r>
    </w:p>
    <w:p w:rsidR="00F25110" w:rsidRPr="00BD7BB1" w:rsidRDefault="00F25110" w:rsidP="007475F9">
      <w:pPr>
        <w:spacing w:before="100" w:beforeAutospacing="1" w:after="100" w:afterAutospacing="1" w:line="360" w:lineRule="auto"/>
        <w:ind w:firstLine="720"/>
        <w:rPr>
          <w:rFonts w:ascii="Times New Roman" w:eastAsia="Times New Roman" w:hAnsi="Times New Roman"/>
          <w:color w:val="auto"/>
          <w:sz w:val="24"/>
          <w:szCs w:val="24"/>
          <w:lang w:eastAsia="bg-BG"/>
        </w:rPr>
      </w:pPr>
      <w:r w:rsidRPr="00BD7BB1">
        <w:rPr>
          <w:rFonts w:ascii="Times New Roman" w:eastAsia="Times New Roman" w:hAnsi="Times New Roman"/>
          <w:color w:val="auto"/>
          <w:sz w:val="24"/>
          <w:szCs w:val="24"/>
          <w:lang w:eastAsia="bg-BG"/>
        </w:rPr>
        <w:t xml:space="preserve">През 2014 г. по проекта са осъществени плащания в размер на </w:t>
      </w:r>
      <w:r w:rsidRPr="00BD7BB1">
        <w:rPr>
          <w:rFonts w:ascii="Times New Roman" w:eastAsia="Times New Roman" w:hAnsi="Times New Roman"/>
          <w:b/>
          <w:color w:val="auto"/>
          <w:sz w:val="24"/>
          <w:szCs w:val="24"/>
          <w:lang w:eastAsia="bg-BG"/>
        </w:rPr>
        <w:t xml:space="preserve">4 410 000,00 </w:t>
      </w:r>
      <w:r w:rsidR="00A80059">
        <w:rPr>
          <w:rFonts w:ascii="Times New Roman" w:eastAsia="Times New Roman" w:hAnsi="Times New Roman"/>
          <w:b/>
          <w:color w:val="auto"/>
          <w:sz w:val="24"/>
          <w:szCs w:val="24"/>
          <w:lang w:val="bg-BG" w:eastAsia="bg-BG"/>
        </w:rPr>
        <w:t>Е</w:t>
      </w:r>
      <w:r w:rsidRPr="00BD7BB1">
        <w:rPr>
          <w:rFonts w:ascii="Times New Roman" w:eastAsia="Times New Roman" w:hAnsi="Times New Roman"/>
          <w:b/>
          <w:color w:val="auto"/>
          <w:sz w:val="24"/>
          <w:szCs w:val="24"/>
          <w:lang w:eastAsia="bg-BG"/>
        </w:rPr>
        <w:t>вро.</w:t>
      </w:r>
    </w:p>
    <w:p w:rsidR="00F25110" w:rsidRPr="00BD7BB1" w:rsidRDefault="00F25110" w:rsidP="00F25110">
      <w:pPr>
        <w:spacing w:before="100" w:beforeAutospacing="1" w:after="100" w:afterAutospacing="1" w:line="360" w:lineRule="auto"/>
        <w:jc w:val="both"/>
        <w:rPr>
          <w:rFonts w:ascii="Times New Roman" w:eastAsia="Times New Roman" w:hAnsi="Times New Roman"/>
          <w:i/>
          <w:iCs/>
          <w:color w:val="auto"/>
          <w:sz w:val="24"/>
          <w:szCs w:val="24"/>
          <w:lang w:val="bg-BG" w:eastAsia="bg-BG"/>
        </w:rPr>
      </w:pPr>
      <w:r w:rsidRPr="00BD7BB1">
        <w:rPr>
          <w:rFonts w:ascii="Times New Roman" w:eastAsia="Times New Roman" w:hAnsi="Times New Roman"/>
          <w:b/>
          <w:i/>
          <w:color w:val="auto"/>
          <w:sz w:val="24"/>
          <w:szCs w:val="24"/>
          <w:lang w:val="ru-RU" w:eastAsia="bg-BG"/>
        </w:rPr>
        <w:t xml:space="preserve">Относителният дял  </w:t>
      </w:r>
      <w:r w:rsidRPr="00BD7BB1">
        <w:rPr>
          <w:rFonts w:ascii="Times New Roman" w:eastAsia="Times New Roman" w:hAnsi="Times New Roman"/>
          <w:b/>
          <w:i/>
          <w:iCs/>
          <w:color w:val="auto"/>
          <w:sz w:val="24"/>
          <w:szCs w:val="24"/>
          <w:lang w:val="bg-BG" w:eastAsia="bg-BG"/>
        </w:rPr>
        <w:t>на населението с подобрена транспортна и комуникационна свързаност в агломерационните ареали на големите градове на Югоизточен район</w:t>
      </w:r>
      <w:r w:rsidRPr="00BD7BB1">
        <w:rPr>
          <w:rFonts w:ascii="Times New Roman" w:eastAsia="Times New Roman" w:hAnsi="Times New Roman"/>
          <w:i/>
          <w:iCs/>
          <w:color w:val="auto"/>
          <w:sz w:val="24"/>
          <w:szCs w:val="24"/>
          <w:lang w:val="bg-BG" w:eastAsia="bg-BG"/>
        </w:rPr>
        <w:t>, изчислен  на база  двата големи градски центрове  Бургас и Стара Загора  е  31,56 % .</w:t>
      </w:r>
    </w:p>
    <w:p w:rsidR="00F25110" w:rsidRPr="00BD7BB1" w:rsidRDefault="00F25110" w:rsidP="00F25110">
      <w:pPr>
        <w:spacing w:before="100" w:beforeAutospacing="1" w:after="100" w:afterAutospacing="1" w:line="360" w:lineRule="auto"/>
        <w:jc w:val="both"/>
        <w:rPr>
          <w:rFonts w:ascii="Times New Roman" w:eastAsia="Times New Roman" w:hAnsi="Times New Roman"/>
          <w:b/>
          <w:i/>
          <w:iCs/>
          <w:color w:val="auto"/>
          <w:sz w:val="24"/>
          <w:szCs w:val="24"/>
          <w:lang w:val="bg-BG" w:eastAsia="bg-BG"/>
        </w:rPr>
      </w:pPr>
      <w:r w:rsidRPr="00BD7BB1">
        <w:rPr>
          <w:rFonts w:ascii="Times New Roman" w:eastAsia="Times New Roman" w:hAnsi="Times New Roman"/>
          <w:b/>
          <w:color w:val="auto"/>
          <w:sz w:val="24"/>
          <w:szCs w:val="24"/>
          <w:lang w:val="bg-BG" w:eastAsia="bg-BG"/>
        </w:rPr>
        <w:t>По Приоритет 1</w:t>
      </w:r>
      <w:r w:rsidRPr="00BD7BB1">
        <w:rPr>
          <w:rFonts w:ascii="Times New Roman" w:eastAsia="Calibri" w:hAnsi="Times New Roman"/>
          <w:b/>
          <w:color w:val="auto"/>
          <w:sz w:val="20"/>
          <w:lang w:val="bg-BG"/>
        </w:rPr>
        <w:t xml:space="preserve"> </w:t>
      </w:r>
      <w:r w:rsidRPr="00BD7BB1">
        <w:rPr>
          <w:rFonts w:ascii="Times New Roman" w:eastAsia="Calibri" w:hAnsi="Times New Roman"/>
          <w:b/>
          <w:color w:val="auto"/>
          <w:sz w:val="24"/>
          <w:szCs w:val="24"/>
          <w:lang w:val="bg-BG"/>
        </w:rPr>
        <w:t>на</w:t>
      </w:r>
      <w:r w:rsidRPr="00BD7BB1">
        <w:rPr>
          <w:rFonts w:ascii="Times New Roman" w:eastAsia="Calibri" w:hAnsi="Times New Roman"/>
          <w:b/>
          <w:color w:val="auto"/>
          <w:sz w:val="20"/>
          <w:lang w:val="bg-BG"/>
        </w:rPr>
        <w:t xml:space="preserve"> </w:t>
      </w:r>
      <w:r w:rsidRPr="00BD7BB1">
        <w:rPr>
          <w:rFonts w:ascii="Times New Roman" w:eastAsia="Times New Roman" w:hAnsi="Times New Roman"/>
          <w:b/>
          <w:color w:val="auto"/>
          <w:sz w:val="24"/>
          <w:szCs w:val="24"/>
          <w:lang w:val="bg-BG" w:eastAsia="bg-BG"/>
        </w:rPr>
        <w:t xml:space="preserve">Стратегическа цел 4 </w:t>
      </w:r>
      <w:r w:rsidRPr="00BD7BB1">
        <w:rPr>
          <w:rFonts w:ascii="Times New Roman" w:eastAsia="Times New Roman" w:hAnsi="Times New Roman"/>
          <w:color w:val="auto"/>
          <w:sz w:val="24"/>
          <w:szCs w:val="24"/>
          <w:lang w:val="bg-BG" w:eastAsia="bg-BG"/>
        </w:rPr>
        <w:t xml:space="preserve">е предвиден </w:t>
      </w:r>
      <w:r w:rsidRPr="00BD7BB1">
        <w:rPr>
          <w:rFonts w:ascii="Times New Roman" w:eastAsia="Times New Roman" w:hAnsi="Times New Roman"/>
          <w:color w:val="auto"/>
          <w:sz w:val="24"/>
          <w:szCs w:val="24"/>
          <w:lang w:eastAsia="bg-BG"/>
        </w:rPr>
        <w:t> </w:t>
      </w:r>
      <w:r w:rsidRPr="00BD7BB1">
        <w:rPr>
          <w:rFonts w:ascii="Times New Roman" w:eastAsia="Times New Roman" w:hAnsi="Times New Roman"/>
          <w:color w:val="auto"/>
          <w:sz w:val="24"/>
          <w:szCs w:val="24"/>
          <w:lang w:val="bg-BG" w:eastAsia="bg-BG"/>
        </w:rPr>
        <w:t>индикатор, измерващ</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b/>
          <w:i/>
          <w:iCs/>
          <w:color w:val="auto"/>
          <w:sz w:val="24"/>
          <w:szCs w:val="24"/>
          <w:lang w:val="bg-BG" w:eastAsia="bg-BG"/>
        </w:rPr>
        <w:t>Намаление на енергийното потребление в обществени сгради .</w:t>
      </w:r>
    </w:p>
    <w:p w:rsidR="00F25110" w:rsidRPr="00BD7BB1" w:rsidRDefault="00F25110" w:rsidP="00F25110">
      <w:pPr>
        <w:spacing w:after="0" w:line="360" w:lineRule="auto"/>
        <w:ind w:firstLine="720"/>
        <w:contextualSpacing/>
        <w:jc w:val="both"/>
        <w:rPr>
          <w:rFonts w:ascii="Times New Roman" w:eastAsia="Times New Roman" w:hAnsi="Times New Roman"/>
          <w:color w:val="auto"/>
          <w:sz w:val="24"/>
          <w:szCs w:val="24"/>
          <w:lang w:eastAsia="bg-BG"/>
        </w:rPr>
      </w:pPr>
      <w:r w:rsidRPr="00BD7BB1">
        <w:rPr>
          <w:rFonts w:ascii="Times New Roman" w:eastAsia="Times New Roman" w:hAnsi="Times New Roman"/>
          <w:color w:val="auto"/>
          <w:sz w:val="24"/>
          <w:szCs w:val="24"/>
          <w:lang w:eastAsia="bg-BG"/>
        </w:rPr>
        <w:t xml:space="preserve">Европейската банка за възстановяване и развитие, чрез </w:t>
      </w:r>
      <w:r w:rsidRPr="00BD7BB1">
        <w:rPr>
          <w:rFonts w:ascii="Times New Roman" w:eastAsia="Times New Roman" w:hAnsi="Times New Roman"/>
          <w:b/>
          <w:color w:val="auto"/>
          <w:sz w:val="24"/>
          <w:szCs w:val="24"/>
          <w:lang w:val="bg-BG" w:eastAsia="bg-BG"/>
        </w:rPr>
        <w:t xml:space="preserve">Международен фонд „Козлодуй“ </w:t>
      </w:r>
      <w:r w:rsidRPr="00BD7BB1">
        <w:rPr>
          <w:rFonts w:ascii="Times New Roman" w:eastAsia="Times New Roman" w:hAnsi="Times New Roman"/>
          <w:color w:val="auto"/>
          <w:sz w:val="24"/>
          <w:szCs w:val="24"/>
          <w:lang w:eastAsia="bg-BG"/>
        </w:rPr>
        <w:t>предоставя на домакинства и сдружения на собственици кредитна линия за проекти по ЕЕ и ВЕИ, посредством мрежа от банки-партньори.</w:t>
      </w:r>
      <w:r w:rsidRPr="00BD7BB1">
        <w:rPr>
          <w:rFonts w:ascii="Times New Roman" w:eastAsia="Times New Roman" w:hAnsi="Times New Roman"/>
          <w:b/>
          <w:color w:val="auto"/>
          <w:sz w:val="24"/>
          <w:szCs w:val="24"/>
          <w:lang w:eastAsia="bg-BG"/>
        </w:rPr>
        <w:t xml:space="preserve"> </w:t>
      </w:r>
      <w:r w:rsidRPr="00BD7BB1">
        <w:rPr>
          <w:rFonts w:ascii="Times New Roman" w:eastAsia="Times New Roman" w:hAnsi="Times New Roman"/>
          <w:color w:val="auto"/>
          <w:sz w:val="24"/>
          <w:szCs w:val="24"/>
          <w:lang w:eastAsia="bg-BG"/>
        </w:rPr>
        <w:t>Кредити и безвъзмездна финансова помощ по Програмата се предлагат на потенциалните кредитополучатели до 31 юли 2014 г. Предвижда се общият брой на проектите за енергоспестяване в дома, финансирани по тази програма, да достигне 50 000.</w:t>
      </w:r>
    </w:p>
    <w:p w:rsidR="00F25110" w:rsidRPr="00BD7BB1" w:rsidRDefault="00F25110" w:rsidP="00F25110">
      <w:pPr>
        <w:spacing w:after="0" w:line="360" w:lineRule="auto"/>
        <w:ind w:firstLine="720"/>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eastAsia="bg-BG"/>
        </w:rPr>
        <w:t>Безвъзмездната помощ по кредитите се изплаща на гражданите до 4 месеца от отпускане на кредита, след успешна реализация на конкретното подобрение в жилището</w:t>
      </w:r>
      <w:r w:rsidRPr="00BD7BB1">
        <w:rPr>
          <w:rFonts w:ascii="Times New Roman" w:eastAsia="Times New Roman" w:hAnsi="Times New Roman"/>
          <w:color w:val="auto"/>
          <w:sz w:val="24"/>
          <w:szCs w:val="24"/>
          <w:lang w:val="bg-BG" w:eastAsia="bg-BG"/>
        </w:rPr>
        <w:t>.</w:t>
      </w:r>
    </w:p>
    <w:p w:rsidR="00F25110" w:rsidRPr="00BD7BB1" w:rsidRDefault="00F25110" w:rsidP="00F25110">
      <w:pPr>
        <w:spacing w:after="0" w:line="360" w:lineRule="auto"/>
        <w:ind w:firstLine="720"/>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bCs/>
          <w:color w:val="auto"/>
          <w:sz w:val="24"/>
          <w:szCs w:val="24"/>
          <w:lang w:eastAsia="bg-BG"/>
        </w:rPr>
        <w:t>Програма BG04 „Енергийна ефективност и възобновяема енергия“</w:t>
      </w:r>
    </w:p>
    <w:p w:rsidR="00F25110" w:rsidRPr="00BD7BB1" w:rsidRDefault="00F25110" w:rsidP="00F25110">
      <w:pPr>
        <w:spacing w:after="0" w:line="360" w:lineRule="auto"/>
        <w:ind w:firstLine="720"/>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Програмата се финансира по Финансовия механизъм на Европейското икономическо пространство 2009-2014 г. По програмата ще се финансират проекти в следните направления:</w:t>
      </w:r>
    </w:p>
    <w:p w:rsidR="00F25110" w:rsidRPr="00BD7BB1" w:rsidRDefault="00F25110" w:rsidP="00957FF6">
      <w:pPr>
        <w:numPr>
          <w:ilvl w:val="0"/>
          <w:numId w:val="26"/>
        </w:numPr>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производство на електрическа енергия от водна енергия на съществуващи водоснабдителни и напоителни системи;</w:t>
      </w:r>
    </w:p>
    <w:p w:rsidR="00F25110" w:rsidRPr="00BD7BB1" w:rsidRDefault="00F25110" w:rsidP="00957FF6">
      <w:pPr>
        <w:numPr>
          <w:ilvl w:val="0"/>
          <w:numId w:val="26"/>
        </w:numPr>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ЕЕ в обществени сгради и използване на енергия от ВИ за производство на топлинна енергия;</w:t>
      </w:r>
    </w:p>
    <w:p w:rsidR="00F25110" w:rsidRPr="00BD7BB1" w:rsidRDefault="00F25110" w:rsidP="00957FF6">
      <w:pPr>
        <w:numPr>
          <w:ilvl w:val="0"/>
          <w:numId w:val="26"/>
        </w:numPr>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производство на горива от биомаса;</w:t>
      </w:r>
    </w:p>
    <w:p w:rsidR="00F25110" w:rsidRPr="00BD7BB1" w:rsidRDefault="00F25110" w:rsidP="00957FF6">
      <w:pPr>
        <w:numPr>
          <w:ilvl w:val="0"/>
          <w:numId w:val="26"/>
        </w:numPr>
        <w:spacing w:after="0" w:line="360" w:lineRule="auto"/>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дейности, свързани с обучение и информираност за повишаване капацитета на държавните и общински администрации по отношение прилагането на мерки за ЕЕ</w:t>
      </w:r>
    </w:p>
    <w:p w:rsidR="00F25110" w:rsidRPr="00BD7BB1" w:rsidRDefault="00F25110" w:rsidP="00F25110">
      <w:pPr>
        <w:spacing w:after="0" w:line="360" w:lineRule="auto"/>
        <w:ind w:firstLine="720"/>
        <w:contextualSpacing/>
        <w:jc w:val="both"/>
        <w:rPr>
          <w:rFonts w:ascii="Times New Roman" w:eastAsia="Times New Roman" w:hAnsi="Times New Roman"/>
          <w:b/>
          <w:color w:val="auto"/>
          <w:sz w:val="24"/>
          <w:szCs w:val="24"/>
          <w:lang w:eastAsia="bg-BG"/>
        </w:rPr>
      </w:pPr>
      <w:r w:rsidRPr="00BD7BB1">
        <w:rPr>
          <w:rFonts w:ascii="Times New Roman" w:eastAsia="Times New Roman" w:hAnsi="Times New Roman"/>
          <w:color w:val="auto"/>
          <w:sz w:val="24"/>
          <w:szCs w:val="24"/>
          <w:lang w:val="bg-BG" w:eastAsia="bg-BG"/>
        </w:rPr>
        <w:t>По линия на тези програми в посока</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i/>
          <w:color w:val="auto"/>
          <w:sz w:val="24"/>
          <w:szCs w:val="24"/>
          <w:lang w:val="bg-BG" w:eastAsia="bg-BG"/>
        </w:rPr>
        <w:t xml:space="preserve">намаление на енергийното потребление в обществени сгради </w:t>
      </w:r>
      <w:r w:rsidRPr="00BD7BB1">
        <w:rPr>
          <w:rFonts w:ascii="Times New Roman" w:eastAsia="Times New Roman" w:hAnsi="Times New Roman"/>
          <w:color w:val="auto"/>
          <w:sz w:val="24"/>
          <w:szCs w:val="24"/>
          <w:lang w:val="bg-BG" w:eastAsia="bg-BG"/>
        </w:rPr>
        <w:t>са отпуснати средства на голяма част от общините в Югоизточен район. В една част  от общините  в  Югоизточен район са разработени  стратегии и планове за енергийна ефективност, използване на възобновяеми енергийни източници и устойчив градски транспорт, в съответствие с Европейските и национални политики за енергийно развитие. Изпълнението им ще доведе до постигане на заложените от Европейски Съюз цели 20-20-20 до 2020 г. и ще подпомогне утвърждаването на общините като устойчива енергийна общност. Увеличаването на дела на произведената енергия от възобновяеми енергийни източници ще доведе до забавяне на процеса на изчерпване на природните енергийни ресурси, до намаляване на зависимостта на общините от внос на първични енергийни източници.</w:t>
      </w:r>
    </w:p>
    <w:p w:rsidR="00F25110" w:rsidRPr="00BD7BB1" w:rsidRDefault="00F25110" w:rsidP="00F25110">
      <w:pPr>
        <w:spacing w:after="0" w:line="360" w:lineRule="auto"/>
        <w:ind w:firstLine="720"/>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По данни, подадени от общините по</w:t>
      </w:r>
      <w:r w:rsidRPr="00BD7BB1">
        <w:rPr>
          <w:rFonts w:ascii="Times New Roman" w:eastAsia="Times New Roman" w:hAnsi="Times New Roman"/>
          <w:b/>
          <w:color w:val="auto"/>
          <w:sz w:val="24"/>
          <w:szCs w:val="24"/>
          <w:lang w:val="bg-BG" w:eastAsia="bg-BG"/>
        </w:rPr>
        <w:t xml:space="preserve"> Международен фонд „Козлодуй“, </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 xml:space="preserve">Национален доверителен екофонд и  ПРСР 2007-2013 г. </w:t>
      </w:r>
      <w:r w:rsidRPr="00BD7BB1">
        <w:rPr>
          <w:rFonts w:ascii="Times New Roman" w:eastAsia="Times New Roman" w:hAnsi="Times New Roman"/>
          <w:color w:val="auto"/>
          <w:sz w:val="24"/>
          <w:szCs w:val="24"/>
          <w:lang w:val="bg-BG" w:eastAsia="bg-BG"/>
        </w:rPr>
        <w:t>на територията на района през 2014 г.</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е отпуснат  финансов ресурс за саниране на  32 бр. сгради. Разпределението на реализираните</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проекти е както следва:</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проекти за</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17 бр. сгради  в община Бургас с бенефициенти – читалища, училища, детски заведения, спортни зали, летен театър на стойност - 1 315 000 Евро.; 1бр. в община Ямбол на стойност -4 908 119лв., 5 бр. училища в община Павел баня на обща стойност 1 090 137 лв., 1бр. проект в община Казанлък на обща стойност 3 354</w:t>
      </w:r>
      <w:r w:rsidR="00A80059">
        <w:rPr>
          <w:rFonts w:ascii="Times New Roman" w:eastAsia="Times New Roman" w:hAnsi="Times New Roman"/>
          <w:color w:val="auto"/>
          <w:sz w:val="24"/>
          <w:szCs w:val="24"/>
          <w:lang w:val="bg-BG" w:eastAsia="bg-BG"/>
        </w:rPr>
        <w:t> </w:t>
      </w:r>
      <w:r w:rsidRPr="00BD7BB1">
        <w:rPr>
          <w:rFonts w:ascii="Times New Roman" w:eastAsia="Times New Roman" w:hAnsi="Times New Roman"/>
          <w:color w:val="auto"/>
          <w:sz w:val="24"/>
          <w:szCs w:val="24"/>
          <w:lang w:val="bg-BG" w:eastAsia="bg-BG"/>
        </w:rPr>
        <w:t>584</w:t>
      </w:r>
      <w:r w:rsidR="00A80059">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лв., 1бр. в община Гурково.</w:t>
      </w:r>
    </w:p>
    <w:p w:rsidR="00F25110" w:rsidRPr="00BD7BB1" w:rsidRDefault="00F25110" w:rsidP="00F25110">
      <w:pPr>
        <w:spacing w:after="0" w:line="360" w:lineRule="auto"/>
        <w:ind w:firstLine="360"/>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В процес на изпълнение са </w:t>
      </w:r>
      <w:r w:rsidRPr="00BD7BB1">
        <w:rPr>
          <w:rFonts w:ascii="Times New Roman" w:eastAsia="Times New Roman" w:hAnsi="Times New Roman"/>
          <w:bCs/>
          <w:color w:val="auto"/>
          <w:sz w:val="24"/>
          <w:szCs w:val="24"/>
          <w:lang w:val="bg-BG" w:eastAsia="bg-BG"/>
        </w:rPr>
        <w:t>1 бр. проект</w:t>
      </w:r>
      <w:r w:rsidRPr="00BD7BB1">
        <w:rPr>
          <w:rFonts w:ascii="Times New Roman" w:eastAsia="Times New Roman" w:hAnsi="Times New Roman"/>
          <w:color w:val="auto"/>
          <w:sz w:val="24"/>
          <w:szCs w:val="24"/>
          <w:lang w:val="bg-BG" w:eastAsia="bg-BG"/>
        </w:rPr>
        <w:t xml:space="preserve"> в </w:t>
      </w:r>
      <w:r w:rsidRPr="00BD7BB1">
        <w:rPr>
          <w:rFonts w:ascii="Times New Roman" w:eastAsia="Times New Roman" w:hAnsi="Times New Roman"/>
          <w:bCs/>
          <w:color w:val="auto"/>
          <w:sz w:val="24"/>
          <w:szCs w:val="24"/>
          <w:lang w:val="bg-BG" w:eastAsia="bg-BG"/>
        </w:rPr>
        <w:t>община Карнобат на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 xml:space="preserve">стойност  - </w:t>
      </w:r>
      <w:r w:rsidRPr="00BD7BB1">
        <w:rPr>
          <w:rFonts w:ascii="Times New Roman" w:eastAsia="Times New Roman" w:hAnsi="Times New Roman"/>
          <w:bCs/>
          <w:color w:val="auto"/>
          <w:sz w:val="24"/>
          <w:szCs w:val="24"/>
          <w:lang w:eastAsia="bg-BG"/>
        </w:rPr>
        <w:t>3</w:t>
      </w:r>
      <w:r w:rsidRPr="00BD7BB1">
        <w:rPr>
          <w:rFonts w:ascii="Times New Roman" w:eastAsia="Times New Roman" w:hAnsi="Times New Roman"/>
          <w:bCs/>
          <w:color w:val="auto"/>
          <w:sz w:val="24"/>
          <w:szCs w:val="24"/>
          <w:lang w:val="bg-BG" w:eastAsia="bg-BG"/>
        </w:rPr>
        <w:t>5</w:t>
      </w:r>
      <w:r w:rsidRPr="00BD7BB1">
        <w:rPr>
          <w:rFonts w:ascii="Times New Roman" w:eastAsia="Times New Roman" w:hAnsi="Times New Roman"/>
          <w:bCs/>
          <w:color w:val="auto"/>
          <w:sz w:val="24"/>
          <w:szCs w:val="24"/>
          <w:lang w:eastAsia="bg-BG"/>
        </w:rPr>
        <w:t>4 162</w:t>
      </w:r>
      <w:r w:rsidRPr="00BD7BB1">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eastAsia="bg-BG"/>
        </w:rPr>
        <w:t>99</w:t>
      </w:r>
      <w:r w:rsidRPr="00BD7BB1">
        <w:rPr>
          <w:rFonts w:ascii="Times New Roman" w:eastAsia="Times New Roman" w:hAnsi="Times New Roman"/>
          <w:bCs/>
          <w:color w:val="auto"/>
          <w:sz w:val="24"/>
          <w:szCs w:val="24"/>
          <w:lang w:val="bg-BG" w:eastAsia="bg-BG"/>
        </w:rPr>
        <w:t xml:space="preserve"> Евро с бенефициенти – МБАЛ и Медицински център, 1 бр. проект</w:t>
      </w:r>
      <w:r w:rsidRPr="00BD7BB1">
        <w:rPr>
          <w:rFonts w:ascii="Times New Roman" w:eastAsia="Times New Roman" w:hAnsi="Times New Roman"/>
          <w:color w:val="auto"/>
          <w:sz w:val="24"/>
          <w:szCs w:val="24"/>
          <w:lang w:val="bg-BG" w:eastAsia="bg-BG"/>
        </w:rPr>
        <w:t xml:space="preserve"> в </w:t>
      </w:r>
      <w:r w:rsidRPr="00BD7BB1">
        <w:rPr>
          <w:rFonts w:ascii="Times New Roman" w:eastAsia="Times New Roman" w:hAnsi="Times New Roman"/>
          <w:bCs/>
          <w:color w:val="auto"/>
          <w:sz w:val="24"/>
          <w:szCs w:val="24"/>
          <w:lang w:val="bg-BG" w:eastAsia="bg-BG"/>
        </w:rPr>
        <w:t>община Айтос</w:t>
      </w:r>
      <w:r w:rsidRPr="00BD7BB1">
        <w:rPr>
          <w:rFonts w:ascii="Times New Roman" w:eastAsia="Times New Roman" w:hAnsi="Times New Roman"/>
          <w:color w:val="auto"/>
          <w:sz w:val="24"/>
          <w:szCs w:val="24"/>
          <w:lang w:val="bg-BG" w:eastAsia="bg-BG"/>
        </w:rPr>
        <w:t xml:space="preserve"> с бенефициент - </w:t>
      </w:r>
      <w:r w:rsidRPr="00BD7BB1">
        <w:rPr>
          <w:rFonts w:ascii="Times New Roman" w:eastAsia="Times New Roman" w:hAnsi="Times New Roman"/>
          <w:bCs/>
          <w:color w:val="auto"/>
          <w:sz w:val="24"/>
          <w:szCs w:val="24"/>
          <w:lang w:val="bg-BG" w:eastAsia="bg-BG"/>
        </w:rPr>
        <w:t>болнично заведение МБАЛ на</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стойност  - 196 570 Евро, 3 бр. проекти в община Чирпан на стойност на 181 062 лв., 1бр. сграда в община Раднево на стойност - 605 661 лв., 1бр. сграда в община Стара Загора на стойност 1 310 514 Евро.</w:t>
      </w:r>
    </w:p>
    <w:p w:rsidR="00DB180A" w:rsidRDefault="00F25110" w:rsidP="00DB180A">
      <w:pPr>
        <w:spacing w:after="0" w:line="360" w:lineRule="auto"/>
        <w:ind w:firstLine="720"/>
        <w:contextualSpacing/>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Целта на тези проекти  се състои в осигуряване на  адекватна здравна, образователна и бизнес инфраструктура с високо ниво на енергийна ефективност, допринасяща за устойчиво местно развитие и социална интеграция в съответствие с изискванията на населението в градските це</w:t>
      </w:r>
      <w:r w:rsidR="00DB180A">
        <w:rPr>
          <w:rFonts w:ascii="Times New Roman" w:eastAsia="Times New Roman" w:hAnsi="Times New Roman"/>
          <w:color w:val="auto"/>
          <w:sz w:val="24"/>
          <w:szCs w:val="24"/>
          <w:lang w:val="bg-BG" w:eastAsia="bg-BG"/>
        </w:rPr>
        <w:t>нтрове и прилежащите територии.</w:t>
      </w:r>
    </w:p>
    <w:p w:rsidR="00DB180A" w:rsidRDefault="00DB180A" w:rsidP="00DB180A">
      <w:pPr>
        <w:spacing w:after="0" w:line="360" w:lineRule="auto"/>
        <w:contextualSpacing/>
        <w:jc w:val="both"/>
        <w:rPr>
          <w:rFonts w:ascii="Times New Roman" w:eastAsia="Times New Roman" w:hAnsi="Times New Roman"/>
          <w:color w:val="auto"/>
          <w:sz w:val="24"/>
          <w:szCs w:val="24"/>
          <w:lang w:val="bg-BG" w:eastAsia="bg-BG"/>
        </w:rPr>
      </w:pPr>
    </w:p>
    <w:p w:rsidR="00F25110" w:rsidRPr="00DB180A" w:rsidRDefault="00C01C3D" w:rsidP="00DB180A">
      <w:pPr>
        <w:spacing w:after="0" w:line="360" w:lineRule="auto"/>
        <w:contextualSpacing/>
        <w:jc w:val="both"/>
        <w:rPr>
          <w:rFonts w:ascii="Times New Roman" w:eastAsia="Times New Roman" w:hAnsi="Times New Roman"/>
          <w:color w:val="auto"/>
          <w:sz w:val="24"/>
          <w:szCs w:val="24"/>
          <w:lang w:val="bg-BG" w:eastAsia="bg-BG"/>
        </w:rPr>
      </w:pPr>
      <w:r w:rsidRPr="00C01C3D">
        <w:rPr>
          <w:rFonts w:ascii="Times New Roman" w:eastAsia="Times New Roman" w:hAnsi="Times New Roman"/>
          <w:b/>
          <w:i/>
          <w:color w:val="9B2D1F" w:themeColor="accent2"/>
          <w:sz w:val="24"/>
          <w:szCs w:val="24"/>
          <w:lang w:val="bg-BG" w:eastAsia="bg-BG"/>
        </w:rPr>
        <w:t xml:space="preserve">Таблица 13 Справка проекти, </w:t>
      </w:r>
      <w:r w:rsidR="00F25110" w:rsidRPr="00C01C3D">
        <w:rPr>
          <w:rFonts w:ascii="Times New Roman" w:eastAsia="Times New Roman" w:hAnsi="Times New Roman"/>
          <w:b/>
          <w:i/>
          <w:color w:val="9B2D1F" w:themeColor="accent2"/>
          <w:sz w:val="24"/>
          <w:szCs w:val="24"/>
          <w:lang w:val="bg-BG" w:eastAsia="bg-BG"/>
        </w:rPr>
        <w:t xml:space="preserve">на територията на Югоизточен район  към 31.12.2014 г.,финансирани  от различни финансови източници </w:t>
      </w:r>
      <w:r w:rsidR="00F25110" w:rsidRPr="00C01C3D">
        <w:rPr>
          <w:rFonts w:ascii="Times New Roman" w:eastAsia="Times New Roman" w:hAnsi="Times New Roman"/>
          <w:b/>
          <w:bCs/>
          <w:i/>
          <w:color w:val="9B2D1F" w:themeColor="accent2"/>
          <w:sz w:val="24"/>
          <w:szCs w:val="24"/>
          <w:lang w:val="bg-BG" w:eastAsia="bg-BG"/>
        </w:rPr>
        <w:t>в посока  намаление на енергийното потребление в обществени сгради</w:t>
      </w:r>
    </w:p>
    <w:tbl>
      <w:tblPr>
        <w:tblW w:w="10349"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
        <w:gridCol w:w="1372"/>
        <w:gridCol w:w="1559"/>
        <w:gridCol w:w="2126"/>
        <w:gridCol w:w="1418"/>
        <w:gridCol w:w="1559"/>
        <w:gridCol w:w="1843"/>
      </w:tblGrid>
      <w:tr w:rsidR="00C01C3D" w:rsidRPr="00BD7BB1" w:rsidTr="00C01C3D">
        <w:trPr>
          <w:jc w:val="center"/>
        </w:trPr>
        <w:tc>
          <w:tcPr>
            <w:tcW w:w="472" w:type="dxa"/>
            <w:shd w:val="clear" w:color="auto" w:fill="F4B29B" w:themeFill="accent1" w:themeFillTint="66"/>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w:t>
            </w:r>
          </w:p>
        </w:tc>
        <w:tc>
          <w:tcPr>
            <w:tcW w:w="1372" w:type="dxa"/>
            <w:shd w:val="clear" w:color="auto" w:fill="F4B29B" w:themeFill="accent1" w:themeFillTint="66"/>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Източник на финансиране/програма</w:t>
            </w: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w:t>
            </w:r>
          </w:p>
        </w:tc>
        <w:tc>
          <w:tcPr>
            <w:tcW w:w="1559" w:type="dxa"/>
            <w:shd w:val="clear" w:color="auto" w:fill="F4B29B" w:themeFill="accent1" w:themeFillTint="66"/>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Проект/наименование</w:t>
            </w:r>
          </w:p>
        </w:tc>
        <w:tc>
          <w:tcPr>
            <w:tcW w:w="2126" w:type="dxa"/>
            <w:shd w:val="clear" w:color="auto" w:fill="F4B29B" w:themeFill="accent1" w:themeFillTint="66"/>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Бенефициент, Партньор</w:t>
            </w:r>
          </w:p>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(наименование, местонахождение)</w:t>
            </w:r>
          </w:p>
        </w:tc>
        <w:tc>
          <w:tcPr>
            <w:tcW w:w="1418" w:type="dxa"/>
            <w:shd w:val="clear" w:color="auto" w:fill="F4B29B" w:themeFill="accent1" w:themeFillTint="66"/>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Статус (приключил, </w:t>
            </w: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в процес на изпълнение през 2014 г. )</w:t>
            </w:r>
          </w:p>
        </w:tc>
        <w:tc>
          <w:tcPr>
            <w:tcW w:w="1559" w:type="dxa"/>
            <w:shd w:val="clear" w:color="auto" w:fill="F4B29B" w:themeFill="accent1" w:themeFillTint="66"/>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Общ размер на договорените средства</w:t>
            </w:r>
          </w:p>
        </w:tc>
        <w:tc>
          <w:tcPr>
            <w:tcW w:w="1843" w:type="dxa"/>
            <w:shd w:val="clear" w:color="auto" w:fill="F4B29B" w:themeFill="accent1" w:themeFillTint="66"/>
          </w:tcPr>
          <w:p w:rsidR="00F25110" w:rsidRPr="00BD7BB1" w:rsidRDefault="00F25110" w:rsidP="00F25110">
            <w:pPr>
              <w:spacing w:before="100" w:beforeAutospacing="1" w:after="100" w:afterAutospacing="1" w:line="240" w:lineRule="auto"/>
              <w:ind w:left="176"/>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Изплатени средства</w:t>
            </w:r>
          </w:p>
        </w:tc>
      </w:tr>
      <w:tr w:rsidR="00F25110" w:rsidRPr="00BD7BB1" w:rsidTr="006614F6">
        <w:trPr>
          <w:jc w:val="center"/>
        </w:trPr>
        <w:tc>
          <w:tcPr>
            <w:tcW w:w="472" w:type="dxa"/>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1372" w:type="dxa"/>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Община</w:t>
            </w:r>
            <w:r w:rsidRPr="00BD7BB1">
              <w:rPr>
                <w:rFonts w:ascii="Times New Roman" w:eastAsia="Times New Roman" w:hAnsi="Times New Roman"/>
                <w:b/>
                <w:color w:val="auto"/>
                <w:sz w:val="20"/>
                <w:lang w:eastAsia="bg-BG"/>
              </w:rPr>
              <w:t xml:space="preserve"> </w:t>
            </w:r>
            <w:r w:rsidRPr="00BD7BB1">
              <w:rPr>
                <w:rFonts w:ascii="Times New Roman" w:eastAsia="Times New Roman" w:hAnsi="Times New Roman"/>
                <w:b/>
                <w:color w:val="auto"/>
                <w:sz w:val="20"/>
                <w:lang w:val="bg-BG" w:eastAsia="bg-BG"/>
              </w:rPr>
              <w:t>Бургас</w:t>
            </w:r>
          </w:p>
        </w:tc>
        <w:tc>
          <w:tcPr>
            <w:tcW w:w="1559" w:type="dxa"/>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2126" w:type="dxa"/>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1418" w:type="dxa"/>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1559" w:type="dxa"/>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1843" w:type="dxa"/>
            <w:shd w:val="clear" w:color="auto" w:fill="auto"/>
          </w:tcPr>
          <w:p w:rsidR="00F25110" w:rsidRPr="00BD7BB1" w:rsidRDefault="00F25110" w:rsidP="00F25110">
            <w:pPr>
              <w:spacing w:before="100" w:beforeAutospacing="1" w:after="100" w:afterAutospacing="1" w:line="360" w:lineRule="auto"/>
              <w:ind w:left="176"/>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МФ „Козлодуй“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„Въвеждане на мерки за енергийна ефективност в обществени сгради на територията на община Бургас“</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ОУ “Найден Геров”, СОУ “Петко Росен”, ПГТ “Проф. Д-р Асен Златаров”, СОУ “Добри Чинтулов”, ГЧЕ “Васил Левски”, OУ “П.К. Яворов”, Летен театър „Приморски Парк“,ОУ “Иван Вазов”,ДМСГД “Вяра, Надежда, Любов”,СОУ “Константин Петканов”,ОДЗ № 8“Брезичка”,Читалище „Съгласие – 1905”,СОУ “Димчо Дебелянов”,Читалище „Пробуда“- ул. „Дрин“ 14, Читалище „Пробуда“- блок 56 „Братя „Миладинови“, Спортна зала “Бойчо Брънзов”,Спортна зала “Черноморец”-Ветрен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Приключил през 2014 г.</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1 315 000 </w:t>
            </w:r>
            <w:r w:rsidR="00796813" w:rsidRPr="00796813">
              <w:rPr>
                <w:rFonts w:ascii="Times New Roman" w:eastAsia="Times New Roman" w:hAnsi="Times New Roman"/>
                <w:bCs/>
                <w:color w:val="auto"/>
                <w:sz w:val="20"/>
                <w:lang w:val="ru-RU"/>
              </w:rPr>
              <w:t>Евро</w:t>
            </w:r>
            <w:r w:rsidRPr="00796813">
              <w:rPr>
                <w:rFonts w:ascii="Times New Roman" w:eastAsia="Times New Roman" w:hAnsi="Times New Roman"/>
                <w:color w:val="auto"/>
                <w:sz w:val="20"/>
                <w:lang w:val="bg-BG" w:eastAsia="bg-BG"/>
              </w:rPr>
              <w:t xml:space="preserve"> </w:t>
            </w:r>
            <w:r w:rsidRPr="00BD7BB1">
              <w:rPr>
                <w:rFonts w:ascii="Times New Roman" w:eastAsia="Times New Roman" w:hAnsi="Times New Roman"/>
                <w:color w:val="auto"/>
                <w:sz w:val="20"/>
                <w:lang w:val="bg-BG" w:eastAsia="bg-BG"/>
              </w:rPr>
              <w:t>безвъзмездна помощ и 50% съфинансиране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ind w:left="176"/>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4 717 445,60 лв.</w:t>
            </w: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360" w:lineRule="auto"/>
              <w:jc w:val="both"/>
              <w:rPr>
                <w:rFonts w:ascii="Times New Roman" w:eastAsia="Times New Roman" w:hAnsi="Times New Roman"/>
                <w:b/>
                <w:bCs/>
                <w:color w:val="auto"/>
                <w:sz w:val="20"/>
                <w:lang w:val="bg-BG" w:eastAsia="bg-BG"/>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b/>
                <w:bCs/>
                <w:color w:val="auto"/>
                <w:sz w:val="20"/>
                <w:lang w:val="bg-BG" w:eastAsia="bg-BG"/>
              </w:rPr>
            </w:pPr>
            <w:r w:rsidRPr="00BD7BB1">
              <w:rPr>
                <w:rFonts w:ascii="Times New Roman" w:eastAsia="Times New Roman" w:hAnsi="Times New Roman"/>
                <w:b/>
                <w:bCs/>
                <w:color w:val="auto"/>
                <w:sz w:val="20"/>
                <w:lang w:val="bg-BG" w:eastAsia="bg-BG"/>
              </w:rPr>
              <w:t>Община Карнобат</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b/>
                <w:color w:val="auto"/>
                <w:sz w:val="20"/>
                <w:lang w:val="bg-BG" w:eastAsia="bg-BG"/>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ind w:left="176"/>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МФ Козлодуй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Въвеждане на мерки за енергийна ефективност в обществени сгради на територията на община Бургас</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Община Карнобат</w:t>
            </w: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„МБАЛ и Медицински център –I, гр. Карнобат”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В процес на изпълнение през 2014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354162,99 Евро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354 162,99 Евро</w:t>
            </w: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Община Айтос</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МФ Козлодуй</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Въвеждане на мерки за енергийна ефективност в обществени сгради на територията на община Бургас“</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МБАЛ ЕООД, гр.Айтос</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В процес на изпълнение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196 570 Евро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b/>
                <w:color w:val="auto"/>
                <w:sz w:val="20"/>
                <w:lang w:val="bg-BG" w:eastAsia="bg-BG"/>
              </w:rPr>
              <w:t>Община Ямбол</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Национален доверителен екофонд</w:t>
            </w: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Национална схема за зелени инвестиции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Проект № НСЗИ 009/23.07.2012</w:t>
            </w: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„Прилагане на енергоефективни мерки в образователната мрежа на община Ямбол”</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Община Ямбол, </w:t>
            </w: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град Ямбол</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приключил</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4 908 119 лева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3 370 668 лв</w:t>
            </w: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b/>
                <w:color w:val="auto"/>
                <w:sz w:val="20"/>
                <w:lang w:val="bg-BG" w:eastAsia="bg-BG"/>
              </w:rPr>
              <w:t>Община Павел баня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Национален доверителен екофонд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„Енергийно ефективна образователна инфраструктура в община Павел баня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СОУ”Хр.Ботев” -Павел баня;ПГ РХ; ОУ-с.Габарево; ОУГорно Сахране; ОУ-Скобелево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приключил</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1 090 137 лв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700 857лв.</w:t>
            </w: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b/>
                <w:color w:val="auto"/>
                <w:sz w:val="20"/>
                <w:lang w:val="bg-BG" w:eastAsia="bg-BG"/>
              </w:rPr>
              <w:t>Община Ст.Загора</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Международен Фонд Козлодуй (МФК), МИЕТ, мярка 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Енергийно-ефективна реконструкция на общинско улично осветление на територията на община Стара Загора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Община Стара Загора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в процес на изпълнение през 2014 г.</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1 310 514 Евро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b/>
                <w:color w:val="auto"/>
                <w:sz w:val="20"/>
                <w:lang w:val="bg-BG" w:eastAsia="bg-BG"/>
              </w:rPr>
              <w:t>Община Казанлък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Национален доверителен екофонд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„Внедряване на мерки за енергийна ефективност в МБАЛ – Казанлък“</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Община Казанлък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приключил</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3 354 584,39лв. /503 187,66 от Община Казанлък/</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2 851 396,73 лв.</w:t>
            </w: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b/>
                <w:color w:val="auto"/>
                <w:sz w:val="20"/>
                <w:lang w:val="bg-BG" w:eastAsia="bg-BG"/>
              </w:rPr>
              <w:t>Община Раднево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8</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МИЕТ-МФ „Козлодуй”, Мярка 3 - Операция 1 -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„Осъществяване на мерки за енергийна ефективност на сграда на Общинска администрация град Раднево“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Община Раднево, </w:t>
            </w: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гр. Раднево</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в процес на изпълнение.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605 661,66 лв. с ДДС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b/>
                <w:color w:val="auto"/>
                <w:sz w:val="20"/>
                <w:lang w:val="bg-BG" w:eastAsia="bg-BG"/>
              </w:rPr>
              <w:t>Община Чирпан</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9</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ПРСР</w:t>
            </w:r>
          </w:p>
          <w:p w:rsidR="00F25110" w:rsidRPr="00BD7BB1" w:rsidRDefault="00F25110" w:rsidP="00F25110">
            <w:pPr>
              <w:spacing w:before="100" w:beforeAutospacing="1" w:after="100" w:afterAutospacing="1" w:line="240" w:lineRule="auto"/>
              <w:jc w:val="both"/>
              <w:rPr>
                <w:rFonts w:ascii="Times New Roman" w:eastAsia="Times New Roman" w:hAnsi="Times New Roman"/>
                <w:b/>
                <w:color w:val="auto"/>
                <w:sz w:val="20"/>
                <w:lang w:val="bg-BG" w:eastAsia="bg-BG"/>
              </w:rPr>
            </w:pPr>
            <w:r w:rsidRPr="00BD7BB1">
              <w:rPr>
                <w:rFonts w:ascii="Times New Roman" w:eastAsia="Times New Roman" w:hAnsi="Times New Roman"/>
                <w:color w:val="auto"/>
                <w:sz w:val="20"/>
                <w:lang w:val="bg-BG" w:eastAsia="bg-BG"/>
              </w:rPr>
              <w:t>2007-2013 г.</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Обект „Прилагане на енергийно ефективни мерки и обновяване на ДСП-Чирпан“</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b/>
                <w:color w:val="auto"/>
                <w:sz w:val="20"/>
                <w:lang w:val="bg-BG" w:eastAsia="bg-BG"/>
              </w:rPr>
            </w:pPr>
            <w:r w:rsidRPr="00BD7BB1">
              <w:rPr>
                <w:rFonts w:ascii="Times New Roman" w:eastAsia="Times New Roman" w:hAnsi="Times New Roman"/>
                <w:color w:val="auto"/>
                <w:sz w:val="20"/>
                <w:lang w:val="bg-BG" w:eastAsia="bg-BG"/>
              </w:rPr>
              <w:t>Община Чирпан, град Чирпан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В процес на изпълнение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82 309.37 лв.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33 000,00</w:t>
            </w: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ПРСР</w:t>
            </w: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2007-2013 г.</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“Подобряване енергийната ефективност на сградата на Общинска администрация при Община Чирпан”</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b/>
                <w:color w:val="auto"/>
                <w:sz w:val="20"/>
                <w:lang w:val="bg-BG" w:eastAsia="bg-BG"/>
              </w:rPr>
            </w:pPr>
            <w:r w:rsidRPr="00BD7BB1">
              <w:rPr>
                <w:rFonts w:ascii="Times New Roman" w:eastAsia="Times New Roman" w:hAnsi="Times New Roman"/>
                <w:color w:val="auto"/>
                <w:sz w:val="20"/>
                <w:lang w:val="bg-BG" w:eastAsia="bg-BG"/>
              </w:rPr>
              <w:t>Община Чирпан, град Чирпан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В процес на изпълнение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90 982, 82 лв.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ПРСР     2007-2013 г.</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„Прилагане на енергийно ефективни мерки  по Общинска сграда  за социални, културни дейности и отдих „Ягъч”</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Община Чирпан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В процес на изпълнение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87 770, 08 лв.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Община Гурково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r>
      <w:tr w:rsidR="00F25110" w:rsidRPr="00BD7BB1" w:rsidTr="006614F6">
        <w:trPr>
          <w:jc w:val="center"/>
        </w:trPr>
        <w:tc>
          <w:tcPr>
            <w:tcW w:w="472" w:type="dxa"/>
            <w:tcBorders>
              <w:top w:val="single" w:sz="4" w:space="0" w:color="auto"/>
              <w:left w:val="single" w:sz="4" w:space="0" w:color="auto"/>
              <w:bottom w:val="single" w:sz="4" w:space="0" w:color="auto"/>
              <w:right w:val="single" w:sz="4" w:space="0" w:color="auto"/>
            </w:tcBorders>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12</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МИЕТ - МФ „Козлодуй“</w:t>
            </w: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„Подобряване на енергийната ефективност в обществени сгради”- V- транш- Лот 4, подобект 26-ОДЗ „Латинка” гр. Гурково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МИЕТ – получател, Община Гурково – трето ползващо лице</w:t>
            </w:r>
          </w:p>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приключил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25110" w:rsidRPr="00BD7BB1" w:rsidRDefault="00F25110" w:rsidP="00F25110">
            <w:pPr>
              <w:spacing w:before="100" w:beforeAutospacing="1" w:after="100" w:afterAutospacing="1" w:line="36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w:t>
            </w:r>
          </w:p>
        </w:tc>
      </w:tr>
    </w:tbl>
    <w:p w:rsidR="00FE029D" w:rsidRDefault="00FE029D" w:rsidP="00FE029D">
      <w:pPr>
        <w:spacing w:after="0" w:line="360" w:lineRule="auto"/>
        <w:jc w:val="both"/>
        <w:rPr>
          <w:rFonts w:ascii="Times New Roman" w:eastAsia="Times New Roman" w:hAnsi="Times New Roman"/>
          <w:color w:val="auto"/>
          <w:sz w:val="20"/>
          <w:lang w:val="bg-BG" w:eastAsia="bg-BG"/>
        </w:rPr>
      </w:pPr>
    </w:p>
    <w:p w:rsidR="00F25110" w:rsidRPr="00BD7BB1" w:rsidRDefault="00F25110" w:rsidP="00FE029D">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eastAsia="bg-BG"/>
        </w:rPr>
        <w:t>Оперативна програма „Развитие на конкурентоспособността“осигурява средства за насърчаване изпълнението на проекти, пряко свързани както с намаляване на енергоемкостта и ресурсоемкостта на големи предприятия, така и с прилагането на енергоспестяващи технологии и въвеждането на ВИ, в микро, малки и средни предприятия</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eastAsia="bg-BG"/>
        </w:rPr>
        <w:t xml:space="preserve"> Процедура</w:t>
      </w:r>
      <w:r w:rsidRPr="00BD7BB1">
        <w:rPr>
          <w:rFonts w:ascii="Times New Roman" w:eastAsia="Times New Roman" w:hAnsi="Times New Roman"/>
          <w:color w:val="auto"/>
          <w:sz w:val="24"/>
          <w:szCs w:val="24"/>
          <w:lang w:val="bg-BG" w:eastAsia="bg-BG"/>
        </w:rPr>
        <w:t>та</w:t>
      </w:r>
      <w:r w:rsidRPr="00BD7BB1">
        <w:rPr>
          <w:rFonts w:ascii="Times New Roman" w:eastAsia="Times New Roman" w:hAnsi="Times New Roman"/>
          <w:color w:val="auto"/>
          <w:sz w:val="24"/>
          <w:szCs w:val="24"/>
          <w:lang w:eastAsia="bg-BG"/>
        </w:rPr>
        <w:t xml:space="preserve"> за кандидатстване </w:t>
      </w:r>
      <w:r w:rsidRPr="00BD7BB1">
        <w:rPr>
          <w:rFonts w:ascii="Times New Roman" w:eastAsia="Times New Roman" w:hAnsi="Times New Roman"/>
          <w:color w:val="auto"/>
          <w:sz w:val="24"/>
          <w:szCs w:val="24"/>
          <w:lang w:val="bg-BG" w:eastAsia="bg-BG"/>
        </w:rPr>
        <w:t xml:space="preserve">е </w:t>
      </w:r>
      <w:r w:rsidRPr="00BD7BB1">
        <w:rPr>
          <w:rFonts w:ascii="Times New Roman" w:eastAsia="Times New Roman" w:hAnsi="Times New Roman"/>
          <w:color w:val="auto"/>
          <w:sz w:val="24"/>
          <w:szCs w:val="24"/>
          <w:lang w:eastAsia="bg-BG"/>
        </w:rPr>
        <w:t xml:space="preserve">BG161PO003-2.3.02 </w:t>
      </w:r>
      <w:r w:rsidRPr="00BD7BB1">
        <w:rPr>
          <w:rFonts w:ascii="Times New Roman" w:eastAsia="Times New Roman" w:hAnsi="Times New Roman"/>
          <w:i/>
          <w:color w:val="auto"/>
          <w:sz w:val="24"/>
          <w:szCs w:val="24"/>
          <w:lang w:eastAsia="bg-BG"/>
        </w:rPr>
        <w:t>„Енергийна ефективност и зелена икономика”</w:t>
      </w:r>
      <w:r w:rsidRPr="00BD7BB1">
        <w:rPr>
          <w:rFonts w:ascii="Times New Roman" w:eastAsia="Times New Roman" w:hAnsi="Times New Roman"/>
          <w:color w:val="auto"/>
          <w:sz w:val="24"/>
          <w:szCs w:val="24"/>
          <w:lang w:eastAsia="bg-BG"/>
        </w:rPr>
        <w:t xml:space="preserve">, по Приоритетна ос 2 </w:t>
      </w:r>
      <w:r w:rsidRPr="00BD7BB1">
        <w:rPr>
          <w:rFonts w:ascii="Times New Roman" w:eastAsia="Times New Roman" w:hAnsi="Times New Roman"/>
          <w:i/>
          <w:color w:val="auto"/>
          <w:sz w:val="24"/>
          <w:szCs w:val="24"/>
          <w:lang w:eastAsia="bg-BG"/>
        </w:rPr>
        <w:t>„Повишаване ефективността на предприятията и развитие на благоприятна бизнес среда“</w:t>
      </w:r>
      <w:r w:rsidRPr="00BD7BB1">
        <w:rPr>
          <w:rFonts w:ascii="Times New Roman" w:eastAsia="Times New Roman" w:hAnsi="Times New Roman"/>
          <w:color w:val="auto"/>
          <w:sz w:val="24"/>
          <w:szCs w:val="24"/>
          <w:lang w:eastAsia="bg-BG"/>
        </w:rPr>
        <w:t xml:space="preserve"> за МСП.</w:t>
      </w:r>
    </w:p>
    <w:p w:rsidR="00F25110" w:rsidRDefault="00F25110" w:rsidP="00FE029D">
      <w:pPr>
        <w:spacing w:before="100" w:beforeAutospacing="1" w:after="100" w:afterAutospacing="1" w:line="360" w:lineRule="auto"/>
        <w:ind w:firstLine="720"/>
        <w:jc w:val="both"/>
        <w:rPr>
          <w:rFonts w:ascii="Times New Roman" w:eastAsia="Times New Roman" w:hAnsi="Times New Roman"/>
          <w:iCs/>
          <w:color w:val="auto"/>
          <w:sz w:val="24"/>
          <w:szCs w:val="24"/>
          <w:lang w:val="bg-BG" w:eastAsia="bg-BG"/>
        </w:rPr>
      </w:pPr>
      <w:r w:rsidRPr="00BD7BB1">
        <w:rPr>
          <w:rFonts w:ascii="Times New Roman" w:eastAsia="Times New Roman" w:hAnsi="Times New Roman"/>
          <w:iCs/>
          <w:color w:val="auto"/>
          <w:sz w:val="24"/>
          <w:szCs w:val="24"/>
          <w:lang w:val="bg-BG" w:eastAsia="bg-BG"/>
        </w:rPr>
        <w:t xml:space="preserve">По данни на УО на ОПРКБИ 2007-2013 по Приоритетна ос 2 - </w:t>
      </w:r>
      <w:r w:rsidRPr="00BD7BB1">
        <w:rPr>
          <w:rFonts w:ascii="Times New Roman" w:eastAsia="Times New Roman" w:hAnsi="Times New Roman"/>
          <w:i/>
          <w:iCs/>
          <w:color w:val="auto"/>
          <w:sz w:val="24"/>
          <w:szCs w:val="24"/>
          <w:lang w:val="bg-BG" w:eastAsia="bg-BG"/>
        </w:rPr>
        <w:t xml:space="preserve">Повишаване ефективността на предприятията и развитие на благоприятна бизнес среда, процедура Енергийна ефективност и зелена икономика </w:t>
      </w:r>
      <w:r w:rsidRPr="00BD7BB1">
        <w:rPr>
          <w:rFonts w:ascii="Times New Roman" w:eastAsia="Times New Roman" w:hAnsi="Times New Roman"/>
          <w:iCs/>
          <w:color w:val="auto"/>
          <w:sz w:val="24"/>
          <w:szCs w:val="24"/>
          <w:lang w:val="bg-BG" w:eastAsia="bg-BG"/>
        </w:rPr>
        <w:t xml:space="preserve">в ЮИР за целия период на програмата са сключени </w:t>
      </w:r>
      <w:r w:rsidRPr="00BD7BB1">
        <w:rPr>
          <w:rFonts w:ascii="Times New Roman" w:eastAsia="Times New Roman" w:hAnsi="Times New Roman"/>
          <w:b/>
          <w:iCs/>
          <w:color w:val="auto"/>
          <w:sz w:val="24"/>
          <w:szCs w:val="24"/>
          <w:lang w:val="bg-BG" w:eastAsia="bg-BG"/>
        </w:rPr>
        <w:t>66 бр</w:t>
      </w:r>
      <w:r w:rsidRPr="00BD7BB1">
        <w:rPr>
          <w:rFonts w:ascii="Times New Roman" w:eastAsia="Times New Roman" w:hAnsi="Times New Roman"/>
          <w:iCs/>
          <w:color w:val="auto"/>
          <w:sz w:val="24"/>
          <w:szCs w:val="24"/>
          <w:lang w:val="bg-BG" w:eastAsia="bg-BG"/>
        </w:rPr>
        <w:t>. договори</w:t>
      </w:r>
      <w:r w:rsidRPr="00BD7BB1">
        <w:rPr>
          <w:rFonts w:ascii="Times New Roman" w:eastAsia="Times New Roman" w:hAnsi="Times New Roman"/>
          <w:i/>
          <w:iCs/>
          <w:color w:val="auto"/>
          <w:sz w:val="24"/>
          <w:szCs w:val="24"/>
          <w:lang w:val="bg-BG" w:eastAsia="bg-BG"/>
        </w:rPr>
        <w:t xml:space="preserve"> </w:t>
      </w:r>
      <w:r w:rsidRPr="00BD7BB1">
        <w:rPr>
          <w:rFonts w:ascii="Times New Roman" w:eastAsia="Times New Roman" w:hAnsi="Times New Roman"/>
          <w:iCs/>
          <w:color w:val="auto"/>
          <w:sz w:val="24"/>
          <w:szCs w:val="24"/>
          <w:lang w:val="bg-BG" w:eastAsia="bg-BG"/>
        </w:rPr>
        <w:t xml:space="preserve">на договорена безвъзмездна финансова помощ - </w:t>
      </w:r>
      <w:r w:rsidRPr="00BD7BB1">
        <w:rPr>
          <w:rFonts w:ascii="Times New Roman" w:eastAsia="Times New Roman" w:hAnsi="Times New Roman"/>
          <w:b/>
          <w:iCs/>
          <w:color w:val="auto"/>
          <w:sz w:val="24"/>
          <w:szCs w:val="24"/>
          <w:lang w:val="bg-BG" w:eastAsia="bg-BG"/>
        </w:rPr>
        <w:t>49,565 млн.лв</w:t>
      </w:r>
      <w:r w:rsidRPr="00BD7BB1">
        <w:rPr>
          <w:rFonts w:ascii="Times New Roman" w:eastAsia="Times New Roman" w:hAnsi="Times New Roman"/>
          <w:iCs/>
          <w:color w:val="auto"/>
          <w:sz w:val="24"/>
          <w:szCs w:val="24"/>
          <w:lang w:val="bg-BG" w:eastAsia="bg-BG"/>
        </w:rPr>
        <w:t xml:space="preserve">, изплатени - 5,344 млн.лв. Разпределението в Югоизточен район по области е следното:  24 бр.  в област Стара Загора, 29 бр. в област Бургас, 7 бр.в област Сливен, 6 бр. в област Ямбол,  от които към 31.12. 2014г. - 6 бр. са приключени и 58 бр. са в процес на изпълнение.  </w:t>
      </w:r>
    </w:p>
    <w:p w:rsidR="00684EE0" w:rsidRDefault="00684EE0" w:rsidP="00FE029D">
      <w:pPr>
        <w:spacing w:before="100" w:beforeAutospacing="1" w:after="100" w:afterAutospacing="1" w:line="360" w:lineRule="auto"/>
        <w:ind w:firstLine="720"/>
        <w:jc w:val="both"/>
        <w:rPr>
          <w:rFonts w:ascii="Times New Roman" w:eastAsia="Times New Roman" w:hAnsi="Times New Roman"/>
          <w:iCs/>
          <w:color w:val="auto"/>
          <w:sz w:val="24"/>
          <w:szCs w:val="24"/>
          <w:lang w:val="bg-BG" w:eastAsia="bg-BG"/>
        </w:rPr>
      </w:pPr>
    </w:p>
    <w:p w:rsidR="00684EE0" w:rsidRDefault="00684EE0" w:rsidP="00FE029D">
      <w:pPr>
        <w:spacing w:before="100" w:beforeAutospacing="1" w:after="100" w:afterAutospacing="1" w:line="360" w:lineRule="auto"/>
        <w:ind w:firstLine="720"/>
        <w:jc w:val="both"/>
        <w:rPr>
          <w:rFonts w:ascii="Times New Roman" w:eastAsia="Times New Roman" w:hAnsi="Times New Roman"/>
          <w:iCs/>
          <w:color w:val="auto"/>
          <w:sz w:val="24"/>
          <w:szCs w:val="24"/>
          <w:lang w:val="bg-BG" w:eastAsia="bg-BG"/>
        </w:rPr>
      </w:pPr>
    </w:p>
    <w:p w:rsidR="00FE029D" w:rsidRPr="00BD7BB1" w:rsidRDefault="00FE029D" w:rsidP="00FE029D">
      <w:pPr>
        <w:spacing w:before="100" w:beforeAutospacing="1" w:after="100" w:afterAutospacing="1" w:line="360" w:lineRule="auto"/>
        <w:ind w:firstLine="720"/>
        <w:jc w:val="both"/>
        <w:rPr>
          <w:rFonts w:ascii="Times New Roman" w:eastAsia="Times New Roman" w:hAnsi="Times New Roman"/>
          <w:iCs/>
          <w:color w:val="auto"/>
          <w:sz w:val="24"/>
          <w:szCs w:val="24"/>
          <w:lang w:val="bg-BG" w:eastAsia="bg-BG"/>
        </w:rPr>
      </w:pPr>
    </w:p>
    <w:p w:rsidR="00F25110" w:rsidRPr="00FE029D" w:rsidRDefault="00F25110" w:rsidP="00F25110">
      <w:pPr>
        <w:spacing w:before="100" w:beforeAutospacing="1" w:after="100" w:afterAutospacing="1" w:line="360" w:lineRule="auto"/>
        <w:jc w:val="both"/>
        <w:rPr>
          <w:rFonts w:ascii="Times New Roman" w:eastAsia="Times New Roman" w:hAnsi="Times New Roman"/>
          <w:b/>
          <w:bCs/>
          <w:color w:val="9B2D1F" w:themeColor="accent2"/>
          <w:sz w:val="24"/>
          <w:szCs w:val="24"/>
          <w:lang w:val="bg-BG" w:eastAsia="bg-BG"/>
        </w:rPr>
      </w:pPr>
      <w:r w:rsidRPr="00FE029D">
        <w:rPr>
          <w:rFonts w:ascii="Times New Roman" w:eastAsia="Times New Roman" w:hAnsi="Times New Roman"/>
          <w:b/>
          <w:color w:val="9B2D1F" w:themeColor="accent2"/>
          <w:sz w:val="24"/>
          <w:szCs w:val="24"/>
          <w:lang w:val="bg-BG" w:eastAsia="bg-BG"/>
        </w:rPr>
        <w:t xml:space="preserve">Приоритет </w:t>
      </w:r>
      <w:r w:rsidRPr="00FE029D">
        <w:rPr>
          <w:rFonts w:ascii="Times New Roman" w:eastAsia="Times New Roman" w:hAnsi="Times New Roman"/>
          <w:b/>
          <w:bCs/>
          <w:color w:val="9B2D1F" w:themeColor="accent2"/>
          <w:sz w:val="24"/>
          <w:szCs w:val="24"/>
          <w:lang w:val="bg-BG" w:eastAsia="bg-BG"/>
        </w:rPr>
        <w:t>2  Подобряване свързаността на Югоизточен район в национален и международен план.</w:t>
      </w:r>
    </w:p>
    <w:p w:rsidR="00F25110" w:rsidRPr="00BD7BB1" w:rsidRDefault="00F25110" w:rsidP="007A75A4">
      <w:pPr>
        <w:autoSpaceDE w:val="0"/>
        <w:autoSpaceDN w:val="0"/>
        <w:adjustRightInd w:val="0"/>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bCs/>
          <w:i/>
          <w:color w:val="auto"/>
          <w:sz w:val="24"/>
          <w:szCs w:val="24"/>
          <w:lang w:val="bg-BG" w:eastAsia="bg-BG"/>
        </w:rPr>
        <w:t>Рехабилитирана/реконструирана / ремонт на  пътна мрежа, в км</w:t>
      </w:r>
      <w:r w:rsidRPr="00BD7BB1">
        <w:rPr>
          <w:rFonts w:ascii="Times New Roman" w:eastAsia="Times New Roman" w:hAnsi="Times New Roman"/>
          <w:color w:val="auto"/>
          <w:sz w:val="24"/>
          <w:szCs w:val="24"/>
          <w:lang w:val="bg-BG" w:eastAsia="bg-BG"/>
        </w:rPr>
        <w:t xml:space="preserve">  за Югоизточен район за 2014 г. по данни на общините и ОПУ на четирите области в района е  общо </w:t>
      </w:r>
      <w:r w:rsidRPr="00BD7BB1">
        <w:rPr>
          <w:rFonts w:ascii="Times New Roman" w:eastAsia="Times New Roman" w:hAnsi="Times New Roman"/>
          <w:b/>
          <w:color w:val="auto"/>
          <w:sz w:val="24"/>
          <w:szCs w:val="24"/>
          <w:lang w:val="bg-BG" w:eastAsia="bg-BG"/>
        </w:rPr>
        <w:t>277,48 км.</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i/>
          <w:color w:val="auto"/>
          <w:sz w:val="24"/>
          <w:szCs w:val="24"/>
          <w:lang w:val="bg-BG" w:eastAsia="bg-BG"/>
        </w:rPr>
        <w:t>Населението  в района с подобрен транспортен достъп</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i/>
          <w:color w:val="auto"/>
          <w:sz w:val="24"/>
          <w:szCs w:val="24"/>
          <w:lang w:val="bg-BG" w:eastAsia="bg-BG"/>
        </w:rPr>
        <w:t>е</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 xml:space="preserve">8,61%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b/>
          <w:color w:val="auto"/>
          <w:sz w:val="24"/>
          <w:szCs w:val="24"/>
          <w:lang w:val="bg-BG" w:eastAsia="bg-BG"/>
        </w:rPr>
        <w:t>11</w:t>
      </w:r>
      <w:r w:rsidRPr="00BD7BB1">
        <w:rPr>
          <w:rFonts w:ascii="Times New Roman" w:eastAsia="Times New Roman" w:hAnsi="Times New Roman"/>
          <w:b/>
          <w:color w:val="auto"/>
          <w:sz w:val="24"/>
          <w:szCs w:val="24"/>
          <w:lang w:eastAsia="bg-BG"/>
        </w:rPr>
        <w:t>8</w:t>
      </w:r>
      <w:r w:rsidRPr="00BD7BB1">
        <w:rPr>
          <w:rFonts w:ascii="Times New Roman" w:eastAsia="Times New Roman" w:hAnsi="Times New Roman"/>
          <w:b/>
          <w:color w:val="auto"/>
          <w:sz w:val="24"/>
          <w:szCs w:val="24"/>
          <w:lang w:val="bg-BG" w:eastAsia="bg-BG"/>
        </w:rPr>
        <w:t>,2</w:t>
      </w:r>
      <w:r w:rsidRPr="00BD7BB1">
        <w:rPr>
          <w:rFonts w:ascii="Times New Roman" w:eastAsia="Times New Roman" w:hAnsi="Times New Roman"/>
          <w:b/>
          <w:color w:val="auto"/>
          <w:sz w:val="24"/>
          <w:szCs w:val="24"/>
          <w:lang w:eastAsia="bg-BG"/>
        </w:rPr>
        <w:t>7</w:t>
      </w:r>
      <w:r w:rsidRPr="00BD7BB1">
        <w:rPr>
          <w:rFonts w:ascii="Times New Roman" w:eastAsia="Times New Roman" w:hAnsi="Times New Roman"/>
          <w:b/>
          <w:color w:val="auto"/>
          <w:sz w:val="24"/>
          <w:szCs w:val="24"/>
          <w:lang w:val="bg-BG" w:eastAsia="bg-BG"/>
        </w:rPr>
        <w:t xml:space="preserve"> км. /</w:t>
      </w:r>
      <w:r w:rsidRPr="00BD7BB1">
        <w:rPr>
          <w:rFonts w:ascii="Times New Roman" w:eastAsia="Times New Roman" w:hAnsi="Times New Roman"/>
          <w:b/>
          <w:color w:val="auto"/>
          <w:sz w:val="24"/>
          <w:szCs w:val="24"/>
          <w:lang w:eastAsia="bg-BG"/>
        </w:rPr>
        <w:t xml:space="preserve">I-II </w:t>
      </w:r>
      <w:r w:rsidRPr="00BD7BB1">
        <w:rPr>
          <w:rFonts w:ascii="Times New Roman" w:eastAsia="Times New Roman" w:hAnsi="Times New Roman"/>
          <w:b/>
          <w:color w:val="auto"/>
          <w:sz w:val="24"/>
          <w:szCs w:val="24"/>
          <w:lang w:val="bg-BG" w:eastAsia="bg-BG"/>
        </w:rPr>
        <w:t xml:space="preserve">и </w:t>
      </w:r>
      <w:r w:rsidRPr="00BD7BB1">
        <w:rPr>
          <w:rFonts w:ascii="Times New Roman" w:eastAsia="Times New Roman" w:hAnsi="Times New Roman"/>
          <w:b/>
          <w:color w:val="auto"/>
          <w:sz w:val="24"/>
          <w:szCs w:val="24"/>
          <w:lang w:eastAsia="bg-BG"/>
        </w:rPr>
        <w:t>III</w:t>
      </w:r>
      <w:r w:rsidRPr="00BD7BB1">
        <w:rPr>
          <w:rFonts w:ascii="Times New Roman" w:eastAsia="Times New Roman" w:hAnsi="Times New Roman"/>
          <w:b/>
          <w:color w:val="auto"/>
          <w:sz w:val="24"/>
          <w:szCs w:val="24"/>
          <w:lang w:val="bg-BG" w:eastAsia="bg-BG"/>
        </w:rPr>
        <w:t>клас /+165,21км.</w:t>
      </w:r>
      <w:r w:rsidRPr="00BD7BB1">
        <w:rPr>
          <w:rFonts w:ascii="Times New Roman" w:eastAsia="Times New Roman" w:hAnsi="Times New Roman"/>
          <w:b/>
          <w:color w:val="auto"/>
          <w:sz w:val="24"/>
          <w:szCs w:val="24"/>
          <w:lang w:eastAsia="bg-BG"/>
        </w:rPr>
        <w:t xml:space="preserve"> IV</w:t>
      </w:r>
      <w:r w:rsidRPr="00BD7BB1">
        <w:rPr>
          <w:rFonts w:ascii="Times New Roman" w:eastAsia="Times New Roman" w:hAnsi="Times New Roman"/>
          <w:b/>
          <w:color w:val="auto"/>
          <w:sz w:val="24"/>
          <w:szCs w:val="24"/>
          <w:lang w:val="bg-BG" w:eastAsia="bg-BG"/>
        </w:rPr>
        <w:t>клас – общо  - 283,48км.</w:t>
      </w:r>
    </w:p>
    <w:p w:rsidR="00F25110" w:rsidRPr="00BD7BB1" w:rsidRDefault="00F25110" w:rsidP="007A75A4">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BD7BB1">
        <w:rPr>
          <w:rFonts w:ascii="Times New Roman" w:eastAsia="Times New Roman" w:hAnsi="Times New Roman"/>
          <w:iCs/>
          <w:color w:val="auto"/>
          <w:sz w:val="24"/>
          <w:szCs w:val="24"/>
          <w:lang w:val="bg-BG" w:eastAsia="bg-BG"/>
        </w:rPr>
        <w:t>По данни, подадени за 2014 г. от Областните пътни управления на на територията на Югоизточен район ремонтираната</w:t>
      </w:r>
      <w:r w:rsidR="009A039A">
        <w:rPr>
          <w:rFonts w:ascii="Times New Roman" w:eastAsia="Times New Roman" w:hAnsi="Times New Roman"/>
          <w:iCs/>
          <w:color w:val="auto"/>
          <w:sz w:val="24"/>
          <w:szCs w:val="24"/>
          <w:lang w:val="bg-BG" w:eastAsia="bg-BG"/>
        </w:rPr>
        <w:t xml:space="preserve"> пътна мрежа</w:t>
      </w:r>
      <w:r w:rsidRPr="00BD7BB1">
        <w:rPr>
          <w:rFonts w:ascii="Times New Roman" w:eastAsia="Times New Roman" w:hAnsi="Times New Roman"/>
          <w:iCs/>
          <w:color w:val="auto"/>
          <w:sz w:val="24"/>
          <w:szCs w:val="24"/>
          <w:lang w:val="bg-BG" w:eastAsia="bg-BG"/>
        </w:rPr>
        <w:t xml:space="preserve"> </w:t>
      </w:r>
      <w:r w:rsidRPr="00BD7BB1">
        <w:rPr>
          <w:rFonts w:ascii="Times New Roman" w:eastAsia="Times New Roman" w:hAnsi="Times New Roman"/>
          <w:b/>
          <w:iCs/>
          <w:color w:val="auto"/>
          <w:sz w:val="24"/>
          <w:szCs w:val="24"/>
          <w:lang w:val="bg-BG" w:eastAsia="bg-BG"/>
        </w:rPr>
        <w:t>/</w:t>
      </w:r>
      <w:r w:rsidRPr="00BD7BB1">
        <w:rPr>
          <w:rFonts w:ascii="Times New Roman" w:eastAsia="Times New Roman" w:hAnsi="Times New Roman"/>
          <w:b/>
          <w:iCs/>
          <w:color w:val="auto"/>
          <w:sz w:val="24"/>
          <w:szCs w:val="24"/>
          <w:lang w:eastAsia="bg-BG"/>
        </w:rPr>
        <w:t xml:space="preserve">I-II </w:t>
      </w:r>
      <w:r w:rsidRPr="00BD7BB1">
        <w:rPr>
          <w:rFonts w:ascii="Times New Roman" w:eastAsia="Times New Roman" w:hAnsi="Times New Roman"/>
          <w:b/>
          <w:iCs/>
          <w:color w:val="auto"/>
          <w:sz w:val="24"/>
          <w:szCs w:val="24"/>
          <w:lang w:val="bg-BG" w:eastAsia="bg-BG"/>
        </w:rPr>
        <w:t xml:space="preserve">и </w:t>
      </w:r>
      <w:r w:rsidRPr="00BD7BB1">
        <w:rPr>
          <w:rFonts w:ascii="Times New Roman" w:eastAsia="Times New Roman" w:hAnsi="Times New Roman"/>
          <w:b/>
          <w:iCs/>
          <w:color w:val="auto"/>
          <w:sz w:val="24"/>
          <w:szCs w:val="24"/>
          <w:lang w:eastAsia="bg-BG"/>
        </w:rPr>
        <w:t>III</w:t>
      </w:r>
      <w:r w:rsidRPr="00BD7BB1">
        <w:rPr>
          <w:rFonts w:ascii="Times New Roman" w:eastAsia="Times New Roman" w:hAnsi="Times New Roman"/>
          <w:b/>
          <w:iCs/>
          <w:color w:val="auto"/>
          <w:sz w:val="24"/>
          <w:szCs w:val="24"/>
          <w:lang w:val="bg-BG" w:eastAsia="bg-BG"/>
        </w:rPr>
        <w:t xml:space="preserve">клас/ </w:t>
      </w:r>
      <w:r w:rsidRPr="00BD7BB1">
        <w:rPr>
          <w:rFonts w:ascii="Times New Roman" w:eastAsia="Times New Roman" w:hAnsi="Times New Roman"/>
          <w:iCs/>
          <w:color w:val="auto"/>
          <w:sz w:val="24"/>
          <w:szCs w:val="24"/>
          <w:lang w:val="bg-BG" w:eastAsia="bg-BG"/>
        </w:rPr>
        <w:t xml:space="preserve">е </w:t>
      </w:r>
      <w:r w:rsidRPr="00BD7BB1">
        <w:rPr>
          <w:rFonts w:ascii="Times New Roman" w:eastAsia="Times New Roman" w:hAnsi="Times New Roman"/>
          <w:b/>
          <w:iCs/>
          <w:color w:val="auto"/>
          <w:sz w:val="24"/>
          <w:szCs w:val="24"/>
          <w:lang w:val="bg-BG" w:eastAsia="bg-BG"/>
        </w:rPr>
        <w:t>118,27км</w:t>
      </w:r>
      <w:r w:rsidRPr="00BD7BB1">
        <w:rPr>
          <w:rFonts w:ascii="Times New Roman" w:eastAsia="Times New Roman" w:hAnsi="Times New Roman"/>
          <w:iCs/>
          <w:color w:val="auto"/>
          <w:sz w:val="24"/>
          <w:szCs w:val="24"/>
          <w:lang w:val="bg-BG" w:eastAsia="bg-BG"/>
        </w:rPr>
        <w:t>, разпределена по области, както следва:</w:t>
      </w:r>
      <w:r w:rsidRPr="00BD7BB1">
        <w:rPr>
          <w:rFonts w:ascii="Times New Roman" w:eastAsia="Times New Roman" w:hAnsi="Times New Roman"/>
          <w:b/>
          <w:iCs/>
          <w:color w:val="auto"/>
          <w:sz w:val="24"/>
          <w:szCs w:val="24"/>
          <w:lang w:val="bg-BG" w:eastAsia="bg-BG"/>
        </w:rPr>
        <w:t xml:space="preserve"> </w:t>
      </w:r>
      <w:r w:rsidRPr="00BD7BB1">
        <w:rPr>
          <w:rFonts w:ascii="Times New Roman" w:eastAsia="Times New Roman" w:hAnsi="Times New Roman"/>
          <w:iCs/>
          <w:color w:val="auto"/>
          <w:sz w:val="24"/>
          <w:szCs w:val="24"/>
          <w:lang w:val="bg-BG" w:eastAsia="bg-BG"/>
        </w:rPr>
        <w:t>област Бургас - 37,7 км.; област Ямбол - 42,920 км.; област Стара Загора-(17,300кмАМ+2,145) 19,45 км общо; област Сливен - 18,2 км.</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BD7BB1">
        <w:rPr>
          <w:rFonts w:ascii="Times New Roman" w:eastAsia="Times New Roman" w:hAnsi="Times New Roman"/>
          <w:iCs/>
          <w:color w:val="auto"/>
          <w:sz w:val="24"/>
          <w:szCs w:val="24"/>
          <w:lang w:val="bg-BG" w:eastAsia="bg-BG"/>
        </w:rPr>
        <w:t xml:space="preserve">По данни на общините от ЮИР,  ремонтираната пътна мрежа от IVклас за 2014г. е  общо </w:t>
      </w:r>
      <w:r w:rsidRPr="00BD7BB1">
        <w:rPr>
          <w:rFonts w:ascii="Times New Roman" w:eastAsia="Times New Roman" w:hAnsi="Times New Roman"/>
          <w:b/>
          <w:iCs/>
          <w:color w:val="auto"/>
          <w:sz w:val="24"/>
          <w:szCs w:val="24"/>
          <w:lang w:val="bg-BG" w:eastAsia="bg-BG"/>
        </w:rPr>
        <w:t>165,21 км</w:t>
      </w:r>
      <w:r w:rsidRPr="00BD7BB1">
        <w:rPr>
          <w:rFonts w:ascii="Times New Roman" w:eastAsia="Times New Roman" w:hAnsi="Times New Roman"/>
          <w:iCs/>
          <w:color w:val="auto"/>
          <w:sz w:val="24"/>
          <w:szCs w:val="24"/>
          <w:lang w:val="bg-BG" w:eastAsia="bg-BG"/>
        </w:rPr>
        <w:t>, разпределени по общини :  8,2 км- Царево; 4,92 км. - Сунгурларе; 2,700 км-Айтос; 6 км-Карнобат, 15 км-Камено; 6,1км-Руен; 17км - Твърдица; 2,360км.-Елхово; 5,128 км-Тунджа; 30 км-Ст.Загора;  27,1 км-Николаево; 7,97 км-Опан; 4,06 км-Раднево; 3,9 км-Чирпан; 11 км-Бр.Даскалови; 3,53 км-Гурково; 8 км-Гълъбово; 2,24 км.-Казанлък.</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i/>
          <w:iCs/>
          <w:color w:val="auto"/>
          <w:sz w:val="24"/>
          <w:szCs w:val="24"/>
          <w:lang w:val="bg-BG" w:eastAsia="bg-BG"/>
        </w:rPr>
      </w:pPr>
    </w:p>
    <w:p w:rsidR="00F25110" w:rsidRPr="00BD7BB1" w:rsidRDefault="00F25110" w:rsidP="007A75A4">
      <w:pPr>
        <w:autoSpaceDE w:val="0"/>
        <w:autoSpaceDN w:val="0"/>
        <w:adjustRightInd w:val="0"/>
        <w:spacing w:after="0" w:line="360" w:lineRule="auto"/>
        <w:jc w:val="both"/>
        <w:rPr>
          <w:rFonts w:ascii="Times New Roman" w:eastAsia="Times New Roman" w:hAnsi="Times New Roman"/>
          <w:b/>
          <w:iCs/>
          <w:color w:val="auto"/>
          <w:sz w:val="24"/>
          <w:szCs w:val="24"/>
          <w:lang w:val="bg-BG" w:eastAsia="bg-BG"/>
        </w:rPr>
      </w:pPr>
      <w:r w:rsidRPr="00BD7BB1">
        <w:rPr>
          <w:rFonts w:ascii="Times New Roman" w:eastAsia="Times New Roman" w:hAnsi="Times New Roman"/>
          <w:i/>
          <w:iCs/>
          <w:color w:val="auto"/>
          <w:sz w:val="24"/>
          <w:szCs w:val="24"/>
          <w:lang w:val="bg-BG" w:eastAsia="bg-BG"/>
        </w:rPr>
        <w:t>Общата дължина на реконструирана/ рехабилитирана/ изградена / ремонтирана пътна транспортна инфраструктура от II и III клас на РПМ</w:t>
      </w:r>
      <w:r w:rsidRPr="00BD7BB1">
        <w:rPr>
          <w:rFonts w:ascii="Times New Roman" w:eastAsia="Times New Roman" w:hAnsi="Times New Roman"/>
          <w:iCs/>
          <w:color w:val="auto"/>
          <w:sz w:val="24"/>
          <w:szCs w:val="24"/>
          <w:lang w:val="bg-BG" w:eastAsia="bg-BG"/>
        </w:rPr>
        <w:t xml:space="preserve">,  за  четирите области в района общо  е </w:t>
      </w:r>
      <w:r w:rsidRPr="00BD7BB1">
        <w:rPr>
          <w:rFonts w:ascii="Times New Roman" w:eastAsia="Times New Roman" w:hAnsi="Times New Roman"/>
          <w:b/>
          <w:iCs/>
          <w:color w:val="auto"/>
          <w:sz w:val="24"/>
          <w:szCs w:val="24"/>
          <w:lang w:val="bg-BG" w:eastAsia="bg-BG"/>
        </w:rPr>
        <w:t>13,28 %.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ОПУ на област Бургас - 3,18%  от общата РПМ на областта;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ОПУ на област Ямбол - 6,74% от общата РПМ на областта;</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ОПУ на област Стара Загора - 0,25 % от общата РПМ на областта;</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ОПУ на област Сливен - 3,11% от общата РПМ на областта.</w:t>
      </w:r>
    </w:p>
    <w:p w:rsidR="00F25110" w:rsidRPr="00BD7BB1" w:rsidRDefault="00F25110" w:rsidP="00F25110">
      <w:pPr>
        <w:autoSpaceDE w:val="0"/>
        <w:autoSpaceDN w:val="0"/>
        <w:adjustRightInd w:val="0"/>
        <w:spacing w:after="0" w:line="360" w:lineRule="auto"/>
        <w:jc w:val="both"/>
        <w:rPr>
          <w:rFonts w:ascii="Times New Roman" w:eastAsia="Times New Roman" w:hAnsi="Times New Roman"/>
          <w:color w:val="auto"/>
          <w:sz w:val="24"/>
          <w:szCs w:val="24"/>
          <w:lang w:val="bg-BG" w:eastAsia="bg-BG"/>
        </w:rPr>
      </w:pP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b/>
          <w:iCs/>
          <w:color w:val="auto"/>
          <w:sz w:val="24"/>
          <w:szCs w:val="24"/>
          <w:u w:val="single"/>
          <w:lang w:val="bg-BG" w:eastAsia="bg-BG"/>
        </w:rPr>
      </w:pPr>
      <w:r w:rsidRPr="00BD7BB1">
        <w:rPr>
          <w:rFonts w:ascii="Times New Roman" w:eastAsia="Times New Roman" w:hAnsi="Times New Roman"/>
          <w:b/>
          <w:iCs/>
          <w:color w:val="auto"/>
          <w:sz w:val="24"/>
          <w:szCs w:val="24"/>
          <w:u w:val="single"/>
          <w:lang w:val="bg-BG" w:eastAsia="bg-BG"/>
        </w:rPr>
        <w:t>ОПУ-Бургас</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BD7BB1">
        <w:rPr>
          <w:rFonts w:ascii="Times New Roman" w:eastAsia="Times New Roman" w:hAnsi="Times New Roman"/>
          <w:iCs/>
          <w:color w:val="auto"/>
          <w:sz w:val="24"/>
          <w:szCs w:val="24"/>
          <w:lang w:val="bg-BG" w:eastAsia="bg-BG"/>
        </w:rPr>
        <w:t xml:space="preserve">По данни, подадени от  </w:t>
      </w:r>
      <w:r w:rsidRPr="00BD7BB1">
        <w:rPr>
          <w:rFonts w:ascii="Times New Roman" w:eastAsia="Times New Roman" w:hAnsi="Times New Roman"/>
          <w:b/>
          <w:iCs/>
          <w:color w:val="auto"/>
          <w:sz w:val="24"/>
          <w:szCs w:val="24"/>
          <w:lang w:val="bg-BG" w:eastAsia="bg-BG"/>
        </w:rPr>
        <w:t>Областно пътно управление – Бургас</w:t>
      </w:r>
      <w:r w:rsidRPr="00BD7BB1">
        <w:rPr>
          <w:rFonts w:ascii="Times New Roman" w:eastAsia="Times New Roman" w:hAnsi="Times New Roman"/>
          <w:iCs/>
          <w:color w:val="auto"/>
          <w:sz w:val="24"/>
          <w:szCs w:val="24"/>
          <w:lang w:val="bg-BG" w:eastAsia="bg-BG"/>
        </w:rPr>
        <w:t xml:space="preserve"> към 31.12.2014 год.  на територията   на  областта са разположени  1 186.1 км пътища от РПМ, които съставляват 6.04 % от тези на страната. По този   показател областта е  втора по големина в страната след Софийска област. От тези пътища  51.4 км са автомагистрали, 249.4 км са от първи клас, 261.1 км </w:t>
      </w:r>
      <w:r w:rsidR="00CF4DDC">
        <w:rPr>
          <w:rFonts w:ascii="Times New Roman" w:eastAsia="Times New Roman" w:hAnsi="Times New Roman"/>
          <w:iCs/>
          <w:color w:val="auto"/>
          <w:sz w:val="24"/>
          <w:szCs w:val="24"/>
          <w:lang w:val="bg-BG" w:eastAsia="bg-BG"/>
        </w:rPr>
        <w:t xml:space="preserve">от  </w:t>
      </w:r>
      <w:r w:rsidRPr="00BD7BB1">
        <w:rPr>
          <w:rFonts w:ascii="Times New Roman" w:eastAsia="Times New Roman" w:hAnsi="Times New Roman"/>
          <w:iCs/>
          <w:color w:val="auto"/>
          <w:sz w:val="24"/>
          <w:szCs w:val="24"/>
          <w:lang w:val="bg-BG" w:eastAsia="bg-BG"/>
        </w:rPr>
        <w:t xml:space="preserve">втори, 608.6 км от трети  и  15.7 км са пътни връзки  от  пътни възли.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BD7BB1">
        <w:rPr>
          <w:rFonts w:ascii="Times New Roman" w:eastAsia="Times New Roman" w:hAnsi="Times New Roman"/>
          <w:iCs/>
          <w:color w:val="auto"/>
          <w:sz w:val="24"/>
          <w:szCs w:val="24"/>
          <w:lang w:val="bg-BG" w:eastAsia="bg-BG"/>
        </w:rPr>
        <w:tab/>
        <w:t>Извършено строителство и рехабилитация на републиканската пътна мрежа и превантивен ремонт през 2014г.</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BD7BB1">
        <w:rPr>
          <w:rFonts w:ascii="Times New Roman" w:eastAsia="Times New Roman" w:hAnsi="Times New Roman"/>
          <w:b/>
          <w:iCs/>
          <w:color w:val="auto"/>
          <w:sz w:val="24"/>
          <w:szCs w:val="24"/>
          <w:lang w:val="bg-BG" w:eastAsia="bg-BG"/>
        </w:rPr>
        <w:t>1.</w:t>
      </w:r>
      <w:r w:rsidRPr="00BD7BB1">
        <w:rPr>
          <w:rFonts w:ascii="Times New Roman" w:eastAsia="Times New Roman" w:hAnsi="Times New Roman"/>
          <w:iCs/>
          <w:color w:val="auto"/>
          <w:sz w:val="24"/>
          <w:szCs w:val="24"/>
          <w:lang w:val="bg-BG" w:eastAsia="bg-BG"/>
        </w:rPr>
        <w:t xml:space="preserve"> </w:t>
      </w:r>
      <w:r w:rsidRPr="00BD7BB1">
        <w:rPr>
          <w:rFonts w:ascii="Times New Roman" w:eastAsia="Times New Roman" w:hAnsi="Times New Roman"/>
          <w:b/>
          <w:iCs/>
          <w:color w:val="auto"/>
          <w:sz w:val="24"/>
          <w:szCs w:val="24"/>
          <w:lang w:val="bg-BG" w:eastAsia="bg-BG"/>
        </w:rPr>
        <w:t>По програма</w:t>
      </w:r>
      <w:r w:rsidRPr="00BD7BB1">
        <w:rPr>
          <w:rFonts w:ascii="Times New Roman" w:eastAsia="Times New Roman" w:hAnsi="Times New Roman"/>
          <w:b/>
          <w:iCs/>
          <w:color w:val="auto"/>
          <w:sz w:val="24"/>
          <w:szCs w:val="24"/>
          <w:lang w:eastAsia="bg-BG"/>
        </w:rPr>
        <w:t xml:space="preserve"> „НОВО СТРОИТЕЛСТВО”</w:t>
      </w:r>
      <w:r w:rsidRPr="00BD7BB1">
        <w:rPr>
          <w:rFonts w:ascii="Times New Roman" w:eastAsia="Times New Roman" w:hAnsi="Times New Roman"/>
          <w:b/>
          <w:iCs/>
          <w:color w:val="auto"/>
          <w:sz w:val="24"/>
          <w:szCs w:val="24"/>
          <w:lang w:val="bg-BG" w:eastAsia="bg-BG"/>
        </w:rPr>
        <w:t xml:space="preserve"> - </w:t>
      </w:r>
      <w:r w:rsidRPr="00BD7BB1">
        <w:rPr>
          <w:rFonts w:ascii="Times New Roman" w:eastAsia="Times New Roman" w:hAnsi="Times New Roman"/>
          <w:iCs/>
          <w:color w:val="auto"/>
          <w:sz w:val="24"/>
          <w:szCs w:val="24"/>
          <w:lang w:val="bg-BG" w:eastAsia="bg-BG"/>
        </w:rPr>
        <w:t xml:space="preserve">П.в. „Българово“ на АМ „Тракия“ на км 352+084 – участък : „Оризово – Бургас”от км 325+280 до км 360+568,46 ;  </w:t>
      </w:r>
      <w:r w:rsidRPr="00BD7BB1">
        <w:rPr>
          <w:rFonts w:ascii="Times New Roman" w:eastAsia="Times New Roman" w:hAnsi="Times New Roman"/>
          <w:iCs/>
          <w:color w:val="auto"/>
          <w:sz w:val="24"/>
          <w:szCs w:val="24"/>
          <w:lang w:eastAsia="bg-BG"/>
        </w:rPr>
        <w:t>Път ІІ-99 „Вариант Алепу " ІІ-ри етап - от км 20+867 до км 29+327, кръстовище при км 29+10</w:t>
      </w:r>
      <w:r w:rsidRPr="00BD7BB1">
        <w:rPr>
          <w:rFonts w:ascii="Times New Roman" w:eastAsia="Times New Roman" w:hAnsi="Times New Roman"/>
          <w:iCs/>
          <w:color w:val="auto"/>
          <w:sz w:val="24"/>
          <w:szCs w:val="24"/>
          <w:lang w:val="bg-BG" w:eastAsia="bg-BG"/>
        </w:rPr>
        <w:t>8.</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BD7BB1">
        <w:rPr>
          <w:rFonts w:ascii="Times New Roman" w:eastAsia="Times New Roman" w:hAnsi="Times New Roman"/>
          <w:b/>
          <w:iCs/>
          <w:color w:val="auto"/>
          <w:sz w:val="24"/>
          <w:szCs w:val="24"/>
          <w:lang w:val="bg-BG" w:eastAsia="bg-BG"/>
        </w:rPr>
        <w:t>2. По програма „ Растеж и устойчиво развитие на регионите”</w:t>
      </w:r>
      <w:r w:rsidRPr="00BD7BB1">
        <w:rPr>
          <w:rFonts w:ascii="Times New Roman" w:eastAsia="Times New Roman" w:hAnsi="Times New Roman"/>
          <w:iCs/>
          <w:color w:val="auto"/>
          <w:sz w:val="24"/>
          <w:szCs w:val="24"/>
          <w:lang w:val="bg-BG" w:eastAsia="bg-BG"/>
        </w:rPr>
        <w:t xml:space="preserve"> Път ІІІ - 6009 "Миролюбово-Каблешково – Ахелой”  от км  0+000 до км 28+540 - 9,500 км</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BD7BB1">
        <w:rPr>
          <w:rFonts w:ascii="Times New Roman" w:eastAsia="Times New Roman" w:hAnsi="Times New Roman"/>
          <w:b/>
          <w:iCs/>
          <w:color w:val="auto"/>
          <w:sz w:val="24"/>
          <w:szCs w:val="24"/>
          <w:lang w:val="bg-BG" w:eastAsia="bg-BG"/>
        </w:rPr>
        <w:t>3</w:t>
      </w:r>
      <w:r w:rsidRPr="00BD7BB1">
        <w:rPr>
          <w:rFonts w:ascii="Times New Roman" w:eastAsia="Times New Roman" w:hAnsi="Times New Roman"/>
          <w:iCs/>
          <w:color w:val="auto"/>
          <w:sz w:val="24"/>
          <w:szCs w:val="24"/>
          <w:lang w:val="bg-BG" w:eastAsia="bg-BG"/>
        </w:rPr>
        <w:t xml:space="preserve">. </w:t>
      </w:r>
      <w:r w:rsidRPr="00BD7BB1">
        <w:rPr>
          <w:rFonts w:ascii="Times New Roman" w:eastAsia="Times New Roman" w:hAnsi="Times New Roman"/>
          <w:b/>
          <w:iCs/>
          <w:color w:val="auto"/>
          <w:sz w:val="24"/>
          <w:szCs w:val="24"/>
          <w:lang w:eastAsia="bg-BG"/>
        </w:rPr>
        <w:t>П</w:t>
      </w:r>
      <w:r w:rsidRPr="00BD7BB1">
        <w:rPr>
          <w:rFonts w:ascii="Times New Roman" w:eastAsia="Times New Roman" w:hAnsi="Times New Roman"/>
          <w:b/>
          <w:iCs/>
          <w:color w:val="auto"/>
          <w:sz w:val="24"/>
          <w:szCs w:val="24"/>
          <w:lang w:val="bg-BG" w:eastAsia="bg-BG"/>
        </w:rPr>
        <w:t>рограма</w:t>
      </w:r>
      <w:r w:rsidRPr="00BD7BB1">
        <w:rPr>
          <w:rFonts w:ascii="Times New Roman" w:eastAsia="Times New Roman" w:hAnsi="Times New Roman"/>
          <w:b/>
          <w:iCs/>
          <w:color w:val="auto"/>
          <w:sz w:val="24"/>
          <w:szCs w:val="24"/>
          <w:lang w:eastAsia="bg-BG"/>
        </w:rPr>
        <w:t xml:space="preserve"> „ПРЕВАНТИВЕН РЕМОНТ“</w:t>
      </w:r>
      <w:r w:rsidRPr="00BD7BB1">
        <w:rPr>
          <w:rFonts w:ascii="Times New Roman" w:eastAsia="Times New Roman" w:hAnsi="Times New Roman"/>
          <w:b/>
          <w:iCs/>
          <w:color w:val="auto"/>
          <w:sz w:val="24"/>
          <w:szCs w:val="24"/>
          <w:lang w:val="bg-BG" w:eastAsia="bg-BG"/>
        </w:rPr>
        <w:t xml:space="preserve"> - </w:t>
      </w:r>
      <w:r w:rsidRPr="00BD7BB1">
        <w:rPr>
          <w:rFonts w:ascii="Times New Roman" w:eastAsia="Times New Roman" w:hAnsi="Times New Roman"/>
          <w:iCs/>
          <w:color w:val="auto"/>
          <w:sz w:val="24"/>
          <w:szCs w:val="24"/>
          <w:lang w:val="bg-BG" w:eastAsia="bg-BG"/>
        </w:rPr>
        <w:t>Път ІІІ-9009 „/І9/- Ново Паничарево – Ясна поляна” от км 0+000 до км 11+900 --3,000  км;   ІІІ 6008 „І-6 - Лукойл-о.п.Лукойл - Камено” от км 0+000 до км 7+700 -7.700 км; Път ІІІ-5392 „Камено-Братово” от км 9+900 до км 17+900 -7,000 км; ПЪТ 7907 "Дебeлт – Тръстиково - Полски извор " от км 14+300- км 16+185 - 2,100 км; Път ІІІ-7909 „кв. Горно Езерово-Братово” от км 4+000 до км 12+40 8,400 км.</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BD7BB1">
        <w:rPr>
          <w:rFonts w:ascii="Times New Roman" w:eastAsia="Times New Roman" w:hAnsi="Times New Roman"/>
          <w:iCs/>
          <w:color w:val="auto"/>
          <w:sz w:val="24"/>
          <w:szCs w:val="24"/>
          <w:lang w:val="bg-BG" w:eastAsia="bg-BG"/>
        </w:rPr>
        <w:t xml:space="preserve">Общо : Рехабилитирана/реконструирана пътна мрежа  </w:t>
      </w:r>
      <w:r w:rsidRPr="00BD7BB1">
        <w:rPr>
          <w:rFonts w:ascii="Times New Roman" w:eastAsia="Times New Roman" w:hAnsi="Times New Roman"/>
          <w:b/>
          <w:iCs/>
          <w:color w:val="auto"/>
          <w:sz w:val="24"/>
          <w:szCs w:val="24"/>
          <w:lang w:val="bg-BG" w:eastAsia="bg-BG"/>
        </w:rPr>
        <w:t xml:space="preserve">37,700 км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iCs/>
          <w:color w:val="auto"/>
          <w:sz w:val="24"/>
          <w:szCs w:val="24"/>
          <w:lang w:val="bg-BG" w:eastAsia="bg-BG"/>
        </w:rPr>
      </w:pPr>
      <w:r w:rsidRPr="00BD7BB1">
        <w:rPr>
          <w:rFonts w:ascii="Times New Roman" w:eastAsia="Times New Roman" w:hAnsi="Times New Roman"/>
          <w:iCs/>
          <w:color w:val="auto"/>
          <w:sz w:val="24"/>
          <w:szCs w:val="24"/>
          <w:lang w:val="bg-BG" w:eastAsia="bg-BG"/>
        </w:rPr>
        <w:t xml:space="preserve">Обща дължина на реконструирана /рехабилитирана/ изградена пътна транспортна инфраструктура от </w:t>
      </w:r>
      <w:r w:rsidRPr="00BD7BB1">
        <w:rPr>
          <w:rFonts w:ascii="Times New Roman" w:eastAsia="Times New Roman" w:hAnsi="Times New Roman"/>
          <w:iCs/>
          <w:color w:val="auto"/>
          <w:sz w:val="24"/>
          <w:szCs w:val="24"/>
          <w:lang w:eastAsia="bg-BG"/>
        </w:rPr>
        <w:t xml:space="preserve">II  </w:t>
      </w:r>
      <w:r w:rsidRPr="00BD7BB1">
        <w:rPr>
          <w:rFonts w:ascii="Times New Roman" w:eastAsia="Times New Roman" w:hAnsi="Times New Roman"/>
          <w:iCs/>
          <w:color w:val="auto"/>
          <w:sz w:val="24"/>
          <w:szCs w:val="24"/>
          <w:lang w:val="bg-BG" w:eastAsia="bg-BG"/>
        </w:rPr>
        <w:t xml:space="preserve">и </w:t>
      </w:r>
      <w:r w:rsidRPr="00BD7BB1">
        <w:rPr>
          <w:rFonts w:ascii="Times New Roman" w:eastAsia="Times New Roman" w:hAnsi="Times New Roman"/>
          <w:iCs/>
          <w:color w:val="auto"/>
          <w:sz w:val="24"/>
          <w:szCs w:val="24"/>
          <w:lang w:eastAsia="bg-BG"/>
        </w:rPr>
        <w:t>III</w:t>
      </w:r>
      <w:r w:rsidRPr="00BD7BB1">
        <w:rPr>
          <w:rFonts w:ascii="Times New Roman" w:eastAsia="Times New Roman" w:hAnsi="Times New Roman"/>
          <w:iCs/>
          <w:color w:val="auto"/>
          <w:sz w:val="24"/>
          <w:szCs w:val="24"/>
          <w:lang w:val="bg-BG" w:eastAsia="bg-BG"/>
        </w:rPr>
        <w:t xml:space="preserve"> клас по РПМ мрежа в %  : 1186,1 км – 37,7 км – 3,18%</w:t>
      </w:r>
    </w:p>
    <w:p w:rsidR="00F25110" w:rsidRPr="00BD7BB1" w:rsidRDefault="00F25110" w:rsidP="00F25110">
      <w:pPr>
        <w:spacing w:before="100" w:beforeAutospacing="1" w:after="100" w:afterAutospacing="1" w:line="240" w:lineRule="auto"/>
        <w:ind w:firstLine="708"/>
        <w:rPr>
          <w:rFonts w:ascii="Times New Roman" w:eastAsia="Times New Roman" w:hAnsi="Times New Roman"/>
          <w:b/>
          <w:bCs/>
          <w:color w:val="auto"/>
          <w:sz w:val="24"/>
          <w:szCs w:val="24"/>
          <w:u w:val="single"/>
          <w:lang w:val="ru-RU" w:eastAsia="bg-BG"/>
        </w:rPr>
      </w:pPr>
      <w:r w:rsidRPr="00BD7BB1">
        <w:rPr>
          <w:rFonts w:ascii="Times New Roman" w:eastAsia="Times New Roman" w:hAnsi="Times New Roman"/>
          <w:b/>
          <w:bCs/>
          <w:color w:val="auto"/>
          <w:sz w:val="24"/>
          <w:szCs w:val="24"/>
          <w:u w:val="single"/>
          <w:lang w:val="ru-RU" w:eastAsia="bg-BG"/>
        </w:rPr>
        <w:t>ОПУ  Стара Загора</w:t>
      </w:r>
    </w:p>
    <w:p w:rsidR="00F25110" w:rsidRPr="00BD7BB1" w:rsidRDefault="00F25110" w:rsidP="00F25110">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 По данни на </w:t>
      </w:r>
      <w:r w:rsidRPr="00BD7BB1">
        <w:rPr>
          <w:rFonts w:ascii="Times New Roman" w:eastAsia="Times New Roman" w:hAnsi="Times New Roman"/>
          <w:b/>
          <w:color w:val="auto"/>
          <w:sz w:val="24"/>
          <w:szCs w:val="24"/>
          <w:lang w:val="bg-BG" w:eastAsia="bg-BG"/>
        </w:rPr>
        <w:t>Областно пътно управление - Стара Загора</w:t>
      </w:r>
      <w:r w:rsidRPr="00BD7BB1">
        <w:rPr>
          <w:rFonts w:ascii="Times New Roman" w:eastAsia="Times New Roman" w:hAnsi="Times New Roman"/>
          <w:color w:val="auto"/>
          <w:sz w:val="24"/>
          <w:szCs w:val="24"/>
          <w:lang w:val="bg-BG" w:eastAsia="bg-BG"/>
        </w:rPr>
        <w:t xml:space="preserve"> пътната мрежа на областта към 31.12.2014 г. се състои от 865,240 км републикански пътища, от които : АМ „Тракия“- 73.002 км, пътища </w:t>
      </w:r>
      <w:r w:rsidRPr="00BD7BB1">
        <w:rPr>
          <w:rFonts w:ascii="Times New Roman" w:eastAsia="Times New Roman" w:hAnsi="Times New Roman"/>
          <w:color w:val="auto"/>
          <w:sz w:val="24"/>
          <w:szCs w:val="24"/>
          <w:lang w:eastAsia="bg-BG"/>
        </w:rPr>
        <w:t>I</w:t>
      </w:r>
      <w:r w:rsidRPr="00BD7BB1">
        <w:rPr>
          <w:rFonts w:ascii="Times New Roman" w:eastAsia="Times New Roman" w:hAnsi="Times New Roman"/>
          <w:color w:val="auto"/>
          <w:sz w:val="24"/>
          <w:szCs w:val="24"/>
          <w:lang w:val="bg-BG" w:eastAsia="bg-BG"/>
        </w:rPr>
        <w:t xml:space="preserve">-ви клас-167.30 км., пътища </w:t>
      </w:r>
      <w:r w:rsidRPr="00BD7BB1">
        <w:rPr>
          <w:rFonts w:ascii="Times New Roman" w:eastAsia="Times New Roman" w:hAnsi="Times New Roman"/>
          <w:color w:val="auto"/>
          <w:sz w:val="24"/>
          <w:szCs w:val="24"/>
          <w:lang w:eastAsia="bg-BG"/>
        </w:rPr>
        <w:t>II</w:t>
      </w:r>
      <w:r w:rsidRPr="00BD7BB1">
        <w:rPr>
          <w:rFonts w:ascii="Times New Roman" w:eastAsia="Times New Roman" w:hAnsi="Times New Roman"/>
          <w:color w:val="auto"/>
          <w:sz w:val="24"/>
          <w:szCs w:val="24"/>
          <w:lang w:val="bg-BG" w:eastAsia="bg-BG"/>
        </w:rPr>
        <w:t xml:space="preserve">-ри клас-215.04 км., пътища </w:t>
      </w:r>
      <w:r w:rsidRPr="00BD7BB1">
        <w:rPr>
          <w:rFonts w:ascii="Times New Roman" w:eastAsia="Times New Roman" w:hAnsi="Times New Roman"/>
          <w:color w:val="auto"/>
          <w:sz w:val="24"/>
          <w:szCs w:val="24"/>
          <w:lang w:eastAsia="bg-BG"/>
        </w:rPr>
        <w:t>III</w:t>
      </w:r>
      <w:r w:rsidRPr="00BD7BB1">
        <w:rPr>
          <w:rFonts w:ascii="Times New Roman" w:eastAsia="Times New Roman" w:hAnsi="Times New Roman"/>
          <w:color w:val="auto"/>
          <w:sz w:val="24"/>
          <w:szCs w:val="24"/>
          <w:lang w:val="bg-BG" w:eastAsia="bg-BG"/>
        </w:rPr>
        <w:t xml:space="preserve">-ти клас -379.73 км. и пътни връзки - 30.168 км. </w:t>
      </w:r>
    </w:p>
    <w:p w:rsidR="00F25110" w:rsidRPr="00BD7BB1" w:rsidRDefault="00F25110" w:rsidP="00F25110">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ОП „ТРАНСПОРТ“ 2007-2013 : АМ „Марица“е част от международен път Е-80 и свързва АМ "Тракия" с турската граница при Капитан Андреево. На територията на ОПУ-Стара Загора попада ЛОТ1 с дължина 31,400 км /от км 5+000 до км 36+400/, като в Област Стара Загора дължината на автомагистралата е от км 5+000 до км 23+300.-17,300км.</w:t>
      </w:r>
    </w:p>
    <w:p w:rsidR="00F25110" w:rsidRPr="00BD7BB1" w:rsidRDefault="00F25110" w:rsidP="00F25110">
      <w:pPr>
        <w:spacing w:before="100" w:beforeAutospacing="1" w:after="100" w:afterAutospacing="1" w:line="360" w:lineRule="auto"/>
        <w:ind w:firstLine="708"/>
        <w:jc w:val="both"/>
        <w:rPr>
          <w:rFonts w:ascii="Times New Roman" w:eastAsia="Times New Roman" w:hAnsi="Times New Roman"/>
          <w:b/>
          <w:bCs/>
          <w:i/>
          <w:iCs/>
          <w:color w:val="auto"/>
          <w:sz w:val="24"/>
          <w:szCs w:val="24"/>
          <w:u w:val="single"/>
          <w:lang w:val="bg-BG" w:eastAsia="bg-BG"/>
        </w:rPr>
      </w:pPr>
      <w:r w:rsidRPr="00BD7BB1">
        <w:rPr>
          <w:rFonts w:ascii="Times New Roman" w:eastAsia="Times New Roman" w:hAnsi="Times New Roman"/>
          <w:color w:val="auto"/>
          <w:sz w:val="24"/>
          <w:szCs w:val="24"/>
          <w:lang w:val="bg-BG" w:eastAsia="bg-BG"/>
        </w:rPr>
        <w:t>Процентът на физическия напредък на АМ „Марица” ЛОТ 1, отразен в годишния доклад за напредъка за 2014г. е 64,91 %. Базира се на основата на отчетени и изпълнени дейности, съставляващи общо 88,7 % от предложената цена за изпълнение  на обекта от изпълнителя.</w:t>
      </w:r>
      <w:r w:rsidRPr="00BD7BB1">
        <w:rPr>
          <w:rFonts w:ascii="Times New Roman" w:eastAsia="Times New Roman" w:hAnsi="Times New Roman"/>
          <w:b/>
          <w:bCs/>
          <w:i/>
          <w:iCs/>
          <w:color w:val="auto"/>
          <w:sz w:val="24"/>
          <w:szCs w:val="24"/>
          <w:u w:val="single"/>
          <w:lang w:val="bg-BG" w:eastAsia="bg-BG"/>
        </w:rPr>
        <w:t xml:space="preserve"> </w:t>
      </w:r>
    </w:p>
    <w:p w:rsidR="00F25110" w:rsidRPr="00BD7BB1" w:rsidRDefault="00F25110" w:rsidP="00F25110">
      <w:pPr>
        <w:spacing w:before="100" w:beforeAutospacing="1" w:after="100" w:afterAutospacing="1" w:line="360" w:lineRule="auto"/>
        <w:ind w:firstLine="708"/>
        <w:jc w:val="both"/>
        <w:rPr>
          <w:rFonts w:ascii="Times New Roman" w:eastAsia="Times New Roman" w:hAnsi="Times New Roman"/>
          <w:bCs/>
          <w:iCs/>
          <w:color w:val="auto"/>
          <w:sz w:val="24"/>
          <w:szCs w:val="24"/>
          <w:lang w:val="bg-BG" w:eastAsia="bg-BG"/>
        </w:rPr>
      </w:pPr>
      <w:r w:rsidRPr="00BD7BB1">
        <w:rPr>
          <w:rFonts w:ascii="Times New Roman" w:eastAsia="Times New Roman" w:hAnsi="Times New Roman"/>
          <w:bCs/>
          <w:iCs/>
          <w:color w:val="auto"/>
          <w:sz w:val="24"/>
          <w:szCs w:val="24"/>
          <w:lang w:val="bg-BG" w:eastAsia="bg-BG"/>
        </w:rPr>
        <w:t>ОП „РЕГИОНИ В РАСТЕЖ“ 2014-2020 : Включени за основен ремонт по програмата:  път ІІ-57 Стара Загора-Раднево от км 0+000 до км 31+900 и път ІІІ-663Чирпан – Симеоновград от км 0+000 до км 15+500.</w:t>
      </w:r>
    </w:p>
    <w:p w:rsidR="00F25110" w:rsidRPr="007A75A4" w:rsidRDefault="00F25110" w:rsidP="00F25110">
      <w:pPr>
        <w:spacing w:before="100" w:beforeAutospacing="1" w:after="100" w:afterAutospacing="1" w:line="360" w:lineRule="auto"/>
        <w:jc w:val="both"/>
        <w:rPr>
          <w:rFonts w:ascii="Times New Roman" w:eastAsia="Times New Roman" w:hAnsi="Times New Roman"/>
          <w:b/>
          <w:i/>
          <w:color w:val="auto"/>
          <w:sz w:val="24"/>
          <w:szCs w:val="24"/>
          <w:lang w:val="bg-BG" w:eastAsia="bg-BG"/>
        </w:rPr>
      </w:pPr>
      <w:r w:rsidRPr="007A75A4">
        <w:rPr>
          <w:rFonts w:ascii="Times New Roman" w:eastAsia="Times New Roman" w:hAnsi="Times New Roman"/>
          <w:b/>
          <w:i/>
          <w:color w:val="auto"/>
          <w:sz w:val="24"/>
          <w:szCs w:val="24"/>
          <w:lang w:val="bg-BG" w:eastAsia="bg-BG"/>
        </w:rPr>
        <w:t>Поддържане на РПМ текущ ремонт и поддържане и зимно поддържане през 2014 год.</w:t>
      </w:r>
    </w:p>
    <w:p w:rsidR="00F25110" w:rsidRPr="00BD7BB1" w:rsidRDefault="00F25110" w:rsidP="00F25110">
      <w:pPr>
        <w:spacing w:before="100" w:beforeAutospacing="1" w:after="100" w:afterAutospacing="1" w:line="360" w:lineRule="auto"/>
        <w:ind w:firstLine="708"/>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Работите по текущ ремонт и зимно поддържане на 779.7 км републиканска пътна мрежа се изпълняват по сключен Договор № 54 от 03.11.2010г., с период на действие 48 месеца, с изпълнител: Обединение „Стара Загора 2010” гр.Стара Загора, с партньори: „Пи Ес Ай” АД гр.Стара Загора, ПСК „Ес Би Ес”АД гр.Стара Загора и „Пътстрой” ООД гр.Стара Загора. От м.декември 2014г. изпълнител по поддържането на пътищата от РПМ - текущ ремонт и поддържане и зимно поддържане е Обединение „ПИ ЕС 2014” по сключен договор № РД—38-6/27.11.2014г.</w:t>
      </w:r>
    </w:p>
    <w:p w:rsidR="00F25110" w:rsidRPr="00BD7BB1" w:rsidRDefault="00F25110" w:rsidP="007A75A4">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По текущ ремонт и зимно поддържане на републиканската пътна мрежа на територията на ОПУ Стара Загора</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за периода от 01.01.2014 до 01.01.2015 г. са изразходвани общо: 6 100 983,30 лв. с ДДС, от които: </w:t>
      </w:r>
    </w:p>
    <w:p w:rsidR="00F25110" w:rsidRPr="00BD7BB1" w:rsidRDefault="00F25110" w:rsidP="00F25110">
      <w:p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bg-BG" w:eastAsia="bg-BG"/>
        </w:rPr>
        <w:t xml:space="preserve">По текущ ремонт и поддържане </w:t>
      </w:r>
      <w:r w:rsidRPr="00BD7BB1">
        <w:rPr>
          <w:rFonts w:ascii="Times New Roman" w:eastAsia="Times New Roman" w:hAnsi="Times New Roman"/>
          <w:b/>
          <w:color w:val="auto"/>
          <w:sz w:val="24"/>
          <w:szCs w:val="24"/>
          <w:lang w:val="bg-BG" w:eastAsia="bg-BG"/>
        </w:rPr>
        <w:t>: 3 477 016,20 ЛВ.</w:t>
      </w:r>
    </w:p>
    <w:p w:rsidR="00F25110" w:rsidRPr="00BD7BB1" w:rsidRDefault="00F25110" w:rsidP="00F25110">
      <w:pPr>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за АМ „Тракия” ЛОТ 1:</w:t>
      </w:r>
      <w:r w:rsidRPr="00BD7BB1">
        <w:rPr>
          <w:rFonts w:ascii="Times New Roman" w:eastAsia="Times New Roman" w:hAnsi="Times New Roman"/>
          <w:color w:val="auto"/>
          <w:sz w:val="24"/>
          <w:szCs w:val="24"/>
          <w:lang w:val="bg-BG" w:eastAsia="bg-BG"/>
        </w:rPr>
        <w:t xml:space="preserve"> от км 156+284 до км 208+181</w:t>
      </w:r>
      <w:r w:rsidRPr="00BD7BB1">
        <w:rPr>
          <w:rFonts w:ascii="Times New Roman" w:eastAsia="Times New Roman" w:hAnsi="Times New Roman"/>
          <w:b/>
          <w:color w:val="auto"/>
          <w:sz w:val="24"/>
          <w:szCs w:val="24"/>
          <w:lang w:val="bg-BG" w:eastAsia="bg-BG"/>
        </w:rPr>
        <w:t>:</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551 030,90 лв</w:t>
      </w:r>
      <w:r w:rsidRPr="00BD7BB1">
        <w:rPr>
          <w:rFonts w:ascii="Times New Roman" w:eastAsia="Times New Roman" w:hAnsi="Times New Roman"/>
          <w:color w:val="auto"/>
          <w:sz w:val="24"/>
          <w:szCs w:val="24"/>
          <w:lang w:val="bg-BG" w:eastAsia="bg-BG"/>
        </w:rPr>
        <w:t xml:space="preserve">. </w:t>
      </w:r>
    </w:p>
    <w:p w:rsidR="00F25110" w:rsidRPr="00BD7BB1" w:rsidRDefault="00F25110" w:rsidP="00F25110">
      <w:pPr>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за </w:t>
      </w:r>
      <w:r w:rsidRPr="00BD7BB1">
        <w:rPr>
          <w:rFonts w:ascii="Times New Roman" w:eastAsia="Times New Roman" w:hAnsi="Times New Roman"/>
          <w:b/>
          <w:color w:val="auto"/>
          <w:sz w:val="24"/>
          <w:szCs w:val="24"/>
          <w:lang w:val="bg-BG" w:eastAsia="bg-BG"/>
        </w:rPr>
        <w:t>АМ „Тракия</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 xml:space="preserve">ЛОТ 2 </w:t>
      </w:r>
      <w:r w:rsidRPr="00BD7BB1">
        <w:rPr>
          <w:rFonts w:ascii="Times New Roman" w:eastAsia="Times New Roman" w:hAnsi="Times New Roman"/>
          <w:color w:val="auto"/>
          <w:sz w:val="24"/>
          <w:szCs w:val="24"/>
          <w:lang w:val="bg-BG" w:eastAsia="bg-BG"/>
        </w:rPr>
        <w:t xml:space="preserve">от км 208+181 до км 229+286: стойността на ТРП : </w:t>
      </w:r>
      <w:r w:rsidRPr="00BD7BB1">
        <w:rPr>
          <w:rFonts w:ascii="Times New Roman" w:eastAsia="Times New Roman" w:hAnsi="Times New Roman"/>
          <w:b/>
          <w:color w:val="auto"/>
          <w:sz w:val="24"/>
          <w:szCs w:val="24"/>
          <w:lang w:val="bg-BG" w:eastAsia="bg-BG"/>
        </w:rPr>
        <w:t>271 429,00 лв.</w:t>
      </w:r>
    </w:p>
    <w:p w:rsidR="00F25110" w:rsidRPr="00BD7BB1" w:rsidRDefault="00F25110" w:rsidP="00F25110">
      <w:p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bg-BG" w:eastAsia="bg-BG"/>
        </w:rPr>
        <w:t>за РПМ</w:t>
      </w:r>
      <w:r w:rsidRPr="00BD7BB1">
        <w:rPr>
          <w:rFonts w:ascii="Times New Roman" w:eastAsia="Times New Roman" w:hAnsi="Times New Roman"/>
          <w:b/>
          <w:color w:val="auto"/>
          <w:sz w:val="24"/>
          <w:szCs w:val="24"/>
          <w:lang w:val="bg-BG" w:eastAsia="bg-BG"/>
        </w:rPr>
        <w:t xml:space="preserve"> І, ІІ и </w:t>
      </w:r>
      <w:r w:rsidRPr="00BD7BB1">
        <w:rPr>
          <w:rFonts w:ascii="Times New Roman" w:eastAsia="Times New Roman" w:hAnsi="Times New Roman"/>
          <w:b/>
          <w:color w:val="auto"/>
          <w:sz w:val="24"/>
          <w:szCs w:val="24"/>
          <w:lang w:val="bg-BG" w:eastAsia="bg-BG"/>
        </w:rPr>
        <w:softHyphen/>
      </w:r>
      <w:r w:rsidRPr="00BD7BB1">
        <w:rPr>
          <w:rFonts w:ascii="Times New Roman" w:eastAsia="Times New Roman" w:hAnsi="Times New Roman"/>
          <w:b/>
          <w:color w:val="auto"/>
          <w:sz w:val="24"/>
          <w:szCs w:val="24"/>
          <w:lang w:val="bg-BG" w:eastAsia="bg-BG"/>
        </w:rPr>
        <w:softHyphen/>
      </w:r>
      <w:r w:rsidRPr="00BD7BB1">
        <w:rPr>
          <w:rFonts w:ascii="Times New Roman" w:eastAsia="Times New Roman" w:hAnsi="Times New Roman"/>
          <w:b/>
          <w:color w:val="auto"/>
          <w:sz w:val="24"/>
          <w:szCs w:val="24"/>
          <w:lang w:val="bg-BG" w:eastAsia="bg-BG"/>
        </w:rPr>
        <w:softHyphen/>
        <w:t>ІІІ клас</w:t>
      </w:r>
      <w:r w:rsidRPr="00BD7BB1">
        <w:rPr>
          <w:rFonts w:ascii="Times New Roman" w:eastAsia="Times New Roman" w:hAnsi="Times New Roman"/>
          <w:color w:val="auto"/>
          <w:sz w:val="24"/>
          <w:szCs w:val="24"/>
          <w:lang w:val="bg-BG" w:eastAsia="bg-BG"/>
        </w:rPr>
        <w:t xml:space="preserve"> пътища:  </w:t>
      </w:r>
      <w:r w:rsidRPr="00BD7BB1">
        <w:rPr>
          <w:rFonts w:ascii="Times New Roman" w:eastAsia="Times New Roman" w:hAnsi="Times New Roman"/>
          <w:b/>
          <w:color w:val="auto"/>
          <w:sz w:val="24"/>
          <w:szCs w:val="24"/>
          <w:lang w:val="bg-BG" w:eastAsia="bg-BG"/>
        </w:rPr>
        <w:t xml:space="preserve">2 654 556,30 лв. </w:t>
      </w:r>
    </w:p>
    <w:p w:rsidR="00F25110" w:rsidRPr="00BD7BB1" w:rsidRDefault="00F25110" w:rsidP="007A75A4">
      <w:pPr>
        <w:spacing w:after="0" w:line="360" w:lineRule="auto"/>
        <w:ind w:firstLine="720"/>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bg-BG" w:eastAsia="bg-BG"/>
        </w:rPr>
        <w:t xml:space="preserve">Извършен е Превантивен Ремонт на участък от път ІІ-56 /І-6/- Павел баня, от км 17+355 до км 19+500, на обща стойност </w:t>
      </w:r>
      <w:r w:rsidRPr="00BD7BB1">
        <w:rPr>
          <w:rFonts w:ascii="Times New Roman" w:eastAsia="Times New Roman" w:hAnsi="Times New Roman"/>
          <w:color w:val="auto"/>
          <w:sz w:val="24"/>
          <w:szCs w:val="24"/>
          <w:u w:val="single"/>
          <w:lang w:val="bg-BG" w:eastAsia="bg-BG"/>
        </w:rPr>
        <w:t>499 978,90 лв</w:t>
      </w:r>
      <w:r w:rsidRPr="00BD7BB1">
        <w:rPr>
          <w:rFonts w:ascii="Times New Roman" w:eastAsia="Times New Roman" w:hAnsi="Times New Roman"/>
          <w:color w:val="auto"/>
          <w:sz w:val="24"/>
          <w:szCs w:val="24"/>
          <w:lang w:val="bg-BG" w:eastAsia="bg-BG"/>
        </w:rPr>
        <w:t>., включващ   кърпеж на настилката и полагане на цял пласт асфалтобетон, подравняване на банкети, полагане на маркировка.</w:t>
      </w:r>
      <w:r w:rsidRPr="00BD7BB1">
        <w:rPr>
          <w:rFonts w:ascii="Times New Roman" w:eastAsia="Times New Roman" w:hAnsi="Times New Roman"/>
          <w:color w:val="auto"/>
          <w:sz w:val="24"/>
          <w:szCs w:val="24"/>
          <w:lang w:eastAsia="bg-BG"/>
        </w:rPr>
        <w:t>-2</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eastAsia="bg-BG"/>
        </w:rPr>
        <w:t>145</w:t>
      </w:r>
      <w:r w:rsidRPr="00BD7BB1">
        <w:rPr>
          <w:rFonts w:ascii="Times New Roman" w:eastAsia="Times New Roman" w:hAnsi="Times New Roman"/>
          <w:color w:val="auto"/>
          <w:sz w:val="24"/>
          <w:szCs w:val="24"/>
          <w:lang w:val="bg-BG" w:eastAsia="bg-BG"/>
        </w:rPr>
        <w:t>км./</w:t>
      </w:r>
    </w:p>
    <w:p w:rsidR="00F25110" w:rsidRPr="00BD7BB1" w:rsidRDefault="00F25110" w:rsidP="007A75A4">
      <w:pPr>
        <w:spacing w:before="100" w:beforeAutospacing="1" w:after="100" w:afterAutospacing="1" w:line="360" w:lineRule="auto"/>
        <w:ind w:firstLine="708"/>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b/>
          <w:color w:val="auto"/>
          <w:sz w:val="24"/>
          <w:szCs w:val="24"/>
          <w:lang w:val="bg-BG" w:eastAsia="bg-BG"/>
        </w:rPr>
        <w:t xml:space="preserve">За зимно поддържане през 2014г. , </w:t>
      </w:r>
      <w:r w:rsidRPr="00BD7BB1">
        <w:rPr>
          <w:rFonts w:ascii="Times New Roman" w:eastAsia="Times New Roman" w:hAnsi="Times New Roman"/>
          <w:color w:val="auto"/>
          <w:sz w:val="24"/>
          <w:szCs w:val="24"/>
          <w:lang w:val="bg-BG" w:eastAsia="bg-BG"/>
        </w:rPr>
        <w:t xml:space="preserve">извършените видове работи са на стойност: </w:t>
      </w:r>
      <w:r w:rsidRPr="00BD7BB1">
        <w:rPr>
          <w:rFonts w:ascii="Times New Roman" w:eastAsia="Times New Roman" w:hAnsi="Times New Roman"/>
          <w:b/>
          <w:color w:val="auto"/>
          <w:sz w:val="24"/>
          <w:szCs w:val="24"/>
          <w:lang w:val="bg-BG" w:eastAsia="bg-BG"/>
        </w:rPr>
        <w:t xml:space="preserve">2 623 967,10 лв., </w:t>
      </w:r>
      <w:r w:rsidRPr="00BD7BB1">
        <w:rPr>
          <w:rFonts w:ascii="Times New Roman" w:eastAsia="Times New Roman" w:hAnsi="Times New Roman"/>
          <w:color w:val="auto"/>
          <w:sz w:val="24"/>
          <w:szCs w:val="24"/>
          <w:lang w:val="bg-BG" w:eastAsia="bg-BG"/>
        </w:rPr>
        <w:t>както следва:</w:t>
      </w:r>
      <w:r w:rsidRPr="00BD7BB1">
        <w:rPr>
          <w:rFonts w:ascii="Times New Roman" w:eastAsia="Times New Roman" w:hAnsi="Times New Roman"/>
          <w:b/>
          <w:color w:val="auto"/>
          <w:sz w:val="24"/>
          <w:szCs w:val="24"/>
          <w:lang w:val="bg-BG" w:eastAsia="bg-BG"/>
        </w:rPr>
        <w:t xml:space="preserve"> АМ „Тракия</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i/>
          <w:color w:val="auto"/>
          <w:sz w:val="24"/>
          <w:szCs w:val="24"/>
          <w:lang w:val="bg-BG" w:eastAsia="bg-BG"/>
        </w:rPr>
        <w:t>ЛОТ 1</w:t>
      </w:r>
      <w:r w:rsidRPr="00BD7BB1">
        <w:rPr>
          <w:rFonts w:ascii="Times New Roman" w:eastAsia="Times New Roman" w:hAnsi="Times New Roman"/>
          <w:color w:val="auto"/>
          <w:sz w:val="24"/>
          <w:szCs w:val="24"/>
          <w:lang w:val="bg-BG" w:eastAsia="bg-BG"/>
        </w:rPr>
        <w:t xml:space="preserve"> от км 156+284 до км 208+181: </w:t>
      </w:r>
      <w:r w:rsidRPr="00BD7BB1">
        <w:rPr>
          <w:rFonts w:ascii="Times New Roman" w:eastAsia="Times New Roman" w:hAnsi="Times New Roman"/>
          <w:b/>
          <w:color w:val="auto"/>
          <w:sz w:val="24"/>
          <w:szCs w:val="24"/>
          <w:lang w:val="bg-BG" w:eastAsia="bg-BG"/>
        </w:rPr>
        <w:t>599 157,30 лв</w:t>
      </w:r>
      <w:r w:rsidRPr="00BD7BB1">
        <w:rPr>
          <w:rFonts w:ascii="Times New Roman" w:eastAsia="Times New Roman" w:hAnsi="Times New Roman"/>
          <w:color w:val="auto"/>
          <w:sz w:val="24"/>
          <w:szCs w:val="24"/>
          <w:lang w:val="bg-BG" w:eastAsia="bg-BG"/>
        </w:rPr>
        <w:t>. ;</w:t>
      </w:r>
      <w:r w:rsidRPr="00BD7BB1">
        <w:rPr>
          <w:rFonts w:ascii="Times New Roman" w:eastAsia="Times New Roman" w:hAnsi="Times New Roman"/>
          <w:b/>
          <w:color w:val="auto"/>
          <w:sz w:val="24"/>
          <w:szCs w:val="24"/>
          <w:lang w:val="bg-BG" w:eastAsia="bg-BG"/>
        </w:rPr>
        <w:t xml:space="preserve"> АМ „Тракия</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color w:val="auto"/>
          <w:sz w:val="24"/>
          <w:szCs w:val="24"/>
          <w:lang w:val="bg-BG" w:eastAsia="bg-BG"/>
        </w:rPr>
        <w:t>ЛОТ 2 -</w:t>
      </w:r>
      <w:r w:rsidRPr="00BD7BB1">
        <w:rPr>
          <w:rFonts w:ascii="Times New Roman" w:eastAsia="Times New Roman" w:hAnsi="Times New Roman"/>
          <w:color w:val="auto"/>
          <w:sz w:val="24"/>
          <w:szCs w:val="24"/>
          <w:lang w:val="bg-BG" w:eastAsia="bg-BG"/>
        </w:rPr>
        <w:t xml:space="preserve">от км 208+181 до км 229+286: </w:t>
      </w:r>
      <w:r w:rsidRPr="00BD7BB1">
        <w:rPr>
          <w:rFonts w:ascii="Times New Roman" w:eastAsia="Times New Roman" w:hAnsi="Times New Roman"/>
          <w:b/>
          <w:color w:val="auto"/>
          <w:sz w:val="24"/>
          <w:szCs w:val="24"/>
          <w:lang w:val="bg-BG" w:eastAsia="bg-BG"/>
        </w:rPr>
        <w:t xml:space="preserve">34 128,00 лв.; </w:t>
      </w:r>
      <w:r w:rsidRPr="00BD7BB1">
        <w:rPr>
          <w:rFonts w:ascii="Times New Roman" w:eastAsia="Times New Roman" w:hAnsi="Times New Roman"/>
          <w:color w:val="auto"/>
          <w:sz w:val="24"/>
          <w:szCs w:val="24"/>
          <w:lang w:val="bg-BG" w:eastAsia="bg-BG"/>
        </w:rPr>
        <w:t xml:space="preserve">Републиканската пътна мрежа </w:t>
      </w:r>
      <w:r w:rsidRPr="00BD7BB1">
        <w:rPr>
          <w:rFonts w:ascii="Times New Roman" w:eastAsia="Times New Roman" w:hAnsi="Times New Roman"/>
          <w:b/>
          <w:color w:val="auto"/>
          <w:sz w:val="24"/>
          <w:szCs w:val="24"/>
          <w:lang w:val="bg-BG" w:eastAsia="bg-BG"/>
        </w:rPr>
        <w:t xml:space="preserve">І, ІІ и </w:t>
      </w:r>
      <w:r w:rsidRPr="00BD7BB1">
        <w:rPr>
          <w:rFonts w:ascii="Times New Roman" w:eastAsia="Times New Roman" w:hAnsi="Times New Roman"/>
          <w:b/>
          <w:color w:val="auto"/>
          <w:sz w:val="24"/>
          <w:szCs w:val="24"/>
          <w:lang w:val="bg-BG" w:eastAsia="bg-BG"/>
        </w:rPr>
        <w:softHyphen/>
      </w:r>
      <w:r w:rsidRPr="00BD7BB1">
        <w:rPr>
          <w:rFonts w:ascii="Times New Roman" w:eastAsia="Times New Roman" w:hAnsi="Times New Roman"/>
          <w:b/>
          <w:color w:val="auto"/>
          <w:sz w:val="24"/>
          <w:szCs w:val="24"/>
          <w:lang w:val="bg-BG" w:eastAsia="bg-BG"/>
        </w:rPr>
        <w:softHyphen/>
      </w:r>
      <w:r w:rsidRPr="00BD7BB1">
        <w:rPr>
          <w:rFonts w:ascii="Times New Roman" w:eastAsia="Times New Roman" w:hAnsi="Times New Roman"/>
          <w:b/>
          <w:color w:val="auto"/>
          <w:sz w:val="24"/>
          <w:szCs w:val="24"/>
          <w:lang w:val="bg-BG" w:eastAsia="bg-BG"/>
        </w:rPr>
        <w:softHyphen/>
        <w:t>ІІІ клас</w:t>
      </w:r>
      <w:r w:rsidRPr="00BD7BB1">
        <w:rPr>
          <w:rFonts w:ascii="Times New Roman" w:eastAsia="Times New Roman" w:hAnsi="Times New Roman"/>
          <w:color w:val="auto"/>
          <w:sz w:val="24"/>
          <w:szCs w:val="24"/>
          <w:lang w:val="bg-BG" w:eastAsia="bg-BG"/>
        </w:rPr>
        <w:t xml:space="preserve"> пътища: </w:t>
      </w:r>
      <w:r w:rsidRPr="00BD7BB1">
        <w:rPr>
          <w:rFonts w:ascii="Times New Roman" w:eastAsia="Times New Roman" w:hAnsi="Times New Roman"/>
          <w:b/>
          <w:color w:val="auto"/>
          <w:sz w:val="24"/>
          <w:szCs w:val="24"/>
          <w:lang w:val="bg-BG" w:eastAsia="bg-BG"/>
        </w:rPr>
        <w:t>1 990 681,80 лв.</w:t>
      </w:r>
    </w:p>
    <w:p w:rsidR="00F25110" w:rsidRPr="00BD7BB1" w:rsidRDefault="00F25110" w:rsidP="00F25110">
      <w:pPr>
        <w:spacing w:before="100" w:beforeAutospacing="1" w:after="100" w:afterAutospacing="1" w:line="240" w:lineRule="auto"/>
        <w:ind w:firstLine="708"/>
        <w:rPr>
          <w:rFonts w:ascii="Times New Roman" w:eastAsia="Times New Roman" w:hAnsi="Times New Roman"/>
          <w:b/>
          <w:bCs/>
          <w:color w:val="auto"/>
          <w:sz w:val="24"/>
          <w:szCs w:val="24"/>
          <w:u w:val="single"/>
          <w:lang w:val="ru-RU" w:eastAsia="bg-BG"/>
        </w:rPr>
      </w:pPr>
      <w:r w:rsidRPr="00BD7BB1">
        <w:rPr>
          <w:rFonts w:ascii="Times New Roman" w:eastAsia="Times New Roman" w:hAnsi="Times New Roman"/>
          <w:b/>
          <w:bCs/>
          <w:color w:val="auto"/>
          <w:sz w:val="24"/>
          <w:szCs w:val="24"/>
          <w:u w:val="single"/>
          <w:lang w:val="ru-RU" w:eastAsia="bg-BG"/>
        </w:rPr>
        <w:t>ОПУ  Сливен</w:t>
      </w:r>
    </w:p>
    <w:p w:rsidR="00F25110" w:rsidRPr="00BD7BB1" w:rsidRDefault="00F25110" w:rsidP="007A75A4">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Областно пътно управление - Сливен</w:t>
      </w:r>
      <w:r w:rsidRPr="00BD7BB1">
        <w:rPr>
          <w:rFonts w:ascii="Times New Roman" w:eastAsia="Times New Roman" w:hAnsi="Times New Roman"/>
          <w:color w:val="auto"/>
          <w:sz w:val="24"/>
          <w:szCs w:val="24"/>
          <w:lang w:val="bg-BG" w:eastAsia="bg-BG"/>
        </w:rPr>
        <w:t xml:space="preserve">  стопанисва и поддържа 584,658 км пътища от  Републиканската пътна мрежа на територията на Област Сливен, разпределени по класове, както следва: АМ „Тракия” – 44,1 км; I-ви клас – 84,8 км; II- ри клас – 201,6 км; III- ти клас – 242 км и  Пътни връзки – 13,8 км.  </w:t>
      </w:r>
    </w:p>
    <w:p w:rsidR="00F25110" w:rsidRPr="00BD7BB1" w:rsidRDefault="00F25110" w:rsidP="00F25110">
      <w:pPr>
        <w:spacing w:after="0" w:line="360" w:lineRule="auto"/>
        <w:jc w:val="both"/>
        <w:rPr>
          <w:rFonts w:ascii="Times New Roman" w:eastAsia="Times New Roman" w:hAnsi="Times New Roman" w:cs="Arial"/>
          <w:color w:val="auto"/>
          <w:sz w:val="24"/>
          <w:szCs w:val="24"/>
          <w:u w:val="single"/>
          <w:lang w:val="bg-BG"/>
        </w:rPr>
      </w:pPr>
      <w:r w:rsidRPr="00BD7BB1">
        <w:rPr>
          <w:rFonts w:ascii="Times New Roman" w:eastAsia="Times New Roman" w:hAnsi="Times New Roman" w:cs="Arial"/>
          <w:b/>
          <w:color w:val="auto"/>
          <w:sz w:val="24"/>
          <w:szCs w:val="24"/>
          <w:lang w:val="bg-BG"/>
        </w:rPr>
        <w:t xml:space="preserve">Публична  инвестиционна програма „ Растеж  и устойчево  развитие на регионите” – 2014 г. : </w:t>
      </w:r>
      <w:r w:rsidRPr="00BD7BB1">
        <w:rPr>
          <w:rFonts w:ascii="Times New Roman" w:eastAsia="Times New Roman" w:hAnsi="Times New Roman"/>
          <w:color w:val="auto"/>
          <w:sz w:val="24"/>
          <w:szCs w:val="24"/>
          <w:lang w:val="bg-BG"/>
        </w:rPr>
        <w:t xml:space="preserve">Ремонт на път ІІІ-5305 / път І-7, обход на гр. Ямбол – с. Веселиново – с. Завой – с. Жельо войвода – път І-6, с. Калояново/ в участъка от км 15+000 до км 20+0001. </w:t>
      </w:r>
    </w:p>
    <w:p w:rsidR="00F25110" w:rsidRPr="00BD7BB1" w:rsidRDefault="00F25110" w:rsidP="00F25110">
      <w:pPr>
        <w:tabs>
          <w:tab w:val="left" w:pos="708"/>
          <w:tab w:val="center" w:pos="4320"/>
          <w:tab w:val="right" w:pos="8640"/>
        </w:tabs>
        <w:spacing w:after="0" w:line="360" w:lineRule="auto"/>
        <w:jc w:val="both"/>
        <w:rPr>
          <w:rFonts w:ascii="Times New Roman" w:eastAsia="Times New Roman" w:hAnsi="Times New Roman" w:cs="Arial"/>
          <w:color w:val="auto"/>
          <w:sz w:val="24"/>
          <w:szCs w:val="24"/>
          <w:lang w:val="bg-BG"/>
        </w:rPr>
      </w:pPr>
      <w:r w:rsidRPr="00BD7BB1">
        <w:rPr>
          <w:rFonts w:ascii="Times New Roman" w:eastAsia="Times New Roman" w:hAnsi="Times New Roman"/>
          <w:color w:val="auto"/>
          <w:sz w:val="24"/>
          <w:szCs w:val="24"/>
          <w:lang w:val="bg-BG"/>
        </w:rPr>
        <w:t>Отпуснати средства от Публична инвестиционна програма „Растеж и устойчиво  развитие на регионите”:</w:t>
      </w:r>
      <w:r w:rsidRPr="00BD7BB1">
        <w:rPr>
          <w:rFonts w:ascii="Times New Roman" w:eastAsia="Times New Roman" w:hAnsi="Times New Roman"/>
          <w:i/>
          <w:color w:val="auto"/>
          <w:sz w:val="24"/>
          <w:szCs w:val="24"/>
          <w:lang w:val="bg-BG"/>
        </w:rPr>
        <w:t xml:space="preserve"> </w:t>
      </w:r>
      <w:r w:rsidRPr="00BD7BB1">
        <w:rPr>
          <w:rFonts w:ascii="Times New Roman" w:eastAsia="Times New Roman" w:hAnsi="Times New Roman" w:cs="Arial"/>
          <w:color w:val="auto"/>
          <w:sz w:val="24"/>
          <w:szCs w:val="24"/>
          <w:lang w:val="bg-BG"/>
        </w:rPr>
        <w:t xml:space="preserve">1 630 000 лв. с ДДС  с ПМС 19/07.02.2014 г., Ремонтните работи са завършени  на стойност  </w:t>
      </w:r>
      <w:r w:rsidRPr="00BD7BB1">
        <w:rPr>
          <w:rFonts w:ascii="Times New Roman" w:eastAsia="Times New Roman" w:hAnsi="Times New Roman" w:cs="Arial"/>
          <w:color w:val="auto"/>
          <w:sz w:val="24"/>
          <w:szCs w:val="24"/>
        </w:rPr>
        <w:t xml:space="preserve">1 </w:t>
      </w:r>
      <w:r w:rsidRPr="00BD7BB1">
        <w:rPr>
          <w:rFonts w:ascii="Times New Roman" w:eastAsia="Times New Roman" w:hAnsi="Times New Roman" w:cs="Arial"/>
          <w:color w:val="auto"/>
          <w:sz w:val="24"/>
          <w:szCs w:val="24"/>
          <w:lang w:val="bg-BG"/>
        </w:rPr>
        <w:t>583 389,19</w:t>
      </w:r>
      <w:r w:rsidRPr="00BD7BB1">
        <w:rPr>
          <w:rFonts w:ascii="Times New Roman" w:eastAsia="Times New Roman" w:hAnsi="Times New Roman" w:cs="Arial"/>
          <w:color w:val="auto"/>
          <w:sz w:val="24"/>
          <w:szCs w:val="24"/>
        </w:rPr>
        <w:t xml:space="preserve"> </w:t>
      </w:r>
      <w:r w:rsidRPr="00BD7BB1">
        <w:rPr>
          <w:rFonts w:ascii="Times New Roman" w:eastAsia="Times New Roman" w:hAnsi="Times New Roman" w:cs="Arial"/>
          <w:color w:val="auto"/>
          <w:sz w:val="24"/>
          <w:szCs w:val="24"/>
          <w:lang w:val="bg-BG"/>
        </w:rPr>
        <w:t>лв. с ДДС.</w:t>
      </w:r>
    </w:p>
    <w:p w:rsidR="00F25110" w:rsidRPr="00BD7BB1" w:rsidRDefault="00F25110" w:rsidP="00F25110">
      <w:pPr>
        <w:tabs>
          <w:tab w:val="left" w:pos="708"/>
          <w:tab w:val="center" w:pos="4320"/>
          <w:tab w:val="right" w:pos="8640"/>
        </w:tabs>
        <w:spacing w:after="0" w:line="240" w:lineRule="auto"/>
        <w:jc w:val="both"/>
        <w:rPr>
          <w:rFonts w:ascii="Times New Roman" w:eastAsia="Times New Roman" w:hAnsi="Times New Roman" w:cs="Arial"/>
          <w:color w:val="auto"/>
          <w:sz w:val="24"/>
          <w:szCs w:val="24"/>
          <w:lang w:val="bg-BG"/>
        </w:rPr>
      </w:pPr>
    </w:p>
    <w:p w:rsidR="00F25110" w:rsidRPr="00BD7BB1" w:rsidRDefault="007A75A4" w:rsidP="00F25110">
      <w:pPr>
        <w:tabs>
          <w:tab w:val="left" w:pos="708"/>
          <w:tab w:val="center" w:pos="4320"/>
          <w:tab w:val="right" w:pos="8640"/>
        </w:tabs>
        <w:spacing w:after="0" w:line="360" w:lineRule="auto"/>
        <w:jc w:val="both"/>
        <w:rPr>
          <w:rFonts w:ascii="Times New Roman" w:eastAsia="Times New Roman" w:hAnsi="Times New Roman" w:cs="Arial"/>
          <w:color w:val="auto"/>
          <w:sz w:val="24"/>
          <w:szCs w:val="24"/>
          <w:lang w:val="bg-BG"/>
        </w:rPr>
      </w:pPr>
      <w:r>
        <w:rPr>
          <w:rFonts w:ascii="Times New Roman" w:eastAsia="Times New Roman" w:hAnsi="Times New Roman" w:cs="Arial"/>
          <w:color w:val="auto"/>
          <w:sz w:val="24"/>
          <w:szCs w:val="24"/>
          <w:lang w:val="bg-BG"/>
        </w:rPr>
        <w:tab/>
      </w:r>
      <w:r w:rsidR="00F25110" w:rsidRPr="00BD7BB1">
        <w:rPr>
          <w:rFonts w:ascii="Times New Roman" w:eastAsia="Times New Roman" w:hAnsi="Times New Roman" w:cs="Arial"/>
          <w:color w:val="auto"/>
          <w:sz w:val="24"/>
          <w:szCs w:val="24"/>
          <w:lang w:val="bg-BG"/>
        </w:rPr>
        <w:t>Превантивните ремонтни дейности са изпълнени по Договора № РД-38-390/02.11.2011 г за текущ ремонт и поддържане на републиканската пътна мрежа на територията на област Сливен . Изпълнител: ДЗЗД ”Строителство и поддържане на пътища”, Сливен.</w:t>
      </w:r>
    </w:p>
    <w:p w:rsidR="00F25110" w:rsidRPr="00BD7BB1" w:rsidRDefault="00F25110" w:rsidP="00F25110">
      <w:pPr>
        <w:spacing w:after="0" w:line="360" w:lineRule="auto"/>
        <w:ind w:firstLine="720"/>
        <w:jc w:val="both"/>
        <w:rPr>
          <w:rFonts w:ascii="Times New Roman" w:eastAsia="Times New Roman" w:hAnsi="Times New Roman" w:cs="Arial"/>
          <w:color w:val="auto"/>
          <w:sz w:val="24"/>
          <w:szCs w:val="24"/>
          <w:lang w:val="bg-BG"/>
        </w:rPr>
      </w:pPr>
      <w:r w:rsidRPr="00BD7BB1">
        <w:rPr>
          <w:rFonts w:ascii="Times New Roman" w:eastAsia="Times New Roman" w:hAnsi="Times New Roman" w:cs="Arial"/>
          <w:color w:val="auto"/>
          <w:sz w:val="24"/>
          <w:szCs w:val="24"/>
          <w:lang w:val="bg-BG"/>
        </w:rPr>
        <w:t xml:space="preserve">Пътят свързва </w:t>
      </w:r>
      <w:r w:rsidRPr="00BD7BB1">
        <w:rPr>
          <w:rFonts w:ascii="Times New Roman" w:eastAsia="Times New Roman" w:hAnsi="Times New Roman"/>
          <w:color w:val="auto"/>
          <w:sz w:val="24"/>
          <w:szCs w:val="24"/>
          <w:lang w:val="bg-BG"/>
        </w:rPr>
        <w:t>път І-7, обход на гр. Ямбол – с. Веселиново – с. Завой – с. Жельо войвода – път І-6 /София – Бургас/ при с. Калояново</w:t>
      </w:r>
      <w:r w:rsidRPr="00BD7BB1">
        <w:rPr>
          <w:rFonts w:ascii="Times New Roman" w:eastAsia="Times New Roman" w:hAnsi="Times New Roman" w:cs="Arial"/>
          <w:color w:val="auto"/>
          <w:sz w:val="24"/>
          <w:szCs w:val="24"/>
          <w:lang w:val="bg-BG"/>
        </w:rPr>
        <w:t xml:space="preserve">, Обща дължина: </w:t>
      </w:r>
      <w:r w:rsidRPr="00BD7BB1">
        <w:rPr>
          <w:rFonts w:ascii="Times New Roman" w:eastAsia="Times New Roman" w:hAnsi="Times New Roman" w:cs="Arial"/>
          <w:color w:val="auto"/>
          <w:sz w:val="24"/>
          <w:szCs w:val="24"/>
        </w:rPr>
        <w:t>5</w:t>
      </w:r>
      <w:r w:rsidRPr="00BD7BB1">
        <w:rPr>
          <w:rFonts w:ascii="Times New Roman" w:eastAsia="Times New Roman" w:hAnsi="Times New Roman" w:cs="Arial"/>
          <w:color w:val="auto"/>
          <w:sz w:val="24"/>
          <w:szCs w:val="24"/>
          <w:lang w:val="bg-BG"/>
        </w:rPr>
        <w:t xml:space="preserve">, </w:t>
      </w:r>
      <w:smartTag w:uri="urn:schemas-microsoft-com:office:smarttags" w:element="metricconverter">
        <w:smartTagPr>
          <w:attr w:name="ProductID" w:val="000 км"/>
        </w:smartTagPr>
        <w:r w:rsidRPr="00BD7BB1">
          <w:rPr>
            <w:rFonts w:ascii="Times New Roman" w:eastAsia="Times New Roman" w:hAnsi="Times New Roman" w:cs="Arial"/>
            <w:color w:val="auto"/>
            <w:sz w:val="24"/>
            <w:szCs w:val="24"/>
          </w:rPr>
          <w:t>000</w:t>
        </w:r>
        <w:r w:rsidRPr="00BD7BB1">
          <w:rPr>
            <w:rFonts w:ascii="Times New Roman" w:eastAsia="Times New Roman" w:hAnsi="Times New Roman" w:cs="Arial"/>
            <w:color w:val="auto"/>
            <w:sz w:val="24"/>
            <w:szCs w:val="24"/>
            <w:lang w:val="bg-BG"/>
          </w:rPr>
          <w:t xml:space="preserve"> км</w:t>
        </w:r>
      </w:smartTag>
      <w:r w:rsidRPr="00BD7BB1">
        <w:rPr>
          <w:rFonts w:ascii="Times New Roman" w:eastAsia="Times New Roman" w:hAnsi="Times New Roman" w:cs="Arial"/>
          <w:color w:val="auto"/>
          <w:sz w:val="24"/>
          <w:szCs w:val="24"/>
          <w:lang w:val="bg-BG"/>
        </w:rPr>
        <w:t xml:space="preserve"> в участъка на област Сливен.</w:t>
      </w:r>
    </w:p>
    <w:p w:rsidR="00F25110" w:rsidRPr="00BD7BB1" w:rsidRDefault="00F25110" w:rsidP="00F25110">
      <w:pPr>
        <w:spacing w:after="0" w:line="360" w:lineRule="auto"/>
        <w:ind w:firstLine="720"/>
        <w:jc w:val="both"/>
        <w:rPr>
          <w:rFonts w:ascii="Times New Roman" w:eastAsia="Times New Roman" w:hAnsi="Times New Roman" w:cs="Arial"/>
          <w:color w:val="auto"/>
          <w:sz w:val="24"/>
          <w:szCs w:val="24"/>
          <w:lang w:val="bg-BG"/>
        </w:rPr>
      </w:pPr>
      <w:r w:rsidRPr="00BD7BB1">
        <w:rPr>
          <w:rFonts w:ascii="Times New Roman" w:eastAsia="Times New Roman" w:hAnsi="Times New Roman" w:cs="Arial"/>
          <w:color w:val="auto"/>
          <w:sz w:val="24"/>
          <w:szCs w:val="24"/>
          <w:lang w:val="bg-BG"/>
        </w:rPr>
        <w:t>С извършените ремонтни дейности се цели да се възстановят транспортно-експлоатационните качества и носимоспособността на настилката. Осигурява се безопасност на движението и добро отводняване на пътя.</w:t>
      </w:r>
    </w:p>
    <w:p w:rsidR="00F25110" w:rsidRPr="00BD7BB1" w:rsidRDefault="00F25110" w:rsidP="00F25110">
      <w:pPr>
        <w:spacing w:after="0" w:line="360" w:lineRule="auto"/>
        <w:ind w:firstLine="720"/>
        <w:jc w:val="both"/>
        <w:rPr>
          <w:rFonts w:ascii="Times New Roman" w:eastAsia="Times New Roman" w:hAnsi="Times New Roman" w:cs="Arial"/>
          <w:color w:val="auto"/>
          <w:sz w:val="24"/>
          <w:szCs w:val="24"/>
          <w:lang w:val="bg-BG"/>
        </w:rPr>
      </w:pPr>
      <w:r w:rsidRPr="00BD7BB1">
        <w:rPr>
          <w:rFonts w:ascii="Times New Roman" w:eastAsia="Times New Roman" w:hAnsi="Times New Roman" w:cs="Arial"/>
          <w:color w:val="auto"/>
          <w:sz w:val="24"/>
          <w:szCs w:val="24"/>
          <w:lang w:val="bg-BG"/>
        </w:rPr>
        <w:t>Във връзка с ремонта на пътния участък беше възстановена цялата вертикалнасигнализация, хоризонтална маркировка и еластични огради. Бяха почистени и ремонтирани отводнителните съоръжения – канавки, водостоци и др.</w:t>
      </w:r>
      <w:r w:rsidR="00B361AE">
        <w:rPr>
          <w:rFonts w:ascii="Times New Roman" w:eastAsia="Times New Roman" w:hAnsi="Times New Roman" w:cs="Arial"/>
          <w:color w:val="auto"/>
          <w:sz w:val="24"/>
          <w:szCs w:val="24"/>
          <w:lang w:val="bg-BG"/>
        </w:rPr>
        <w:t xml:space="preserve"> </w:t>
      </w:r>
      <w:r w:rsidRPr="00BD7BB1">
        <w:rPr>
          <w:rFonts w:ascii="Times New Roman" w:eastAsia="Times New Roman" w:hAnsi="Times New Roman" w:cs="Arial"/>
          <w:color w:val="auto"/>
          <w:sz w:val="24"/>
          <w:szCs w:val="24"/>
          <w:lang w:val="bg-BG"/>
        </w:rPr>
        <w:t>Проектът е завършен.</w:t>
      </w:r>
    </w:p>
    <w:p w:rsidR="00F25110" w:rsidRPr="00BD7BB1" w:rsidRDefault="00F25110" w:rsidP="00F25110">
      <w:pPr>
        <w:spacing w:after="0" w:line="240" w:lineRule="auto"/>
        <w:ind w:firstLine="720"/>
        <w:jc w:val="both"/>
        <w:rPr>
          <w:rFonts w:ascii="Times New Roman" w:eastAsia="Times New Roman" w:hAnsi="Times New Roman" w:cs="Arial"/>
          <w:color w:val="auto"/>
          <w:sz w:val="24"/>
          <w:szCs w:val="24"/>
          <w:lang w:val="bg-BG"/>
        </w:rPr>
      </w:pPr>
    </w:p>
    <w:p w:rsidR="00F25110" w:rsidRPr="00BD7BB1" w:rsidRDefault="00F25110" w:rsidP="007A75A4">
      <w:pPr>
        <w:spacing w:after="0" w:line="360" w:lineRule="auto"/>
        <w:ind w:firstLine="720"/>
        <w:jc w:val="both"/>
        <w:rPr>
          <w:rFonts w:ascii="Times New Roman" w:eastAsia="Times New Roman" w:hAnsi="Times New Roman" w:cs="Arial"/>
          <w:b/>
          <w:color w:val="auto"/>
          <w:sz w:val="24"/>
          <w:szCs w:val="24"/>
          <w:u w:val="single"/>
          <w:lang w:val="bg-BG"/>
        </w:rPr>
      </w:pPr>
      <w:r w:rsidRPr="00BD7BB1">
        <w:rPr>
          <w:rFonts w:ascii="Times New Roman" w:eastAsia="Times New Roman" w:hAnsi="Times New Roman" w:cs="Arial"/>
          <w:color w:val="auto"/>
          <w:sz w:val="24"/>
          <w:szCs w:val="24"/>
          <w:lang w:val="bg-BG"/>
        </w:rPr>
        <w:t xml:space="preserve">Инвестиционни проекти, реализирани със средства от републиканския бюджет през 2014 г. „Ремонт на </w:t>
      </w:r>
      <w:r w:rsidRPr="00BD7BB1">
        <w:rPr>
          <w:rFonts w:ascii="Times New Roman" w:eastAsia="Times New Roman" w:hAnsi="Times New Roman" w:cs="Arial"/>
          <w:color w:val="auto"/>
          <w:sz w:val="24"/>
          <w:szCs w:val="24"/>
          <w:lang w:val="en-GB"/>
        </w:rPr>
        <w:t>път III-706 / Гран. Област Търговище – Ябланово – Филаретова – Тича - /ІІ-48//</w:t>
      </w:r>
      <w:r w:rsidRPr="00BD7BB1">
        <w:rPr>
          <w:rFonts w:ascii="Times New Roman" w:eastAsia="Times New Roman" w:hAnsi="Times New Roman" w:cs="Arial"/>
          <w:color w:val="auto"/>
          <w:sz w:val="24"/>
          <w:szCs w:val="24"/>
          <w:lang w:val="bg-BG"/>
        </w:rPr>
        <w:t xml:space="preserve">  в участъка от км. 7+500 до км. 20+700 . Пътят свързва </w:t>
      </w:r>
      <w:r w:rsidRPr="00BD7BB1">
        <w:rPr>
          <w:rFonts w:ascii="Times New Roman" w:eastAsia="Times New Roman" w:hAnsi="Times New Roman"/>
          <w:color w:val="auto"/>
          <w:sz w:val="24"/>
          <w:szCs w:val="24"/>
          <w:lang w:val="bg-BG"/>
        </w:rPr>
        <w:t>път І-7 /</w:t>
      </w:r>
      <w:r w:rsidRPr="00BD7BB1">
        <w:rPr>
          <w:rFonts w:ascii="Times New Roman" w:eastAsia="Times New Roman" w:hAnsi="Times New Roman" w:cs="Arial"/>
          <w:color w:val="auto"/>
          <w:sz w:val="24"/>
          <w:szCs w:val="24"/>
          <w:lang w:val="bg-BG"/>
        </w:rPr>
        <w:t>г</w:t>
      </w:r>
      <w:r w:rsidRPr="00BD7BB1">
        <w:rPr>
          <w:rFonts w:ascii="Times New Roman" w:eastAsia="Times New Roman" w:hAnsi="Times New Roman" w:cs="Arial"/>
          <w:color w:val="auto"/>
          <w:sz w:val="24"/>
          <w:szCs w:val="24"/>
        </w:rPr>
        <w:t xml:space="preserve">ран. Област Търговище – </w:t>
      </w:r>
      <w:r w:rsidRPr="00BD7BB1">
        <w:rPr>
          <w:rFonts w:ascii="Times New Roman" w:eastAsia="Times New Roman" w:hAnsi="Times New Roman" w:cs="Arial"/>
          <w:color w:val="auto"/>
          <w:sz w:val="24"/>
          <w:szCs w:val="24"/>
          <w:lang w:val="bg-BG"/>
        </w:rPr>
        <w:t xml:space="preserve">с. </w:t>
      </w:r>
      <w:r w:rsidRPr="00BD7BB1">
        <w:rPr>
          <w:rFonts w:ascii="Times New Roman" w:eastAsia="Times New Roman" w:hAnsi="Times New Roman" w:cs="Arial"/>
          <w:color w:val="auto"/>
          <w:sz w:val="24"/>
          <w:szCs w:val="24"/>
        </w:rPr>
        <w:t xml:space="preserve">Ябланово – </w:t>
      </w:r>
      <w:r w:rsidRPr="00BD7BB1">
        <w:rPr>
          <w:rFonts w:ascii="Times New Roman" w:eastAsia="Times New Roman" w:hAnsi="Times New Roman" w:cs="Arial"/>
          <w:color w:val="auto"/>
          <w:sz w:val="24"/>
          <w:szCs w:val="24"/>
          <w:lang w:val="bg-BG"/>
        </w:rPr>
        <w:t>с. Малко село – с.</w:t>
      </w:r>
      <w:r w:rsidRPr="00BD7BB1">
        <w:rPr>
          <w:rFonts w:ascii="Times New Roman" w:eastAsia="Times New Roman" w:hAnsi="Times New Roman" w:cs="Arial"/>
          <w:color w:val="auto"/>
          <w:sz w:val="24"/>
          <w:szCs w:val="24"/>
        </w:rPr>
        <w:t>Филаретов</w:t>
      </w:r>
      <w:r w:rsidRPr="00BD7BB1">
        <w:rPr>
          <w:rFonts w:ascii="Times New Roman" w:eastAsia="Times New Roman" w:hAnsi="Times New Roman" w:cs="Arial"/>
          <w:color w:val="auto"/>
          <w:sz w:val="24"/>
          <w:szCs w:val="24"/>
          <w:lang w:val="bg-BG"/>
        </w:rPr>
        <w:t>о</w:t>
      </w:r>
      <w:r w:rsidRPr="00BD7BB1">
        <w:rPr>
          <w:rFonts w:ascii="Times New Roman" w:eastAsia="Times New Roman" w:hAnsi="Times New Roman" w:cs="Arial"/>
          <w:color w:val="auto"/>
          <w:sz w:val="24"/>
          <w:szCs w:val="24"/>
        </w:rPr>
        <w:t xml:space="preserve"> – </w:t>
      </w:r>
      <w:r w:rsidRPr="00BD7BB1">
        <w:rPr>
          <w:rFonts w:ascii="Times New Roman" w:eastAsia="Times New Roman" w:hAnsi="Times New Roman" w:cs="Arial"/>
          <w:color w:val="auto"/>
          <w:sz w:val="24"/>
          <w:szCs w:val="24"/>
          <w:lang w:val="bg-BG"/>
        </w:rPr>
        <w:t>с.</w:t>
      </w:r>
      <w:r w:rsidRPr="00BD7BB1">
        <w:rPr>
          <w:rFonts w:ascii="Times New Roman" w:eastAsia="Times New Roman" w:hAnsi="Times New Roman" w:cs="Arial"/>
          <w:color w:val="auto"/>
          <w:sz w:val="24"/>
          <w:szCs w:val="24"/>
        </w:rPr>
        <w:t>Тича - /</w:t>
      </w:r>
      <w:r w:rsidRPr="00BD7BB1">
        <w:rPr>
          <w:rFonts w:ascii="Times New Roman" w:eastAsia="Times New Roman" w:hAnsi="Times New Roman" w:cs="Arial"/>
          <w:color w:val="auto"/>
          <w:sz w:val="24"/>
          <w:szCs w:val="24"/>
          <w:lang w:val="bg-BG"/>
        </w:rPr>
        <w:t xml:space="preserve">път </w:t>
      </w:r>
      <w:r w:rsidRPr="00BD7BB1">
        <w:rPr>
          <w:rFonts w:ascii="Times New Roman" w:eastAsia="Times New Roman" w:hAnsi="Times New Roman" w:cs="Arial"/>
          <w:color w:val="auto"/>
          <w:sz w:val="24"/>
          <w:szCs w:val="24"/>
        </w:rPr>
        <w:t>ІІ-48</w:t>
      </w:r>
      <w:r w:rsidRPr="00BD7BB1">
        <w:rPr>
          <w:rFonts w:ascii="Times New Roman" w:eastAsia="Times New Roman" w:hAnsi="Times New Roman" w:cs="Arial"/>
          <w:color w:val="auto"/>
          <w:sz w:val="24"/>
          <w:szCs w:val="24"/>
          <w:lang w:val="bg-BG"/>
        </w:rPr>
        <w:t xml:space="preserve"> Омуртаг-Котел/.</w:t>
      </w:r>
      <w:r w:rsidRPr="00BD7BB1">
        <w:rPr>
          <w:rFonts w:ascii="Times New Roman" w:eastAsia="Times New Roman" w:hAnsi="Times New Roman" w:cs="Arial"/>
          <w:b/>
          <w:color w:val="auto"/>
          <w:sz w:val="24"/>
          <w:szCs w:val="24"/>
          <w:lang w:val="bg-BG"/>
        </w:rPr>
        <w:t xml:space="preserve"> </w:t>
      </w:r>
      <w:r w:rsidRPr="00BD7BB1">
        <w:rPr>
          <w:rFonts w:ascii="Times New Roman" w:eastAsia="Times New Roman" w:hAnsi="Times New Roman" w:cs="Arial"/>
          <w:color w:val="auto"/>
          <w:sz w:val="24"/>
          <w:szCs w:val="24"/>
          <w:lang w:val="bg-BG"/>
        </w:rPr>
        <w:t xml:space="preserve">Обща дължина: </w:t>
      </w:r>
      <w:smartTag w:uri="urn:schemas-microsoft-com:office:smarttags" w:element="metricconverter">
        <w:smartTagPr>
          <w:attr w:name="ProductID" w:val="13 200 км"/>
        </w:smartTagPr>
        <w:r w:rsidRPr="00BD7BB1">
          <w:rPr>
            <w:rFonts w:ascii="Times New Roman" w:eastAsia="Times New Roman" w:hAnsi="Times New Roman" w:cs="Arial"/>
            <w:color w:val="auto"/>
            <w:sz w:val="24"/>
            <w:szCs w:val="24"/>
            <w:lang w:val="bg-BG"/>
          </w:rPr>
          <w:t>13 2</w:t>
        </w:r>
        <w:r w:rsidRPr="00BD7BB1">
          <w:rPr>
            <w:rFonts w:ascii="Times New Roman" w:eastAsia="Times New Roman" w:hAnsi="Times New Roman" w:cs="Arial"/>
            <w:color w:val="auto"/>
            <w:sz w:val="24"/>
            <w:szCs w:val="24"/>
          </w:rPr>
          <w:t>00</w:t>
        </w:r>
        <w:r w:rsidRPr="00BD7BB1">
          <w:rPr>
            <w:rFonts w:ascii="Times New Roman" w:eastAsia="Times New Roman" w:hAnsi="Times New Roman" w:cs="Arial"/>
            <w:color w:val="auto"/>
            <w:sz w:val="24"/>
            <w:szCs w:val="24"/>
            <w:lang w:val="bg-BG"/>
          </w:rPr>
          <w:t xml:space="preserve"> км</w:t>
        </w:r>
      </w:smartTag>
      <w:r w:rsidRPr="00BD7BB1">
        <w:rPr>
          <w:rFonts w:ascii="Times New Roman" w:eastAsia="Times New Roman" w:hAnsi="Times New Roman" w:cs="Arial"/>
          <w:color w:val="auto"/>
          <w:sz w:val="24"/>
          <w:szCs w:val="24"/>
          <w:lang w:val="bg-BG"/>
        </w:rPr>
        <w:t xml:space="preserve"> в участъка на област Сливен</w:t>
      </w:r>
      <w:r w:rsidRPr="00BD7BB1">
        <w:rPr>
          <w:rFonts w:ascii="Times New Roman" w:eastAsia="Times New Roman" w:hAnsi="Times New Roman" w:cs="Arial"/>
          <w:b/>
          <w:color w:val="auto"/>
          <w:sz w:val="24"/>
          <w:szCs w:val="24"/>
          <w:lang w:val="bg-BG"/>
        </w:rPr>
        <w:t xml:space="preserve">, </w:t>
      </w:r>
      <w:r w:rsidRPr="00BD7BB1">
        <w:rPr>
          <w:rFonts w:ascii="Times New Roman" w:eastAsia="Times New Roman" w:hAnsi="Times New Roman" w:cs="Arial"/>
          <w:color w:val="auto"/>
          <w:sz w:val="24"/>
          <w:szCs w:val="24"/>
          <w:lang w:val="bg-BG"/>
        </w:rPr>
        <w:t xml:space="preserve">Отпуснати средства за </w:t>
      </w:r>
      <w:smartTag w:uri="urn:schemas-microsoft-com:office:smarttags" w:element="metricconverter">
        <w:smartTagPr>
          <w:attr w:name="ProductID" w:val="2014 г"/>
        </w:smartTagPr>
        <w:r w:rsidRPr="00BD7BB1">
          <w:rPr>
            <w:rFonts w:ascii="Times New Roman" w:eastAsia="Times New Roman" w:hAnsi="Times New Roman" w:cs="Arial"/>
            <w:color w:val="auto"/>
            <w:sz w:val="24"/>
            <w:szCs w:val="24"/>
            <w:lang w:val="bg-BG"/>
          </w:rPr>
          <w:t>2014 г</w:t>
        </w:r>
      </w:smartTag>
      <w:r w:rsidRPr="00BD7BB1">
        <w:rPr>
          <w:rFonts w:ascii="Times New Roman" w:eastAsia="Times New Roman" w:hAnsi="Times New Roman" w:cs="Arial"/>
          <w:color w:val="auto"/>
          <w:sz w:val="24"/>
          <w:szCs w:val="24"/>
          <w:lang w:val="bg-BG"/>
        </w:rPr>
        <w:t>. са  в размер на 1 000 000 лв. с ДДС.</w:t>
      </w:r>
    </w:p>
    <w:p w:rsidR="00F25110" w:rsidRPr="00BD7BB1" w:rsidRDefault="00F25110" w:rsidP="00F25110">
      <w:pPr>
        <w:spacing w:after="0" w:line="360" w:lineRule="auto"/>
        <w:ind w:firstLine="720"/>
        <w:jc w:val="both"/>
        <w:rPr>
          <w:rFonts w:ascii="Times New Roman" w:eastAsia="Times New Roman" w:hAnsi="Times New Roman" w:cs="Arial"/>
          <w:color w:val="auto"/>
          <w:sz w:val="24"/>
          <w:szCs w:val="24"/>
          <w:lang w:val="bg-BG"/>
        </w:rPr>
      </w:pPr>
      <w:r w:rsidRPr="00BD7BB1">
        <w:rPr>
          <w:rFonts w:ascii="Times New Roman" w:eastAsia="Times New Roman" w:hAnsi="Times New Roman" w:cs="Arial"/>
          <w:color w:val="auto"/>
          <w:sz w:val="24"/>
          <w:szCs w:val="24"/>
          <w:lang w:val="bg-BG"/>
        </w:rPr>
        <w:t>Ремонтните дейности са изпълнени по Договора № РД-38-390/02.11.2011 г за текущ ремонт и поддържане на републиканската пътна мрежа на територията на област Сливен. Средствата са от републиканския бюджет. Изпълнител : ДЗЗД ”Строителство и поддържане на пътища” Сливен.</w:t>
      </w:r>
    </w:p>
    <w:p w:rsidR="00F25110" w:rsidRPr="00BD7BB1" w:rsidRDefault="00F25110" w:rsidP="00F25110">
      <w:pPr>
        <w:spacing w:after="0" w:line="360" w:lineRule="auto"/>
        <w:ind w:firstLine="720"/>
        <w:jc w:val="both"/>
        <w:rPr>
          <w:rFonts w:ascii="Times New Roman" w:eastAsia="Times New Roman" w:hAnsi="Times New Roman" w:cs="Arial"/>
          <w:color w:val="auto"/>
          <w:sz w:val="24"/>
          <w:szCs w:val="24"/>
          <w:lang w:val="bg-BG"/>
        </w:rPr>
      </w:pPr>
      <w:r w:rsidRPr="00BD7BB1">
        <w:rPr>
          <w:rFonts w:ascii="Times New Roman" w:eastAsia="Times New Roman" w:hAnsi="Times New Roman" w:cs="Arial"/>
          <w:color w:val="auto"/>
          <w:sz w:val="24"/>
          <w:szCs w:val="24"/>
          <w:lang w:val="bg-BG"/>
        </w:rPr>
        <w:t xml:space="preserve"> С извършените ремонтни дейности се цели да се възстановят транспортно-експлоатационните качества и носимоспособността на настилката. Осигурява се безопасност на движението и добро отводняване на пътя.</w:t>
      </w:r>
    </w:p>
    <w:p w:rsidR="00F25110" w:rsidRPr="00BD7BB1" w:rsidRDefault="00F25110" w:rsidP="00F25110">
      <w:pPr>
        <w:spacing w:after="0" w:line="360" w:lineRule="auto"/>
        <w:ind w:firstLine="720"/>
        <w:jc w:val="both"/>
        <w:rPr>
          <w:rFonts w:ascii="Times New Roman" w:eastAsia="Times New Roman" w:hAnsi="Times New Roman" w:cs="Arial"/>
          <w:color w:val="auto"/>
          <w:sz w:val="24"/>
          <w:szCs w:val="24"/>
          <w:lang w:val="bg-BG"/>
        </w:rPr>
      </w:pPr>
      <w:r w:rsidRPr="00BD7BB1">
        <w:rPr>
          <w:rFonts w:ascii="Times New Roman" w:eastAsia="Times New Roman" w:hAnsi="Times New Roman" w:cs="Arial"/>
          <w:color w:val="auto"/>
          <w:sz w:val="24"/>
          <w:szCs w:val="24"/>
          <w:lang w:val="bg-BG"/>
        </w:rPr>
        <w:t xml:space="preserve">Общото състоянието на настилката преди ремонта е  много лошо: лоша равност и не добре оформени напречните наклони, недобро отводняване. Асфалтовата настилка е с множество деформации- разрушения, слягания и участъци с единични и мрежовидни пукнатини. Мостовото съоръжение на км 20+649 се нуждае от ремонт – уширение, поради малкия си габарит – </w:t>
      </w:r>
      <w:smartTag w:uri="urn:schemas-microsoft-com:office:smarttags" w:element="metricconverter">
        <w:smartTagPr>
          <w:attr w:name="ProductID" w:val="5 м"/>
        </w:smartTagPr>
        <w:r w:rsidRPr="00BD7BB1">
          <w:rPr>
            <w:rFonts w:ascii="Times New Roman" w:eastAsia="Times New Roman" w:hAnsi="Times New Roman" w:cs="Arial"/>
            <w:color w:val="auto"/>
            <w:sz w:val="24"/>
            <w:szCs w:val="24"/>
            <w:lang w:val="bg-BG"/>
          </w:rPr>
          <w:t>5 м</w:t>
        </w:r>
      </w:smartTag>
      <w:r w:rsidRPr="00BD7BB1">
        <w:rPr>
          <w:rFonts w:ascii="Times New Roman" w:eastAsia="Times New Roman" w:hAnsi="Times New Roman" w:cs="Arial"/>
          <w:color w:val="auto"/>
          <w:sz w:val="24"/>
          <w:szCs w:val="24"/>
          <w:lang w:val="bg-BG"/>
        </w:rPr>
        <w:t>. Част от малките съоръжения – водостоци се нуждаят от ремонт и почистване.Ремонтните работи са завършени на стойност  998936.03 лв. с ДДС.</w:t>
      </w:r>
    </w:p>
    <w:p w:rsidR="00F25110" w:rsidRPr="00BD7BB1" w:rsidRDefault="00F25110" w:rsidP="00F25110">
      <w:pPr>
        <w:suppressAutoHyphens/>
        <w:spacing w:after="0" w:line="240" w:lineRule="auto"/>
        <w:rPr>
          <w:rFonts w:ascii="Times New Roman" w:eastAsia="Times New Roman" w:hAnsi="Times New Roman" w:cs="Arial"/>
          <w:color w:val="auto"/>
          <w:sz w:val="26"/>
          <w:szCs w:val="26"/>
          <w:u w:val="single"/>
          <w:lang w:val="bg-BG" w:eastAsia="ar-SA"/>
        </w:rPr>
      </w:pPr>
    </w:p>
    <w:p w:rsidR="00F25110" w:rsidRPr="00BD7BB1" w:rsidRDefault="00F25110" w:rsidP="007A75A4">
      <w:pPr>
        <w:spacing w:after="0" w:line="360" w:lineRule="auto"/>
        <w:ind w:firstLine="720"/>
        <w:jc w:val="both"/>
        <w:rPr>
          <w:rFonts w:ascii="Times New Roman" w:eastAsia="Times New Roman" w:hAnsi="Times New Roman" w:cs="Arial"/>
          <w:b/>
          <w:color w:val="auto"/>
          <w:sz w:val="24"/>
          <w:szCs w:val="24"/>
          <w:lang w:val="bg-BG"/>
        </w:rPr>
      </w:pPr>
      <w:r w:rsidRPr="00BD7BB1">
        <w:rPr>
          <w:rFonts w:ascii="Times New Roman" w:eastAsia="Times New Roman" w:hAnsi="Times New Roman" w:cs="Arial"/>
          <w:b/>
          <w:color w:val="auto"/>
          <w:sz w:val="24"/>
          <w:szCs w:val="24"/>
          <w:lang w:val="bg-BG"/>
        </w:rPr>
        <w:t xml:space="preserve">Текущ ремонт и поддържане: </w:t>
      </w:r>
      <w:r w:rsidRPr="00BD7BB1">
        <w:rPr>
          <w:rFonts w:ascii="Times New Roman" w:eastAsia="Times New Roman" w:hAnsi="Times New Roman" w:cs="Arial"/>
          <w:color w:val="auto"/>
          <w:sz w:val="24"/>
          <w:szCs w:val="24"/>
          <w:lang w:val="bg-BG"/>
        </w:rPr>
        <w:t>Поддържането на пътната мрежа на територията на Областно пътно управление Сливен се извършва от ДЗЗД ”Строителство и поддържане на пътища” гр. Сливен, по Договор № РД-38-390/02.11.2011 г от 02.11.2011 г. до 02.11.2015 г. за І, ІІ и ІІІ клас РПМ в област Сливен.</w:t>
      </w:r>
    </w:p>
    <w:p w:rsidR="00F25110" w:rsidRPr="00BD7BB1" w:rsidRDefault="00F25110" w:rsidP="00F25110">
      <w:pPr>
        <w:spacing w:after="0" w:line="360" w:lineRule="auto"/>
        <w:ind w:firstLine="720"/>
        <w:jc w:val="both"/>
        <w:rPr>
          <w:rFonts w:ascii="Times New Roman" w:eastAsia="Times New Roman" w:hAnsi="Times New Roman" w:cs="Arial"/>
          <w:color w:val="auto"/>
          <w:sz w:val="24"/>
          <w:szCs w:val="24"/>
          <w:lang w:val="bg-BG"/>
        </w:rPr>
      </w:pPr>
      <w:r w:rsidRPr="00BD7BB1">
        <w:rPr>
          <w:rFonts w:ascii="Times New Roman" w:eastAsia="Times New Roman" w:hAnsi="Times New Roman" w:cs="Arial"/>
          <w:color w:val="auto"/>
          <w:sz w:val="24"/>
          <w:szCs w:val="24"/>
        </w:rPr>
        <w:t>За периода 01.01.201</w:t>
      </w:r>
      <w:r w:rsidRPr="00BD7BB1">
        <w:rPr>
          <w:rFonts w:ascii="Times New Roman" w:eastAsia="Times New Roman" w:hAnsi="Times New Roman" w:cs="Arial"/>
          <w:color w:val="auto"/>
          <w:sz w:val="24"/>
          <w:szCs w:val="24"/>
          <w:lang w:val="bg-BG"/>
        </w:rPr>
        <w:t>4</w:t>
      </w:r>
      <w:r w:rsidRPr="00BD7BB1">
        <w:rPr>
          <w:rFonts w:ascii="Times New Roman" w:eastAsia="Times New Roman" w:hAnsi="Times New Roman" w:cs="Arial"/>
          <w:color w:val="auto"/>
          <w:sz w:val="24"/>
          <w:szCs w:val="24"/>
        </w:rPr>
        <w:t xml:space="preserve"> г. – 31.12.201</w:t>
      </w:r>
      <w:r w:rsidRPr="00BD7BB1">
        <w:rPr>
          <w:rFonts w:ascii="Times New Roman" w:eastAsia="Times New Roman" w:hAnsi="Times New Roman" w:cs="Arial"/>
          <w:color w:val="auto"/>
          <w:sz w:val="24"/>
          <w:szCs w:val="24"/>
          <w:lang w:val="bg-BG"/>
        </w:rPr>
        <w:t>4</w:t>
      </w:r>
      <w:r w:rsidRPr="00BD7BB1">
        <w:rPr>
          <w:rFonts w:ascii="Times New Roman" w:eastAsia="Times New Roman" w:hAnsi="Times New Roman" w:cs="Arial"/>
          <w:color w:val="auto"/>
          <w:sz w:val="24"/>
          <w:szCs w:val="24"/>
        </w:rPr>
        <w:t xml:space="preserve"> г. за поддържане /превантивно, текущо, зимно и ремонтно-възстановителни работи при аварийни ситуации / на </w:t>
      </w:r>
      <w:smartTag w:uri="urn:schemas-microsoft-com:office:smarttags" w:element="metricconverter">
        <w:smartTagPr>
          <w:attr w:name="ProductID" w:val="584.500 км"/>
        </w:smartTagPr>
        <w:r w:rsidRPr="00BD7BB1">
          <w:rPr>
            <w:rFonts w:ascii="Times New Roman" w:eastAsia="Times New Roman" w:hAnsi="Times New Roman" w:cs="Arial"/>
            <w:color w:val="auto"/>
            <w:sz w:val="24"/>
            <w:szCs w:val="24"/>
          </w:rPr>
          <w:t>5</w:t>
        </w:r>
        <w:r w:rsidRPr="00BD7BB1">
          <w:rPr>
            <w:rFonts w:ascii="Times New Roman" w:eastAsia="Times New Roman" w:hAnsi="Times New Roman" w:cs="Arial"/>
            <w:color w:val="auto"/>
            <w:sz w:val="24"/>
            <w:szCs w:val="24"/>
            <w:lang w:val="bg-BG"/>
          </w:rPr>
          <w:t>84</w:t>
        </w:r>
        <w:r w:rsidRPr="00BD7BB1">
          <w:rPr>
            <w:rFonts w:ascii="Times New Roman" w:eastAsia="Times New Roman" w:hAnsi="Times New Roman" w:cs="Arial"/>
            <w:color w:val="auto"/>
            <w:sz w:val="24"/>
            <w:szCs w:val="24"/>
          </w:rPr>
          <w:t>.500 км</w:t>
        </w:r>
      </w:smartTag>
      <w:r w:rsidRPr="00BD7BB1">
        <w:rPr>
          <w:rFonts w:ascii="Times New Roman" w:eastAsia="Times New Roman" w:hAnsi="Times New Roman" w:cs="Arial"/>
          <w:color w:val="auto"/>
          <w:sz w:val="24"/>
          <w:szCs w:val="24"/>
        </w:rPr>
        <w:t xml:space="preserve"> републикански пътища на територията на ОПУ-</w:t>
      </w:r>
      <w:r w:rsidRPr="00BD7BB1">
        <w:rPr>
          <w:rFonts w:ascii="Times New Roman" w:eastAsia="Times New Roman" w:hAnsi="Times New Roman" w:cs="Arial"/>
          <w:color w:val="auto"/>
          <w:sz w:val="24"/>
          <w:szCs w:val="24"/>
          <w:lang w:val="bg-BG"/>
        </w:rPr>
        <w:t>Сливен</w:t>
      </w:r>
      <w:r w:rsidRPr="00BD7BB1">
        <w:rPr>
          <w:rFonts w:ascii="Times New Roman" w:eastAsia="Times New Roman" w:hAnsi="Times New Roman" w:cs="Arial"/>
          <w:color w:val="auto"/>
          <w:sz w:val="24"/>
          <w:szCs w:val="24"/>
        </w:rPr>
        <w:t xml:space="preserve">, стопанисвани от АПИ, съгласно чл. 19, ал.1, т.1 от Закона за пътищата” са изразходени </w:t>
      </w:r>
      <w:r w:rsidRPr="00BD7BB1">
        <w:rPr>
          <w:rFonts w:ascii="Times New Roman" w:eastAsia="Times New Roman" w:hAnsi="Times New Roman" w:cs="Arial"/>
          <w:color w:val="auto"/>
          <w:sz w:val="24"/>
          <w:szCs w:val="24"/>
          <w:lang w:val="bg-BG"/>
        </w:rPr>
        <w:t xml:space="preserve"> </w:t>
      </w:r>
      <w:r w:rsidRPr="00BD7BB1">
        <w:rPr>
          <w:rFonts w:ascii="Times New Roman" w:eastAsia="Times New Roman" w:hAnsi="Times New Roman" w:cs="Arial"/>
          <w:color w:val="auto"/>
          <w:sz w:val="24"/>
          <w:szCs w:val="24"/>
        </w:rPr>
        <w:t xml:space="preserve">общо </w:t>
      </w:r>
      <w:r w:rsidRPr="00BD7BB1">
        <w:rPr>
          <w:rFonts w:ascii="Times New Roman" w:eastAsia="Times New Roman" w:hAnsi="Times New Roman" w:cs="Arial"/>
          <w:color w:val="auto"/>
          <w:sz w:val="24"/>
          <w:szCs w:val="24"/>
          <w:lang w:val="bg-BG"/>
        </w:rPr>
        <w:t xml:space="preserve"> </w:t>
      </w:r>
      <w:r w:rsidRPr="00BD7BB1">
        <w:rPr>
          <w:rFonts w:ascii="Times New Roman" w:eastAsia="Times New Roman" w:hAnsi="Times New Roman" w:cs="Arial"/>
          <w:b/>
          <w:color w:val="auto"/>
          <w:sz w:val="24"/>
          <w:szCs w:val="24"/>
          <w:lang w:val="bg-BG"/>
        </w:rPr>
        <w:t xml:space="preserve">5 405 851.79 </w:t>
      </w:r>
      <w:r w:rsidRPr="00BD7BB1">
        <w:rPr>
          <w:rFonts w:ascii="Times New Roman" w:eastAsia="Times New Roman" w:hAnsi="Times New Roman" w:cs="Arial"/>
          <w:color w:val="auto"/>
          <w:sz w:val="24"/>
          <w:szCs w:val="24"/>
        </w:rPr>
        <w:t>лв. с ДДС</w:t>
      </w:r>
      <w:r w:rsidRPr="00BD7BB1">
        <w:rPr>
          <w:rFonts w:ascii="Times New Roman" w:eastAsia="Times New Roman" w:hAnsi="Times New Roman" w:cs="Arial"/>
          <w:color w:val="auto"/>
          <w:sz w:val="24"/>
          <w:szCs w:val="24"/>
          <w:lang w:val="bg-BG"/>
        </w:rPr>
        <w:t>.</w:t>
      </w:r>
    </w:p>
    <w:p w:rsidR="00F25110" w:rsidRPr="00BD7BB1" w:rsidRDefault="00F25110" w:rsidP="00F25110">
      <w:pPr>
        <w:spacing w:after="0" w:line="360" w:lineRule="auto"/>
        <w:ind w:firstLine="720"/>
        <w:jc w:val="both"/>
        <w:rPr>
          <w:rFonts w:ascii="Times New Roman" w:eastAsia="Times New Roman" w:hAnsi="Times New Roman" w:cs="Arial"/>
          <w:color w:val="auto"/>
          <w:sz w:val="24"/>
          <w:szCs w:val="24"/>
          <w:lang w:val="bg-BG"/>
        </w:rPr>
      </w:pPr>
      <w:r w:rsidRPr="00BD7BB1">
        <w:rPr>
          <w:rFonts w:ascii="Times New Roman" w:eastAsia="Times New Roman" w:hAnsi="Times New Roman" w:cs="Arial"/>
          <w:color w:val="auto"/>
          <w:sz w:val="24"/>
          <w:szCs w:val="24"/>
          <w:lang w:val="bg-BG"/>
        </w:rPr>
        <w:t xml:space="preserve">През  </w:t>
      </w:r>
      <w:smartTag w:uri="urn:schemas-microsoft-com:office:smarttags" w:element="metricconverter">
        <w:smartTagPr>
          <w:attr w:name="ProductID" w:val="2014 г"/>
        </w:smartTagPr>
        <w:r w:rsidRPr="00BD7BB1">
          <w:rPr>
            <w:rFonts w:ascii="Times New Roman" w:eastAsia="Times New Roman" w:hAnsi="Times New Roman" w:cs="Arial"/>
            <w:color w:val="auto"/>
            <w:sz w:val="24"/>
            <w:szCs w:val="24"/>
            <w:lang w:val="bg-BG"/>
          </w:rPr>
          <w:t>2014 г</w:t>
        </w:r>
      </w:smartTag>
      <w:r w:rsidRPr="00BD7BB1">
        <w:rPr>
          <w:rFonts w:ascii="Times New Roman" w:eastAsia="Times New Roman" w:hAnsi="Times New Roman" w:cs="Arial"/>
          <w:color w:val="auto"/>
          <w:sz w:val="24"/>
          <w:szCs w:val="24"/>
          <w:lang w:val="bg-BG"/>
        </w:rPr>
        <w:t xml:space="preserve">. АМ „Тракия” се поддържаше от  ДЗЗД „ ТРЗП Тракия </w:t>
      </w:r>
      <w:smartTag w:uri="urn:schemas-microsoft-com:office:smarttags" w:element="metricconverter">
        <w:smartTagPr>
          <w:attr w:name="ProductID" w:val="2012”"/>
        </w:smartTagPr>
        <w:r w:rsidRPr="00BD7BB1">
          <w:rPr>
            <w:rFonts w:ascii="Times New Roman" w:eastAsia="Times New Roman" w:hAnsi="Times New Roman" w:cs="Arial"/>
            <w:color w:val="auto"/>
            <w:sz w:val="24"/>
            <w:szCs w:val="24"/>
            <w:lang w:val="bg-BG"/>
          </w:rPr>
          <w:t>2012”</w:t>
        </w:r>
      </w:smartTag>
      <w:r w:rsidRPr="00BD7BB1">
        <w:rPr>
          <w:rFonts w:ascii="Times New Roman" w:eastAsia="Times New Roman" w:hAnsi="Times New Roman" w:cs="Arial"/>
          <w:color w:val="auto"/>
          <w:sz w:val="24"/>
          <w:szCs w:val="24"/>
          <w:lang w:val="bg-BG"/>
        </w:rPr>
        <w:t xml:space="preserve"> гр. София  по договор изх. № 93-01-7274 от 01.11.2012 г. срок от 2 год.  и ДЗЗД „Магистрали </w:t>
      </w:r>
      <w:smartTag w:uri="urn:schemas-microsoft-com:office:smarttags" w:element="metricconverter">
        <w:smartTagPr>
          <w:attr w:name="ProductID" w:val="2014”"/>
        </w:smartTagPr>
        <w:r w:rsidRPr="00BD7BB1">
          <w:rPr>
            <w:rFonts w:ascii="Times New Roman" w:eastAsia="Times New Roman" w:hAnsi="Times New Roman" w:cs="Arial"/>
            <w:color w:val="auto"/>
            <w:sz w:val="24"/>
            <w:szCs w:val="24"/>
            <w:lang w:val="bg-BG"/>
          </w:rPr>
          <w:t>2014”</w:t>
        </w:r>
      </w:smartTag>
      <w:r w:rsidRPr="00BD7BB1">
        <w:rPr>
          <w:rFonts w:ascii="Times New Roman" w:eastAsia="Times New Roman" w:hAnsi="Times New Roman" w:cs="Arial"/>
          <w:color w:val="auto"/>
          <w:sz w:val="24"/>
          <w:szCs w:val="24"/>
          <w:lang w:val="bg-BG"/>
        </w:rPr>
        <w:t xml:space="preserve"> София за поддържане и текущ ремонт на АМ „Тракия” от км 208+181 – км 359+475 по Договор изх. № РД -38-9 от 28.11.2014 г.    </w:t>
      </w:r>
    </w:p>
    <w:p w:rsidR="00F25110" w:rsidRPr="00BD7BB1" w:rsidRDefault="00F25110" w:rsidP="00F25110">
      <w:pPr>
        <w:spacing w:after="0" w:line="360" w:lineRule="auto"/>
        <w:ind w:firstLine="720"/>
        <w:jc w:val="both"/>
        <w:rPr>
          <w:rFonts w:ascii="Times New Roman" w:eastAsia="Times New Roman" w:hAnsi="Times New Roman" w:cs="Arial"/>
          <w:color w:val="auto"/>
          <w:sz w:val="24"/>
          <w:szCs w:val="24"/>
          <w:lang w:val="bg-BG"/>
        </w:rPr>
      </w:pPr>
      <w:r w:rsidRPr="00BD7BB1">
        <w:rPr>
          <w:rFonts w:ascii="Times New Roman" w:eastAsia="Times New Roman" w:hAnsi="Times New Roman" w:cs="Arial"/>
          <w:color w:val="auto"/>
          <w:sz w:val="24"/>
          <w:szCs w:val="24"/>
        </w:rPr>
        <w:t>За периода 01.01.201</w:t>
      </w:r>
      <w:r w:rsidRPr="00BD7BB1">
        <w:rPr>
          <w:rFonts w:ascii="Times New Roman" w:eastAsia="Times New Roman" w:hAnsi="Times New Roman" w:cs="Arial"/>
          <w:color w:val="auto"/>
          <w:sz w:val="24"/>
          <w:szCs w:val="24"/>
          <w:lang w:val="bg-BG"/>
        </w:rPr>
        <w:t>4</w:t>
      </w:r>
      <w:r w:rsidRPr="00BD7BB1">
        <w:rPr>
          <w:rFonts w:ascii="Times New Roman" w:eastAsia="Times New Roman" w:hAnsi="Times New Roman" w:cs="Arial"/>
          <w:color w:val="auto"/>
          <w:sz w:val="24"/>
          <w:szCs w:val="24"/>
        </w:rPr>
        <w:t xml:space="preserve"> г. – 31.12.201</w:t>
      </w:r>
      <w:r w:rsidRPr="00BD7BB1">
        <w:rPr>
          <w:rFonts w:ascii="Times New Roman" w:eastAsia="Times New Roman" w:hAnsi="Times New Roman" w:cs="Arial"/>
          <w:color w:val="auto"/>
          <w:sz w:val="24"/>
          <w:szCs w:val="24"/>
          <w:lang w:val="bg-BG"/>
        </w:rPr>
        <w:t>4</w:t>
      </w:r>
      <w:r w:rsidRPr="00BD7BB1">
        <w:rPr>
          <w:rFonts w:ascii="Times New Roman" w:eastAsia="Times New Roman" w:hAnsi="Times New Roman" w:cs="Arial"/>
          <w:color w:val="auto"/>
          <w:sz w:val="24"/>
          <w:szCs w:val="24"/>
        </w:rPr>
        <w:t xml:space="preserve"> г.</w:t>
      </w:r>
      <w:r w:rsidRPr="00BD7BB1">
        <w:rPr>
          <w:rFonts w:ascii="Times New Roman" w:eastAsia="Times New Roman" w:hAnsi="Times New Roman" w:cs="Arial"/>
          <w:color w:val="auto"/>
          <w:sz w:val="24"/>
          <w:szCs w:val="24"/>
          <w:lang w:val="bg-BG"/>
        </w:rPr>
        <w:t xml:space="preserve"> </w:t>
      </w:r>
      <w:r w:rsidRPr="00BD7BB1">
        <w:rPr>
          <w:rFonts w:ascii="Times New Roman" w:eastAsia="Times New Roman" w:hAnsi="Times New Roman" w:cs="Arial"/>
          <w:color w:val="auto"/>
          <w:sz w:val="24"/>
          <w:szCs w:val="24"/>
        </w:rPr>
        <w:t>за поддържане</w:t>
      </w:r>
      <w:r w:rsidRPr="00BD7BB1">
        <w:rPr>
          <w:rFonts w:ascii="Times New Roman" w:eastAsia="Times New Roman" w:hAnsi="Times New Roman" w:cs="Arial"/>
          <w:color w:val="auto"/>
          <w:sz w:val="24"/>
          <w:szCs w:val="24"/>
          <w:lang w:val="bg-BG"/>
        </w:rPr>
        <w:t xml:space="preserve">  на АМ „Тракия” изразходени  за ТРП и ЗП </w:t>
      </w:r>
      <w:r w:rsidR="00635396">
        <w:rPr>
          <w:rFonts w:ascii="Times New Roman" w:eastAsia="Times New Roman" w:hAnsi="Times New Roman" w:cs="Arial"/>
          <w:color w:val="auto"/>
          <w:sz w:val="24"/>
          <w:szCs w:val="24"/>
          <w:lang w:val="bg-BG"/>
        </w:rPr>
        <w:t xml:space="preserve">са </w:t>
      </w:r>
      <w:r w:rsidRPr="00BD7BB1">
        <w:rPr>
          <w:rFonts w:ascii="Times New Roman" w:eastAsia="Times New Roman" w:hAnsi="Times New Roman" w:cs="Arial"/>
          <w:color w:val="auto"/>
          <w:sz w:val="24"/>
          <w:szCs w:val="24"/>
          <w:lang w:val="bg-BG"/>
        </w:rPr>
        <w:t>общо 543 008.73 лв.</w:t>
      </w:r>
    </w:p>
    <w:p w:rsidR="00F25110" w:rsidRPr="00BD7BB1" w:rsidRDefault="00F25110" w:rsidP="00F25110">
      <w:pPr>
        <w:spacing w:after="0" w:line="240" w:lineRule="auto"/>
        <w:jc w:val="both"/>
        <w:rPr>
          <w:rFonts w:ascii="Times New Roman" w:eastAsia="Times New Roman" w:hAnsi="Times New Roman" w:cs="Arial"/>
          <w:color w:val="auto"/>
          <w:sz w:val="24"/>
          <w:szCs w:val="24"/>
        </w:rPr>
      </w:pPr>
    </w:p>
    <w:p w:rsidR="00F25110" w:rsidRPr="00BD7BB1" w:rsidRDefault="00F25110" w:rsidP="00F25110">
      <w:pPr>
        <w:spacing w:before="100" w:beforeAutospacing="1" w:after="100" w:afterAutospacing="1" w:line="360" w:lineRule="auto"/>
        <w:ind w:firstLine="708"/>
        <w:jc w:val="both"/>
        <w:rPr>
          <w:rFonts w:ascii="Times New Roman" w:eastAsia="Times New Roman" w:hAnsi="Times New Roman"/>
          <w:b/>
          <w:color w:val="auto"/>
          <w:sz w:val="24"/>
          <w:szCs w:val="24"/>
          <w:u w:val="single"/>
          <w:lang w:val="bg-BG" w:eastAsia="bg-BG"/>
        </w:rPr>
      </w:pPr>
      <w:r w:rsidRPr="00BD7BB1">
        <w:rPr>
          <w:rFonts w:ascii="Times New Roman" w:eastAsia="Times New Roman" w:hAnsi="Times New Roman"/>
          <w:b/>
          <w:color w:val="auto"/>
          <w:sz w:val="24"/>
          <w:szCs w:val="24"/>
          <w:u w:val="single"/>
          <w:lang w:val="bg-BG" w:eastAsia="bg-BG"/>
        </w:rPr>
        <w:t>ОПУ-Ямбол</w:t>
      </w:r>
    </w:p>
    <w:p w:rsidR="00F25110" w:rsidRPr="00BD7BB1" w:rsidRDefault="00F25110" w:rsidP="00F25110">
      <w:pPr>
        <w:spacing w:before="100" w:beforeAutospacing="1" w:after="100" w:afterAutospacing="1" w:line="360" w:lineRule="auto"/>
        <w:ind w:firstLine="708"/>
        <w:jc w:val="both"/>
        <w:rPr>
          <w:rFonts w:ascii="Times New Roman" w:eastAsia="Calibri" w:hAnsi="Times New Roman"/>
          <w:color w:val="auto"/>
          <w:sz w:val="24"/>
          <w:szCs w:val="24"/>
          <w:lang w:val="bg-BG"/>
        </w:rPr>
      </w:pPr>
      <w:r w:rsidRPr="00BD7BB1">
        <w:rPr>
          <w:rFonts w:ascii="Times New Roman" w:eastAsia="Times New Roman" w:hAnsi="Times New Roman"/>
          <w:b/>
          <w:color w:val="auto"/>
          <w:sz w:val="24"/>
          <w:szCs w:val="24"/>
          <w:lang w:val="bg-BG" w:eastAsia="bg-BG"/>
        </w:rPr>
        <w:t>Областно пътно управление град Ямбол</w:t>
      </w:r>
      <w:r w:rsidRPr="00BD7BB1">
        <w:rPr>
          <w:rFonts w:ascii="Times New Roman" w:eastAsia="Times New Roman" w:hAnsi="Times New Roman"/>
          <w:color w:val="auto"/>
          <w:sz w:val="24"/>
          <w:szCs w:val="24"/>
          <w:lang w:val="bg-BG" w:eastAsia="bg-BG"/>
        </w:rPr>
        <w:t xml:space="preserve"> стопанисва и поддържа 636,497 км пътища от Републиканската пътна мрежа на територията на Област Ямбол, от които 628.097 км с настилка и 8.400 км без настилка,  разпределени по класове, както следва: АМ „Тракия” – 34,753 км; І-ви клас – 96,460 км; ІІ-ри клас – 88,6 км; ІІІ-ти клас – 411,1 км (402,7 км с настилка и 8,400 км б</w:t>
      </w:r>
      <w:r w:rsidR="00311BCF">
        <w:rPr>
          <w:rFonts w:ascii="Times New Roman" w:eastAsia="Times New Roman" w:hAnsi="Times New Roman"/>
          <w:color w:val="auto"/>
          <w:sz w:val="24"/>
          <w:szCs w:val="24"/>
          <w:lang w:val="bg-BG" w:eastAsia="bg-BG"/>
        </w:rPr>
        <w:t xml:space="preserve">ез настилка) и Пътни връзки – </w:t>
      </w:r>
      <w:r w:rsidRPr="00BD7BB1">
        <w:rPr>
          <w:rFonts w:ascii="Times New Roman" w:eastAsia="Times New Roman" w:hAnsi="Times New Roman"/>
          <w:color w:val="auto"/>
          <w:sz w:val="24"/>
          <w:szCs w:val="24"/>
          <w:lang w:val="bg-BG" w:eastAsia="bg-BG"/>
        </w:rPr>
        <w:t>5,584 км;</w:t>
      </w:r>
      <w:r w:rsidRPr="00BD7BB1">
        <w:rPr>
          <w:rFonts w:ascii="Times New Roman" w:eastAsia="Calibri" w:hAnsi="Times New Roman"/>
          <w:color w:val="auto"/>
          <w:sz w:val="24"/>
          <w:szCs w:val="24"/>
          <w:lang w:val="bg-BG"/>
        </w:rPr>
        <w:t xml:space="preserve">  </w:t>
      </w:r>
    </w:p>
    <w:p w:rsidR="00F25110" w:rsidRPr="00BD7BB1" w:rsidRDefault="00F25110" w:rsidP="00F25110">
      <w:pPr>
        <w:spacing w:before="100" w:beforeAutospacing="1" w:after="100" w:afterAutospacing="1" w:line="360" w:lineRule="auto"/>
        <w:ind w:firstLine="708"/>
        <w:jc w:val="both"/>
        <w:rPr>
          <w:rFonts w:ascii="Times New Roman" w:eastAsia="Times New Roman" w:hAnsi="Times New Roman"/>
          <w:i/>
          <w:color w:val="auto"/>
          <w:sz w:val="24"/>
          <w:szCs w:val="24"/>
          <w:lang w:val="bg-BG" w:eastAsia="bg-BG"/>
        </w:rPr>
      </w:pPr>
      <w:r w:rsidRPr="00BD7BB1">
        <w:rPr>
          <w:rFonts w:ascii="Times New Roman" w:eastAsia="Times New Roman" w:hAnsi="Times New Roman"/>
          <w:color w:val="auto"/>
          <w:sz w:val="24"/>
          <w:szCs w:val="24"/>
          <w:lang w:val="bg-BG" w:eastAsia="bg-BG"/>
        </w:rPr>
        <w:t xml:space="preserve">През 2014 г.със средства по Публичната инвестиционна програма "Растеж и устойчиво развитие на регионите" , съгласно ПМС № 19 от 07.02.2014 г., на територията на област Ямбол са реализирани следните обекти: </w:t>
      </w:r>
      <w:r w:rsidRPr="00BD7BB1">
        <w:rPr>
          <w:rFonts w:ascii="Times New Roman" w:eastAsia="Times New Roman" w:hAnsi="Times New Roman"/>
          <w:i/>
          <w:color w:val="auto"/>
          <w:sz w:val="24"/>
          <w:szCs w:val="24"/>
          <w:lang w:val="bg-BG" w:eastAsia="bg-BG"/>
        </w:rPr>
        <w:t>Превантивен ремонт на път Ш-5305 „Ямбол - Завой - Граница ОПУ-Сливен" от км 0+000 до км 15+000 — с обща дължина на ремонтирания участък 10.720 км. С възстановяването на обекта значително е подобрен достъпът на жителите на селата Завой и Веселиново до областния център; Превантивен ремонт на път П-76 „О.п Елхово - Гранитово - Княжево" от км 0+000 до км 1+700 - с обща дължина на ремонтирания участък 1.7 км. Осъществен е превантивен ремонт на мост на р. Тунджа при км 1+675 на път 11-76 „О.п Елхово - Гранитово - Княжево".</w:t>
      </w:r>
      <w:r w:rsidRPr="00BD7BB1">
        <w:rPr>
          <w:rFonts w:ascii="Times New Roman" w:eastAsia="Calibri" w:hAnsi="Times New Roman"/>
          <w:i/>
          <w:color w:val="auto"/>
          <w:szCs w:val="22"/>
          <w:lang w:val="bg-BG" w:eastAsia="bg-BG"/>
        </w:rPr>
        <w:t xml:space="preserve"> </w:t>
      </w:r>
    </w:p>
    <w:p w:rsidR="007A75A4" w:rsidRDefault="00F25110" w:rsidP="007A75A4">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През отчетния период със средства по ОП„Регионално развитие“са реализирани следните обекти: 1. ЛОТ 59 „Рехабилитация на път Ш-7602 Граница с ОПУ Хасково - Г. Манастир - Крумово - Инзово - Роза от км 8+600 до км 13+600 и от км 14+300 до км 23+915 с дължина 14.615 км", община Тунджа, област Ямбол; 2. ЛОТ 60 „Рехабилитация на път Ш-7602 Граница с ОПУ Хасково - Г.Манастир - Крумово -Инзово - Роза, участък район Миладиновци - Роза от км 23+915 до км 39+800 с обща дължина 15.885 км" , община Тунджа, област Ямбол. С рехабилитацията на пътните участъци е подобрен транспортния достъп между населените места Голям манастир, Крумово, Генерал Инзово, Роза, както и достъпът на жителите им до град Ямбол. Общата дължина на рехабилитираната пътна инфраструктура от II и III клас на РПМ на територията на област Ямбол е 42.920 км, което представлява 8.6 % от второкласна и третокласна РПМ в област Ямбол.</w:t>
      </w:r>
    </w:p>
    <w:p w:rsidR="00F25110" w:rsidRPr="007A75A4" w:rsidRDefault="00F25110" w:rsidP="007A75A4">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iCs/>
          <w:color w:val="auto"/>
          <w:sz w:val="24"/>
          <w:szCs w:val="24"/>
          <w:lang w:val="bg-BG" w:eastAsia="bg-BG"/>
        </w:rPr>
        <w:t>По данни,</w:t>
      </w:r>
      <w:r w:rsidRPr="00BD7BB1">
        <w:rPr>
          <w:rFonts w:ascii="Times New Roman" w:eastAsia="Times New Roman" w:hAnsi="Times New Roman"/>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подадени от</w:t>
      </w:r>
      <w:r w:rsidRPr="00BD7BB1">
        <w:rPr>
          <w:rFonts w:ascii="Times New Roman" w:eastAsia="Times New Roman" w:hAnsi="Times New Roman"/>
          <w:iCs/>
          <w:color w:val="auto"/>
          <w:sz w:val="24"/>
          <w:szCs w:val="24"/>
          <w:lang w:val="bg-BG" w:eastAsia="bg-BG"/>
        </w:rPr>
        <w:t xml:space="preserve"> </w:t>
      </w:r>
      <w:r w:rsidRPr="00BD7BB1">
        <w:rPr>
          <w:rFonts w:ascii="Times New Roman" w:eastAsia="Times New Roman" w:hAnsi="Times New Roman"/>
          <w:b/>
          <w:bCs/>
          <w:iCs/>
          <w:color w:val="auto"/>
          <w:sz w:val="24"/>
          <w:szCs w:val="24"/>
          <w:lang w:val="bg-BG" w:eastAsia="bg-BG"/>
        </w:rPr>
        <w:t xml:space="preserve">ДП „НАЦИОНАЛНА КОМПАНИЯ ЖЕЛЕЗОПЪТНА ИНФРАСТРУКТУРА“ </w:t>
      </w:r>
      <w:r w:rsidRPr="00BD7BB1">
        <w:rPr>
          <w:rFonts w:ascii="Times New Roman" w:eastAsia="Calibri" w:hAnsi="Times New Roman"/>
          <w:color w:val="auto"/>
          <w:szCs w:val="22"/>
          <w:lang w:val="bg-BG" w:eastAsia="bg-BG"/>
        </w:rPr>
        <w:t xml:space="preserve">през 2014 г. са извършените ремонтни дейности и рехабилитация по железния път, на територията на областите  Стара Загора, Сливен, Бургас и Ямбол.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bCs/>
          <w:iCs/>
          <w:color w:val="auto"/>
          <w:sz w:val="24"/>
          <w:szCs w:val="24"/>
          <w:lang w:val="bg-BG" w:eastAsia="bg-BG"/>
        </w:rPr>
      </w:pPr>
      <w:r w:rsidRPr="00BD7BB1">
        <w:rPr>
          <w:rFonts w:ascii="Times New Roman" w:eastAsia="Times New Roman" w:hAnsi="Times New Roman"/>
          <w:i/>
          <w:color w:val="auto"/>
          <w:sz w:val="24"/>
          <w:szCs w:val="24"/>
          <w:lang w:val="bg-BG" w:eastAsia="bg-BG"/>
        </w:rPr>
        <w:t xml:space="preserve">Общата дължина на реконструирани или подобрени ж.п. линии за 2014г. са 308 км, което формира относителен дял от </w:t>
      </w:r>
      <w:r w:rsidRPr="00BD7BB1">
        <w:rPr>
          <w:rFonts w:ascii="Times New Roman" w:eastAsia="Times New Roman" w:hAnsi="Times New Roman"/>
          <w:b/>
          <w:i/>
          <w:color w:val="auto"/>
          <w:sz w:val="24"/>
          <w:szCs w:val="24"/>
          <w:lang w:val="bg-BG" w:eastAsia="bg-BG"/>
        </w:rPr>
        <w:t xml:space="preserve">28,8% </w:t>
      </w:r>
      <w:r w:rsidRPr="00BD7BB1">
        <w:rPr>
          <w:rFonts w:ascii="Times New Roman" w:eastAsia="Times New Roman" w:hAnsi="Times New Roman"/>
          <w:bCs/>
          <w:iCs/>
          <w:color w:val="auto"/>
          <w:sz w:val="24"/>
          <w:szCs w:val="24"/>
          <w:lang w:val="bg-BG" w:eastAsia="bg-BG"/>
        </w:rPr>
        <w:t>от общата дължина на жел</w:t>
      </w:r>
      <w:r w:rsidR="00172DEB">
        <w:rPr>
          <w:rFonts w:ascii="Times New Roman" w:eastAsia="Times New Roman" w:hAnsi="Times New Roman"/>
          <w:bCs/>
          <w:iCs/>
          <w:color w:val="auto"/>
          <w:sz w:val="24"/>
          <w:szCs w:val="24"/>
          <w:lang w:val="bg-BG" w:eastAsia="bg-BG"/>
        </w:rPr>
        <w:t>е</w:t>
      </w:r>
      <w:r w:rsidRPr="00BD7BB1">
        <w:rPr>
          <w:rFonts w:ascii="Times New Roman" w:eastAsia="Times New Roman" w:hAnsi="Times New Roman"/>
          <w:bCs/>
          <w:iCs/>
          <w:color w:val="auto"/>
          <w:sz w:val="24"/>
          <w:szCs w:val="24"/>
          <w:lang w:val="bg-BG" w:eastAsia="bg-BG"/>
        </w:rPr>
        <w:t>зния път в Югоизточен район.</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i/>
          <w:color w:val="auto"/>
          <w:sz w:val="24"/>
          <w:szCs w:val="24"/>
          <w:lang w:val="bg-BG" w:eastAsia="bg-BG"/>
        </w:rPr>
      </w:pPr>
      <w:r w:rsidRPr="00BD7BB1">
        <w:rPr>
          <w:rFonts w:ascii="Times New Roman" w:eastAsia="Times New Roman" w:hAnsi="Times New Roman"/>
          <w:i/>
          <w:color w:val="auto"/>
          <w:sz w:val="24"/>
          <w:szCs w:val="24"/>
          <w:lang w:val="bg-BG" w:eastAsia="bg-BG"/>
        </w:rPr>
        <w:t xml:space="preserve">По </w:t>
      </w:r>
      <w:r w:rsidRPr="00BD7BB1">
        <w:rPr>
          <w:rFonts w:ascii="Times New Roman" w:eastAsia="Times New Roman" w:hAnsi="Times New Roman"/>
          <w:b/>
          <w:i/>
          <w:color w:val="auto"/>
          <w:sz w:val="24"/>
          <w:szCs w:val="24"/>
          <w:lang w:val="bg-BG" w:eastAsia="bg-BG"/>
        </w:rPr>
        <w:t>относителен дял на домакинствата</w:t>
      </w:r>
      <w:r w:rsidRPr="00BD7BB1">
        <w:rPr>
          <w:rFonts w:ascii="Times New Roman" w:eastAsia="Times New Roman" w:hAnsi="Times New Roman"/>
          <w:i/>
          <w:color w:val="auto"/>
          <w:sz w:val="24"/>
          <w:szCs w:val="24"/>
          <w:lang w:val="bg-BG" w:eastAsia="bg-BG"/>
        </w:rPr>
        <w:t xml:space="preserve"> с достъп до интернет през 2014 г. ЮИР отбелязва стойност </w:t>
      </w:r>
      <w:r w:rsidRPr="00BD7BB1">
        <w:rPr>
          <w:rFonts w:ascii="Times New Roman" w:eastAsia="Times New Roman" w:hAnsi="Times New Roman"/>
          <w:b/>
          <w:i/>
          <w:color w:val="auto"/>
          <w:sz w:val="24"/>
          <w:szCs w:val="24"/>
          <w:lang w:val="bg-BG" w:eastAsia="bg-BG"/>
        </w:rPr>
        <w:t>- 52,7 %,</w:t>
      </w:r>
      <w:r w:rsidRPr="00BD7BB1">
        <w:rPr>
          <w:rFonts w:ascii="Times New Roman" w:eastAsia="Times New Roman" w:hAnsi="Times New Roman"/>
          <w:i/>
          <w:color w:val="auto"/>
          <w:sz w:val="24"/>
          <w:szCs w:val="24"/>
          <w:lang w:val="bg-BG" w:eastAsia="bg-BG"/>
        </w:rPr>
        <w:t xml:space="preserve"> което е увеличение с 28,7% спрямо 2011г.</w:t>
      </w:r>
    </w:p>
    <w:p w:rsidR="00D13399" w:rsidRPr="00BC30DD" w:rsidRDefault="00BC30DD" w:rsidP="00BC30DD">
      <w:pPr>
        <w:spacing w:before="100" w:beforeAutospacing="1" w:after="100" w:afterAutospacing="1" w:line="360" w:lineRule="auto"/>
        <w:jc w:val="both"/>
        <w:rPr>
          <w:rFonts w:ascii="Times New Roman" w:eastAsia="Times New Roman" w:hAnsi="Times New Roman"/>
          <w:b/>
          <w:color w:val="9B2D1F" w:themeColor="accent2"/>
          <w:sz w:val="24"/>
          <w:szCs w:val="24"/>
          <w:lang w:val="bg-BG" w:eastAsia="bg-BG"/>
        </w:rPr>
      </w:pPr>
      <w:r>
        <w:rPr>
          <w:rFonts w:ascii="Times New Roman" w:eastAsia="Times New Roman" w:hAnsi="Times New Roman"/>
          <w:b/>
          <w:color w:val="9B2D1F" w:themeColor="accent2"/>
          <w:sz w:val="24"/>
          <w:szCs w:val="24"/>
          <w:lang w:val="bg-BG" w:eastAsia="bg-BG"/>
        </w:rPr>
        <w:t xml:space="preserve">Приоритет 3 </w:t>
      </w:r>
      <w:r w:rsidR="00D13399" w:rsidRPr="00BC30DD">
        <w:rPr>
          <w:rFonts w:ascii="Times New Roman" w:eastAsia="Times New Roman" w:hAnsi="Times New Roman"/>
          <w:b/>
          <w:color w:val="9B2D1F" w:themeColor="accent2"/>
          <w:sz w:val="24"/>
          <w:szCs w:val="24"/>
          <w:lang w:val="bg-BG" w:eastAsia="bg-BG"/>
        </w:rPr>
        <w:t>Подобряване качеството на живот в селските райони.</w:t>
      </w:r>
    </w:p>
    <w:p w:rsidR="00D13399" w:rsidRPr="00D13399" w:rsidRDefault="00D13399" w:rsidP="00D13399">
      <w:pPr>
        <w:spacing w:before="100" w:beforeAutospacing="1" w:after="100" w:afterAutospacing="1" w:line="360" w:lineRule="auto"/>
        <w:ind w:firstLine="708"/>
        <w:jc w:val="both"/>
        <w:rPr>
          <w:rFonts w:ascii="Times New Roman" w:eastAsia="Times New Roman" w:hAnsi="Times New Roman"/>
          <w:b/>
          <w:color w:val="auto"/>
          <w:sz w:val="24"/>
          <w:szCs w:val="24"/>
          <w:lang w:val="bg-BG" w:eastAsia="bg-BG"/>
        </w:rPr>
      </w:pPr>
      <w:r w:rsidRPr="00D13399">
        <w:rPr>
          <w:rFonts w:ascii="Times New Roman" w:eastAsia="Times New Roman" w:hAnsi="Times New Roman"/>
          <w:color w:val="auto"/>
          <w:sz w:val="24"/>
          <w:szCs w:val="24"/>
          <w:lang w:val="bg-BG" w:eastAsia="bg-BG"/>
        </w:rPr>
        <w:t>За развитие на селските райони в социален и икономически аспект, както и за намаляване на вътрешнорегионалните различия в ЮИР, са заложени  мерки за целенасочено стимулиране развитието на селата.</w:t>
      </w:r>
      <w:r w:rsidR="00B372F9">
        <w:rPr>
          <w:rFonts w:ascii="Times New Roman" w:eastAsia="Times New Roman" w:hAnsi="Times New Roman"/>
          <w:color w:val="auto"/>
          <w:sz w:val="24"/>
          <w:szCs w:val="24"/>
          <w:lang w:val="bg-BG" w:eastAsia="bg-BG"/>
        </w:rPr>
        <w:t xml:space="preserve"> </w:t>
      </w:r>
      <w:r w:rsidRPr="00D13399">
        <w:rPr>
          <w:rFonts w:ascii="Times New Roman" w:eastAsia="Times New Roman" w:hAnsi="Times New Roman"/>
          <w:color w:val="auto"/>
          <w:sz w:val="24"/>
          <w:szCs w:val="24"/>
          <w:lang w:val="bg-BG" w:eastAsia="bg-BG"/>
        </w:rPr>
        <w:t>Основно приоритетът получава подкрепа от Програмата за развитие на селските райони. Проектите по програмата са свързани главно с подобряване на конкурентоспособността на земеделския и горския сектор чрез повишаване на продуктивността и конкурентоспособността на земеделието, ХВП и горското стопанство; Подобряване на околната среда и селската природа; Изграждане на местен капацитет за заетост и разнообразяване на икономиката; Подобряване качеството на живот и управлението на икономическата дейност в селските райони.</w:t>
      </w:r>
    </w:p>
    <w:p w:rsidR="00D13399" w:rsidRPr="00D13399" w:rsidRDefault="00D13399" w:rsidP="0096792A">
      <w:pPr>
        <w:spacing w:before="100" w:beforeAutospacing="1" w:after="100" w:afterAutospacing="1" w:line="360" w:lineRule="auto"/>
        <w:ind w:firstLine="360"/>
        <w:jc w:val="both"/>
        <w:rPr>
          <w:rFonts w:ascii="Times New Roman" w:eastAsia="Times New Roman" w:hAnsi="Times New Roman"/>
          <w:color w:val="auto"/>
          <w:sz w:val="24"/>
          <w:szCs w:val="24"/>
          <w:lang w:val="bg-BG" w:eastAsia="bg-BG"/>
        </w:rPr>
      </w:pPr>
      <w:r w:rsidRPr="00D13399">
        <w:rPr>
          <w:rFonts w:ascii="Times New Roman" w:eastAsia="Times New Roman" w:hAnsi="Times New Roman"/>
          <w:color w:val="auto"/>
          <w:sz w:val="24"/>
          <w:szCs w:val="24"/>
          <w:lang w:val="bg-BG" w:eastAsia="bg-BG"/>
        </w:rPr>
        <w:t xml:space="preserve">За изпълнението на </w:t>
      </w:r>
      <w:r w:rsidRPr="00D13399">
        <w:rPr>
          <w:rFonts w:ascii="Times New Roman" w:eastAsia="Times New Roman" w:hAnsi="Times New Roman"/>
          <w:b/>
          <w:color w:val="auto"/>
          <w:sz w:val="24"/>
          <w:szCs w:val="24"/>
          <w:lang w:val="bg-BG" w:eastAsia="bg-BG"/>
        </w:rPr>
        <w:t xml:space="preserve">приоритет 3  </w:t>
      </w:r>
      <w:r w:rsidRPr="00D13399">
        <w:rPr>
          <w:rFonts w:ascii="Times New Roman" w:eastAsia="Times New Roman" w:hAnsi="Times New Roman"/>
          <w:color w:val="auto"/>
          <w:sz w:val="24"/>
          <w:szCs w:val="24"/>
          <w:lang w:val="bg-BG" w:eastAsia="bg-BG"/>
        </w:rPr>
        <w:t>в Регионалния план за развитие са заложени следните индикатори:</w:t>
      </w:r>
    </w:p>
    <w:p w:rsidR="00F25110" w:rsidRPr="00D13399" w:rsidRDefault="00F25110" w:rsidP="0096792A">
      <w:pPr>
        <w:numPr>
          <w:ilvl w:val="0"/>
          <w:numId w:val="65"/>
        </w:numPr>
        <w:spacing w:before="100" w:beforeAutospacing="1" w:after="100" w:afterAutospacing="1" w:line="360" w:lineRule="auto"/>
        <w:ind w:left="-142" w:firstLine="502"/>
        <w:jc w:val="both"/>
        <w:rPr>
          <w:rFonts w:ascii="Times New Roman" w:eastAsia="Times New Roman" w:hAnsi="Times New Roman"/>
          <w:color w:val="auto"/>
          <w:sz w:val="24"/>
          <w:szCs w:val="24"/>
          <w:lang w:val="bg-BG" w:eastAsia="bg-BG"/>
        </w:rPr>
      </w:pPr>
      <w:r w:rsidRPr="00D13399">
        <w:rPr>
          <w:rFonts w:ascii="Times New Roman" w:eastAsia="Times New Roman" w:hAnsi="Times New Roman"/>
          <w:b/>
          <w:bCs/>
          <w:i/>
          <w:color w:val="auto"/>
          <w:sz w:val="24"/>
          <w:szCs w:val="24"/>
          <w:lang w:val="bg-BG" w:eastAsia="bg-BG"/>
        </w:rPr>
        <w:t>Проекти за подобряване качеството на средата и  живота в селските райони, в бр.</w:t>
      </w:r>
      <w:r w:rsidRPr="00D13399">
        <w:rPr>
          <w:rFonts w:ascii="Times New Roman" w:eastAsia="Times New Roman" w:hAnsi="Times New Roman"/>
          <w:b/>
          <w:bCs/>
          <w:color w:val="auto"/>
          <w:sz w:val="24"/>
          <w:szCs w:val="24"/>
          <w:lang w:val="bg-BG" w:eastAsia="bg-BG"/>
        </w:rPr>
        <w:t xml:space="preserve"> </w:t>
      </w:r>
      <w:r w:rsidRPr="00D13399">
        <w:rPr>
          <w:rFonts w:ascii="Times New Roman" w:eastAsia="Times New Roman" w:hAnsi="Times New Roman"/>
          <w:bCs/>
          <w:color w:val="auto"/>
          <w:sz w:val="24"/>
          <w:szCs w:val="24"/>
          <w:lang w:val="bg-BG" w:eastAsia="bg-BG"/>
        </w:rPr>
        <w:t>По подадена информация от общините на територията на района се изпълняват следния брой проекти:</w:t>
      </w:r>
      <w:r w:rsidRPr="00D13399">
        <w:rPr>
          <w:rFonts w:ascii="Times New Roman" w:eastAsia="Times New Roman" w:hAnsi="Times New Roman"/>
          <w:b/>
          <w:color w:val="auto"/>
          <w:sz w:val="24"/>
          <w:szCs w:val="24"/>
          <w:lang w:val="bg-BG" w:eastAsia="bg-BG"/>
        </w:rPr>
        <w:t xml:space="preserve"> Царево-</w:t>
      </w:r>
      <w:r w:rsidRPr="00D13399">
        <w:rPr>
          <w:rFonts w:ascii="Times New Roman" w:eastAsia="Times New Roman" w:hAnsi="Times New Roman"/>
          <w:color w:val="auto"/>
          <w:sz w:val="24"/>
          <w:szCs w:val="24"/>
          <w:lang w:val="bg-BG" w:eastAsia="bg-BG"/>
        </w:rPr>
        <w:t xml:space="preserve">10бр., </w:t>
      </w:r>
      <w:r w:rsidRPr="00D13399">
        <w:rPr>
          <w:rFonts w:ascii="Times New Roman" w:eastAsia="Times New Roman" w:hAnsi="Times New Roman"/>
          <w:b/>
          <w:color w:val="auto"/>
          <w:sz w:val="24"/>
          <w:szCs w:val="24"/>
          <w:lang w:val="bg-BG" w:eastAsia="bg-BG"/>
        </w:rPr>
        <w:t>Айтос</w:t>
      </w:r>
      <w:r w:rsidR="0096792A">
        <w:rPr>
          <w:rFonts w:ascii="Times New Roman" w:eastAsia="Times New Roman" w:hAnsi="Times New Roman"/>
          <w:b/>
          <w:color w:val="auto"/>
          <w:sz w:val="24"/>
          <w:szCs w:val="24"/>
          <w:lang w:val="bg-BG" w:eastAsia="bg-BG"/>
        </w:rPr>
        <w:t xml:space="preserve"> </w:t>
      </w:r>
      <w:r w:rsidRPr="00D13399">
        <w:rPr>
          <w:rFonts w:ascii="Times New Roman" w:eastAsia="Times New Roman" w:hAnsi="Times New Roman"/>
          <w:color w:val="auto"/>
          <w:sz w:val="24"/>
          <w:szCs w:val="24"/>
          <w:lang w:val="bg-BG" w:eastAsia="bg-BG"/>
        </w:rPr>
        <w:t>2бр.</w:t>
      </w:r>
      <w:r w:rsidRPr="00D13399">
        <w:rPr>
          <w:rFonts w:ascii="Times New Roman" w:eastAsia="Times New Roman" w:hAnsi="Times New Roman"/>
          <w:b/>
          <w:color w:val="auto"/>
          <w:sz w:val="24"/>
          <w:szCs w:val="24"/>
          <w:lang w:val="bg-BG" w:eastAsia="bg-BG"/>
        </w:rPr>
        <w:t xml:space="preserve"> Камено-</w:t>
      </w:r>
      <w:r w:rsidRPr="00D13399">
        <w:rPr>
          <w:rFonts w:ascii="Times New Roman" w:eastAsia="Times New Roman" w:hAnsi="Times New Roman"/>
          <w:color w:val="auto"/>
          <w:sz w:val="24"/>
          <w:szCs w:val="24"/>
          <w:lang w:val="bg-BG" w:eastAsia="bg-BG"/>
        </w:rPr>
        <w:t>1бр.,</w:t>
      </w:r>
      <w:r w:rsidRPr="00D13399">
        <w:rPr>
          <w:rFonts w:ascii="Times New Roman" w:eastAsia="Times New Roman" w:hAnsi="Times New Roman"/>
          <w:b/>
          <w:color w:val="auto"/>
          <w:sz w:val="24"/>
          <w:szCs w:val="24"/>
          <w:lang w:val="bg-BG" w:eastAsia="bg-BG"/>
        </w:rPr>
        <w:t>Поморие-</w:t>
      </w:r>
      <w:r w:rsidRPr="00D13399">
        <w:rPr>
          <w:rFonts w:ascii="Times New Roman" w:eastAsia="Times New Roman" w:hAnsi="Times New Roman"/>
          <w:color w:val="auto"/>
          <w:sz w:val="24"/>
          <w:szCs w:val="24"/>
          <w:lang w:val="bg-BG" w:eastAsia="bg-BG"/>
        </w:rPr>
        <w:t xml:space="preserve">1бр., </w:t>
      </w:r>
      <w:r w:rsidRPr="00D13399">
        <w:rPr>
          <w:rFonts w:ascii="Times New Roman" w:eastAsia="Times New Roman" w:hAnsi="Times New Roman"/>
          <w:b/>
          <w:color w:val="auto"/>
          <w:sz w:val="24"/>
          <w:szCs w:val="24"/>
          <w:lang w:val="bg-BG" w:eastAsia="bg-BG"/>
        </w:rPr>
        <w:t>Приморско</w:t>
      </w:r>
      <w:r w:rsidRPr="00D13399">
        <w:rPr>
          <w:rFonts w:ascii="Times New Roman" w:eastAsia="Times New Roman" w:hAnsi="Times New Roman"/>
          <w:color w:val="auto"/>
          <w:sz w:val="24"/>
          <w:szCs w:val="24"/>
          <w:lang w:val="bg-BG" w:eastAsia="bg-BG"/>
        </w:rPr>
        <w:t xml:space="preserve">-2 бр., </w:t>
      </w:r>
      <w:r w:rsidRPr="00D13399">
        <w:rPr>
          <w:rFonts w:ascii="Times New Roman" w:eastAsia="Times New Roman" w:hAnsi="Times New Roman"/>
          <w:b/>
          <w:color w:val="auto"/>
          <w:sz w:val="24"/>
          <w:szCs w:val="24"/>
          <w:lang w:val="bg-BG" w:eastAsia="bg-BG"/>
        </w:rPr>
        <w:t>Руен</w:t>
      </w:r>
      <w:r w:rsidRPr="00D13399">
        <w:rPr>
          <w:rFonts w:ascii="Times New Roman" w:eastAsia="Times New Roman" w:hAnsi="Times New Roman"/>
          <w:color w:val="auto"/>
          <w:sz w:val="24"/>
          <w:szCs w:val="24"/>
          <w:lang w:val="bg-BG" w:eastAsia="bg-BG"/>
        </w:rPr>
        <w:t xml:space="preserve"> 1бр.,</w:t>
      </w:r>
      <w:r w:rsidRPr="00D13399">
        <w:rPr>
          <w:rFonts w:ascii="Times New Roman" w:eastAsia="Times New Roman" w:hAnsi="Times New Roman"/>
          <w:b/>
          <w:color w:val="auto"/>
          <w:sz w:val="24"/>
          <w:szCs w:val="24"/>
          <w:lang w:val="bg-BG" w:eastAsia="bg-BG"/>
        </w:rPr>
        <w:t>Твърдица</w:t>
      </w:r>
      <w:r w:rsidR="0096792A">
        <w:rPr>
          <w:rFonts w:ascii="Times New Roman" w:eastAsia="Times New Roman" w:hAnsi="Times New Roman"/>
          <w:b/>
          <w:color w:val="auto"/>
          <w:sz w:val="24"/>
          <w:szCs w:val="24"/>
          <w:lang w:val="bg-BG" w:eastAsia="bg-BG"/>
        </w:rPr>
        <w:t xml:space="preserve"> </w:t>
      </w:r>
      <w:r w:rsidRPr="00D13399">
        <w:rPr>
          <w:rFonts w:ascii="Times New Roman" w:eastAsia="Times New Roman" w:hAnsi="Times New Roman"/>
          <w:color w:val="auto"/>
          <w:sz w:val="24"/>
          <w:szCs w:val="24"/>
          <w:lang w:val="bg-BG" w:eastAsia="bg-BG"/>
        </w:rPr>
        <w:t xml:space="preserve">-4бр, </w:t>
      </w:r>
      <w:r w:rsidRPr="00D13399">
        <w:rPr>
          <w:rFonts w:ascii="Times New Roman" w:eastAsia="Times New Roman" w:hAnsi="Times New Roman"/>
          <w:b/>
          <w:color w:val="auto"/>
          <w:sz w:val="24"/>
          <w:szCs w:val="24"/>
          <w:lang w:val="bg-BG" w:eastAsia="bg-BG"/>
        </w:rPr>
        <w:t>Котел</w:t>
      </w:r>
      <w:r w:rsidR="0096792A">
        <w:rPr>
          <w:rFonts w:ascii="Times New Roman" w:eastAsia="Times New Roman" w:hAnsi="Times New Roman"/>
          <w:b/>
          <w:color w:val="auto"/>
          <w:sz w:val="24"/>
          <w:szCs w:val="24"/>
          <w:lang w:val="bg-BG" w:eastAsia="bg-BG"/>
        </w:rPr>
        <w:t xml:space="preserve"> </w:t>
      </w:r>
      <w:r w:rsidRPr="00D13399">
        <w:rPr>
          <w:rFonts w:ascii="Times New Roman" w:eastAsia="Times New Roman" w:hAnsi="Times New Roman"/>
          <w:b/>
          <w:color w:val="auto"/>
          <w:sz w:val="24"/>
          <w:szCs w:val="24"/>
          <w:lang w:val="bg-BG" w:eastAsia="bg-BG"/>
        </w:rPr>
        <w:t>-</w:t>
      </w:r>
      <w:r w:rsidRPr="00D13399">
        <w:rPr>
          <w:rFonts w:ascii="Times New Roman" w:eastAsia="Times New Roman" w:hAnsi="Times New Roman"/>
          <w:color w:val="auto"/>
          <w:sz w:val="24"/>
          <w:szCs w:val="24"/>
          <w:lang w:val="bg-BG" w:eastAsia="bg-BG"/>
        </w:rPr>
        <w:t>4бр.,</w:t>
      </w:r>
      <w:r w:rsidRPr="00D13399">
        <w:rPr>
          <w:rFonts w:ascii="Times New Roman" w:eastAsia="Times New Roman" w:hAnsi="Times New Roman"/>
          <w:b/>
          <w:color w:val="auto"/>
          <w:sz w:val="24"/>
          <w:szCs w:val="24"/>
          <w:lang w:val="bg-BG" w:eastAsia="bg-BG"/>
        </w:rPr>
        <w:t>Болярово</w:t>
      </w:r>
      <w:r w:rsidR="0096792A">
        <w:rPr>
          <w:rFonts w:ascii="Times New Roman" w:eastAsia="Times New Roman" w:hAnsi="Times New Roman"/>
          <w:b/>
          <w:color w:val="auto"/>
          <w:sz w:val="24"/>
          <w:szCs w:val="24"/>
          <w:lang w:val="bg-BG" w:eastAsia="bg-BG"/>
        </w:rPr>
        <w:t xml:space="preserve"> </w:t>
      </w:r>
      <w:r w:rsidRPr="00D13399">
        <w:rPr>
          <w:rFonts w:ascii="Times New Roman" w:eastAsia="Times New Roman" w:hAnsi="Times New Roman"/>
          <w:b/>
          <w:color w:val="auto"/>
          <w:sz w:val="24"/>
          <w:szCs w:val="24"/>
          <w:lang w:val="bg-BG" w:eastAsia="bg-BG"/>
        </w:rPr>
        <w:t>-</w:t>
      </w:r>
      <w:r w:rsidRPr="00D13399">
        <w:rPr>
          <w:rFonts w:ascii="Times New Roman" w:eastAsia="Times New Roman" w:hAnsi="Times New Roman"/>
          <w:color w:val="auto"/>
          <w:sz w:val="24"/>
          <w:szCs w:val="24"/>
          <w:lang w:val="bg-BG" w:eastAsia="bg-BG"/>
        </w:rPr>
        <w:t>4бр.,</w:t>
      </w:r>
      <w:r w:rsidRPr="00D13399">
        <w:rPr>
          <w:rFonts w:ascii="Times New Roman" w:eastAsia="Times New Roman" w:hAnsi="Times New Roman"/>
          <w:b/>
          <w:color w:val="auto"/>
          <w:sz w:val="24"/>
          <w:szCs w:val="24"/>
          <w:lang w:val="bg-BG" w:eastAsia="bg-BG"/>
        </w:rPr>
        <w:t>Елхово</w:t>
      </w:r>
      <w:r w:rsidRPr="00D13399">
        <w:rPr>
          <w:rFonts w:ascii="Times New Roman" w:eastAsia="Times New Roman" w:hAnsi="Times New Roman"/>
          <w:color w:val="auto"/>
          <w:sz w:val="24"/>
          <w:szCs w:val="24"/>
          <w:lang w:val="bg-BG" w:eastAsia="bg-BG"/>
        </w:rPr>
        <w:t>-7бр.,</w:t>
      </w:r>
      <w:r w:rsidRPr="00D13399">
        <w:rPr>
          <w:rFonts w:ascii="Times New Roman" w:eastAsia="Times New Roman" w:hAnsi="Times New Roman"/>
          <w:b/>
          <w:color w:val="auto"/>
          <w:sz w:val="24"/>
          <w:szCs w:val="24"/>
          <w:lang w:val="bg-BG" w:eastAsia="bg-BG"/>
        </w:rPr>
        <w:t xml:space="preserve">Стралджа </w:t>
      </w:r>
      <w:r w:rsidRPr="00D13399">
        <w:rPr>
          <w:rFonts w:ascii="Times New Roman" w:eastAsia="Times New Roman" w:hAnsi="Times New Roman"/>
          <w:color w:val="auto"/>
          <w:sz w:val="24"/>
          <w:szCs w:val="24"/>
          <w:lang w:val="bg-BG" w:eastAsia="bg-BG"/>
        </w:rPr>
        <w:t>2бр.,</w:t>
      </w:r>
      <w:r w:rsidRPr="00D13399">
        <w:rPr>
          <w:rFonts w:ascii="Times New Roman" w:eastAsia="Times New Roman" w:hAnsi="Times New Roman"/>
          <w:b/>
          <w:color w:val="auto"/>
          <w:sz w:val="24"/>
          <w:szCs w:val="24"/>
          <w:lang w:val="bg-BG" w:eastAsia="bg-BG"/>
        </w:rPr>
        <w:t>Тунджа</w:t>
      </w:r>
      <w:r w:rsidRPr="00D13399">
        <w:rPr>
          <w:rFonts w:ascii="Times New Roman" w:eastAsia="Times New Roman" w:hAnsi="Times New Roman"/>
          <w:color w:val="auto"/>
          <w:sz w:val="24"/>
          <w:szCs w:val="24"/>
          <w:lang w:val="bg-BG" w:eastAsia="bg-BG"/>
        </w:rPr>
        <w:t xml:space="preserve">-20бр., </w:t>
      </w:r>
      <w:r w:rsidRPr="00D13399">
        <w:rPr>
          <w:rFonts w:ascii="Times New Roman" w:eastAsia="Times New Roman" w:hAnsi="Times New Roman"/>
          <w:b/>
          <w:color w:val="auto"/>
          <w:sz w:val="24"/>
          <w:szCs w:val="24"/>
          <w:lang w:val="bg-BG" w:eastAsia="bg-BG"/>
        </w:rPr>
        <w:t>Павел баня</w:t>
      </w:r>
      <w:r w:rsidRPr="00D13399">
        <w:rPr>
          <w:rFonts w:ascii="Times New Roman" w:eastAsia="Times New Roman" w:hAnsi="Times New Roman"/>
          <w:color w:val="auto"/>
          <w:sz w:val="24"/>
          <w:szCs w:val="24"/>
          <w:lang w:val="bg-BG" w:eastAsia="bg-BG"/>
        </w:rPr>
        <w:t xml:space="preserve">-2бр., </w:t>
      </w:r>
      <w:r w:rsidRPr="00D13399">
        <w:rPr>
          <w:rFonts w:ascii="Times New Roman" w:eastAsia="Times New Roman" w:hAnsi="Times New Roman"/>
          <w:b/>
          <w:color w:val="auto"/>
          <w:sz w:val="24"/>
          <w:szCs w:val="24"/>
          <w:lang w:val="bg-BG" w:eastAsia="bg-BG"/>
        </w:rPr>
        <w:t>Николаево</w:t>
      </w:r>
      <w:r w:rsidRPr="00D13399">
        <w:rPr>
          <w:rFonts w:ascii="Times New Roman" w:eastAsia="Times New Roman" w:hAnsi="Times New Roman"/>
          <w:color w:val="auto"/>
          <w:sz w:val="24"/>
          <w:szCs w:val="24"/>
          <w:lang w:val="bg-BG" w:eastAsia="bg-BG"/>
        </w:rPr>
        <w:t>-1бр.,</w:t>
      </w:r>
      <w:r w:rsidRPr="00D13399">
        <w:rPr>
          <w:rFonts w:ascii="Times New Roman" w:eastAsia="Times New Roman" w:hAnsi="Times New Roman"/>
          <w:b/>
          <w:color w:val="auto"/>
          <w:sz w:val="24"/>
          <w:szCs w:val="24"/>
          <w:lang w:val="bg-BG" w:eastAsia="bg-BG"/>
        </w:rPr>
        <w:t>Опан-</w:t>
      </w:r>
      <w:r w:rsidRPr="00D13399">
        <w:rPr>
          <w:rFonts w:ascii="Times New Roman" w:eastAsia="Times New Roman" w:hAnsi="Times New Roman"/>
          <w:color w:val="auto"/>
          <w:sz w:val="24"/>
          <w:szCs w:val="24"/>
          <w:lang w:val="bg-BG" w:eastAsia="bg-BG"/>
        </w:rPr>
        <w:t>1бр.,</w:t>
      </w:r>
      <w:r w:rsidRPr="00D13399">
        <w:rPr>
          <w:rFonts w:ascii="Times New Roman" w:eastAsia="Times New Roman" w:hAnsi="Times New Roman"/>
          <w:b/>
          <w:color w:val="auto"/>
          <w:sz w:val="24"/>
          <w:szCs w:val="24"/>
          <w:lang w:val="bg-BG" w:eastAsia="bg-BG"/>
        </w:rPr>
        <w:t>Чирпан-</w:t>
      </w:r>
      <w:r w:rsidRPr="00D13399">
        <w:rPr>
          <w:rFonts w:ascii="Times New Roman" w:eastAsia="Times New Roman" w:hAnsi="Times New Roman"/>
          <w:color w:val="auto"/>
          <w:sz w:val="24"/>
          <w:szCs w:val="24"/>
          <w:lang w:val="bg-BG" w:eastAsia="bg-BG"/>
        </w:rPr>
        <w:t xml:space="preserve">13бр., </w:t>
      </w:r>
      <w:r w:rsidRPr="00D13399">
        <w:rPr>
          <w:rFonts w:ascii="Times New Roman" w:eastAsia="Times New Roman" w:hAnsi="Times New Roman"/>
          <w:b/>
          <w:color w:val="auto"/>
          <w:sz w:val="24"/>
          <w:szCs w:val="24"/>
          <w:lang w:val="bg-BG" w:eastAsia="bg-BG"/>
        </w:rPr>
        <w:t>Бр.Даскалови</w:t>
      </w:r>
      <w:r w:rsidR="003263FB">
        <w:rPr>
          <w:rFonts w:ascii="Times New Roman" w:eastAsia="Times New Roman" w:hAnsi="Times New Roman"/>
          <w:b/>
          <w:color w:val="auto"/>
          <w:sz w:val="24"/>
          <w:szCs w:val="24"/>
          <w:lang w:val="bg-BG" w:eastAsia="bg-BG"/>
        </w:rPr>
        <w:t xml:space="preserve"> </w:t>
      </w:r>
      <w:r w:rsidRPr="00D13399">
        <w:rPr>
          <w:rFonts w:ascii="Times New Roman" w:eastAsia="Times New Roman" w:hAnsi="Times New Roman"/>
          <w:color w:val="auto"/>
          <w:sz w:val="24"/>
          <w:szCs w:val="24"/>
          <w:lang w:val="bg-BG" w:eastAsia="bg-BG"/>
        </w:rPr>
        <w:t xml:space="preserve">-1бр., </w:t>
      </w:r>
      <w:r w:rsidRPr="00D13399">
        <w:rPr>
          <w:rFonts w:ascii="Times New Roman" w:eastAsia="Times New Roman" w:hAnsi="Times New Roman"/>
          <w:b/>
          <w:color w:val="auto"/>
          <w:sz w:val="24"/>
          <w:szCs w:val="24"/>
          <w:lang w:val="bg-BG" w:eastAsia="bg-BG"/>
        </w:rPr>
        <w:t>Гурково</w:t>
      </w:r>
      <w:r w:rsidR="003263FB">
        <w:rPr>
          <w:rFonts w:ascii="Times New Roman" w:eastAsia="Times New Roman" w:hAnsi="Times New Roman"/>
          <w:b/>
          <w:color w:val="auto"/>
          <w:sz w:val="24"/>
          <w:szCs w:val="24"/>
          <w:lang w:val="bg-BG" w:eastAsia="bg-BG"/>
        </w:rPr>
        <w:t xml:space="preserve"> </w:t>
      </w:r>
      <w:r w:rsidRPr="00D13399">
        <w:rPr>
          <w:rFonts w:ascii="Times New Roman" w:eastAsia="Times New Roman" w:hAnsi="Times New Roman"/>
          <w:color w:val="auto"/>
          <w:sz w:val="24"/>
          <w:szCs w:val="24"/>
          <w:lang w:val="bg-BG" w:eastAsia="bg-BG"/>
        </w:rPr>
        <w:t>-</w:t>
      </w:r>
      <w:r w:rsidR="003263FB">
        <w:rPr>
          <w:rFonts w:ascii="Times New Roman" w:eastAsia="Times New Roman" w:hAnsi="Times New Roman"/>
          <w:color w:val="auto"/>
          <w:sz w:val="24"/>
          <w:szCs w:val="24"/>
          <w:lang w:val="bg-BG" w:eastAsia="bg-BG"/>
        </w:rPr>
        <w:t xml:space="preserve"> </w:t>
      </w:r>
      <w:r w:rsidRPr="00D13399">
        <w:rPr>
          <w:rFonts w:ascii="Times New Roman" w:eastAsia="Times New Roman" w:hAnsi="Times New Roman"/>
          <w:color w:val="auto"/>
          <w:sz w:val="24"/>
          <w:szCs w:val="24"/>
          <w:lang w:val="bg-BG" w:eastAsia="bg-BG"/>
        </w:rPr>
        <w:t>6бр.,</w:t>
      </w:r>
      <w:r w:rsidRPr="00D13399">
        <w:rPr>
          <w:rFonts w:ascii="Times New Roman" w:eastAsia="Times New Roman" w:hAnsi="Times New Roman"/>
          <w:b/>
          <w:color w:val="auto"/>
          <w:sz w:val="24"/>
          <w:szCs w:val="24"/>
          <w:lang w:val="bg-BG" w:eastAsia="bg-BG"/>
        </w:rPr>
        <w:t>Гълъбово</w:t>
      </w:r>
      <w:r w:rsidRPr="00D13399">
        <w:rPr>
          <w:rFonts w:ascii="Times New Roman" w:eastAsia="Times New Roman" w:hAnsi="Times New Roman"/>
          <w:color w:val="auto"/>
          <w:sz w:val="24"/>
          <w:szCs w:val="24"/>
          <w:lang w:val="bg-BG" w:eastAsia="bg-BG"/>
        </w:rPr>
        <w:t xml:space="preserve">1бр., </w:t>
      </w:r>
      <w:r w:rsidRPr="00D13399">
        <w:rPr>
          <w:rFonts w:ascii="Times New Roman" w:eastAsia="Times New Roman" w:hAnsi="Times New Roman"/>
          <w:b/>
          <w:color w:val="auto"/>
          <w:sz w:val="24"/>
          <w:szCs w:val="24"/>
          <w:lang w:val="bg-BG" w:eastAsia="bg-BG"/>
        </w:rPr>
        <w:t>Казанлък</w:t>
      </w:r>
      <w:r w:rsidR="0096792A">
        <w:rPr>
          <w:rFonts w:ascii="Times New Roman" w:eastAsia="Times New Roman" w:hAnsi="Times New Roman"/>
          <w:b/>
          <w:color w:val="auto"/>
          <w:sz w:val="24"/>
          <w:szCs w:val="24"/>
          <w:lang w:val="bg-BG" w:eastAsia="bg-BG"/>
        </w:rPr>
        <w:t xml:space="preserve"> </w:t>
      </w:r>
      <w:r w:rsidRPr="00D13399">
        <w:rPr>
          <w:rFonts w:ascii="Times New Roman" w:eastAsia="Times New Roman" w:hAnsi="Times New Roman"/>
          <w:b/>
          <w:color w:val="auto"/>
          <w:sz w:val="24"/>
          <w:szCs w:val="24"/>
          <w:lang w:val="bg-BG" w:eastAsia="bg-BG"/>
        </w:rPr>
        <w:t>-</w:t>
      </w:r>
      <w:r w:rsidRPr="00D13399">
        <w:rPr>
          <w:rFonts w:ascii="Times New Roman" w:eastAsia="Times New Roman" w:hAnsi="Times New Roman"/>
          <w:color w:val="auto"/>
          <w:sz w:val="24"/>
          <w:szCs w:val="24"/>
          <w:lang w:val="bg-BG" w:eastAsia="bg-BG"/>
        </w:rPr>
        <w:t>7бр.</w:t>
      </w:r>
    </w:p>
    <w:p w:rsidR="00D13399" w:rsidRPr="00D13399" w:rsidRDefault="00D13399" w:rsidP="00D13399">
      <w:pPr>
        <w:spacing w:before="100" w:beforeAutospacing="1" w:after="100" w:afterAutospacing="1" w:line="360" w:lineRule="auto"/>
        <w:ind w:firstLine="708"/>
        <w:jc w:val="both"/>
        <w:rPr>
          <w:rFonts w:ascii="Times New Roman" w:eastAsia="Times New Roman" w:hAnsi="Times New Roman"/>
          <w:bCs/>
          <w:color w:val="auto"/>
          <w:sz w:val="24"/>
          <w:szCs w:val="24"/>
          <w:lang w:val="bg-BG" w:eastAsia="bg-BG"/>
        </w:rPr>
      </w:pPr>
    </w:p>
    <w:p w:rsidR="00D13399" w:rsidRPr="00D13399" w:rsidRDefault="00D13399" w:rsidP="00D13399">
      <w:pPr>
        <w:numPr>
          <w:ilvl w:val="0"/>
          <w:numId w:val="54"/>
        </w:numPr>
        <w:spacing w:before="100" w:beforeAutospacing="1" w:after="100" w:afterAutospacing="1" w:line="360" w:lineRule="auto"/>
        <w:jc w:val="both"/>
        <w:rPr>
          <w:rFonts w:ascii="Times New Roman" w:eastAsia="Times New Roman" w:hAnsi="Times New Roman"/>
          <w:b/>
          <w:i/>
          <w:color w:val="auto"/>
          <w:sz w:val="24"/>
          <w:szCs w:val="24"/>
          <w:lang w:val="bg-BG" w:eastAsia="bg-BG"/>
        </w:rPr>
      </w:pPr>
      <w:r w:rsidRPr="00D13399">
        <w:rPr>
          <w:rFonts w:ascii="Times New Roman" w:eastAsia="Times New Roman" w:hAnsi="Times New Roman"/>
          <w:b/>
          <w:bCs/>
          <w:i/>
          <w:color w:val="auto"/>
          <w:sz w:val="24"/>
          <w:szCs w:val="24"/>
          <w:lang w:val="bg-BG" w:eastAsia="bg-BG"/>
        </w:rPr>
        <w:t xml:space="preserve">Нарастване на инвестициите в селскостопански райони, в % </w:t>
      </w:r>
    </w:p>
    <w:p w:rsidR="00D13399" w:rsidRPr="00D13399" w:rsidRDefault="00D13399" w:rsidP="0096792A">
      <w:pPr>
        <w:spacing w:before="100" w:beforeAutospacing="1" w:after="100" w:afterAutospacing="1" w:line="360" w:lineRule="auto"/>
        <w:ind w:firstLine="360"/>
        <w:jc w:val="both"/>
        <w:rPr>
          <w:rFonts w:ascii="Times New Roman" w:eastAsia="Times New Roman" w:hAnsi="Times New Roman"/>
          <w:color w:val="auto"/>
          <w:sz w:val="24"/>
          <w:szCs w:val="24"/>
          <w:lang w:val="bg-BG" w:eastAsia="bg-BG"/>
        </w:rPr>
      </w:pPr>
      <w:r w:rsidRPr="00D13399">
        <w:rPr>
          <w:rFonts w:ascii="Times New Roman" w:eastAsia="Times New Roman" w:hAnsi="Times New Roman"/>
          <w:color w:val="auto"/>
          <w:sz w:val="24"/>
          <w:szCs w:val="24"/>
          <w:lang w:val="bg-BG" w:eastAsia="bg-BG"/>
        </w:rPr>
        <w:t>По този индикатор информация са посочили само 4 общини от района, което затруднява  анализа  на  направените инвестиции в селските райони и тяхното значение за подобряване на средата на живот. В процентно изражение инвестициите в селските райони са нарастнали както следва:</w:t>
      </w:r>
      <w:r w:rsidRPr="00D13399">
        <w:rPr>
          <w:rFonts w:ascii="Times New Roman" w:eastAsia="Times New Roman" w:hAnsi="Times New Roman"/>
          <w:b/>
          <w:color w:val="auto"/>
          <w:sz w:val="24"/>
          <w:szCs w:val="24"/>
          <w:lang w:val="bg-BG" w:eastAsia="bg-BG"/>
        </w:rPr>
        <w:t xml:space="preserve"> Руен-</w:t>
      </w:r>
      <w:r w:rsidRPr="00D13399">
        <w:rPr>
          <w:rFonts w:ascii="Times New Roman" w:eastAsia="Times New Roman" w:hAnsi="Times New Roman"/>
          <w:color w:val="auto"/>
          <w:sz w:val="24"/>
          <w:szCs w:val="24"/>
          <w:lang w:val="bg-BG" w:eastAsia="bg-BG"/>
        </w:rPr>
        <w:t>10%,</w:t>
      </w:r>
      <w:r w:rsidRPr="00D13399">
        <w:rPr>
          <w:rFonts w:ascii="Times New Roman" w:eastAsia="Times New Roman" w:hAnsi="Times New Roman"/>
          <w:b/>
          <w:color w:val="auto"/>
          <w:sz w:val="24"/>
          <w:szCs w:val="24"/>
          <w:lang w:val="bg-BG" w:eastAsia="bg-BG"/>
        </w:rPr>
        <w:t>Твърдица</w:t>
      </w:r>
      <w:r w:rsidRPr="00D13399">
        <w:rPr>
          <w:rFonts w:ascii="Times New Roman" w:eastAsia="Times New Roman" w:hAnsi="Times New Roman"/>
          <w:color w:val="auto"/>
          <w:sz w:val="24"/>
          <w:szCs w:val="24"/>
          <w:lang w:val="bg-BG" w:eastAsia="bg-BG"/>
        </w:rPr>
        <w:t xml:space="preserve">-10%, </w:t>
      </w:r>
      <w:r w:rsidRPr="00D13399">
        <w:rPr>
          <w:rFonts w:ascii="Times New Roman" w:eastAsia="Times New Roman" w:hAnsi="Times New Roman"/>
          <w:b/>
          <w:color w:val="auto"/>
          <w:sz w:val="24"/>
          <w:szCs w:val="24"/>
          <w:lang w:val="bg-BG" w:eastAsia="bg-BG"/>
        </w:rPr>
        <w:t>Павел баня</w:t>
      </w:r>
      <w:r w:rsidRPr="00D13399">
        <w:rPr>
          <w:rFonts w:ascii="Times New Roman" w:eastAsia="Times New Roman" w:hAnsi="Times New Roman"/>
          <w:color w:val="auto"/>
          <w:sz w:val="24"/>
          <w:szCs w:val="24"/>
          <w:lang w:val="bg-BG" w:eastAsia="bg-BG"/>
        </w:rPr>
        <w:t xml:space="preserve">-4,3%, </w:t>
      </w:r>
      <w:r w:rsidRPr="00D13399">
        <w:rPr>
          <w:rFonts w:ascii="Times New Roman" w:eastAsia="Times New Roman" w:hAnsi="Times New Roman"/>
          <w:b/>
          <w:color w:val="auto"/>
          <w:sz w:val="24"/>
          <w:szCs w:val="24"/>
          <w:lang w:val="bg-BG" w:eastAsia="bg-BG"/>
        </w:rPr>
        <w:t>Гурково</w:t>
      </w:r>
      <w:r w:rsidRPr="00D13399">
        <w:rPr>
          <w:rFonts w:ascii="Times New Roman" w:eastAsia="Times New Roman" w:hAnsi="Times New Roman"/>
          <w:color w:val="auto"/>
          <w:sz w:val="24"/>
          <w:szCs w:val="24"/>
          <w:lang w:val="bg-BG" w:eastAsia="bg-BG"/>
        </w:rPr>
        <w:t xml:space="preserve">-18%. </w:t>
      </w:r>
    </w:p>
    <w:p w:rsidR="00F25110" w:rsidRPr="00D13399" w:rsidRDefault="00F25110" w:rsidP="00D13399">
      <w:pPr>
        <w:numPr>
          <w:ilvl w:val="0"/>
          <w:numId w:val="65"/>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D13399">
        <w:rPr>
          <w:rFonts w:ascii="Times New Roman" w:eastAsia="Times New Roman" w:hAnsi="Times New Roman"/>
          <w:b/>
          <w:i/>
          <w:iCs/>
          <w:color w:val="auto"/>
          <w:sz w:val="24"/>
          <w:szCs w:val="24"/>
          <w:lang w:val="bg-BG" w:eastAsia="bg-BG"/>
        </w:rPr>
        <w:t>Дял на населението, живеещо в села, което е обхванато от интегрирани мерки за подобряване на селищната среда и услугите, в %</w:t>
      </w:r>
    </w:p>
    <w:p w:rsidR="00D13399" w:rsidRPr="00D13399" w:rsidRDefault="00D13399" w:rsidP="00D13399">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D13399">
        <w:rPr>
          <w:rFonts w:ascii="Times New Roman" w:eastAsia="Times New Roman" w:hAnsi="Times New Roman"/>
          <w:iCs/>
          <w:color w:val="auto"/>
          <w:sz w:val="24"/>
          <w:szCs w:val="24"/>
          <w:lang w:val="bg-BG" w:eastAsia="bg-BG"/>
        </w:rPr>
        <w:t>Аналогично и на предходния индикатор, информацията подадена от общините е недостатъчна за обобщаване на общия дял на населението, живеещо в села,   обхванато от интегрирани мерки за подобряване на селищната среда. Общините на територията на района, посочили данни са следните:</w:t>
      </w:r>
      <w:r w:rsidRPr="00D13399">
        <w:rPr>
          <w:rFonts w:ascii="Times New Roman" w:eastAsia="Times New Roman" w:hAnsi="Times New Roman"/>
          <w:b/>
          <w:color w:val="auto"/>
          <w:sz w:val="24"/>
          <w:szCs w:val="24"/>
          <w:lang w:val="bg-BG" w:eastAsia="bg-BG"/>
        </w:rPr>
        <w:t xml:space="preserve"> Царево -</w:t>
      </w:r>
      <w:r w:rsidRPr="00D13399">
        <w:rPr>
          <w:rFonts w:ascii="Times New Roman" w:eastAsia="Times New Roman" w:hAnsi="Times New Roman"/>
          <w:color w:val="auto"/>
          <w:sz w:val="24"/>
          <w:szCs w:val="24"/>
          <w:lang w:val="bg-BG" w:eastAsia="bg-BG"/>
        </w:rPr>
        <w:t xml:space="preserve">13,6%, </w:t>
      </w:r>
      <w:r w:rsidRPr="00D13399">
        <w:rPr>
          <w:rFonts w:ascii="Times New Roman" w:eastAsia="Times New Roman" w:hAnsi="Times New Roman"/>
          <w:b/>
          <w:color w:val="auto"/>
          <w:sz w:val="24"/>
          <w:szCs w:val="24"/>
          <w:lang w:val="bg-BG" w:eastAsia="bg-BG"/>
        </w:rPr>
        <w:t>Приморско -</w:t>
      </w:r>
      <w:r w:rsidRPr="00D13399">
        <w:rPr>
          <w:rFonts w:ascii="Times New Roman" w:eastAsia="Times New Roman" w:hAnsi="Times New Roman"/>
          <w:color w:val="auto"/>
          <w:sz w:val="24"/>
          <w:szCs w:val="24"/>
          <w:lang w:val="bg-BG" w:eastAsia="bg-BG"/>
        </w:rPr>
        <w:t xml:space="preserve">70%, </w:t>
      </w:r>
      <w:r w:rsidRPr="00D13399">
        <w:rPr>
          <w:rFonts w:ascii="Times New Roman" w:eastAsia="Times New Roman" w:hAnsi="Times New Roman"/>
          <w:b/>
          <w:color w:val="auto"/>
          <w:sz w:val="24"/>
          <w:szCs w:val="24"/>
          <w:lang w:val="bg-BG" w:eastAsia="bg-BG"/>
        </w:rPr>
        <w:t>Твърдица</w:t>
      </w:r>
      <w:r w:rsidRPr="00D13399">
        <w:rPr>
          <w:rFonts w:ascii="Times New Roman" w:eastAsia="Times New Roman" w:hAnsi="Times New Roman"/>
          <w:color w:val="auto"/>
          <w:sz w:val="24"/>
          <w:szCs w:val="24"/>
          <w:lang w:val="bg-BG" w:eastAsia="bg-BG"/>
        </w:rPr>
        <w:t xml:space="preserve">-10%,   </w:t>
      </w:r>
      <w:r w:rsidRPr="00D13399">
        <w:rPr>
          <w:rFonts w:ascii="Times New Roman" w:eastAsia="Times New Roman" w:hAnsi="Times New Roman"/>
          <w:b/>
          <w:color w:val="auto"/>
          <w:sz w:val="24"/>
          <w:szCs w:val="24"/>
          <w:lang w:val="bg-BG" w:eastAsia="bg-BG"/>
        </w:rPr>
        <w:t>Котел -</w:t>
      </w:r>
      <w:r w:rsidRPr="00D13399">
        <w:rPr>
          <w:rFonts w:ascii="Times New Roman" w:eastAsia="Times New Roman" w:hAnsi="Times New Roman"/>
          <w:color w:val="auto"/>
          <w:sz w:val="24"/>
          <w:szCs w:val="24"/>
          <w:lang w:val="bg-BG" w:eastAsia="bg-BG"/>
        </w:rPr>
        <w:t>70%,</w:t>
      </w:r>
      <w:r w:rsidRPr="00D13399">
        <w:rPr>
          <w:rFonts w:ascii="Times New Roman" w:eastAsia="Times New Roman" w:hAnsi="Times New Roman"/>
          <w:b/>
          <w:color w:val="auto"/>
          <w:sz w:val="24"/>
          <w:szCs w:val="24"/>
          <w:lang w:val="bg-BG" w:eastAsia="bg-BG"/>
        </w:rPr>
        <w:t>Елхово -</w:t>
      </w:r>
      <w:r w:rsidRPr="00D13399">
        <w:rPr>
          <w:rFonts w:ascii="Times New Roman" w:eastAsia="Times New Roman" w:hAnsi="Times New Roman"/>
          <w:color w:val="auto"/>
          <w:sz w:val="24"/>
          <w:szCs w:val="24"/>
          <w:lang w:val="bg-BG" w:eastAsia="bg-BG"/>
        </w:rPr>
        <w:t xml:space="preserve">100%, </w:t>
      </w:r>
      <w:r w:rsidRPr="00D13399">
        <w:rPr>
          <w:rFonts w:ascii="Times New Roman" w:eastAsia="Times New Roman" w:hAnsi="Times New Roman"/>
          <w:b/>
          <w:color w:val="auto"/>
          <w:sz w:val="24"/>
          <w:szCs w:val="24"/>
          <w:lang w:val="bg-BG" w:eastAsia="bg-BG"/>
        </w:rPr>
        <w:t xml:space="preserve">Стралджа - </w:t>
      </w:r>
      <w:r w:rsidRPr="00D13399">
        <w:rPr>
          <w:rFonts w:ascii="Times New Roman" w:eastAsia="Times New Roman" w:hAnsi="Times New Roman"/>
          <w:color w:val="auto"/>
          <w:sz w:val="24"/>
          <w:szCs w:val="24"/>
          <w:lang w:val="bg-BG" w:eastAsia="bg-BG"/>
        </w:rPr>
        <w:t>25%,</w:t>
      </w:r>
      <w:r w:rsidRPr="00D13399">
        <w:rPr>
          <w:rFonts w:ascii="Times New Roman" w:eastAsia="Times New Roman" w:hAnsi="Times New Roman"/>
          <w:b/>
          <w:color w:val="auto"/>
          <w:sz w:val="24"/>
          <w:szCs w:val="24"/>
          <w:lang w:val="bg-BG" w:eastAsia="bg-BG"/>
        </w:rPr>
        <w:t>Чирпан -</w:t>
      </w:r>
      <w:r w:rsidRPr="00D13399">
        <w:rPr>
          <w:rFonts w:ascii="Times New Roman" w:eastAsia="Times New Roman" w:hAnsi="Times New Roman"/>
          <w:color w:val="auto"/>
          <w:sz w:val="24"/>
          <w:szCs w:val="24"/>
          <w:lang w:val="bg-BG" w:eastAsia="bg-BG"/>
        </w:rPr>
        <w:t xml:space="preserve">9,33%  </w:t>
      </w:r>
      <w:r w:rsidRPr="00D13399">
        <w:rPr>
          <w:rFonts w:ascii="Times New Roman" w:eastAsia="Times New Roman" w:hAnsi="Times New Roman"/>
          <w:b/>
          <w:color w:val="auto"/>
          <w:sz w:val="24"/>
          <w:szCs w:val="24"/>
          <w:lang w:val="bg-BG" w:eastAsia="bg-BG"/>
        </w:rPr>
        <w:t>Казанлък</w:t>
      </w:r>
      <w:r w:rsidRPr="00D13399">
        <w:rPr>
          <w:rFonts w:ascii="Times New Roman" w:eastAsia="Times New Roman" w:hAnsi="Times New Roman"/>
          <w:color w:val="auto"/>
          <w:sz w:val="24"/>
          <w:szCs w:val="24"/>
          <w:lang w:val="bg-BG" w:eastAsia="bg-BG"/>
        </w:rPr>
        <w:t xml:space="preserve"> -12,7%</w:t>
      </w:r>
    </w:p>
    <w:p w:rsidR="00D13399" w:rsidRPr="00D13399" w:rsidRDefault="00D13399" w:rsidP="00D13399">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D13399">
        <w:rPr>
          <w:rFonts w:ascii="Times New Roman" w:eastAsia="Times New Roman" w:hAnsi="Times New Roman"/>
          <w:color w:val="auto"/>
          <w:sz w:val="24"/>
          <w:szCs w:val="24"/>
          <w:lang w:val="bg-BG" w:eastAsia="bg-BG"/>
        </w:rPr>
        <w:t>По предоставена справка от УО на програмата</w:t>
      </w:r>
      <w:r w:rsidRPr="00D13399">
        <w:rPr>
          <w:rFonts w:ascii="Times New Roman" w:eastAsia="Times New Roman" w:hAnsi="Times New Roman"/>
          <w:b/>
          <w:color w:val="auto"/>
          <w:sz w:val="24"/>
          <w:szCs w:val="24"/>
          <w:lang w:val="bg-BG" w:eastAsia="bg-BG"/>
        </w:rPr>
        <w:t xml:space="preserve"> </w:t>
      </w:r>
      <w:r w:rsidRPr="00D13399">
        <w:rPr>
          <w:rFonts w:ascii="Times New Roman" w:eastAsia="Times New Roman" w:hAnsi="Times New Roman"/>
          <w:color w:val="auto"/>
          <w:sz w:val="24"/>
          <w:szCs w:val="24"/>
          <w:lang w:val="bg-BG" w:eastAsia="bg-BG"/>
        </w:rPr>
        <w:t xml:space="preserve">с натрупване към края на 2014г. на територията на Югоизточен район са одобрени  4104 бенефициенти с проекти на договорна стойност - </w:t>
      </w:r>
      <w:r w:rsidRPr="00D13399">
        <w:rPr>
          <w:rFonts w:ascii="Times New Roman" w:eastAsia="Times New Roman" w:hAnsi="Times New Roman"/>
          <w:b/>
          <w:color w:val="auto"/>
          <w:sz w:val="24"/>
          <w:szCs w:val="24"/>
          <w:lang w:val="bg-BG" w:eastAsia="bg-BG"/>
        </w:rPr>
        <w:t>673 790 896,24</w:t>
      </w:r>
      <w:r w:rsidRPr="00D13399">
        <w:rPr>
          <w:rFonts w:ascii="Times New Roman" w:eastAsia="Times New Roman" w:hAnsi="Times New Roman"/>
          <w:color w:val="auto"/>
          <w:sz w:val="24"/>
          <w:szCs w:val="24"/>
          <w:lang w:val="bg-BG" w:eastAsia="bg-BG"/>
        </w:rPr>
        <w:t xml:space="preserve"> лв. и изплатени  средства в размер на </w:t>
      </w:r>
      <w:r w:rsidRPr="00D13399">
        <w:rPr>
          <w:rFonts w:ascii="Times New Roman" w:eastAsia="Times New Roman" w:hAnsi="Times New Roman"/>
          <w:b/>
          <w:color w:val="auto"/>
          <w:sz w:val="24"/>
          <w:szCs w:val="24"/>
          <w:lang w:val="bg-BG" w:eastAsia="bg-BG"/>
        </w:rPr>
        <w:t>436 967 666,</w:t>
      </w:r>
      <w:r w:rsidRPr="00D13399">
        <w:rPr>
          <w:rFonts w:ascii="Times New Roman" w:eastAsia="Times New Roman" w:hAnsi="Times New Roman"/>
          <w:color w:val="auto"/>
          <w:sz w:val="24"/>
          <w:szCs w:val="24"/>
          <w:lang w:val="bg-BG" w:eastAsia="bg-BG"/>
        </w:rPr>
        <w:t xml:space="preserve"> </w:t>
      </w:r>
      <w:r w:rsidRPr="00D13399">
        <w:rPr>
          <w:rFonts w:ascii="Times New Roman" w:eastAsia="Times New Roman" w:hAnsi="Times New Roman"/>
          <w:b/>
          <w:color w:val="auto"/>
          <w:sz w:val="24"/>
          <w:szCs w:val="24"/>
          <w:lang w:val="bg-BG" w:eastAsia="bg-BG"/>
        </w:rPr>
        <w:t>66 лв.</w:t>
      </w:r>
      <w:r w:rsidRPr="00D13399">
        <w:rPr>
          <w:rFonts w:ascii="Times New Roman" w:eastAsia="Times New Roman" w:hAnsi="Times New Roman"/>
          <w:color w:val="auto"/>
          <w:sz w:val="24"/>
          <w:szCs w:val="24"/>
          <w:lang w:val="bg-BG" w:eastAsia="bg-BG"/>
        </w:rPr>
        <w:t xml:space="preserve"> Разпределение по мерки е както следва:</w:t>
      </w:r>
    </w:p>
    <w:p w:rsidR="00D13399" w:rsidRPr="00D13399" w:rsidRDefault="00D13399" w:rsidP="00D13399">
      <w:pPr>
        <w:numPr>
          <w:ilvl w:val="0"/>
          <w:numId w:val="55"/>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D13399">
        <w:rPr>
          <w:rFonts w:ascii="Times New Roman" w:eastAsia="Times New Roman" w:hAnsi="Times New Roman"/>
          <w:b/>
          <w:color w:val="auto"/>
          <w:sz w:val="24"/>
          <w:szCs w:val="24"/>
          <w:lang w:val="bg-BG" w:eastAsia="bg-BG"/>
        </w:rPr>
        <w:t>Мярка 322</w:t>
      </w:r>
      <w:r w:rsidRPr="00D13399">
        <w:rPr>
          <w:rFonts w:ascii="Times New Roman" w:eastAsia="Times New Roman" w:hAnsi="Times New Roman"/>
          <w:color w:val="auto"/>
          <w:sz w:val="24"/>
          <w:szCs w:val="24"/>
          <w:lang w:val="bg-BG" w:eastAsia="bg-BG"/>
        </w:rPr>
        <w:t xml:space="preserve"> „Обновяване и развитие на населените места“ - 57 бр. проекта с размер на общата субсидия – </w:t>
      </w:r>
      <w:r w:rsidRPr="00D13399">
        <w:rPr>
          <w:rFonts w:ascii="Times New Roman" w:eastAsia="Times New Roman" w:hAnsi="Times New Roman"/>
          <w:b/>
          <w:color w:val="auto"/>
          <w:sz w:val="24"/>
          <w:szCs w:val="24"/>
          <w:lang w:val="bg-BG" w:eastAsia="bg-BG"/>
        </w:rPr>
        <w:t xml:space="preserve">46 186 358,33 лв., </w:t>
      </w:r>
      <w:r w:rsidRPr="00D13399">
        <w:rPr>
          <w:rFonts w:ascii="Times New Roman" w:eastAsia="Times New Roman" w:hAnsi="Times New Roman"/>
          <w:color w:val="auto"/>
          <w:sz w:val="24"/>
          <w:szCs w:val="24"/>
          <w:lang w:val="bg-BG" w:eastAsia="bg-BG"/>
        </w:rPr>
        <w:t>изплатените средства са</w:t>
      </w:r>
      <w:r w:rsidRPr="00D13399">
        <w:rPr>
          <w:rFonts w:ascii="Times New Roman" w:eastAsia="Times New Roman" w:hAnsi="Times New Roman"/>
          <w:b/>
          <w:color w:val="auto"/>
          <w:sz w:val="24"/>
          <w:szCs w:val="24"/>
          <w:lang w:val="bg-BG" w:eastAsia="bg-BG"/>
        </w:rPr>
        <w:t xml:space="preserve"> 25 678 781, 71лв.;</w:t>
      </w:r>
    </w:p>
    <w:p w:rsidR="00D13399" w:rsidRPr="00D13399" w:rsidRDefault="00D13399" w:rsidP="00D13399">
      <w:pPr>
        <w:numPr>
          <w:ilvl w:val="0"/>
          <w:numId w:val="55"/>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D13399">
        <w:rPr>
          <w:rFonts w:ascii="Times New Roman" w:eastAsia="Times New Roman" w:hAnsi="Times New Roman"/>
          <w:b/>
          <w:color w:val="auto"/>
          <w:sz w:val="24"/>
          <w:szCs w:val="24"/>
          <w:lang w:val="bg-BG" w:eastAsia="bg-BG"/>
        </w:rPr>
        <w:t>Мярка 321</w:t>
      </w:r>
      <w:r w:rsidRPr="00D13399">
        <w:rPr>
          <w:rFonts w:ascii="Times New Roman" w:eastAsia="Times New Roman" w:hAnsi="Times New Roman"/>
          <w:color w:val="auto"/>
          <w:sz w:val="24"/>
          <w:szCs w:val="24"/>
          <w:lang w:val="bg-BG" w:eastAsia="bg-BG"/>
        </w:rPr>
        <w:t xml:space="preserve"> „Основни услуги за населението и икономиката в селските райони“  -</w:t>
      </w:r>
      <w:r w:rsidRPr="00D13399">
        <w:rPr>
          <w:rFonts w:ascii="Times New Roman" w:eastAsia="Times New Roman" w:hAnsi="Times New Roman"/>
          <w:b/>
          <w:color w:val="auto"/>
          <w:sz w:val="24"/>
          <w:szCs w:val="24"/>
          <w:lang w:val="bg-BG" w:eastAsia="bg-BG"/>
        </w:rPr>
        <w:t xml:space="preserve"> 52</w:t>
      </w:r>
      <w:r w:rsidRPr="00D13399">
        <w:rPr>
          <w:rFonts w:ascii="Times New Roman" w:eastAsia="Times New Roman" w:hAnsi="Times New Roman"/>
          <w:color w:val="auto"/>
          <w:sz w:val="24"/>
          <w:szCs w:val="24"/>
          <w:lang w:val="bg-BG" w:eastAsia="bg-BG"/>
        </w:rPr>
        <w:t xml:space="preserve"> бр. проекта  на стойност – </w:t>
      </w:r>
      <w:r w:rsidRPr="00D13399">
        <w:rPr>
          <w:rFonts w:ascii="Times New Roman" w:eastAsia="Times New Roman" w:hAnsi="Times New Roman"/>
          <w:b/>
          <w:color w:val="auto"/>
          <w:sz w:val="24"/>
          <w:szCs w:val="24"/>
          <w:lang w:val="bg-BG" w:eastAsia="bg-BG"/>
        </w:rPr>
        <w:t>154 090 625,86 лв.,</w:t>
      </w:r>
      <w:r w:rsidRPr="00D13399">
        <w:rPr>
          <w:rFonts w:ascii="Times New Roman" w:eastAsia="Times New Roman" w:hAnsi="Times New Roman"/>
          <w:color w:val="auto"/>
          <w:sz w:val="24"/>
          <w:szCs w:val="24"/>
          <w:lang w:val="bg-BG" w:eastAsia="bg-BG"/>
        </w:rPr>
        <w:t xml:space="preserve"> изплатените средства са</w:t>
      </w:r>
      <w:r w:rsidRPr="00D13399">
        <w:rPr>
          <w:rFonts w:ascii="Times New Roman" w:eastAsia="Times New Roman" w:hAnsi="Times New Roman"/>
          <w:b/>
          <w:color w:val="auto"/>
          <w:sz w:val="24"/>
          <w:szCs w:val="24"/>
          <w:lang w:val="bg-BG" w:eastAsia="bg-BG"/>
        </w:rPr>
        <w:t xml:space="preserve"> 86 660 214, 28лв.;</w:t>
      </w:r>
    </w:p>
    <w:p w:rsidR="00D13399" w:rsidRPr="00D13399" w:rsidRDefault="00D13399" w:rsidP="00D13399">
      <w:pPr>
        <w:numPr>
          <w:ilvl w:val="0"/>
          <w:numId w:val="55"/>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D13399">
        <w:rPr>
          <w:rFonts w:ascii="Times New Roman" w:eastAsia="Times New Roman" w:hAnsi="Times New Roman"/>
          <w:b/>
          <w:color w:val="auto"/>
          <w:sz w:val="24"/>
          <w:szCs w:val="24"/>
          <w:lang w:val="bg-BG" w:eastAsia="bg-BG"/>
        </w:rPr>
        <w:t>Мярка 313</w:t>
      </w:r>
      <w:r w:rsidRPr="00D13399">
        <w:rPr>
          <w:rFonts w:ascii="Times New Roman" w:eastAsia="Times New Roman" w:hAnsi="Times New Roman"/>
          <w:color w:val="auto"/>
          <w:sz w:val="24"/>
          <w:szCs w:val="24"/>
          <w:lang w:val="bg-BG" w:eastAsia="bg-BG"/>
        </w:rPr>
        <w:t xml:space="preserve"> „Насърчаване на туристическите дейности”- </w:t>
      </w:r>
      <w:r w:rsidRPr="00D13399">
        <w:rPr>
          <w:rFonts w:ascii="Times New Roman" w:eastAsia="Times New Roman" w:hAnsi="Times New Roman"/>
          <w:b/>
          <w:color w:val="auto"/>
          <w:sz w:val="24"/>
          <w:szCs w:val="24"/>
          <w:lang w:val="bg-BG" w:eastAsia="bg-BG"/>
        </w:rPr>
        <w:t>9</w:t>
      </w:r>
      <w:r w:rsidRPr="00D13399">
        <w:rPr>
          <w:rFonts w:ascii="Times New Roman" w:eastAsia="Times New Roman" w:hAnsi="Times New Roman"/>
          <w:color w:val="auto"/>
          <w:sz w:val="24"/>
          <w:szCs w:val="24"/>
          <w:lang w:val="bg-BG" w:eastAsia="bg-BG"/>
        </w:rPr>
        <w:t xml:space="preserve"> проекта с  общата субсидия  на стойност – </w:t>
      </w:r>
      <w:r w:rsidRPr="00D13399">
        <w:rPr>
          <w:rFonts w:ascii="Times New Roman" w:eastAsia="Times New Roman" w:hAnsi="Times New Roman"/>
          <w:b/>
          <w:color w:val="auto"/>
          <w:sz w:val="24"/>
          <w:szCs w:val="24"/>
          <w:lang w:val="bg-BG" w:eastAsia="bg-BG"/>
        </w:rPr>
        <w:t>2 054 458,30лв.</w:t>
      </w:r>
      <w:r w:rsidRPr="00D13399">
        <w:rPr>
          <w:rFonts w:ascii="Times New Roman" w:eastAsia="Times New Roman" w:hAnsi="Times New Roman"/>
          <w:color w:val="auto"/>
          <w:sz w:val="24"/>
          <w:szCs w:val="24"/>
          <w:lang w:val="bg-BG" w:eastAsia="bg-BG"/>
        </w:rPr>
        <w:t>, изплатените средства са</w:t>
      </w:r>
      <w:r w:rsidRPr="00D13399">
        <w:rPr>
          <w:rFonts w:ascii="Times New Roman" w:eastAsia="Times New Roman" w:hAnsi="Times New Roman"/>
          <w:b/>
          <w:color w:val="auto"/>
          <w:sz w:val="24"/>
          <w:szCs w:val="24"/>
          <w:lang w:val="bg-BG" w:eastAsia="bg-BG"/>
        </w:rPr>
        <w:t xml:space="preserve"> 1 567 246, 90 лв.;</w:t>
      </w:r>
    </w:p>
    <w:p w:rsidR="00D13399" w:rsidRPr="00D13399" w:rsidRDefault="00D13399" w:rsidP="00D13399">
      <w:pPr>
        <w:numPr>
          <w:ilvl w:val="0"/>
          <w:numId w:val="55"/>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D13399">
        <w:rPr>
          <w:rFonts w:ascii="Times New Roman" w:eastAsia="Times New Roman" w:hAnsi="Times New Roman"/>
          <w:b/>
          <w:color w:val="auto"/>
          <w:sz w:val="24"/>
          <w:szCs w:val="24"/>
          <w:lang w:val="bg-BG" w:eastAsia="bg-BG"/>
        </w:rPr>
        <w:t>Мярка 226</w:t>
      </w:r>
      <w:r w:rsidRPr="00D13399">
        <w:rPr>
          <w:rFonts w:ascii="Times New Roman" w:eastAsia="Times New Roman" w:hAnsi="Times New Roman"/>
          <w:color w:val="auto"/>
          <w:sz w:val="24"/>
          <w:szCs w:val="24"/>
          <w:lang w:val="bg-BG" w:eastAsia="bg-BG"/>
        </w:rPr>
        <w:t xml:space="preserve"> „Възстановяване на горския потенциал и въвеждане на превантивни дейности“ - </w:t>
      </w:r>
      <w:r w:rsidRPr="00D13399">
        <w:rPr>
          <w:rFonts w:ascii="Times New Roman" w:eastAsia="Times New Roman" w:hAnsi="Times New Roman"/>
          <w:b/>
          <w:color w:val="auto"/>
          <w:sz w:val="24"/>
          <w:szCs w:val="24"/>
          <w:lang w:val="bg-BG" w:eastAsia="bg-BG"/>
        </w:rPr>
        <w:t>39</w:t>
      </w:r>
      <w:r w:rsidRPr="00D13399">
        <w:rPr>
          <w:rFonts w:ascii="Times New Roman" w:eastAsia="Times New Roman" w:hAnsi="Times New Roman"/>
          <w:color w:val="auto"/>
          <w:sz w:val="24"/>
          <w:szCs w:val="24"/>
          <w:lang w:val="bg-BG" w:eastAsia="bg-BG"/>
        </w:rPr>
        <w:t xml:space="preserve"> проекта  с размер на </w:t>
      </w:r>
      <w:r w:rsidRPr="00D13399">
        <w:rPr>
          <w:rFonts w:ascii="Times New Roman" w:eastAsia="Times New Roman" w:hAnsi="Times New Roman"/>
          <w:b/>
          <w:color w:val="auto"/>
          <w:sz w:val="24"/>
          <w:szCs w:val="24"/>
          <w:lang w:val="bg-BG" w:eastAsia="bg-BG"/>
        </w:rPr>
        <w:t>общата</w:t>
      </w:r>
      <w:r w:rsidRPr="00D13399">
        <w:rPr>
          <w:rFonts w:ascii="Times New Roman" w:eastAsia="Times New Roman" w:hAnsi="Times New Roman"/>
          <w:color w:val="auto"/>
          <w:sz w:val="24"/>
          <w:szCs w:val="24"/>
          <w:lang w:val="bg-BG" w:eastAsia="bg-BG"/>
        </w:rPr>
        <w:t xml:space="preserve"> субсидия </w:t>
      </w:r>
      <w:r w:rsidRPr="00D13399">
        <w:rPr>
          <w:rFonts w:ascii="Times New Roman" w:eastAsia="Times New Roman" w:hAnsi="Times New Roman"/>
          <w:b/>
          <w:color w:val="auto"/>
          <w:sz w:val="24"/>
          <w:szCs w:val="24"/>
          <w:lang w:val="bg-BG" w:eastAsia="bg-BG"/>
        </w:rPr>
        <w:t>8 205 887,08 лв.</w:t>
      </w:r>
      <w:r w:rsidRPr="00D13399">
        <w:rPr>
          <w:rFonts w:ascii="Times New Roman" w:eastAsia="Times New Roman" w:hAnsi="Times New Roman"/>
          <w:color w:val="auto"/>
          <w:sz w:val="24"/>
          <w:szCs w:val="24"/>
          <w:lang w:val="bg-BG" w:eastAsia="bg-BG"/>
        </w:rPr>
        <w:t>, изплатените средства са</w:t>
      </w:r>
      <w:r w:rsidRPr="00D13399">
        <w:rPr>
          <w:rFonts w:ascii="Times New Roman" w:eastAsia="Times New Roman" w:hAnsi="Times New Roman"/>
          <w:b/>
          <w:color w:val="auto"/>
          <w:sz w:val="24"/>
          <w:szCs w:val="24"/>
          <w:lang w:val="bg-BG" w:eastAsia="bg-BG"/>
        </w:rPr>
        <w:t xml:space="preserve"> 3 289 893, 52лв.;</w:t>
      </w:r>
    </w:p>
    <w:p w:rsidR="00D13399" w:rsidRPr="00D13399" w:rsidRDefault="00D13399" w:rsidP="00D13399">
      <w:pPr>
        <w:numPr>
          <w:ilvl w:val="0"/>
          <w:numId w:val="55"/>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D13399">
        <w:rPr>
          <w:rFonts w:ascii="Times New Roman" w:eastAsia="Times New Roman" w:hAnsi="Times New Roman"/>
          <w:b/>
          <w:color w:val="auto"/>
          <w:sz w:val="24"/>
          <w:szCs w:val="24"/>
          <w:lang w:val="bg-BG" w:eastAsia="bg-BG"/>
        </w:rPr>
        <w:t>Мярка 223</w:t>
      </w:r>
      <w:r w:rsidRPr="00D13399">
        <w:rPr>
          <w:rFonts w:ascii="Times New Roman" w:eastAsia="Times New Roman" w:hAnsi="Times New Roman"/>
          <w:color w:val="auto"/>
          <w:sz w:val="24"/>
          <w:szCs w:val="24"/>
          <w:lang w:val="bg-BG" w:eastAsia="bg-BG"/>
        </w:rPr>
        <w:t xml:space="preserve"> „Първоначално залесяване на неземеделски земи“</w:t>
      </w:r>
      <w:r w:rsidRPr="00D13399">
        <w:rPr>
          <w:rFonts w:ascii="Times New Roman" w:eastAsia="Times New Roman" w:hAnsi="Times New Roman"/>
          <w:b/>
          <w:color w:val="auto"/>
          <w:sz w:val="24"/>
          <w:szCs w:val="24"/>
          <w:lang w:val="bg-BG" w:eastAsia="bg-BG"/>
        </w:rPr>
        <w:t xml:space="preserve"> </w:t>
      </w:r>
      <w:r w:rsidRPr="00D13399">
        <w:rPr>
          <w:rFonts w:ascii="Times New Roman" w:eastAsia="Times New Roman" w:hAnsi="Times New Roman"/>
          <w:color w:val="auto"/>
          <w:sz w:val="24"/>
          <w:szCs w:val="24"/>
          <w:lang w:val="bg-BG" w:eastAsia="bg-BG"/>
        </w:rPr>
        <w:t>-</w:t>
      </w:r>
      <w:r w:rsidRPr="00D13399">
        <w:rPr>
          <w:rFonts w:ascii="Times New Roman" w:eastAsia="Times New Roman" w:hAnsi="Times New Roman"/>
          <w:b/>
          <w:color w:val="auto"/>
          <w:sz w:val="24"/>
          <w:szCs w:val="24"/>
          <w:lang w:val="bg-BG" w:eastAsia="bg-BG"/>
        </w:rPr>
        <w:t xml:space="preserve"> 9 </w:t>
      </w:r>
      <w:r w:rsidRPr="00D13399">
        <w:rPr>
          <w:rFonts w:ascii="Times New Roman" w:eastAsia="Times New Roman" w:hAnsi="Times New Roman"/>
          <w:color w:val="auto"/>
          <w:sz w:val="24"/>
          <w:szCs w:val="24"/>
          <w:lang w:val="bg-BG" w:eastAsia="bg-BG"/>
        </w:rPr>
        <w:t>проекта с размер на</w:t>
      </w:r>
      <w:r w:rsidRPr="00D13399">
        <w:rPr>
          <w:rFonts w:ascii="Times New Roman" w:eastAsia="Times New Roman" w:hAnsi="Times New Roman"/>
          <w:b/>
          <w:color w:val="auto"/>
          <w:sz w:val="24"/>
          <w:szCs w:val="24"/>
          <w:lang w:val="bg-BG" w:eastAsia="bg-BG"/>
        </w:rPr>
        <w:t xml:space="preserve"> </w:t>
      </w:r>
      <w:r w:rsidRPr="00D13399">
        <w:rPr>
          <w:rFonts w:ascii="Times New Roman" w:eastAsia="Times New Roman" w:hAnsi="Times New Roman"/>
          <w:color w:val="auto"/>
          <w:sz w:val="24"/>
          <w:szCs w:val="24"/>
          <w:lang w:val="bg-BG" w:eastAsia="bg-BG"/>
        </w:rPr>
        <w:t xml:space="preserve">общата субсидия – </w:t>
      </w:r>
      <w:r w:rsidRPr="00D13399">
        <w:rPr>
          <w:rFonts w:ascii="Times New Roman" w:eastAsia="Times New Roman" w:hAnsi="Times New Roman"/>
          <w:b/>
          <w:color w:val="auto"/>
          <w:sz w:val="24"/>
          <w:szCs w:val="24"/>
          <w:lang w:val="bg-BG" w:eastAsia="bg-BG"/>
        </w:rPr>
        <w:t>1 785 326,56 лв.,</w:t>
      </w:r>
      <w:r w:rsidRPr="00D13399">
        <w:rPr>
          <w:rFonts w:ascii="Times New Roman" w:eastAsia="Times New Roman" w:hAnsi="Times New Roman"/>
          <w:color w:val="auto"/>
          <w:sz w:val="24"/>
          <w:szCs w:val="24"/>
          <w:lang w:val="bg-BG" w:eastAsia="bg-BG"/>
        </w:rPr>
        <w:t xml:space="preserve"> изплатените средства са</w:t>
      </w:r>
      <w:r w:rsidRPr="00D13399">
        <w:rPr>
          <w:rFonts w:ascii="Times New Roman" w:eastAsia="Times New Roman" w:hAnsi="Times New Roman"/>
          <w:b/>
          <w:color w:val="auto"/>
          <w:sz w:val="24"/>
          <w:szCs w:val="24"/>
          <w:lang w:val="bg-BG" w:eastAsia="bg-BG"/>
        </w:rPr>
        <w:t xml:space="preserve"> 752 656, 73 лв.</w:t>
      </w:r>
    </w:p>
    <w:p w:rsidR="00D13399" w:rsidRPr="00D13399" w:rsidRDefault="00D13399" w:rsidP="00D13399">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D13399">
        <w:rPr>
          <w:rFonts w:ascii="Times New Roman" w:eastAsia="Times New Roman" w:hAnsi="Times New Roman"/>
          <w:color w:val="auto"/>
          <w:sz w:val="24"/>
          <w:szCs w:val="24"/>
          <w:lang w:val="bg-BG" w:eastAsia="bg-BG"/>
        </w:rPr>
        <w:t xml:space="preserve">Проектите на територията на областите на Югоизточен район по </w:t>
      </w:r>
      <w:r w:rsidRPr="00D13399">
        <w:rPr>
          <w:rFonts w:ascii="Times New Roman" w:eastAsia="Times New Roman" w:hAnsi="Times New Roman"/>
          <w:b/>
          <w:color w:val="auto"/>
          <w:sz w:val="24"/>
          <w:szCs w:val="24"/>
          <w:lang w:val="bg-BG" w:eastAsia="bg-BG"/>
        </w:rPr>
        <w:t>мерки</w:t>
      </w:r>
      <w:r w:rsidRPr="00D13399">
        <w:rPr>
          <w:rFonts w:ascii="Times New Roman" w:eastAsia="Times New Roman" w:hAnsi="Times New Roman"/>
          <w:color w:val="auto"/>
          <w:sz w:val="24"/>
          <w:szCs w:val="24"/>
          <w:lang w:val="bg-BG" w:eastAsia="bg-BG"/>
        </w:rPr>
        <w:t xml:space="preserve"> (</w:t>
      </w:r>
      <w:r w:rsidRPr="00D13399">
        <w:rPr>
          <w:rFonts w:ascii="Times New Roman" w:eastAsia="Times New Roman" w:hAnsi="Times New Roman"/>
          <w:b/>
          <w:color w:val="auto"/>
          <w:sz w:val="24"/>
          <w:szCs w:val="24"/>
          <w:lang w:val="bg-BG" w:eastAsia="bg-BG"/>
        </w:rPr>
        <w:t>111,112,121,123,141,311,312)</w:t>
      </w:r>
      <w:r w:rsidRPr="00D13399">
        <w:rPr>
          <w:rFonts w:ascii="Times New Roman" w:eastAsia="Times New Roman" w:hAnsi="Times New Roman"/>
          <w:color w:val="auto"/>
          <w:sz w:val="24"/>
          <w:szCs w:val="24"/>
          <w:lang w:val="bg-BG" w:eastAsia="bg-BG"/>
        </w:rPr>
        <w:t xml:space="preserve"> с натрупване за периода 2009-2014г. са следните:</w:t>
      </w:r>
    </w:p>
    <w:p w:rsidR="00D13399" w:rsidRPr="00D13399" w:rsidRDefault="00D13399" w:rsidP="00D13399">
      <w:pPr>
        <w:numPr>
          <w:ilvl w:val="0"/>
          <w:numId w:val="56"/>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D13399">
        <w:rPr>
          <w:rFonts w:ascii="Times New Roman" w:eastAsia="Times New Roman" w:hAnsi="Times New Roman"/>
          <w:b/>
          <w:color w:val="auto"/>
          <w:sz w:val="24"/>
          <w:szCs w:val="24"/>
          <w:lang w:val="bg-BG" w:eastAsia="bg-BG"/>
        </w:rPr>
        <w:t xml:space="preserve">Област Бургас </w:t>
      </w:r>
      <w:r w:rsidRPr="00D13399">
        <w:rPr>
          <w:rFonts w:ascii="Times New Roman" w:eastAsia="Times New Roman" w:hAnsi="Times New Roman"/>
          <w:color w:val="auto"/>
          <w:sz w:val="24"/>
          <w:szCs w:val="24"/>
          <w:lang w:val="bg-BG" w:eastAsia="bg-BG"/>
        </w:rPr>
        <w:t xml:space="preserve"> - </w:t>
      </w:r>
      <w:r w:rsidRPr="00D13399">
        <w:rPr>
          <w:rFonts w:ascii="Times New Roman" w:eastAsia="Times New Roman" w:hAnsi="Times New Roman"/>
          <w:b/>
          <w:color w:val="auto"/>
          <w:sz w:val="24"/>
          <w:szCs w:val="24"/>
          <w:lang w:val="bg-BG" w:eastAsia="bg-BG"/>
        </w:rPr>
        <w:t>901 бр.</w:t>
      </w:r>
      <w:r w:rsidRPr="00D13399">
        <w:rPr>
          <w:rFonts w:ascii="Times New Roman" w:eastAsia="Times New Roman" w:hAnsi="Times New Roman"/>
          <w:color w:val="auto"/>
          <w:sz w:val="24"/>
          <w:szCs w:val="24"/>
          <w:lang w:val="bg-BG" w:eastAsia="bg-BG"/>
        </w:rPr>
        <w:t xml:space="preserve">проекти с договорена субсидия - </w:t>
      </w:r>
      <w:r w:rsidRPr="00D13399">
        <w:rPr>
          <w:rFonts w:ascii="Times New Roman" w:eastAsia="Times New Roman" w:hAnsi="Times New Roman"/>
          <w:b/>
          <w:color w:val="auto"/>
          <w:sz w:val="24"/>
          <w:szCs w:val="24"/>
          <w:lang w:val="bg-BG" w:eastAsia="bg-BG"/>
        </w:rPr>
        <w:t>115 427 648,85</w:t>
      </w:r>
      <w:r w:rsidRPr="00D13399">
        <w:rPr>
          <w:rFonts w:ascii="Times New Roman" w:eastAsia="Times New Roman" w:hAnsi="Times New Roman"/>
          <w:color w:val="auto"/>
          <w:sz w:val="24"/>
          <w:szCs w:val="24"/>
          <w:lang w:val="bg-BG" w:eastAsia="bg-BG"/>
        </w:rPr>
        <w:t xml:space="preserve"> </w:t>
      </w:r>
      <w:r w:rsidRPr="00D13399">
        <w:rPr>
          <w:rFonts w:ascii="Times New Roman" w:eastAsia="Times New Roman" w:hAnsi="Times New Roman"/>
          <w:b/>
          <w:color w:val="auto"/>
          <w:sz w:val="24"/>
          <w:szCs w:val="24"/>
          <w:lang w:val="bg-BG" w:eastAsia="bg-BG"/>
        </w:rPr>
        <w:t>лв</w:t>
      </w:r>
      <w:r w:rsidRPr="00D13399">
        <w:rPr>
          <w:rFonts w:ascii="Times New Roman" w:eastAsia="Times New Roman" w:hAnsi="Times New Roman"/>
          <w:color w:val="auto"/>
          <w:sz w:val="24"/>
          <w:szCs w:val="24"/>
          <w:lang w:val="bg-BG" w:eastAsia="bg-BG"/>
        </w:rPr>
        <w:t xml:space="preserve">., платена субсидия - </w:t>
      </w:r>
      <w:r w:rsidRPr="00D13399">
        <w:rPr>
          <w:rFonts w:ascii="Times New Roman" w:eastAsia="Times New Roman" w:hAnsi="Times New Roman"/>
          <w:b/>
          <w:color w:val="auto"/>
          <w:sz w:val="24"/>
          <w:szCs w:val="24"/>
          <w:lang w:val="bg-BG" w:eastAsia="bg-BG"/>
        </w:rPr>
        <w:t>79 384 973,38 лв.;</w:t>
      </w:r>
    </w:p>
    <w:p w:rsidR="00D13399" w:rsidRPr="00D13399" w:rsidRDefault="00D13399" w:rsidP="00D13399">
      <w:pPr>
        <w:numPr>
          <w:ilvl w:val="0"/>
          <w:numId w:val="56"/>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D13399">
        <w:rPr>
          <w:rFonts w:ascii="Times New Roman" w:eastAsia="Times New Roman" w:hAnsi="Times New Roman"/>
          <w:b/>
          <w:color w:val="auto"/>
          <w:sz w:val="24"/>
          <w:szCs w:val="24"/>
          <w:lang w:val="bg-BG" w:eastAsia="bg-BG"/>
        </w:rPr>
        <w:t xml:space="preserve">Област Стара Загора </w:t>
      </w:r>
      <w:r w:rsidRPr="00D13399">
        <w:rPr>
          <w:rFonts w:ascii="Times New Roman" w:eastAsia="Times New Roman" w:hAnsi="Times New Roman"/>
          <w:color w:val="auto"/>
          <w:sz w:val="24"/>
          <w:szCs w:val="24"/>
          <w:lang w:val="bg-BG" w:eastAsia="bg-BG"/>
        </w:rPr>
        <w:t>-</w:t>
      </w:r>
      <w:r w:rsidRPr="00D13399">
        <w:rPr>
          <w:rFonts w:ascii="Times New Roman" w:eastAsia="Times New Roman" w:hAnsi="Times New Roman"/>
          <w:b/>
          <w:color w:val="auto"/>
          <w:sz w:val="24"/>
          <w:szCs w:val="24"/>
          <w:lang w:val="bg-BG" w:eastAsia="bg-BG"/>
        </w:rPr>
        <w:t xml:space="preserve"> 1179 </w:t>
      </w:r>
      <w:r w:rsidRPr="00D13399">
        <w:rPr>
          <w:rFonts w:ascii="Times New Roman" w:eastAsia="Times New Roman" w:hAnsi="Times New Roman"/>
          <w:color w:val="auto"/>
          <w:sz w:val="24"/>
          <w:szCs w:val="24"/>
          <w:lang w:val="bg-BG" w:eastAsia="bg-BG"/>
        </w:rPr>
        <w:t>проект</w:t>
      </w:r>
      <w:r w:rsidR="00BA33B6">
        <w:rPr>
          <w:rFonts w:ascii="Times New Roman" w:eastAsia="Times New Roman" w:hAnsi="Times New Roman"/>
          <w:color w:val="auto"/>
          <w:sz w:val="24"/>
          <w:szCs w:val="24"/>
          <w:lang w:val="bg-BG" w:eastAsia="bg-BG"/>
        </w:rPr>
        <w:t>и</w:t>
      </w:r>
      <w:r w:rsidRPr="00D13399">
        <w:rPr>
          <w:rFonts w:ascii="Times New Roman" w:eastAsia="Times New Roman" w:hAnsi="Times New Roman"/>
          <w:color w:val="auto"/>
          <w:sz w:val="24"/>
          <w:szCs w:val="24"/>
          <w:lang w:val="bg-BG" w:eastAsia="bg-BG"/>
        </w:rPr>
        <w:t xml:space="preserve"> с договорена субсидия </w:t>
      </w:r>
      <w:r w:rsidRPr="00D13399">
        <w:rPr>
          <w:rFonts w:ascii="Times New Roman" w:eastAsia="Times New Roman" w:hAnsi="Times New Roman"/>
          <w:b/>
          <w:color w:val="auto"/>
          <w:sz w:val="24"/>
          <w:szCs w:val="24"/>
          <w:lang w:val="bg-BG" w:eastAsia="bg-BG"/>
        </w:rPr>
        <w:t>121 648 718,24</w:t>
      </w:r>
      <w:r w:rsidRPr="00D13399">
        <w:rPr>
          <w:rFonts w:ascii="Times New Roman" w:eastAsia="Times New Roman" w:hAnsi="Times New Roman"/>
          <w:color w:val="auto"/>
          <w:sz w:val="24"/>
          <w:szCs w:val="24"/>
          <w:lang w:val="bg-BG" w:eastAsia="bg-BG"/>
        </w:rPr>
        <w:t xml:space="preserve"> </w:t>
      </w:r>
      <w:r w:rsidRPr="00D13399">
        <w:rPr>
          <w:rFonts w:ascii="Times New Roman" w:eastAsia="Times New Roman" w:hAnsi="Times New Roman"/>
          <w:b/>
          <w:color w:val="auto"/>
          <w:sz w:val="24"/>
          <w:szCs w:val="24"/>
          <w:lang w:val="bg-BG" w:eastAsia="bg-BG"/>
        </w:rPr>
        <w:t>лв</w:t>
      </w:r>
      <w:r w:rsidRPr="00D13399">
        <w:rPr>
          <w:rFonts w:ascii="Times New Roman" w:eastAsia="Times New Roman" w:hAnsi="Times New Roman"/>
          <w:color w:val="auto"/>
          <w:sz w:val="24"/>
          <w:szCs w:val="24"/>
          <w:lang w:val="bg-BG" w:eastAsia="bg-BG"/>
        </w:rPr>
        <w:t xml:space="preserve">., платена субсидия - </w:t>
      </w:r>
      <w:r w:rsidRPr="00D13399">
        <w:rPr>
          <w:rFonts w:ascii="Times New Roman" w:eastAsia="Times New Roman" w:hAnsi="Times New Roman"/>
          <w:b/>
          <w:color w:val="auto"/>
          <w:sz w:val="24"/>
          <w:szCs w:val="24"/>
          <w:lang w:val="bg-BG" w:eastAsia="bg-BG"/>
        </w:rPr>
        <w:t>84 989 266,42 лв</w:t>
      </w:r>
      <w:r w:rsidRPr="00D13399">
        <w:rPr>
          <w:rFonts w:ascii="Times New Roman" w:eastAsia="Times New Roman" w:hAnsi="Times New Roman"/>
          <w:color w:val="auto"/>
          <w:sz w:val="24"/>
          <w:szCs w:val="24"/>
          <w:lang w:val="bg-BG" w:eastAsia="bg-BG"/>
        </w:rPr>
        <w:t>.;</w:t>
      </w:r>
    </w:p>
    <w:p w:rsidR="00D13399" w:rsidRPr="00D13399" w:rsidRDefault="00D13399" w:rsidP="00D13399">
      <w:pPr>
        <w:numPr>
          <w:ilvl w:val="0"/>
          <w:numId w:val="56"/>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D13399">
        <w:rPr>
          <w:rFonts w:ascii="Times New Roman" w:eastAsia="Times New Roman" w:hAnsi="Times New Roman"/>
          <w:b/>
          <w:color w:val="auto"/>
          <w:sz w:val="24"/>
          <w:szCs w:val="24"/>
          <w:lang w:val="bg-BG" w:eastAsia="bg-BG"/>
        </w:rPr>
        <w:t xml:space="preserve">Област Сливен </w:t>
      </w:r>
      <w:r w:rsidRPr="00D13399">
        <w:rPr>
          <w:rFonts w:ascii="Times New Roman" w:eastAsia="Times New Roman" w:hAnsi="Times New Roman"/>
          <w:color w:val="auto"/>
          <w:sz w:val="24"/>
          <w:szCs w:val="24"/>
          <w:lang w:val="bg-BG" w:eastAsia="bg-BG"/>
        </w:rPr>
        <w:t xml:space="preserve"> - </w:t>
      </w:r>
      <w:r w:rsidRPr="00D13399">
        <w:rPr>
          <w:rFonts w:ascii="Times New Roman" w:eastAsia="Times New Roman" w:hAnsi="Times New Roman"/>
          <w:b/>
          <w:color w:val="auto"/>
          <w:sz w:val="24"/>
          <w:szCs w:val="24"/>
          <w:lang w:val="bg-BG" w:eastAsia="bg-BG"/>
        </w:rPr>
        <w:t>1060 бр.</w:t>
      </w:r>
      <w:r w:rsidRPr="00D13399">
        <w:rPr>
          <w:rFonts w:ascii="Times New Roman" w:eastAsia="Times New Roman" w:hAnsi="Times New Roman"/>
          <w:color w:val="auto"/>
          <w:sz w:val="24"/>
          <w:szCs w:val="24"/>
          <w:lang w:val="bg-BG" w:eastAsia="bg-BG"/>
        </w:rPr>
        <w:t xml:space="preserve">проекти с договорена субсидия  </w:t>
      </w:r>
      <w:r w:rsidRPr="00D13399">
        <w:rPr>
          <w:rFonts w:ascii="Times New Roman" w:eastAsia="Times New Roman" w:hAnsi="Times New Roman"/>
          <w:b/>
          <w:color w:val="auto"/>
          <w:sz w:val="24"/>
          <w:szCs w:val="24"/>
          <w:lang w:val="bg-BG" w:eastAsia="bg-BG"/>
        </w:rPr>
        <w:t>224 026 820,89 лв</w:t>
      </w:r>
      <w:r w:rsidRPr="00D13399">
        <w:rPr>
          <w:rFonts w:ascii="Times New Roman" w:eastAsia="Times New Roman" w:hAnsi="Times New Roman"/>
          <w:color w:val="auto"/>
          <w:sz w:val="24"/>
          <w:szCs w:val="24"/>
          <w:lang w:val="bg-BG" w:eastAsia="bg-BG"/>
        </w:rPr>
        <w:t xml:space="preserve">., платена субсидия - </w:t>
      </w:r>
      <w:r w:rsidRPr="00D13399">
        <w:rPr>
          <w:rFonts w:ascii="Times New Roman" w:eastAsia="Times New Roman" w:hAnsi="Times New Roman"/>
          <w:b/>
          <w:color w:val="auto"/>
          <w:sz w:val="24"/>
          <w:szCs w:val="24"/>
          <w:lang w:val="bg-BG" w:eastAsia="bg-BG"/>
        </w:rPr>
        <w:t>80 445 068, 56лв</w:t>
      </w:r>
      <w:r w:rsidRPr="00D13399">
        <w:rPr>
          <w:rFonts w:ascii="Times New Roman" w:eastAsia="Times New Roman" w:hAnsi="Times New Roman"/>
          <w:color w:val="auto"/>
          <w:sz w:val="24"/>
          <w:szCs w:val="24"/>
          <w:lang w:val="bg-BG" w:eastAsia="bg-BG"/>
        </w:rPr>
        <w:t>.;</w:t>
      </w:r>
    </w:p>
    <w:p w:rsidR="00D13399" w:rsidRPr="00D13399" w:rsidRDefault="00D13399" w:rsidP="00D13399">
      <w:pPr>
        <w:numPr>
          <w:ilvl w:val="0"/>
          <w:numId w:val="56"/>
        </w:numPr>
        <w:spacing w:before="100" w:beforeAutospacing="1" w:after="100" w:afterAutospacing="1" w:line="360" w:lineRule="auto"/>
        <w:jc w:val="both"/>
        <w:rPr>
          <w:rFonts w:ascii="Times New Roman" w:eastAsia="Times New Roman" w:hAnsi="Times New Roman"/>
          <w:color w:val="auto"/>
          <w:sz w:val="24"/>
          <w:szCs w:val="24"/>
          <w:lang w:val="bg-BG" w:eastAsia="bg-BG"/>
        </w:rPr>
      </w:pPr>
      <w:r w:rsidRPr="00D13399">
        <w:rPr>
          <w:rFonts w:ascii="Times New Roman" w:eastAsia="Times New Roman" w:hAnsi="Times New Roman"/>
          <w:b/>
          <w:color w:val="auto"/>
          <w:sz w:val="24"/>
          <w:szCs w:val="24"/>
          <w:lang w:val="bg-BG" w:eastAsia="bg-BG"/>
        </w:rPr>
        <w:t xml:space="preserve">Област Ямбол </w:t>
      </w:r>
      <w:r w:rsidRPr="00D13399">
        <w:rPr>
          <w:rFonts w:ascii="Times New Roman" w:eastAsia="Times New Roman" w:hAnsi="Times New Roman"/>
          <w:color w:val="auto"/>
          <w:sz w:val="24"/>
          <w:szCs w:val="24"/>
          <w:lang w:val="bg-BG" w:eastAsia="bg-BG"/>
        </w:rPr>
        <w:t xml:space="preserve">- </w:t>
      </w:r>
      <w:r w:rsidRPr="00D13399">
        <w:rPr>
          <w:rFonts w:ascii="Times New Roman" w:eastAsia="Times New Roman" w:hAnsi="Times New Roman"/>
          <w:b/>
          <w:color w:val="auto"/>
          <w:sz w:val="24"/>
          <w:szCs w:val="24"/>
          <w:lang w:val="bg-BG" w:eastAsia="bg-BG"/>
        </w:rPr>
        <w:t xml:space="preserve">779 бр. </w:t>
      </w:r>
      <w:r w:rsidRPr="00D13399">
        <w:rPr>
          <w:rFonts w:ascii="Times New Roman" w:eastAsia="Times New Roman" w:hAnsi="Times New Roman"/>
          <w:color w:val="auto"/>
          <w:sz w:val="24"/>
          <w:szCs w:val="24"/>
          <w:lang w:val="bg-BG" w:eastAsia="bg-BG"/>
        </w:rPr>
        <w:t xml:space="preserve">проекти с договорена субсидия – </w:t>
      </w:r>
      <w:r w:rsidRPr="00D13399">
        <w:rPr>
          <w:rFonts w:ascii="Times New Roman" w:eastAsia="Times New Roman" w:hAnsi="Times New Roman"/>
          <w:b/>
          <w:color w:val="auto"/>
          <w:sz w:val="24"/>
          <w:szCs w:val="24"/>
          <w:lang w:val="bg-BG" w:eastAsia="bg-BG"/>
        </w:rPr>
        <w:t>94 002 243,25 лв</w:t>
      </w:r>
      <w:r w:rsidRPr="00D13399">
        <w:rPr>
          <w:rFonts w:ascii="Times New Roman" w:eastAsia="Times New Roman" w:hAnsi="Times New Roman"/>
          <w:color w:val="auto"/>
          <w:sz w:val="24"/>
          <w:szCs w:val="24"/>
          <w:lang w:val="bg-BG" w:eastAsia="bg-BG"/>
        </w:rPr>
        <w:t xml:space="preserve">., платена субсидия - </w:t>
      </w:r>
      <w:r w:rsidRPr="00D13399">
        <w:rPr>
          <w:rFonts w:ascii="Times New Roman" w:eastAsia="Times New Roman" w:hAnsi="Times New Roman"/>
          <w:b/>
          <w:color w:val="auto"/>
          <w:sz w:val="24"/>
          <w:szCs w:val="24"/>
          <w:lang w:val="bg-BG" w:eastAsia="bg-BG"/>
        </w:rPr>
        <w:t>71 346 618,40 лв</w:t>
      </w:r>
      <w:r w:rsidRPr="00D13399">
        <w:rPr>
          <w:rFonts w:ascii="Times New Roman" w:eastAsia="Times New Roman" w:hAnsi="Times New Roman"/>
          <w:color w:val="auto"/>
          <w:sz w:val="24"/>
          <w:szCs w:val="24"/>
          <w:lang w:val="bg-BG" w:eastAsia="bg-BG"/>
        </w:rPr>
        <w:t>.;</w:t>
      </w:r>
    </w:p>
    <w:p w:rsidR="00D13399" w:rsidRPr="00D13399" w:rsidRDefault="00D13399" w:rsidP="00D13399">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D13399">
        <w:rPr>
          <w:rFonts w:ascii="Times New Roman" w:eastAsia="Times New Roman" w:hAnsi="Times New Roman"/>
          <w:color w:val="auto"/>
          <w:sz w:val="24"/>
          <w:szCs w:val="24"/>
          <w:lang w:val="bg-BG" w:eastAsia="bg-BG"/>
        </w:rPr>
        <w:t xml:space="preserve">По мярка Мярка 41 „Прилагане на стратегии за местно развитие”  и  мярка 431-1 „Управление на МИГ, придобиване на умения и постигане на обществена активност на съответната територия за местните инициативни групи, прилагащи стратегии за местно развитие” (към 31 декември 2014 г.) се изпълняват проекти на територията на общините Средец, Карнобат, Гълъбово,  Чирпан, Тунджа и Елхово  на стойност </w:t>
      </w:r>
      <w:r w:rsidRPr="00D13399">
        <w:rPr>
          <w:rFonts w:ascii="Times New Roman" w:eastAsia="Times New Roman" w:hAnsi="Times New Roman"/>
          <w:b/>
          <w:color w:val="auto"/>
          <w:sz w:val="24"/>
          <w:szCs w:val="24"/>
          <w:lang w:val="bg-BG" w:eastAsia="bg-BG"/>
        </w:rPr>
        <w:t xml:space="preserve">20 644 643, 50 лв., </w:t>
      </w:r>
      <w:r w:rsidRPr="00D13399">
        <w:rPr>
          <w:rFonts w:ascii="Times New Roman" w:eastAsia="Times New Roman" w:hAnsi="Times New Roman"/>
          <w:color w:val="auto"/>
          <w:sz w:val="24"/>
          <w:szCs w:val="24"/>
          <w:lang w:val="bg-BG" w:eastAsia="bg-BG"/>
        </w:rPr>
        <w:t xml:space="preserve">от които изплатени </w:t>
      </w:r>
      <w:r w:rsidRPr="00D13399">
        <w:rPr>
          <w:rFonts w:ascii="Times New Roman" w:eastAsia="Times New Roman" w:hAnsi="Times New Roman"/>
          <w:b/>
          <w:color w:val="auto"/>
          <w:sz w:val="24"/>
          <w:szCs w:val="24"/>
          <w:lang w:val="bg-BG" w:eastAsia="bg-BG"/>
        </w:rPr>
        <w:t>1 107 117,99 лв.</w:t>
      </w:r>
    </w:p>
    <w:p w:rsidR="00F25110" w:rsidRDefault="00D13399" w:rsidP="00D13399">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D13399">
        <w:rPr>
          <w:rFonts w:ascii="Times New Roman" w:eastAsia="Times New Roman" w:hAnsi="Times New Roman"/>
          <w:color w:val="auto"/>
          <w:sz w:val="24"/>
          <w:szCs w:val="24"/>
          <w:lang w:val="bg-BG" w:eastAsia="bg-BG"/>
        </w:rPr>
        <w:t>Проектите договорени по ПРСР на територията на Югоизточен район  допринасят за доизграждане и модернизиране на местната техническа инфраструктура (общинските пътища и мостове, уличната мрежа, водоснабдителните и канализационни системи), обновяване и благоустрояване на селата (тротоари, площади, осветление, зелени площи), предлагане на базови публични услуги, инвестиции в образователна, социална, здравна, културна и спортна инфраструктура, опазване на културното и природно наследство в населените места, развитие на туризма, подобряване на достъпа до интернет и др.</w:t>
      </w:r>
    </w:p>
    <w:p w:rsidR="0096792A" w:rsidRPr="00BD7BB1" w:rsidRDefault="0096792A" w:rsidP="00D13399">
      <w:pPr>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p>
    <w:p w:rsidR="00F25110" w:rsidRPr="00E15708" w:rsidRDefault="00F25110" w:rsidP="00F25110">
      <w:pPr>
        <w:spacing w:after="0"/>
        <w:contextualSpacing/>
        <w:rPr>
          <w:rFonts w:ascii="Times New Roman" w:eastAsia="Times New Roman" w:hAnsi="Times New Roman"/>
          <w:b/>
          <w:i/>
          <w:color w:val="9B2D1F" w:themeColor="accent2"/>
          <w:sz w:val="24"/>
          <w:szCs w:val="24"/>
          <w:lang w:val="bg-BG" w:eastAsia="bg-BG"/>
        </w:rPr>
      </w:pPr>
      <w:r w:rsidRPr="00E15708">
        <w:rPr>
          <w:rFonts w:ascii="Times New Roman" w:eastAsia="Times New Roman" w:hAnsi="Times New Roman"/>
          <w:b/>
          <w:i/>
          <w:color w:val="9B2D1F" w:themeColor="accent2"/>
          <w:sz w:val="24"/>
          <w:szCs w:val="24"/>
          <w:lang w:val="bg-BG" w:eastAsia="bg-BG"/>
        </w:rPr>
        <w:t xml:space="preserve">Таблица </w:t>
      </w:r>
      <w:r w:rsidR="00E15708">
        <w:rPr>
          <w:rFonts w:ascii="Times New Roman" w:eastAsia="Times New Roman" w:hAnsi="Times New Roman"/>
          <w:b/>
          <w:i/>
          <w:color w:val="9B2D1F" w:themeColor="accent2"/>
          <w:sz w:val="24"/>
          <w:szCs w:val="24"/>
          <w:lang w:val="bg-BG" w:eastAsia="bg-BG"/>
        </w:rPr>
        <w:t>14</w:t>
      </w:r>
      <w:r w:rsidRPr="00E15708">
        <w:rPr>
          <w:rFonts w:ascii="Times New Roman" w:eastAsia="Times New Roman" w:hAnsi="Times New Roman"/>
          <w:b/>
          <w:i/>
          <w:color w:val="9B2D1F" w:themeColor="accent2"/>
          <w:sz w:val="24"/>
          <w:szCs w:val="24"/>
          <w:lang w:val="bg-BG" w:eastAsia="bg-BG"/>
        </w:rPr>
        <w:t>. Ключови  индикатори за наблюдение изпълнението на Регионалния план за развитие на Югоизточен район за периода 2014-2020 г.</w:t>
      </w:r>
    </w:p>
    <w:tbl>
      <w:tblPr>
        <w:tblpPr w:leftFromText="180" w:rightFromText="180" w:vertAnchor="text" w:horzAnchor="margin" w:tblpX="-913" w:tblpY="165"/>
        <w:tblW w:w="1126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left w:w="70" w:type="dxa"/>
          <w:right w:w="70" w:type="dxa"/>
        </w:tblCellMar>
        <w:tblLook w:val="0000" w:firstRow="0" w:lastRow="0" w:firstColumn="0" w:lastColumn="0" w:noHBand="0" w:noVBand="0"/>
      </w:tblPr>
      <w:tblGrid>
        <w:gridCol w:w="5321"/>
        <w:gridCol w:w="1055"/>
        <w:gridCol w:w="1159"/>
        <w:gridCol w:w="1185"/>
        <w:gridCol w:w="1481"/>
        <w:gridCol w:w="1060"/>
      </w:tblGrid>
      <w:tr w:rsidR="00755E49" w:rsidRPr="00BD7BB1" w:rsidTr="00755E49">
        <w:trPr>
          <w:trHeight w:val="383"/>
          <w:tblHeader/>
        </w:trPr>
        <w:tc>
          <w:tcPr>
            <w:tcW w:w="5321" w:type="dxa"/>
            <w:tcBorders>
              <w:top w:val="single" w:sz="18" w:space="0" w:color="auto"/>
              <w:left w:val="single" w:sz="18" w:space="0" w:color="auto"/>
              <w:bottom w:val="single" w:sz="4" w:space="0" w:color="92CDDC"/>
              <w:right w:val="single" w:sz="4" w:space="0" w:color="92CDDC"/>
            </w:tcBorders>
            <w:shd w:val="clear" w:color="auto" w:fill="F4B29B" w:themeFill="accent1" w:themeFillTint="66"/>
            <w:noWrap/>
            <w:vAlign w:val="center"/>
          </w:tcPr>
          <w:p w:rsidR="00F25110" w:rsidRPr="00755E49" w:rsidRDefault="00F25110" w:rsidP="00F25110">
            <w:pPr>
              <w:keepNext/>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ИНДИКАТОРИ</w:t>
            </w:r>
          </w:p>
        </w:tc>
        <w:tc>
          <w:tcPr>
            <w:tcW w:w="3399" w:type="dxa"/>
            <w:gridSpan w:val="3"/>
            <w:tcBorders>
              <w:top w:val="single" w:sz="18" w:space="0" w:color="auto"/>
              <w:left w:val="single" w:sz="4" w:space="0" w:color="92CDDC"/>
              <w:bottom w:val="single" w:sz="4" w:space="0" w:color="92CDDC"/>
              <w:right w:val="single" w:sz="4" w:space="0" w:color="92CDDC"/>
            </w:tcBorders>
            <w:shd w:val="clear" w:color="auto" w:fill="F4B29B" w:themeFill="accent1" w:themeFillTint="66"/>
          </w:tcPr>
          <w:p w:rsidR="00F25110" w:rsidRPr="00755E49" w:rsidRDefault="00F25110" w:rsidP="00F25110">
            <w:pPr>
              <w:keepNext/>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 xml:space="preserve">Стойности </w:t>
            </w:r>
          </w:p>
        </w:tc>
        <w:tc>
          <w:tcPr>
            <w:tcW w:w="1481" w:type="dxa"/>
            <w:vMerge w:val="restart"/>
            <w:tcBorders>
              <w:top w:val="single" w:sz="18" w:space="0" w:color="auto"/>
              <w:left w:val="single" w:sz="4" w:space="0" w:color="92CDDC"/>
              <w:bottom w:val="single" w:sz="4" w:space="0" w:color="92CDDC"/>
              <w:right w:val="single" w:sz="4" w:space="0" w:color="92CDDC"/>
            </w:tcBorders>
            <w:shd w:val="clear" w:color="auto" w:fill="F4B29B" w:themeFill="accent1" w:themeFillTint="66"/>
            <w:vAlign w:val="center"/>
          </w:tcPr>
          <w:p w:rsidR="00F25110" w:rsidRPr="00755E49" w:rsidRDefault="00F25110" w:rsidP="00F25110">
            <w:pPr>
              <w:keepNext/>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Изпълнение  към 31.12.2014г.</w:t>
            </w:r>
          </w:p>
        </w:tc>
        <w:tc>
          <w:tcPr>
            <w:tcW w:w="1060" w:type="dxa"/>
            <w:vMerge w:val="restart"/>
            <w:tcBorders>
              <w:top w:val="single" w:sz="18" w:space="0" w:color="auto"/>
              <w:left w:val="single" w:sz="4" w:space="0" w:color="92CDDC"/>
              <w:right w:val="single" w:sz="18" w:space="0" w:color="auto"/>
            </w:tcBorders>
            <w:shd w:val="clear" w:color="auto" w:fill="F4B29B" w:themeFill="accent1" w:themeFillTint="66"/>
          </w:tcPr>
          <w:p w:rsidR="00F25110" w:rsidRPr="00755E49" w:rsidRDefault="00F25110" w:rsidP="00F25110">
            <w:pPr>
              <w:keepNext/>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Източник на инф.</w:t>
            </w:r>
          </w:p>
        </w:tc>
      </w:tr>
      <w:tr w:rsidR="00755E49" w:rsidRPr="00BD7BB1" w:rsidTr="00755E49">
        <w:trPr>
          <w:trHeight w:val="270"/>
          <w:tblHeader/>
        </w:trPr>
        <w:tc>
          <w:tcPr>
            <w:tcW w:w="5321" w:type="dxa"/>
            <w:tcBorders>
              <w:top w:val="single" w:sz="4" w:space="0" w:color="92CDDC"/>
              <w:left w:val="single" w:sz="18" w:space="0" w:color="auto"/>
              <w:bottom w:val="dashSmallGap" w:sz="4" w:space="0" w:color="auto"/>
              <w:right w:val="single" w:sz="4" w:space="0" w:color="92CDDC"/>
            </w:tcBorders>
            <w:shd w:val="clear" w:color="auto" w:fill="F4B29B" w:themeFill="accent1" w:themeFillTint="66"/>
            <w:noWrap/>
            <w:vAlign w:val="center"/>
          </w:tcPr>
          <w:p w:rsidR="00F25110" w:rsidRPr="00755E49" w:rsidRDefault="00F25110" w:rsidP="00F25110">
            <w:pPr>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КЛЮЧОВИ  ПОКАЗАТЕЛИ</w:t>
            </w:r>
          </w:p>
        </w:tc>
        <w:tc>
          <w:tcPr>
            <w:tcW w:w="1055" w:type="dxa"/>
            <w:tcBorders>
              <w:top w:val="single" w:sz="4" w:space="0" w:color="92CDDC"/>
              <w:left w:val="single" w:sz="4" w:space="0" w:color="92CDDC"/>
              <w:bottom w:val="dashSmallGap" w:sz="4" w:space="0" w:color="auto"/>
              <w:right w:val="single" w:sz="4" w:space="0" w:color="92CDDC"/>
            </w:tcBorders>
            <w:shd w:val="clear" w:color="auto" w:fill="F4B29B" w:themeFill="accent1" w:themeFillTint="66"/>
            <w:noWrap/>
            <w:vAlign w:val="center"/>
          </w:tcPr>
          <w:p w:rsidR="00F25110" w:rsidRPr="00755E49" w:rsidRDefault="00F25110" w:rsidP="00F25110">
            <w:pPr>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 xml:space="preserve">Изходни </w:t>
            </w:r>
          </w:p>
        </w:tc>
        <w:tc>
          <w:tcPr>
            <w:tcW w:w="1159" w:type="dxa"/>
            <w:tcBorders>
              <w:top w:val="single" w:sz="4" w:space="0" w:color="92CDDC"/>
              <w:left w:val="single" w:sz="4" w:space="0" w:color="92CDDC"/>
              <w:bottom w:val="dashSmallGap" w:sz="4" w:space="0" w:color="auto"/>
              <w:right w:val="single" w:sz="4" w:space="0" w:color="92CDDC"/>
            </w:tcBorders>
            <w:shd w:val="clear" w:color="auto" w:fill="F4B29B" w:themeFill="accent1" w:themeFillTint="66"/>
          </w:tcPr>
          <w:p w:rsidR="00F25110" w:rsidRPr="00755E49" w:rsidRDefault="00F25110" w:rsidP="00F25110">
            <w:pPr>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Междинни (2015)</w:t>
            </w:r>
          </w:p>
        </w:tc>
        <w:tc>
          <w:tcPr>
            <w:tcW w:w="1185" w:type="dxa"/>
            <w:tcBorders>
              <w:top w:val="single" w:sz="4" w:space="0" w:color="92CDDC"/>
              <w:left w:val="single" w:sz="4" w:space="0" w:color="92CDDC"/>
              <w:bottom w:val="dashSmallGap" w:sz="4" w:space="0" w:color="auto"/>
              <w:right w:val="single" w:sz="4" w:space="0" w:color="92CDDC"/>
            </w:tcBorders>
            <w:shd w:val="clear" w:color="auto" w:fill="F4B29B" w:themeFill="accent1" w:themeFillTint="66"/>
            <w:noWrap/>
            <w:vAlign w:val="center"/>
          </w:tcPr>
          <w:p w:rsidR="00F25110" w:rsidRPr="00755E49" w:rsidRDefault="00F25110" w:rsidP="00F25110">
            <w:pPr>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Целеви (2020)</w:t>
            </w:r>
          </w:p>
        </w:tc>
        <w:tc>
          <w:tcPr>
            <w:tcW w:w="0" w:type="auto"/>
            <w:vMerge/>
            <w:tcBorders>
              <w:top w:val="single" w:sz="4" w:space="0" w:color="92CDDC"/>
              <w:left w:val="single" w:sz="4" w:space="0" w:color="92CDDC"/>
              <w:bottom w:val="dashSmallGap" w:sz="4" w:space="0" w:color="auto"/>
              <w:right w:val="single" w:sz="4" w:space="0" w:color="92CDDC"/>
            </w:tcBorders>
            <w:shd w:val="clear" w:color="auto" w:fill="F4B29B" w:themeFill="accent1" w:themeFillTint="66"/>
            <w:vAlign w:val="center"/>
          </w:tcPr>
          <w:p w:rsidR="00F25110" w:rsidRPr="00BD7BB1" w:rsidRDefault="00F25110" w:rsidP="00F25110">
            <w:pPr>
              <w:spacing w:after="0" w:line="240" w:lineRule="auto"/>
              <w:rPr>
                <w:rFonts w:ascii="Times New Roman" w:eastAsia="Calibri" w:hAnsi="Times New Roman"/>
                <w:b/>
                <w:bCs/>
                <w:color w:val="auto"/>
                <w:sz w:val="20"/>
                <w:lang w:val="bg-BG"/>
              </w:rPr>
            </w:pPr>
          </w:p>
        </w:tc>
        <w:tc>
          <w:tcPr>
            <w:tcW w:w="0" w:type="auto"/>
            <w:vMerge/>
            <w:tcBorders>
              <w:left w:val="single" w:sz="4" w:space="0" w:color="92CDDC"/>
              <w:bottom w:val="dashSmallGap" w:sz="4" w:space="0" w:color="auto"/>
              <w:right w:val="single" w:sz="18" w:space="0" w:color="auto"/>
            </w:tcBorders>
            <w:shd w:val="clear" w:color="auto" w:fill="F4B29B" w:themeFill="accent1" w:themeFillTint="66"/>
          </w:tcPr>
          <w:p w:rsidR="00F25110" w:rsidRPr="00BD7BB1" w:rsidRDefault="00F25110" w:rsidP="00F25110">
            <w:pPr>
              <w:spacing w:after="0" w:line="240" w:lineRule="auto"/>
              <w:rPr>
                <w:rFonts w:ascii="Times New Roman" w:eastAsia="Calibri" w:hAnsi="Times New Roman"/>
                <w:b/>
                <w:bCs/>
                <w:color w:val="auto"/>
                <w:sz w:val="20"/>
                <w:lang w:val="bg-BG"/>
              </w:rPr>
            </w:pPr>
          </w:p>
        </w:tc>
      </w:tr>
      <w:tr w:rsidR="00F25110" w:rsidRPr="00BD7BB1" w:rsidTr="006614F6">
        <w:trPr>
          <w:trHeight w:val="270"/>
        </w:trPr>
        <w:tc>
          <w:tcPr>
            <w:tcW w:w="5321" w:type="dxa"/>
            <w:tcBorders>
              <w:top w:val="dashSmallGap" w:sz="4" w:space="0" w:color="auto"/>
              <w:left w:val="single" w:sz="18"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БВП на човек от населението – лв.- 2012г.</w:t>
            </w:r>
          </w:p>
        </w:tc>
        <w:tc>
          <w:tcPr>
            <w:tcW w:w="105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7 625</w:t>
            </w:r>
          </w:p>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i/>
                <w:color w:val="auto"/>
                <w:sz w:val="20"/>
                <w:lang w:val="bg-BG" w:eastAsia="bg-BG"/>
              </w:rPr>
              <w:t>(2010 г.)</w:t>
            </w:r>
          </w:p>
        </w:tc>
        <w:tc>
          <w:tcPr>
            <w:tcW w:w="1159"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10 600</w:t>
            </w:r>
          </w:p>
        </w:tc>
        <w:tc>
          <w:tcPr>
            <w:tcW w:w="1185"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13 500</w:t>
            </w:r>
          </w:p>
        </w:tc>
        <w:tc>
          <w:tcPr>
            <w:tcW w:w="1481"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after="120"/>
              <w:ind w:left="352" w:hanging="352"/>
              <w:rPr>
                <w:rFonts w:ascii="Times New Roman" w:eastAsia="Calibri" w:hAnsi="Times New Roman"/>
                <w:b/>
                <w:color w:val="auto"/>
                <w:sz w:val="20"/>
                <w:lang w:val="bg-BG"/>
              </w:rPr>
            </w:pPr>
            <w:r w:rsidRPr="00BD7BB1">
              <w:rPr>
                <w:rFonts w:ascii="Times New Roman" w:eastAsia="Calibri" w:hAnsi="Times New Roman"/>
                <w:b/>
                <w:color w:val="auto"/>
                <w:sz w:val="20"/>
                <w:lang w:val="bg-BG"/>
              </w:rPr>
              <w:t xml:space="preserve">          </w:t>
            </w:r>
            <w:r w:rsidRPr="00BD7BB1">
              <w:rPr>
                <w:rFonts w:ascii="Times New Roman" w:eastAsia="Calibri" w:hAnsi="Times New Roman"/>
                <w:b/>
                <w:color w:val="auto"/>
                <w:sz w:val="20"/>
              </w:rPr>
              <w:t>9140</w:t>
            </w:r>
            <w:r w:rsidRPr="00BD7BB1">
              <w:rPr>
                <w:rFonts w:ascii="Times New Roman" w:eastAsia="Calibri" w:hAnsi="Times New Roman"/>
                <w:b/>
                <w:color w:val="auto"/>
                <w:sz w:val="20"/>
                <w:lang w:val="bg-BG"/>
              </w:rPr>
              <w:t xml:space="preserve">                          </w:t>
            </w:r>
            <w:r w:rsidRPr="00BD7BB1">
              <w:rPr>
                <w:rFonts w:ascii="Times New Roman" w:eastAsia="Times New Roman" w:hAnsi="Times New Roman"/>
                <w:i/>
                <w:color w:val="auto"/>
                <w:sz w:val="20"/>
                <w:lang w:eastAsia="bg-BG"/>
              </w:rPr>
              <w:t>(</w:t>
            </w:r>
            <w:r w:rsidRPr="00BD7BB1">
              <w:rPr>
                <w:rFonts w:ascii="Times New Roman" w:eastAsia="Times New Roman" w:hAnsi="Times New Roman"/>
                <w:i/>
                <w:color w:val="auto"/>
                <w:sz w:val="20"/>
                <w:lang w:val="bg-BG" w:eastAsia="bg-BG"/>
              </w:rPr>
              <w:t xml:space="preserve"> 2012г.</w:t>
            </w:r>
            <w:r w:rsidRPr="00BD7BB1">
              <w:rPr>
                <w:rFonts w:ascii="Times New Roman" w:eastAsia="Times New Roman" w:hAnsi="Times New Roman"/>
                <w:i/>
                <w:color w:val="auto"/>
                <w:sz w:val="20"/>
                <w:lang w:eastAsia="bg-BG"/>
              </w:rPr>
              <w:t>)</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Times New Roman" w:hAnsi="Times New Roman"/>
                <w:color w:val="auto"/>
                <w:sz w:val="20"/>
                <w:lang w:val="bg-BG" w:eastAsia="bg-BG"/>
              </w:rPr>
              <w:t>Отбелязва се нарастване на показателя за периода 2010-2012г. в размер на 16%.</w:t>
            </w:r>
          </w:p>
        </w:tc>
        <w:tc>
          <w:tcPr>
            <w:tcW w:w="1060" w:type="dxa"/>
            <w:tcBorders>
              <w:top w:val="dashSmallGap" w:sz="4" w:space="0" w:color="auto"/>
              <w:left w:val="dashSmallGap" w:sz="4" w:space="0" w:color="auto"/>
              <w:bottom w:val="dashSmallGap" w:sz="4" w:space="0" w:color="auto"/>
              <w:right w:val="single" w:sz="18" w:space="0" w:color="auto"/>
            </w:tcBorders>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НСИ</w:t>
            </w:r>
          </w:p>
        </w:tc>
      </w:tr>
      <w:tr w:rsidR="00F25110" w:rsidRPr="00BD7BB1" w:rsidTr="006614F6">
        <w:trPr>
          <w:trHeight w:val="680"/>
        </w:trPr>
        <w:tc>
          <w:tcPr>
            <w:tcW w:w="5321" w:type="dxa"/>
            <w:tcBorders>
              <w:top w:val="dashSmallGap" w:sz="4" w:space="0" w:color="auto"/>
              <w:left w:val="single" w:sz="18"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Дял на БВП на човек от населението от средната стойност на ЕС 27  - %</w:t>
            </w:r>
          </w:p>
        </w:tc>
        <w:tc>
          <w:tcPr>
            <w:tcW w:w="105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 xml:space="preserve">36 </w:t>
            </w:r>
          </w:p>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p>
          <w:p w:rsidR="00F25110" w:rsidRPr="00BD7BB1" w:rsidRDefault="00F25110" w:rsidP="00F25110">
            <w:pPr>
              <w:spacing w:before="20" w:after="20" w:line="240" w:lineRule="auto"/>
              <w:jc w:val="center"/>
              <w:rPr>
                <w:rFonts w:ascii="Times New Roman" w:eastAsia="Times New Roman" w:hAnsi="Times New Roman"/>
                <w:i/>
                <w:color w:val="auto"/>
                <w:sz w:val="20"/>
                <w:lang w:val="bg-BG" w:eastAsia="bg-BG"/>
              </w:rPr>
            </w:pPr>
            <w:r w:rsidRPr="00BD7BB1">
              <w:rPr>
                <w:rFonts w:ascii="Times New Roman" w:eastAsia="Times New Roman" w:hAnsi="Times New Roman"/>
                <w:i/>
                <w:color w:val="auto"/>
                <w:sz w:val="20"/>
                <w:lang w:val="bg-BG" w:eastAsia="bg-BG"/>
              </w:rPr>
              <w:t>(2009г.)</w:t>
            </w:r>
          </w:p>
        </w:tc>
        <w:tc>
          <w:tcPr>
            <w:tcW w:w="1159"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50</w:t>
            </w:r>
          </w:p>
        </w:tc>
        <w:tc>
          <w:tcPr>
            <w:tcW w:w="118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64</w:t>
            </w:r>
          </w:p>
        </w:tc>
        <w:tc>
          <w:tcPr>
            <w:tcW w:w="1481"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after="120"/>
              <w:ind w:left="211" w:hanging="211"/>
              <w:rPr>
                <w:rFonts w:ascii="Times New Roman" w:eastAsia="Calibri" w:hAnsi="Times New Roman"/>
                <w:i/>
                <w:color w:val="auto"/>
                <w:sz w:val="20"/>
                <w:lang w:val="bg-BG"/>
              </w:rPr>
            </w:pPr>
            <w:r w:rsidRPr="00BD7BB1">
              <w:rPr>
                <w:rFonts w:ascii="Times New Roman" w:eastAsia="Calibri" w:hAnsi="Times New Roman"/>
                <w:b/>
                <w:color w:val="auto"/>
                <w:sz w:val="20"/>
                <w:lang w:val="bg-BG"/>
              </w:rPr>
              <w:t xml:space="preserve">           38     </w:t>
            </w:r>
            <w:r w:rsidRPr="00BD7BB1">
              <w:rPr>
                <w:rFonts w:ascii="Times New Roman" w:eastAsia="Calibri" w:hAnsi="Times New Roman"/>
                <w:i/>
                <w:color w:val="auto"/>
                <w:sz w:val="20"/>
                <w:lang w:val="bg-BG"/>
              </w:rPr>
              <w:t>(2011г.)</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 xml:space="preserve">     В ЮИР </w:t>
            </w:r>
            <w:r w:rsidRPr="00BD7BB1">
              <w:rPr>
                <w:rFonts w:ascii="Times New Roman" w:eastAsia="Calibri" w:hAnsi="Times New Roman"/>
                <w:color w:val="auto"/>
                <w:sz w:val="20"/>
                <w:lang w:val="bg-BG"/>
              </w:rPr>
              <w:t>делът на БВП</w:t>
            </w:r>
            <w:r w:rsidRPr="00BD7BB1">
              <w:rPr>
                <w:rFonts w:ascii="Times New Roman" w:eastAsia="Calibri" w:hAnsi="Times New Roman"/>
                <w:b/>
                <w:color w:val="auto"/>
                <w:sz w:val="20"/>
                <w:lang w:val="bg-BG"/>
              </w:rPr>
              <w:t xml:space="preserve"> </w:t>
            </w:r>
            <w:r w:rsidRPr="00BD7BB1">
              <w:rPr>
                <w:rFonts w:ascii="Times New Roman" w:eastAsia="Times New Roman" w:hAnsi="Times New Roman"/>
                <w:color w:val="auto"/>
                <w:sz w:val="20"/>
                <w:lang w:val="bg-BG" w:eastAsia="bg-BG"/>
              </w:rPr>
              <w:t xml:space="preserve"> на човек от населението</w:t>
            </w: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 xml:space="preserve"> от средната стойност на ЕС е сравнително нисък-38%.</w:t>
            </w:r>
            <w:r w:rsidRPr="00BD7BB1">
              <w:rPr>
                <w:rFonts w:ascii="Times New Roman" w:eastAsia="Times New Roman" w:hAnsi="Times New Roman"/>
                <w:color w:val="auto"/>
                <w:sz w:val="20"/>
                <w:lang w:eastAsia="bg-BG"/>
              </w:rPr>
              <w:t xml:space="preserve"> </w:t>
            </w:r>
            <w:r w:rsidRPr="00BD7BB1">
              <w:rPr>
                <w:rFonts w:ascii="Times New Roman" w:eastAsia="Times New Roman" w:hAnsi="Times New Roman"/>
                <w:color w:val="auto"/>
                <w:sz w:val="20"/>
                <w:lang w:val="bg-BG" w:eastAsia="bg-BG"/>
              </w:rPr>
              <w:t>За сравнение в ЮЗР, делът е 78%, а средното равнище за страната е 47%.</w:t>
            </w:r>
          </w:p>
        </w:tc>
        <w:tc>
          <w:tcPr>
            <w:tcW w:w="1060" w:type="dxa"/>
            <w:tcBorders>
              <w:top w:val="dashSmallGap" w:sz="4" w:space="0" w:color="auto"/>
              <w:left w:val="dashSmallGap" w:sz="4" w:space="0" w:color="auto"/>
              <w:bottom w:val="dashSmallGap" w:sz="4" w:space="0" w:color="auto"/>
              <w:right w:val="single" w:sz="18" w:space="0" w:color="auto"/>
            </w:tcBorders>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Евростат</w:t>
            </w:r>
          </w:p>
        </w:tc>
      </w:tr>
      <w:tr w:rsidR="00F25110" w:rsidRPr="00BD7BB1" w:rsidTr="006614F6">
        <w:trPr>
          <w:trHeight w:val="763"/>
        </w:trPr>
        <w:tc>
          <w:tcPr>
            <w:tcW w:w="5321" w:type="dxa"/>
            <w:tcBorders>
              <w:top w:val="dashSmallGap" w:sz="4" w:space="0" w:color="auto"/>
              <w:left w:val="single" w:sz="18"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Коефициент на безработица на населението на 15 и повече навършени години  - %</w:t>
            </w:r>
          </w:p>
        </w:tc>
        <w:tc>
          <w:tcPr>
            <w:tcW w:w="105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11.6%</w:t>
            </w:r>
          </w:p>
          <w:p w:rsidR="00F25110" w:rsidRPr="00BD7BB1" w:rsidRDefault="00F25110" w:rsidP="00F25110">
            <w:pPr>
              <w:spacing w:before="20" w:after="20" w:line="240" w:lineRule="auto"/>
              <w:jc w:val="center"/>
              <w:rPr>
                <w:rFonts w:ascii="Times New Roman" w:eastAsia="Times New Roman" w:hAnsi="Times New Roman"/>
                <w:i/>
                <w:color w:val="auto"/>
                <w:sz w:val="20"/>
                <w:lang w:val="bg-BG" w:eastAsia="bg-BG"/>
              </w:rPr>
            </w:pPr>
            <w:r w:rsidRPr="00BD7BB1">
              <w:rPr>
                <w:rFonts w:ascii="Times New Roman" w:eastAsia="Times New Roman" w:hAnsi="Times New Roman"/>
                <w:i/>
                <w:color w:val="auto"/>
                <w:sz w:val="20"/>
                <w:lang w:val="bg-BG" w:eastAsia="bg-BG"/>
              </w:rPr>
              <w:t>(2011 г.)</w:t>
            </w:r>
          </w:p>
        </w:tc>
        <w:tc>
          <w:tcPr>
            <w:tcW w:w="1159"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7.0</w:t>
            </w:r>
          </w:p>
        </w:tc>
        <w:tc>
          <w:tcPr>
            <w:tcW w:w="118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5</w:t>
            </w:r>
          </w:p>
        </w:tc>
        <w:tc>
          <w:tcPr>
            <w:tcW w:w="1481"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rPr>
            </w:pPr>
            <w:r w:rsidRPr="00BD7BB1">
              <w:rPr>
                <w:rFonts w:ascii="Times New Roman" w:eastAsia="Calibri" w:hAnsi="Times New Roman"/>
                <w:b/>
                <w:color w:val="auto"/>
                <w:sz w:val="20"/>
                <w:lang w:val="bg-BG"/>
              </w:rPr>
              <w:t xml:space="preserve">11,9 % </w:t>
            </w:r>
          </w:p>
          <w:p w:rsidR="00F25110" w:rsidRPr="00BD7BB1" w:rsidRDefault="00F25110" w:rsidP="00F25110">
            <w:pPr>
              <w:spacing w:after="120" w:line="360" w:lineRule="auto"/>
              <w:jc w:val="center"/>
              <w:rPr>
                <w:rFonts w:ascii="Times New Roman" w:eastAsia="Calibri" w:hAnsi="Times New Roman"/>
                <w:i/>
                <w:color w:val="auto"/>
                <w:sz w:val="20"/>
              </w:rPr>
            </w:pPr>
            <w:r w:rsidRPr="00BD7BB1">
              <w:rPr>
                <w:rFonts w:ascii="Times New Roman" w:eastAsia="Calibri" w:hAnsi="Times New Roman"/>
                <w:i/>
                <w:color w:val="auto"/>
                <w:sz w:val="20"/>
              </w:rPr>
              <w:t>(2014 г.)</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p>
        </w:tc>
        <w:tc>
          <w:tcPr>
            <w:tcW w:w="1060" w:type="dxa"/>
            <w:tcBorders>
              <w:top w:val="dashSmallGap" w:sz="4" w:space="0" w:color="auto"/>
              <w:left w:val="dashSmallGap" w:sz="4" w:space="0" w:color="auto"/>
              <w:bottom w:val="dashSmallGap" w:sz="4" w:space="0" w:color="auto"/>
              <w:right w:val="single" w:sz="18" w:space="0" w:color="auto"/>
            </w:tcBorders>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НСИ</w:t>
            </w:r>
          </w:p>
        </w:tc>
      </w:tr>
      <w:tr w:rsidR="00F25110" w:rsidRPr="00BD7BB1" w:rsidTr="006614F6">
        <w:trPr>
          <w:trHeight w:val="270"/>
        </w:trPr>
        <w:tc>
          <w:tcPr>
            <w:tcW w:w="5321" w:type="dxa"/>
            <w:tcBorders>
              <w:top w:val="dashSmallGap" w:sz="4" w:space="0" w:color="auto"/>
              <w:left w:val="single" w:sz="18" w:space="0" w:color="auto"/>
              <w:bottom w:val="dashSmallGap" w:sz="4" w:space="0" w:color="auto"/>
              <w:right w:val="dashSmallGap" w:sz="4" w:space="0" w:color="auto"/>
            </w:tcBorders>
            <w:shd w:val="clear" w:color="auto" w:fill="auto"/>
            <w:noWrap/>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Коефициент на икономическа активност на населението на 15 и повече навършени години  - %</w:t>
            </w:r>
          </w:p>
        </w:tc>
        <w:tc>
          <w:tcPr>
            <w:tcW w:w="1055"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tcPr>
          <w:p w:rsidR="00F25110" w:rsidRPr="00BD7BB1" w:rsidRDefault="00F25110" w:rsidP="00F25110">
            <w:pPr>
              <w:spacing w:before="20" w:after="20" w:line="320" w:lineRule="atLeast"/>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49.9</w:t>
            </w:r>
          </w:p>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i/>
                <w:color w:val="auto"/>
                <w:sz w:val="20"/>
                <w:lang w:val="bg-BG" w:eastAsia="bg-BG"/>
              </w:rPr>
              <w:t>(2011 г.)</w:t>
            </w:r>
          </w:p>
        </w:tc>
        <w:tc>
          <w:tcPr>
            <w:tcW w:w="1159"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52,1</w:t>
            </w:r>
          </w:p>
        </w:tc>
        <w:tc>
          <w:tcPr>
            <w:tcW w:w="1185"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57</w:t>
            </w:r>
          </w:p>
        </w:tc>
        <w:tc>
          <w:tcPr>
            <w:tcW w:w="1481"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szCs w:val="22"/>
                <w:lang w:val="bg-BG"/>
              </w:rPr>
            </w:pPr>
            <w:r w:rsidRPr="00BD7BB1">
              <w:rPr>
                <w:rFonts w:ascii="Times New Roman" w:eastAsia="Calibri" w:hAnsi="Times New Roman"/>
                <w:b/>
                <w:color w:val="auto"/>
                <w:sz w:val="20"/>
                <w:szCs w:val="22"/>
                <w:lang w:val="bg-BG"/>
              </w:rPr>
              <w:t>51,9 %</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i/>
                <w:color w:val="auto"/>
                <w:sz w:val="20"/>
                <w:szCs w:val="22"/>
                <w:lang w:val="bg-BG"/>
              </w:rPr>
              <w:t>(2014 г.)</w:t>
            </w:r>
          </w:p>
        </w:tc>
        <w:tc>
          <w:tcPr>
            <w:tcW w:w="1060" w:type="dxa"/>
            <w:tcBorders>
              <w:top w:val="dashSmallGap" w:sz="4" w:space="0" w:color="auto"/>
              <w:left w:val="dashSmallGap" w:sz="4" w:space="0" w:color="auto"/>
              <w:bottom w:val="dashSmallGap" w:sz="4" w:space="0" w:color="auto"/>
              <w:right w:val="single" w:sz="18" w:space="0" w:color="auto"/>
            </w:tcBorders>
            <w:shd w:val="clear" w:color="auto" w:fill="auto"/>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НСИ</w:t>
            </w:r>
          </w:p>
        </w:tc>
      </w:tr>
      <w:tr w:rsidR="00F25110" w:rsidRPr="00BD7BB1" w:rsidTr="006614F6">
        <w:trPr>
          <w:trHeight w:val="270"/>
        </w:trPr>
        <w:tc>
          <w:tcPr>
            <w:tcW w:w="5321" w:type="dxa"/>
            <w:tcBorders>
              <w:top w:val="dashSmallGap" w:sz="4" w:space="0" w:color="auto"/>
              <w:left w:val="single" w:sz="18" w:space="0" w:color="auto"/>
              <w:bottom w:val="single" w:sz="18" w:space="0" w:color="auto"/>
              <w:right w:val="dashSmallGap" w:sz="4" w:space="0" w:color="auto"/>
            </w:tcBorders>
            <w:noWrap/>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Общ доход на лице от домакинство - лв.</w:t>
            </w:r>
          </w:p>
        </w:tc>
        <w:tc>
          <w:tcPr>
            <w:tcW w:w="1055" w:type="dxa"/>
            <w:tcBorders>
              <w:top w:val="dashSmallGap" w:sz="4" w:space="0" w:color="auto"/>
              <w:left w:val="dashSmallGap" w:sz="4" w:space="0" w:color="auto"/>
              <w:bottom w:val="single" w:sz="18"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3 643</w:t>
            </w:r>
          </w:p>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i/>
                <w:color w:val="auto"/>
                <w:sz w:val="20"/>
                <w:lang w:val="bg-BG" w:eastAsia="bg-BG"/>
              </w:rPr>
              <w:t>(2010 г.)</w:t>
            </w:r>
          </w:p>
        </w:tc>
        <w:tc>
          <w:tcPr>
            <w:tcW w:w="1159" w:type="dxa"/>
            <w:tcBorders>
              <w:top w:val="dashSmallGap" w:sz="4" w:space="0" w:color="auto"/>
              <w:left w:val="dashSmallGap" w:sz="4" w:space="0" w:color="auto"/>
              <w:bottom w:val="single" w:sz="18"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4 100</w:t>
            </w:r>
          </w:p>
        </w:tc>
        <w:tc>
          <w:tcPr>
            <w:tcW w:w="1185" w:type="dxa"/>
            <w:tcBorders>
              <w:top w:val="dashSmallGap" w:sz="4" w:space="0" w:color="auto"/>
              <w:left w:val="dashSmallGap" w:sz="4" w:space="0" w:color="auto"/>
              <w:bottom w:val="single" w:sz="18"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5 050</w:t>
            </w:r>
          </w:p>
        </w:tc>
        <w:tc>
          <w:tcPr>
            <w:tcW w:w="1481" w:type="dxa"/>
            <w:tcBorders>
              <w:top w:val="dashSmallGap" w:sz="4" w:space="0" w:color="auto"/>
              <w:left w:val="dashSmallGap" w:sz="4" w:space="0" w:color="auto"/>
              <w:bottom w:val="single" w:sz="18" w:space="0" w:color="auto"/>
              <w:right w:val="dashSmallGap" w:sz="4" w:space="0" w:color="auto"/>
            </w:tcBorders>
            <w:vAlign w:val="center"/>
          </w:tcPr>
          <w:p w:rsidR="00F25110" w:rsidRPr="00BD7BB1" w:rsidRDefault="00F25110" w:rsidP="00F25110">
            <w:pPr>
              <w:spacing w:after="120" w:line="360" w:lineRule="auto"/>
              <w:jc w:val="center"/>
              <w:rPr>
                <w:rFonts w:ascii="Times New Roman" w:eastAsia="Calibri" w:hAnsi="Times New Roman"/>
                <w:color w:val="auto"/>
                <w:sz w:val="20"/>
                <w:szCs w:val="22"/>
                <w:lang w:val="bg-BG"/>
              </w:rPr>
            </w:pPr>
            <w:r w:rsidRPr="00BD7BB1">
              <w:rPr>
                <w:rFonts w:ascii="Times New Roman" w:eastAsia="Calibri" w:hAnsi="Times New Roman"/>
                <w:color w:val="auto"/>
                <w:sz w:val="20"/>
                <w:szCs w:val="22"/>
                <w:lang w:val="bg-BG"/>
              </w:rPr>
              <w:t>4 375  лв.</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i/>
                <w:color w:val="auto"/>
                <w:sz w:val="20"/>
                <w:szCs w:val="22"/>
                <w:lang w:val="bg-BG"/>
              </w:rPr>
              <w:t>(2013 г.)</w:t>
            </w:r>
          </w:p>
        </w:tc>
        <w:tc>
          <w:tcPr>
            <w:tcW w:w="1060" w:type="dxa"/>
            <w:tcBorders>
              <w:top w:val="dashSmallGap" w:sz="4" w:space="0" w:color="auto"/>
              <w:left w:val="dashSmallGap" w:sz="4" w:space="0" w:color="auto"/>
              <w:bottom w:val="single" w:sz="18" w:space="0" w:color="auto"/>
              <w:right w:val="single" w:sz="18" w:space="0" w:color="auto"/>
            </w:tcBorders>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НСИ</w:t>
            </w:r>
          </w:p>
        </w:tc>
      </w:tr>
      <w:tr w:rsidR="00F25110" w:rsidRPr="00BD7BB1" w:rsidTr="006614F6">
        <w:tblPrEx>
          <w:tblBorders>
            <w:top w:val="dashSmallGap" w:sz="4"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00"/>
        </w:trPr>
        <w:tc>
          <w:tcPr>
            <w:tcW w:w="11261" w:type="dxa"/>
            <w:gridSpan w:val="6"/>
            <w:tcBorders>
              <w:top w:val="single" w:sz="18" w:space="0" w:color="auto"/>
            </w:tcBorders>
          </w:tcPr>
          <w:p w:rsidR="00F25110" w:rsidRPr="00BD7BB1" w:rsidRDefault="00F25110" w:rsidP="00F25110">
            <w:pPr>
              <w:spacing w:after="0"/>
              <w:contextualSpacing/>
              <w:jc w:val="both"/>
              <w:rPr>
                <w:rFonts w:ascii="Times New Roman" w:eastAsia="Times New Roman" w:hAnsi="Times New Roman"/>
                <w:color w:val="auto"/>
                <w:sz w:val="24"/>
                <w:szCs w:val="24"/>
                <w:lang w:val="bg-BG"/>
              </w:rPr>
            </w:pPr>
          </w:p>
        </w:tc>
      </w:tr>
    </w:tbl>
    <w:p w:rsidR="00F25110" w:rsidRPr="00755E49" w:rsidRDefault="00F25110" w:rsidP="00F25110">
      <w:pPr>
        <w:spacing w:after="0"/>
        <w:contextualSpacing/>
        <w:jc w:val="both"/>
        <w:rPr>
          <w:rFonts w:ascii="Times New Roman" w:eastAsia="Times New Roman" w:hAnsi="Times New Roman"/>
          <w:b/>
          <w:i/>
          <w:color w:val="9B2D1F" w:themeColor="accent2"/>
          <w:sz w:val="24"/>
          <w:szCs w:val="24"/>
          <w:lang w:val="bg-BG"/>
        </w:rPr>
      </w:pPr>
      <w:r w:rsidRPr="00755E49">
        <w:rPr>
          <w:rFonts w:ascii="Times New Roman" w:eastAsia="Times New Roman" w:hAnsi="Times New Roman"/>
          <w:b/>
          <w:i/>
          <w:color w:val="9B2D1F" w:themeColor="accent2"/>
          <w:sz w:val="24"/>
          <w:szCs w:val="24"/>
          <w:lang w:val="bg-BG"/>
        </w:rPr>
        <w:t xml:space="preserve">Таблица </w:t>
      </w:r>
      <w:r w:rsidR="00755E49">
        <w:rPr>
          <w:rFonts w:ascii="Times New Roman" w:eastAsia="Times New Roman" w:hAnsi="Times New Roman"/>
          <w:b/>
          <w:i/>
          <w:color w:val="9B2D1F" w:themeColor="accent2"/>
          <w:sz w:val="24"/>
          <w:szCs w:val="24"/>
          <w:lang w:val="bg-BG"/>
        </w:rPr>
        <w:t>15</w:t>
      </w:r>
      <w:r w:rsidRPr="00755E49">
        <w:rPr>
          <w:rFonts w:ascii="Times New Roman" w:eastAsia="Times New Roman" w:hAnsi="Times New Roman"/>
          <w:b/>
          <w:i/>
          <w:color w:val="9B2D1F" w:themeColor="accent2"/>
          <w:sz w:val="24"/>
          <w:szCs w:val="24"/>
          <w:lang w:val="bg-BG"/>
        </w:rPr>
        <w:t>. Индикатори по целите на Стратегия „Европа 2020” на ЕС</w:t>
      </w:r>
    </w:p>
    <w:tbl>
      <w:tblPr>
        <w:tblpPr w:leftFromText="180" w:rightFromText="180" w:vertAnchor="text" w:horzAnchor="margin" w:tblpXSpec="center" w:tblpY="174"/>
        <w:tblW w:w="1134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left w:w="70" w:type="dxa"/>
          <w:right w:w="70" w:type="dxa"/>
        </w:tblCellMar>
        <w:tblLook w:val="0000" w:firstRow="0" w:lastRow="0" w:firstColumn="0" w:lastColumn="0" w:noHBand="0" w:noVBand="0"/>
      </w:tblPr>
      <w:tblGrid>
        <w:gridCol w:w="564"/>
        <w:gridCol w:w="5107"/>
        <w:gridCol w:w="989"/>
        <w:gridCol w:w="176"/>
        <w:gridCol w:w="977"/>
        <w:gridCol w:w="835"/>
        <w:gridCol w:w="1559"/>
        <w:gridCol w:w="1134"/>
      </w:tblGrid>
      <w:tr w:rsidR="00755E49" w:rsidRPr="00BD7BB1" w:rsidTr="00755E49">
        <w:trPr>
          <w:trHeight w:val="255"/>
          <w:tblHeader/>
        </w:trPr>
        <w:tc>
          <w:tcPr>
            <w:tcW w:w="564" w:type="dxa"/>
            <w:tcBorders>
              <w:top w:val="single" w:sz="18" w:space="0" w:color="auto"/>
              <w:left w:val="single" w:sz="18" w:space="0" w:color="auto"/>
              <w:bottom w:val="single" w:sz="4" w:space="0" w:color="92CDDC"/>
              <w:right w:val="single" w:sz="4" w:space="0" w:color="92CDDC"/>
            </w:tcBorders>
            <w:shd w:val="clear" w:color="auto" w:fill="F4B29B" w:themeFill="accent1" w:themeFillTint="66"/>
          </w:tcPr>
          <w:p w:rsidR="00F25110" w:rsidRPr="00BD7BB1" w:rsidRDefault="00F25110" w:rsidP="00F25110">
            <w:pPr>
              <w:keepNext/>
              <w:spacing w:after="0" w:line="240" w:lineRule="auto"/>
              <w:jc w:val="center"/>
              <w:rPr>
                <w:rFonts w:ascii="Times New Roman" w:eastAsia="Calibri" w:hAnsi="Times New Roman"/>
                <w:b/>
                <w:bCs/>
                <w:color w:val="auto"/>
                <w:sz w:val="20"/>
                <w:lang w:val="bg-BG"/>
              </w:rPr>
            </w:pPr>
          </w:p>
        </w:tc>
        <w:tc>
          <w:tcPr>
            <w:tcW w:w="5107" w:type="dxa"/>
            <w:tcBorders>
              <w:top w:val="single" w:sz="18" w:space="0" w:color="auto"/>
              <w:left w:val="single" w:sz="4" w:space="0" w:color="92CDDC"/>
              <w:bottom w:val="single" w:sz="4" w:space="0" w:color="92CDDC"/>
              <w:right w:val="single" w:sz="4" w:space="0" w:color="92CDDC"/>
            </w:tcBorders>
            <w:shd w:val="clear" w:color="auto" w:fill="F4B29B" w:themeFill="accent1" w:themeFillTint="66"/>
            <w:noWrap/>
            <w:vAlign w:val="center"/>
          </w:tcPr>
          <w:p w:rsidR="00F25110" w:rsidRPr="00755E49" w:rsidRDefault="00F25110" w:rsidP="00F25110">
            <w:pPr>
              <w:keepNext/>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ИНДИКАТОРИ</w:t>
            </w:r>
          </w:p>
        </w:tc>
        <w:tc>
          <w:tcPr>
            <w:tcW w:w="2977" w:type="dxa"/>
            <w:gridSpan w:val="4"/>
            <w:tcBorders>
              <w:top w:val="single" w:sz="18" w:space="0" w:color="auto"/>
              <w:left w:val="single" w:sz="4" w:space="0" w:color="92CDDC"/>
              <w:bottom w:val="single" w:sz="4" w:space="0" w:color="92CDDC"/>
              <w:right w:val="single" w:sz="4" w:space="0" w:color="92CDDC"/>
            </w:tcBorders>
            <w:shd w:val="clear" w:color="auto" w:fill="F4B29B" w:themeFill="accent1" w:themeFillTint="66"/>
          </w:tcPr>
          <w:p w:rsidR="00F25110" w:rsidRPr="00755E49" w:rsidRDefault="00F25110" w:rsidP="00F25110">
            <w:pPr>
              <w:keepNext/>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 xml:space="preserve">Стойности </w:t>
            </w:r>
          </w:p>
        </w:tc>
        <w:tc>
          <w:tcPr>
            <w:tcW w:w="1559" w:type="dxa"/>
            <w:vMerge w:val="restart"/>
            <w:tcBorders>
              <w:top w:val="single" w:sz="18" w:space="0" w:color="auto"/>
              <w:left w:val="single" w:sz="4" w:space="0" w:color="92CDDC"/>
              <w:bottom w:val="single" w:sz="4" w:space="0" w:color="92CDDC"/>
              <w:right w:val="single" w:sz="4" w:space="0" w:color="92CDDC"/>
            </w:tcBorders>
            <w:shd w:val="clear" w:color="auto" w:fill="F4B29B" w:themeFill="accent1" w:themeFillTint="66"/>
            <w:vAlign w:val="center"/>
          </w:tcPr>
          <w:p w:rsidR="00F25110" w:rsidRPr="00755E49" w:rsidRDefault="00F25110" w:rsidP="00F25110">
            <w:pPr>
              <w:keepNext/>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Изпълнение  към 31.12.2014г.</w:t>
            </w:r>
          </w:p>
        </w:tc>
        <w:tc>
          <w:tcPr>
            <w:tcW w:w="1134" w:type="dxa"/>
            <w:vMerge w:val="restart"/>
            <w:tcBorders>
              <w:top w:val="single" w:sz="18" w:space="0" w:color="auto"/>
              <w:left w:val="single" w:sz="4" w:space="0" w:color="92CDDC"/>
              <w:right w:val="single" w:sz="18" w:space="0" w:color="auto"/>
            </w:tcBorders>
            <w:shd w:val="clear" w:color="auto" w:fill="F4B29B" w:themeFill="accent1" w:themeFillTint="66"/>
          </w:tcPr>
          <w:p w:rsidR="00F25110" w:rsidRPr="00755E49" w:rsidRDefault="00F25110" w:rsidP="00F25110">
            <w:pPr>
              <w:keepNext/>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Източник на инф.</w:t>
            </w:r>
          </w:p>
        </w:tc>
      </w:tr>
      <w:tr w:rsidR="00755E49" w:rsidRPr="00BD7BB1" w:rsidTr="00755E49">
        <w:trPr>
          <w:trHeight w:val="255"/>
          <w:tblHeader/>
        </w:trPr>
        <w:tc>
          <w:tcPr>
            <w:tcW w:w="564" w:type="dxa"/>
            <w:tcBorders>
              <w:top w:val="single" w:sz="4" w:space="0" w:color="92CDDC"/>
              <w:left w:val="single" w:sz="18" w:space="0" w:color="auto"/>
              <w:bottom w:val="dashSmallGap" w:sz="4" w:space="0" w:color="auto"/>
              <w:right w:val="single" w:sz="4" w:space="0" w:color="92CDDC"/>
            </w:tcBorders>
            <w:shd w:val="clear" w:color="auto" w:fill="F4B29B" w:themeFill="accent1" w:themeFillTint="66"/>
            <w:noWrap/>
            <w:vAlign w:val="bottom"/>
          </w:tcPr>
          <w:p w:rsidR="00F25110" w:rsidRPr="00BD7BB1" w:rsidRDefault="00F25110" w:rsidP="00F25110">
            <w:pPr>
              <w:spacing w:after="0" w:line="24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 </w:t>
            </w:r>
          </w:p>
        </w:tc>
        <w:tc>
          <w:tcPr>
            <w:tcW w:w="5107" w:type="dxa"/>
            <w:tcBorders>
              <w:top w:val="single" w:sz="4" w:space="0" w:color="92CDDC"/>
              <w:left w:val="single" w:sz="4" w:space="0" w:color="92CDDC"/>
              <w:bottom w:val="dashSmallGap" w:sz="4" w:space="0" w:color="auto"/>
              <w:right w:val="single" w:sz="4" w:space="0" w:color="92CDDC"/>
            </w:tcBorders>
            <w:shd w:val="clear" w:color="auto" w:fill="F4B29B" w:themeFill="accent1" w:themeFillTint="66"/>
            <w:noWrap/>
            <w:vAlign w:val="center"/>
          </w:tcPr>
          <w:p w:rsidR="00F25110" w:rsidRPr="00755E49" w:rsidRDefault="00F25110" w:rsidP="00F25110">
            <w:pPr>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ЦЕЛИ НА СТРАТЕГИЯТА „ЕВРОПА 2020”</w:t>
            </w:r>
          </w:p>
        </w:tc>
        <w:tc>
          <w:tcPr>
            <w:tcW w:w="989" w:type="dxa"/>
            <w:tcBorders>
              <w:top w:val="single" w:sz="4" w:space="0" w:color="92CDDC"/>
              <w:left w:val="single" w:sz="4" w:space="0" w:color="92CDDC"/>
              <w:bottom w:val="dashSmallGap" w:sz="4" w:space="0" w:color="auto"/>
              <w:right w:val="single" w:sz="4" w:space="0" w:color="92CDDC"/>
            </w:tcBorders>
            <w:shd w:val="clear" w:color="auto" w:fill="F4B29B" w:themeFill="accent1" w:themeFillTint="66"/>
            <w:noWrap/>
            <w:vAlign w:val="center"/>
          </w:tcPr>
          <w:p w:rsidR="00F25110" w:rsidRPr="00755E49" w:rsidRDefault="00F25110" w:rsidP="00F25110">
            <w:pPr>
              <w:spacing w:after="0" w:line="240" w:lineRule="auto"/>
              <w:jc w:val="both"/>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 xml:space="preserve">Изходни </w:t>
            </w:r>
          </w:p>
        </w:tc>
        <w:tc>
          <w:tcPr>
            <w:tcW w:w="1153" w:type="dxa"/>
            <w:gridSpan w:val="2"/>
            <w:tcBorders>
              <w:top w:val="single" w:sz="4" w:space="0" w:color="92CDDC"/>
              <w:left w:val="single" w:sz="4" w:space="0" w:color="92CDDC"/>
              <w:bottom w:val="dashSmallGap" w:sz="4" w:space="0" w:color="auto"/>
              <w:right w:val="single" w:sz="4" w:space="0" w:color="92CDDC"/>
            </w:tcBorders>
            <w:shd w:val="clear" w:color="auto" w:fill="F4B29B" w:themeFill="accent1" w:themeFillTint="66"/>
          </w:tcPr>
          <w:p w:rsidR="00F25110" w:rsidRPr="00755E49" w:rsidRDefault="00F25110" w:rsidP="00F25110">
            <w:pPr>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Междинни (2015)</w:t>
            </w:r>
          </w:p>
        </w:tc>
        <w:tc>
          <w:tcPr>
            <w:tcW w:w="835" w:type="dxa"/>
            <w:tcBorders>
              <w:top w:val="single" w:sz="4" w:space="0" w:color="92CDDC"/>
              <w:left w:val="single" w:sz="4" w:space="0" w:color="92CDDC"/>
              <w:bottom w:val="dashSmallGap" w:sz="4" w:space="0" w:color="auto"/>
              <w:right w:val="single" w:sz="4" w:space="0" w:color="92CDDC"/>
            </w:tcBorders>
            <w:shd w:val="clear" w:color="auto" w:fill="F4B29B" w:themeFill="accent1" w:themeFillTint="66"/>
            <w:noWrap/>
            <w:vAlign w:val="center"/>
          </w:tcPr>
          <w:p w:rsidR="00F25110" w:rsidRPr="00755E49" w:rsidRDefault="00F25110" w:rsidP="00F25110">
            <w:pPr>
              <w:spacing w:after="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Целеви (2020)</w:t>
            </w:r>
          </w:p>
        </w:tc>
        <w:tc>
          <w:tcPr>
            <w:tcW w:w="1559" w:type="dxa"/>
            <w:vMerge/>
            <w:tcBorders>
              <w:top w:val="single" w:sz="4" w:space="0" w:color="92CDDC"/>
              <w:left w:val="single" w:sz="4" w:space="0" w:color="92CDDC"/>
              <w:bottom w:val="dashSmallGap" w:sz="4" w:space="0" w:color="auto"/>
              <w:right w:val="single" w:sz="4" w:space="0" w:color="92CDDC"/>
            </w:tcBorders>
            <w:shd w:val="clear" w:color="auto" w:fill="F4B29B" w:themeFill="accent1" w:themeFillTint="66"/>
            <w:vAlign w:val="center"/>
          </w:tcPr>
          <w:p w:rsidR="00F25110" w:rsidRPr="00755E49" w:rsidRDefault="00F25110" w:rsidP="00F25110">
            <w:pPr>
              <w:spacing w:after="0" w:line="240" w:lineRule="auto"/>
              <w:rPr>
                <w:rFonts w:ascii="Times New Roman" w:eastAsia="Calibri" w:hAnsi="Times New Roman"/>
                <w:b/>
                <w:bCs/>
                <w:color w:val="9B2D1F" w:themeColor="accent2"/>
                <w:sz w:val="20"/>
                <w:lang w:val="bg-BG"/>
              </w:rPr>
            </w:pPr>
          </w:p>
        </w:tc>
        <w:tc>
          <w:tcPr>
            <w:tcW w:w="1134" w:type="dxa"/>
            <w:vMerge/>
            <w:tcBorders>
              <w:left w:val="single" w:sz="4" w:space="0" w:color="92CDDC"/>
              <w:bottom w:val="dashSmallGap" w:sz="4" w:space="0" w:color="auto"/>
              <w:right w:val="single" w:sz="18" w:space="0" w:color="auto"/>
            </w:tcBorders>
            <w:shd w:val="clear" w:color="auto" w:fill="F4B29B" w:themeFill="accent1" w:themeFillTint="66"/>
          </w:tcPr>
          <w:p w:rsidR="00F25110" w:rsidRPr="00BD7BB1" w:rsidRDefault="00F25110" w:rsidP="00F25110">
            <w:pPr>
              <w:spacing w:after="0" w:line="240" w:lineRule="auto"/>
              <w:rPr>
                <w:rFonts w:ascii="Times New Roman" w:eastAsia="Calibri" w:hAnsi="Times New Roman"/>
                <w:b/>
                <w:bCs/>
                <w:color w:val="auto"/>
                <w:sz w:val="20"/>
                <w:lang w:val="bg-BG"/>
              </w:rPr>
            </w:pPr>
          </w:p>
        </w:tc>
      </w:tr>
      <w:tr w:rsidR="00F25110" w:rsidRPr="00BD7BB1"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Коефициент на заетост на населението на възраст 20-64 навършени години - %</w:t>
            </w:r>
          </w:p>
        </w:tc>
        <w:tc>
          <w:tcPr>
            <w:tcW w:w="989"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62.9</w:t>
            </w:r>
          </w:p>
          <w:p w:rsidR="00F25110" w:rsidRPr="00BD7BB1" w:rsidRDefault="00F25110" w:rsidP="00F25110">
            <w:pPr>
              <w:spacing w:before="20" w:after="20" w:line="240" w:lineRule="auto"/>
              <w:jc w:val="center"/>
              <w:rPr>
                <w:rFonts w:ascii="Times New Roman" w:eastAsia="Times New Roman" w:hAnsi="Times New Roman"/>
                <w:i/>
                <w:color w:val="auto"/>
                <w:sz w:val="20"/>
                <w:lang w:val="bg-BG" w:eastAsia="bg-BG"/>
              </w:rPr>
            </w:pPr>
            <w:r w:rsidRPr="00BD7BB1">
              <w:rPr>
                <w:rFonts w:ascii="Times New Roman" w:eastAsia="Times New Roman" w:hAnsi="Times New Roman"/>
                <w:i/>
                <w:color w:val="auto"/>
                <w:sz w:val="20"/>
                <w:lang w:val="bg-BG" w:eastAsia="bg-BG"/>
              </w:rPr>
              <w:t>(2011г.)</w:t>
            </w:r>
          </w:p>
        </w:tc>
        <w:tc>
          <w:tcPr>
            <w:tcW w:w="1153" w:type="dxa"/>
            <w:gridSpan w:val="2"/>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66</w:t>
            </w: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75.0</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color w:val="auto"/>
                <w:sz w:val="20"/>
                <w:lang w:eastAsia="bg-BG"/>
              </w:rPr>
            </w:pPr>
            <w:r w:rsidRPr="00BD7BB1">
              <w:rPr>
                <w:rFonts w:ascii="Times New Roman" w:eastAsia="Times New Roman" w:hAnsi="Times New Roman"/>
                <w:color w:val="auto"/>
                <w:sz w:val="20"/>
                <w:lang w:val="bg-BG" w:eastAsia="bg-BG"/>
              </w:rPr>
              <w:t>65,1%,</w:t>
            </w:r>
          </w:p>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i/>
                <w:color w:val="auto"/>
                <w:sz w:val="20"/>
                <w:lang w:eastAsia="bg-BG"/>
              </w:rPr>
              <w:t xml:space="preserve">(2014 </w:t>
            </w:r>
            <w:r w:rsidRPr="00BD7BB1">
              <w:rPr>
                <w:rFonts w:ascii="Times New Roman" w:eastAsia="Times New Roman" w:hAnsi="Times New Roman"/>
                <w:i/>
                <w:color w:val="auto"/>
                <w:sz w:val="20"/>
                <w:lang w:val="bg-BG" w:eastAsia="bg-BG"/>
              </w:rPr>
              <w:t>г.)</w:t>
            </w:r>
          </w:p>
        </w:tc>
        <w:tc>
          <w:tcPr>
            <w:tcW w:w="1134" w:type="dxa"/>
            <w:tcBorders>
              <w:top w:val="dashSmallGap" w:sz="4" w:space="0" w:color="auto"/>
              <w:left w:val="dashSmallGap" w:sz="4" w:space="0" w:color="auto"/>
              <w:bottom w:val="dashSmallGap" w:sz="4" w:space="0" w:color="auto"/>
              <w:right w:val="single" w:sz="18" w:space="0" w:color="auto"/>
            </w:tcBorders>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НСИ</w:t>
            </w:r>
          </w:p>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Евростат</w:t>
            </w:r>
          </w:p>
        </w:tc>
      </w:tr>
      <w:tr w:rsidR="00F25110" w:rsidRPr="00BD7BB1"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p>
        </w:tc>
        <w:tc>
          <w:tcPr>
            <w:tcW w:w="5107" w:type="dxa"/>
            <w:tcBorders>
              <w:top w:val="dashSmallGap" w:sz="4" w:space="0" w:color="auto"/>
              <w:left w:val="dashSmallGap" w:sz="4" w:space="0" w:color="auto"/>
              <w:bottom w:val="dashSmallGap" w:sz="4" w:space="0" w:color="auto"/>
              <w:right w:val="dashSmallGap" w:sz="4" w:space="0" w:color="auto"/>
            </w:tcBorders>
          </w:tcPr>
          <w:p w:rsidR="00F25110" w:rsidRPr="00BD7BB1" w:rsidRDefault="00F25110" w:rsidP="00F25110">
            <w:pPr>
              <w:spacing w:before="20" w:after="20" w:line="320" w:lineRule="atLeas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-Коефициент на заетост на населението на възраст</w:t>
            </w:r>
          </w:p>
          <w:p w:rsidR="00F25110" w:rsidRPr="00BD7BB1" w:rsidRDefault="00F25110" w:rsidP="00F25110">
            <w:pPr>
              <w:spacing w:before="20" w:after="20" w:line="320" w:lineRule="atLeast"/>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 55-64 г.</w:t>
            </w:r>
          </w:p>
        </w:tc>
        <w:tc>
          <w:tcPr>
            <w:tcW w:w="989"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40" w:after="4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 xml:space="preserve"> 43.2</w:t>
            </w:r>
          </w:p>
          <w:p w:rsidR="00F25110" w:rsidRPr="00BD7BB1" w:rsidRDefault="00F25110" w:rsidP="00F25110">
            <w:pPr>
              <w:spacing w:before="40" w:after="40" w:line="240" w:lineRule="auto"/>
              <w:jc w:val="center"/>
              <w:rPr>
                <w:rFonts w:ascii="Times New Roman" w:eastAsia="Times New Roman" w:hAnsi="Times New Roman"/>
                <w:i/>
                <w:color w:val="auto"/>
                <w:sz w:val="20"/>
                <w:lang w:val="bg-BG" w:eastAsia="bg-BG"/>
              </w:rPr>
            </w:pPr>
            <w:r w:rsidRPr="00BD7BB1">
              <w:rPr>
                <w:rFonts w:ascii="Times New Roman" w:eastAsia="Times New Roman" w:hAnsi="Times New Roman"/>
                <w:b/>
                <w:i/>
                <w:color w:val="auto"/>
                <w:sz w:val="20"/>
                <w:lang w:val="bg-BG" w:eastAsia="bg-BG"/>
              </w:rPr>
              <w:t>(</w:t>
            </w:r>
            <w:r w:rsidRPr="00BD7BB1">
              <w:rPr>
                <w:rFonts w:ascii="Times New Roman" w:eastAsia="Times New Roman" w:hAnsi="Times New Roman"/>
                <w:i/>
                <w:color w:val="auto"/>
                <w:sz w:val="20"/>
                <w:lang w:val="bg-BG" w:eastAsia="bg-BG"/>
              </w:rPr>
              <w:t>2011 г.)</w:t>
            </w:r>
          </w:p>
        </w:tc>
        <w:tc>
          <w:tcPr>
            <w:tcW w:w="1153" w:type="dxa"/>
            <w:gridSpan w:val="2"/>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40" w:after="4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45.5</w:t>
            </w: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40" w:after="4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49</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after="120" w:line="240" w:lineRule="auto"/>
              <w:jc w:val="center"/>
              <w:rPr>
                <w:rFonts w:ascii="Times New Roman" w:eastAsia="Calibri" w:hAnsi="Times New Roman"/>
                <w:color w:val="auto"/>
                <w:sz w:val="20"/>
              </w:rPr>
            </w:pPr>
            <w:r w:rsidRPr="00BD7BB1">
              <w:rPr>
                <w:rFonts w:ascii="Times New Roman" w:eastAsia="Calibri" w:hAnsi="Times New Roman"/>
                <w:color w:val="auto"/>
                <w:sz w:val="20"/>
              </w:rPr>
              <w:t>50 %</w:t>
            </w:r>
          </w:p>
          <w:p w:rsidR="00F25110" w:rsidRPr="00BD7BB1" w:rsidRDefault="00F25110" w:rsidP="00F25110">
            <w:pPr>
              <w:spacing w:after="120" w:line="24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за страната</w:t>
            </w:r>
          </w:p>
          <w:p w:rsidR="00F25110" w:rsidRPr="00BD7BB1" w:rsidRDefault="00F25110" w:rsidP="00F25110">
            <w:pPr>
              <w:spacing w:after="120" w:line="240" w:lineRule="auto"/>
              <w:jc w:val="center"/>
              <w:rPr>
                <w:rFonts w:ascii="Times New Roman" w:eastAsia="Calibri" w:hAnsi="Times New Roman"/>
                <w:i/>
                <w:color w:val="auto"/>
                <w:sz w:val="20"/>
                <w:lang w:val="bg-BG"/>
              </w:rPr>
            </w:pPr>
            <w:r w:rsidRPr="00BD7BB1">
              <w:rPr>
                <w:rFonts w:ascii="Times New Roman" w:eastAsia="Calibri" w:hAnsi="Times New Roman"/>
                <w:i/>
                <w:color w:val="auto"/>
                <w:sz w:val="20"/>
                <w:lang w:val="bg-BG"/>
              </w:rPr>
              <w:t>(2014 г.)</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p>
        </w:tc>
        <w:tc>
          <w:tcPr>
            <w:tcW w:w="1134" w:type="dxa"/>
            <w:tcBorders>
              <w:top w:val="dashSmallGap" w:sz="4" w:space="0" w:color="auto"/>
              <w:left w:val="dashSmallGap" w:sz="4" w:space="0" w:color="auto"/>
              <w:bottom w:val="dashSmallGap" w:sz="4" w:space="0" w:color="auto"/>
              <w:right w:val="single" w:sz="18" w:space="0" w:color="auto"/>
            </w:tcBorders>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Евростат</w:t>
            </w:r>
          </w:p>
        </w:tc>
      </w:tr>
      <w:tr w:rsidR="00F25110" w:rsidRPr="00BD7BB1"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Инвестиции в научноизследователска и развойна дейност - % от БВП</w:t>
            </w:r>
          </w:p>
        </w:tc>
        <w:tc>
          <w:tcPr>
            <w:tcW w:w="989"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0.18</w:t>
            </w:r>
          </w:p>
          <w:p w:rsidR="00F25110" w:rsidRPr="00BD7BB1" w:rsidRDefault="00F25110" w:rsidP="00F25110">
            <w:pPr>
              <w:spacing w:before="20" w:after="20" w:line="240" w:lineRule="auto"/>
              <w:jc w:val="center"/>
              <w:rPr>
                <w:rFonts w:ascii="Times New Roman" w:eastAsia="Times New Roman" w:hAnsi="Times New Roman"/>
                <w:i/>
                <w:color w:val="auto"/>
                <w:sz w:val="20"/>
                <w:lang w:val="bg-BG" w:eastAsia="bg-BG"/>
              </w:rPr>
            </w:pPr>
            <w:r w:rsidRPr="00BD7BB1">
              <w:rPr>
                <w:rFonts w:ascii="Times New Roman" w:eastAsia="Times New Roman" w:hAnsi="Times New Roman"/>
                <w:i/>
                <w:color w:val="auto"/>
                <w:sz w:val="20"/>
                <w:lang w:val="bg-BG" w:eastAsia="bg-BG"/>
              </w:rPr>
              <w:t>(2009г.)</w:t>
            </w:r>
          </w:p>
        </w:tc>
        <w:tc>
          <w:tcPr>
            <w:tcW w:w="1153" w:type="dxa"/>
            <w:gridSpan w:val="2"/>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0.8</w:t>
            </w: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1.5</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 xml:space="preserve">          0.16 </w:t>
            </w:r>
          </w:p>
          <w:p w:rsidR="00F25110" w:rsidRPr="00BD7BB1" w:rsidRDefault="00F25110" w:rsidP="00F25110">
            <w:pPr>
              <w:spacing w:before="20" w:after="20" w:line="240" w:lineRule="auto"/>
              <w:rPr>
                <w:rFonts w:ascii="Times New Roman" w:eastAsia="Times New Roman" w:hAnsi="Times New Roman"/>
                <w:i/>
                <w:color w:val="auto"/>
                <w:sz w:val="20"/>
                <w:lang w:val="bg-BG" w:eastAsia="bg-BG"/>
              </w:rPr>
            </w:pPr>
            <w:r w:rsidRPr="00BD7BB1">
              <w:rPr>
                <w:rFonts w:ascii="Times New Roman" w:eastAsia="Times New Roman" w:hAnsi="Times New Roman"/>
                <w:b/>
                <w:color w:val="auto"/>
                <w:sz w:val="20"/>
                <w:lang w:val="bg-BG" w:eastAsia="bg-BG"/>
              </w:rPr>
              <w:t xml:space="preserve">       </w:t>
            </w:r>
            <w:r w:rsidRPr="00BD7BB1">
              <w:rPr>
                <w:rFonts w:ascii="Times New Roman" w:eastAsia="Times New Roman" w:hAnsi="Times New Roman"/>
                <w:i/>
                <w:color w:val="auto"/>
                <w:sz w:val="20"/>
                <w:lang w:val="bg-BG" w:eastAsia="bg-BG"/>
              </w:rPr>
              <w:t xml:space="preserve"> (2012г.)</w:t>
            </w:r>
          </w:p>
          <w:p w:rsidR="00F25110" w:rsidRPr="00BD7BB1" w:rsidRDefault="00F25110" w:rsidP="00F25110">
            <w:pPr>
              <w:spacing w:before="20" w:after="20" w:line="240" w:lineRule="auto"/>
              <w:jc w:val="both"/>
              <w:rPr>
                <w:rFonts w:ascii="Times New Roman" w:eastAsia="Times New Roman" w:hAnsi="Times New Roman"/>
                <w:color w:val="auto"/>
                <w:sz w:val="20"/>
                <w:lang w:val="bg-BG" w:eastAsia="bg-BG"/>
              </w:rPr>
            </w:pPr>
            <w:r w:rsidRPr="00BD7BB1">
              <w:rPr>
                <w:rFonts w:ascii="Times New Roman" w:eastAsia="Calibri" w:hAnsi="Times New Roman"/>
                <w:bCs/>
                <w:color w:val="auto"/>
                <w:sz w:val="20"/>
              </w:rPr>
              <w:t>Интензивността на</w:t>
            </w:r>
            <w:r w:rsidRPr="00BD7BB1">
              <w:rPr>
                <w:rFonts w:ascii="Times New Roman" w:eastAsia="Calibri" w:hAnsi="Times New Roman"/>
                <w:color w:val="auto"/>
                <w:sz w:val="20"/>
              </w:rPr>
              <w:t xml:space="preserve"> </w:t>
            </w:r>
            <w:r w:rsidRPr="00BD7BB1">
              <w:rPr>
                <w:rFonts w:ascii="Times New Roman" w:eastAsia="Calibri" w:hAnsi="Times New Roman"/>
                <w:bCs/>
                <w:color w:val="auto"/>
                <w:sz w:val="20"/>
              </w:rPr>
              <w:t>научно-изследователската и развойна дейност (НИРД), измерена като процент на разходите за НИРД от БВП</w:t>
            </w:r>
            <w:r w:rsidRPr="00BD7BB1">
              <w:rPr>
                <w:rFonts w:ascii="Times New Roman" w:eastAsia="Calibri" w:hAnsi="Times New Roman"/>
                <w:bCs/>
                <w:color w:val="auto"/>
                <w:sz w:val="20"/>
                <w:lang w:val="bg-BG"/>
              </w:rPr>
              <w:t xml:space="preserve"> намалява през 2012г. спрямо базовата 2009г. с 0,02%. </w:t>
            </w:r>
          </w:p>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p>
        </w:tc>
        <w:tc>
          <w:tcPr>
            <w:tcW w:w="1134" w:type="dxa"/>
            <w:tcBorders>
              <w:top w:val="dashSmallGap" w:sz="4" w:space="0" w:color="auto"/>
              <w:left w:val="dashSmallGap" w:sz="4" w:space="0" w:color="auto"/>
              <w:bottom w:val="dashSmallGap" w:sz="4" w:space="0" w:color="auto"/>
              <w:right w:val="single" w:sz="18" w:space="0" w:color="auto"/>
            </w:tcBorders>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НСИ</w:t>
            </w:r>
          </w:p>
        </w:tc>
      </w:tr>
      <w:tr w:rsidR="00F25110" w:rsidRPr="00BD7BB1"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w:t>
            </w:r>
          </w:p>
        </w:tc>
        <w:tc>
          <w:tcPr>
            <w:tcW w:w="10777" w:type="dxa"/>
            <w:gridSpan w:val="7"/>
            <w:tcBorders>
              <w:top w:val="dashSmallGap" w:sz="4" w:space="0" w:color="auto"/>
              <w:left w:val="dashSmallGap" w:sz="4" w:space="0" w:color="auto"/>
              <w:bottom w:val="dashSmallGap" w:sz="4" w:space="0" w:color="auto"/>
              <w:right w:val="single" w:sz="18"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Цели „20/20/20” по отношение на климата/ енергията:</w:t>
            </w:r>
          </w:p>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p>
        </w:tc>
      </w:tr>
      <w:tr w:rsidR="00F25110" w:rsidRPr="00BD7BB1"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w:t>
            </w: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дял на ВЕИ в  брутното крайното енергийно потребление</w:t>
            </w:r>
          </w:p>
        </w:tc>
        <w:tc>
          <w:tcPr>
            <w:tcW w:w="1165" w:type="dxa"/>
            <w:gridSpan w:val="2"/>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color w:val="auto"/>
                <w:sz w:val="20"/>
                <w:highlight w:val="yellow"/>
                <w:lang w:val="bg-BG" w:eastAsia="bg-BG"/>
              </w:rPr>
            </w:pPr>
          </w:p>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13.8</w:t>
            </w:r>
          </w:p>
          <w:p w:rsidR="00F25110" w:rsidRPr="00BD7BB1" w:rsidRDefault="00F25110" w:rsidP="00F25110">
            <w:pPr>
              <w:spacing w:before="20" w:after="20" w:line="240" w:lineRule="auto"/>
              <w:jc w:val="center"/>
              <w:rPr>
                <w:rFonts w:ascii="Times New Roman" w:eastAsia="Times New Roman" w:hAnsi="Times New Roman"/>
                <w:color w:val="auto"/>
                <w:sz w:val="20"/>
                <w:highlight w:val="yellow"/>
                <w:lang w:val="bg-BG" w:eastAsia="bg-BG"/>
              </w:rPr>
            </w:pPr>
            <w:r w:rsidRPr="00BD7BB1">
              <w:rPr>
                <w:rFonts w:ascii="Times New Roman" w:eastAsia="Times New Roman" w:hAnsi="Times New Roman"/>
                <w:i/>
                <w:color w:val="auto"/>
                <w:sz w:val="20"/>
                <w:lang w:val="bg-BG" w:eastAsia="bg-BG"/>
              </w:rPr>
              <w:t>(2011 г. – за България)</w:t>
            </w:r>
          </w:p>
        </w:tc>
        <w:tc>
          <w:tcPr>
            <w:tcW w:w="977"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p>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12,4</w:t>
            </w: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16</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19 % дял</w:t>
            </w:r>
          </w:p>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i/>
                <w:color w:val="auto"/>
                <w:sz w:val="20"/>
                <w:lang w:val="bg-BG" w:eastAsia="bg-BG"/>
              </w:rPr>
              <w:t>(2013 г. – за България)</w:t>
            </w:r>
          </w:p>
        </w:tc>
        <w:tc>
          <w:tcPr>
            <w:tcW w:w="1134" w:type="dxa"/>
            <w:tcBorders>
              <w:top w:val="dashSmallGap" w:sz="4" w:space="0" w:color="auto"/>
              <w:left w:val="dashSmallGap" w:sz="4" w:space="0" w:color="auto"/>
              <w:bottom w:val="dashSmallGap" w:sz="4" w:space="0" w:color="auto"/>
              <w:right w:val="single" w:sz="18" w:space="0" w:color="auto"/>
            </w:tcBorders>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p>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МИЕ и НСИ</w:t>
            </w:r>
          </w:p>
        </w:tc>
      </w:tr>
      <w:tr w:rsidR="00F25110" w:rsidRPr="00BD7BB1"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w:t>
            </w: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iCs/>
                <w:color w:val="auto"/>
                <w:sz w:val="20"/>
                <w:lang w:val="bg-BG" w:eastAsia="bg-BG"/>
              </w:rPr>
            </w:pPr>
            <w:r w:rsidRPr="00BD7BB1">
              <w:rPr>
                <w:rFonts w:ascii="Times New Roman" w:eastAsia="Times New Roman" w:hAnsi="Times New Roman"/>
                <w:iCs/>
                <w:color w:val="auto"/>
                <w:sz w:val="20"/>
                <w:lang w:val="bg-BG" w:eastAsia="bg-BG"/>
              </w:rPr>
              <w:t>-       повишаване на енергийната ефективност- %</w:t>
            </w:r>
          </w:p>
        </w:tc>
        <w:tc>
          <w:tcPr>
            <w:tcW w:w="1165" w:type="dxa"/>
            <w:gridSpan w:val="2"/>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p>
        </w:tc>
        <w:tc>
          <w:tcPr>
            <w:tcW w:w="977"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25</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color w:val="auto"/>
                <w:sz w:val="24"/>
                <w:szCs w:val="22"/>
              </w:rPr>
              <w:t>n</w:t>
            </w:r>
            <w:r w:rsidRPr="00BD7BB1">
              <w:rPr>
                <w:rFonts w:ascii="Times New Roman" w:eastAsia="Calibri" w:hAnsi="Times New Roman"/>
                <w:color w:val="auto"/>
                <w:sz w:val="24"/>
                <w:szCs w:val="22"/>
                <w:lang w:val="bg-BG"/>
              </w:rPr>
              <w:t>/а</w:t>
            </w:r>
          </w:p>
        </w:tc>
        <w:tc>
          <w:tcPr>
            <w:tcW w:w="1134" w:type="dxa"/>
            <w:tcBorders>
              <w:top w:val="dashSmallGap" w:sz="4" w:space="0" w:color="auto"/>
              <w:left w:val="dashSmallGap" w:sz="4" w:space="0" w:color="auto"/>
              <w:bottom w:val="dashSmallGap" w:sz="4" w:space="0" w:color="auto"/>
              <w:right w:val="single" w:sz="18" w:space="0" w:color="auto"/>
            </w:tcBorders>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НСИ, АУЕР</w:t>
            </w:r>
          </w:p>
        </w:tc>
      </w:tr>
      <w:tr w:rsidR="00F25110" w:rsidRPr="00BD7BB1"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i/>
                <w:iCs/>
                <w:color w:val="auto"/>
                <w:sz w:val="20"/>
                <w:lang w:val="bg-BG" w:eastAsia="bg-BG"/>
              </w:rPr>
            </w:pPr>
            <w:r w:rsidRPr="00BD7BB1">
              <w:rPr>
                <w:rFonts w:ascii="Times New Roman" w:eastAsia="Times New Roman" w:hAnsi="Times New Roman"/>
                <w:i/>
                <w:iCs/>
                <w:color w:val="auto"/>
                <w:sz w:val="20"/>
                <w:lang w:val="bg-BG" w:eastAsia="bg-BG"/>
              </w:rPr>
              <w:t xml:space="preserve">-       </w:t>
            </w:r>
            <w:r w:rsidRPr="00BD7BB1">
              <w:rPr>
                <w:rFonts w:ascii="Times New Roman" w:eastAsia="Times New Roman" w:hAnsi="Times New Roman"/>
                <w:iCs/>
                <w:color w:val="auto"/>
                <w:sz w:val="20"/>
                <w:lang w:val="bg-BG" w:eastAsia="bg-BG"/>
              </w:rPr>
              <w:t>намаляване на енергийната интензивност на БВП- %</w:t>
            </w:r>
          </w:p>
        </w:tc>
        <w:tc>
          <w:tcPr>
            <w:tcW w:w="1165" w:type="dxa"/>
            <w:gridSpan w:val="2"/>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p>
        </w:tc>
        <w:tc>
          <w:tcPr>
            <w:tcW w:w="977"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p>
        </w:tc>
        <w:tc>
          <w:tcPr>
            <w:tcW w:w="835" w:type="dxa"/>
            <w:tcBorders>
              <w:top w:val="dashSmallGap" w:sz="4" w:space="0" w:color="auto"/>
              <w:left w:val="dashSmallGap" w:sz="4" w:space="0" w:color="auto"/>
              <w:bottom w:val="dashSmallGap" w:sz="4" w:space="0" w:color="auto"/>
              <w:right w:val="dashSmallGap" w:sz="4" w:space="0" w:color="auto"/>
            </w:tcBorders>
            <w:noWrap/>
          </w:tcPr>
          <w:p w:rsidR="00F25110" w:rsidRPr="00BD7BB1" w:rsidRDefault="00F25110" w:rsidP="00F25110">
            <w:pPr>
              <w:spacing w:before="20" w:after="20" w:line="240" w:lineRule="auto"/>
              <w:jc w:val="center"/>
              <w:rPr>
                <w:rFonts w:ascii="Times New Roman" w:eastAsia="Times New Roman" w:hAnsi="Times New Roman"/>
                <w:b/>
                <w:iCs/>
                <w:color w:val="auto"/>
                <w:sz w:val="20"/>
                <w:lang w:val="bg-BG" w:eastAsia="bg-BG"/>
              </w:rPr>
            </w:pPr>
          </w:p>
          <w:p w:rsidR="00F25110" w:rsidRPr="00BD7BB1" w:rsidRDefault="00F25110" w:rsidP="00F25110">
            <w:pPr>
              <w:spacing w:before="20" w:after="20" w:line="240" w:lineRule="auto"/>
              <w:jc w:val="center"/>
              <w:rPr>
                <w:rFonts w:ascii="Times New Roman" w:eastAsia="Times New Roman" w:hAnsi="Times New Roman"/>
                <w:b/>
                <w:iCs/>
                <w:color w:val="auto"/>
                <w:sz w:val="20"/>
                <w:lang w:val="bg-BG" w:eastAsia="bg-BG"/>
              </w:rPr>
            </w:pPr>
          </w:p>
          <w:p w:rsidR="00F25110" w:rsidRPr="00BD7BB1" w:rsidRDefault="00F25110" w:rsidP="00F25110">
            <w:pPr>
              <w:spacing w:before="20" w:after="20" w:line="240" w:lineRule="auto"/>
              <w:jc w:val="center"/>
              <w:rPr>
                <w:rFonts w:ascii="Times New Roman" w:eastAsia="Times New Roman" w:hAnsi="Times New Roman"/>
                <w:b/>
                <w:iCs/>
                <w:color w:val="auto"/>
                <w:sz w:val="20"/>
                <w:lang w:val="bg-BG" w:eastAsia="bg-BG"/>
              </w:rPr>
            </w:pPr>
            <w:r w:rsidRPr="00BD7BB1">
              <w:rPr>
                <w:rFonts w:ascii="Times New Roman" w:eastAsia="Times New Roman" w:hAnsi="Times New Roman"/>
                <w:b/>
                <w:iCs/>
                <w:color w:val="auto"/>
                <w:sz w:val="20"/>
                <w:lang w:val="bg-BG" w:eastAsia="bg-BG"/>
              </w:rPr>
              <w:t>49</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after="120" w:line="360" w:lineRule="auto"/>
              <w:jc w:val="center"/>
              <w:rPr>
                <w:rFonts w:ascii="Times New Roman" w:eastAsia="Calibri" w:hAnsi="Times New Roman"/>
                <w:color w:val="auto"/>
                <w:sz w:val="20"/>
                <w:szCs w:val="22"/>
                <w:lang w:val="bg-BG"/>
              </w:rPr>
            </w:pPr>
            <w:r w:rsidRPr="00BD7BB1">
              <w:rPr>
                <w:rFonts w:ascii="Times New Roman" w:eastAsia="Calibri" w:hAnsi="Times New Roman"/>
                <w:color w:val="auto"/>
                <w:sz w:val="20"/>
                <w:szCs w:val="22"/>
                <w:lang w:val="bg-BG"/>
              </w:rPr>
              <w:t xml:space="preserve">  8,4%  </w:t>
            </w:r>
          </w:p>
          <w:p w:rsidR="00F25110" w:rsidRPr="00BD7BB1" w:rsidRDefault="00F25110" w:rsidP="00F25110">
            <w:pPr>
              <w:spacing w:after="120" w:line="360" w:lineRule="auto"/>
              <w:jc w:val="center"/>
              <w:rPr>
                <w:rFonts w:ascii="Times New Roman" w:eastAsia="Calibri" w:hAnsi="Times New Roman"/>
                <w:color w:val="auto"/>
                <w:sz w:val="20"/>
                <w:szCs w:val="22"/>
                <w:lang w:val="bg-BG"/>
              </w:rPr>
            </w:pPr>
            <w:r w:rsidRPr="00BD7BB1">
              <w:rPr>
                <w:rFonts w:ascii="Times New Roman" w:eastAsia="Calibri" w:hAnsi="Times New Roman"/>
                <w:color w:val="auto"/>
                <w:sz w:val="20"/>
                <w:szCs w:val="22"/>
                <w:lang w:val="bg-BG"/>
              </w:rPr>
              <w:t>2013 г. отчита  намаление спрямо 2012 г.</w:t>
            </w:r>
          </w:p>
          <w:p w:rsidR="00F25110" w:rsidRPr="00BD7BB1" w:rsidRDefault="00F25110" w:rsidP="00F25110">
            <w:pPr>
              <w:spacing w:after="120" w:line="360" w:lineRule="auto"/>
              <w:jc w:val="center"/>
              <w:rPr>
                <w:rFonts w:ascii="Times New Roman" w:eastAsia="Calibri" w:hAnsi="Times New Roman"/>
                <w:color w:val="auto"/>
                <w:sz w:val="20"/>
                <w:szCs w:val="22"/>
                <w:lang w:val="bg-BG"/>
              </w:rPr>
            </w:pPr>
            <w:r w:rsidRPr="00BD7BB1">
              <w:rPr>
                <w:rFonts w:ascii="Times New Roman" w:eastAsia="Calibri" w:hAnsi="Times New Roman"/>
                <w:color w:val="auto"/>
                <w:sz w:val="20"/>
                <w:szCs w:val="22"/>
                <w:lang w:val="bg-BG"/>
              </w:rPr>
              <w:t>0,603- енергийна интензивност на икономиката за 2013г.</w:t>
            </w:r>
          </w:p>
        </w:tc>
        <w:tc>
          <w:tcPr>
            <w:tcW w:w="1134" w:type="dxa"/>
            <w:tcBorders>
              <w:top w:val="dashSmallGap" w:sz="4" w:space="0" w:color="auto"/>
              <w:left w:val="dashSmallGap" w:sz="4" w:space="0" w:color="auto"/>
              <w:bottom w:val="dashSmallGap" w:sz="4" w:space="0" w:color="auto"/>
              <w:right w:val="single" w:sz="18" w:space="0" w:color="auto"/>
            </w:tcBorders>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НСИ</w:t>
            </w:r>
          </w:p>
        </w:tc>
      </w:tr>
      <w:tr w:rsidR="00F25110" w:rsidRPr="00BD7BB1" w:rsidTr="006614F6">
        <w:trPr>
          <w:trHeight w:val="592"/>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w:t>
            </w: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Дял на преждевременно напусналите образователната система (на възраст 18-24 г.) - %</w:t>
            </w:r>
          </w:p>
        </w:tc>
        <w:tc>
          <w:tcPr>
            <w:tcW w:w="1165" w:type="dxa"/>
            <w:gridSpan w:val="2"/>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19.4</w:t>
            </w:r>
          </w:p>
          <w:p w:rsidR="00F25110" w:rsidRPr="00BD7BB1" w:rsidRDefault="00F25110" w:rsidP="00F25110">
            <w:pPr>
              <w:spacing w:before="20" w:after="20" w:line="240" w:lineRule="auto"/>
              <w:jc w:val="center"/>
              <w:rPr>
                <w:rFonts w:ascii="Times New Roman" w:eastAsia="Times New Roman" w:hAnsi="Times New Roman"/>
                <w:i/>
                <w:color w:val="auto"/>
                <w:sz w:val="20"/>
                <w:lang w:val="bg-BG" w:eastAsia="bg-BG"/>
              </w:rPr>
            </w:pPr>
            <w:r w:rsidRPr="00BD7BB1">
              <w:rPr>
                <w:rFonts w:ascii="Times New Roman" w:eastAsia="Times New Roman" w:hAnsi="Times New Roman"/>
                <w:i/>
                <w:color w:val="auto"/>
                <w:sz w:val="20"/>
                <w:lang w:val="bg-BG" w:eastAsia="bg-BG"/>
              </w:rPr>
              <w:t>(2011г.)</w:t>
            </w:r>
          </w:p>
        </w:tc>
        <w:tc>
          <w:tcPr>
            <w:tcW w:w="977"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16</w:t>
            </w: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14</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after="120" w:line="360" w:lineRule="auto"/>
              <w:jc w:val="center"/>
              <w:rPr>
                <w:rFonts w:ascii="Times New Roman" w:eastAsia="Calibri" w:hAnsi="Times New Roman"/>
                <w:color w:val="auto"/>
                <w:sz w:val="20"/>
                <w:szCs w:val="22"/>
                <w:lang w:val="bg-BG"/>
              </w:rPr>
            </w:pPr>
            <w:r w:rsidRPr="00BD7BB1">
              <w:rPr>
                <w:rFonts w:ascii="Times New Roman" w:eastAsia="Calibri" w:hAnsi="Times New Roman"/>
                <w:color w:val="auto"/>
                <w:sz w:val="20"/>
                <w:szCs w:val="22"/>
                <w:lang w:val="bg-BG"/>
              </w:rPr>
              <w:t>21,1 %,</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i/>
                <w:color w:val="auto"/>
                <w:sz w:val="20"/>
                <w:szCs w:val="22"/>
                <w:lang w:val="bg-BG"/>
              </w:rPr>
              <w:t>( 2012 г. )</w:t>
            </w:r>
          </w:p>
        </w:tc>
        <w:tc>
          <w:tcPr>
            <w:tcW w:w="1134" w:type="dxa"/>
            <w:tcBorders>
              <w:top w:val="dashSmallGap" w:sz="4" w:space="0" w:color="auto"/>
              <w:left w:val="dashSmallGap" w:sz="4" w:space="0" w:color="auto"/>
              <w:bottom w:val="dashSmallGap" w:sz="4" w:space="0" w:color="auto"/>
              <w:right w:val="single" w:sz="18" w:space="0" w:color="auto"/>
            </w:tcBorders>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НСИ</w:t>
            </w:r>
          </w:p>
        </w:tc>
      </w:tr>
      <w:tr w:rsidR="00F25110" w:rsidRPr="00BD7BB1" w:rsidTr="006614F6">
        <w:trPr>
          <w:trHeight w:val="255"/>
        </w:trPr>
        <w:tc>
          <w:tcPr>
            <w:tcW w:w="564" w:type="dxa"/>
            <w:tcBorders>
              <w:top w:val="dashSmallGap" w:sz="4" w:space="0" w:color="auto"/>
              <w:left w:val="single" w:sz="18"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w:t>
            </w:r>
          </w:p>
        </w:tc>
        <w:tc>
          <w:tcPr>
            <w:tcW w:w="5107"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Дял на 30-34 годишните със завършено висше образование - %</w:t>
            </w:r>
          </w:p>
        </w:tc>
        <w:tc>
          <w:tcPr>
            <w:tcW w:w="1165" w:type="dxa"/>
            <w:gridSpan w:val="2"/>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24.3</w:t>
            </w:r>
          </w:p>
          <w:p w:rsidR="00F25110" w:rsidRPr="00BD7BB1" w:rsidRDefault="00F25110" w:rsidP="00F25110">
            <w:pPr>
              <w:spacing w:before="20" w:after="20" w:line="240" w:lineRule="auto"/>
              <w:jc w:val="center"/>
              <w:rPr>
                <w:rFonts w:ascii="Times New Roman" w:eastAsia="Times New Roman" w:hAnsi="Times New Roman"/>
                <w:i/>
                <w:color w:val="auto"/>
                <w:sz w:val="20"/>
                <w:lang w:val="bg-BG" w:eastAsia="bg-BG"/>
              </w:rPr>
            </w:pPr>
            <w:r w:rsidRPr="00BD7BB1">
              <w:rPr>
                <w:rFonts w:ascii="Times New Roman" w:eastAsia="Times New Roman" w:hAnsi="Times New Roman"/>
                <w:i/>
                <w:color w:val="auto"/>
                <w:sz w:val="20"/>
                <w:lang w:val="bg-BG" w:eastAsia="bg-BG"/>
              </w:rPr>
              <w:t>(2011г.)</w:t>
            </w:r>
          </w:p>
        </w:tc>
        <w:tc>
          <w:tcPr>
            <w:tcW w:w="977"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26</w:t>
            </w:r>
          </w:p>
        </w:tc>
        <w:tc>
          <w:tcPr>
            <w:tcW w:w="835" w:type="dxa"/>
            <w:tcBorders>
              <w:top w:val="dashSmallGap" w:sz="4" w:space="0" w:color="auto"/>
              <w:left w:val="dashSmallGap" w:sz="4" w:space="0" w:color="auto"/>
              <w:bottom w:val="dashSmallGap" w:sz="4"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32</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rsidR="00F25110" w:rsidRPr="00BD7BB1" w:rsidRDefault="00F25110" w:rsidP="00F25110">
            <w:pPr>
              <w:spacing w:after="120" w:line="360" w:lineRule="auto"/>
              <w:jc w:val="center"/>
              <w:rPr>
                <w:rFonts w:ascii="Times New Roman" w:eastAsia="Calibri" w:hAnsi="Times New Roman"/>
                <w:color w:val="auto"/>
                <w:sz w:val="20"/>
                <w:szCs w:val="22"/>
                <w:lang w:val="bg-BG"/>
              </w:rPr>
            </w:pPr>
            <w:r w:rsidRPr="00BD7BB1">
              <w:rPr>
                <w:rFonts w:ascii="Times New Roman" w:eastAsia="Calibri" w:hAnsi="Times New Roman"/>
                <w:color w:val="auto"/>
                <w:sz w:val="20"/>
                <w:szCs w:val="22"/>
                <w:lang w:val="bg-BG"/>
              </w:rPr>
              <w:t xml:space="preserve">29,4 % </w:t>
            </w:r>
          </w:p>
          <w:p w:rsidR="00F25110" w:rsidRPr="00BD7BB1" w:rsidRDefault="00F25110" w:rsidP="00F25110">
            <w:pPr>
              <w:spacing w:after="120" w:line="360" w:lineRule="auto"/>
              <w:jc w:val="center"/>
              <w:rPr>
                <w:rFonts w:ascii="Times New Roman" w:eastAsia="Calibri" w:hAnsi="Times New Roman"/>
                <w:color w:val="auto"/>
                <w:sz w:val="20"/>
                <w:szCs w:val="22"/>
                <w:lang w:val="bg-BG"/>
              </w:rPr>
            </w:pPr>
            <w:r w:rsidRPr="00BD7BB1">
              <w:rPr>
                <w:rFonts w:ascii="Times New Roman" w:eastAsia="Calibri" w:hAnsi="Times New Roman"/>
                <w:color w:val="auto"/>
                <w:sz w:val="20"/>
                <w:szCs w:val="22"/>
                <w:lang w:val="bg-BG"/>
              </w:rPr>
              <w:t xml:space="preserve">в страната </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color w:val="auto"/>
                <w:sz w:val="20"/>
                <w:szCs w:val="22"/>
                <w:lang w:val="bg-BG"/>
              </w:rPr>
              <w:t>(2013 г. )</w:t>
            </w:r>
          </w:p>
        </w:tc>
        <w:tc>
          <w:tcPr>
            <w:tcW w:w="1134" w:type="dxa"/>
            <w:tcBorders>
              <w:top w:val="dashSmallGap" w:sz="4" w:space="0" w:color="auto"/>
              <w:left w:val="dashSmallGap" w:sz="4" w:space="0" w:color="auto"/>
              <w:bottom w:val="dashSmallGap" w:sz="4" w:space="0" w:color="auto"/>
              <w:right w:val="single" w:sz="18" w:space="0" w:color="auto"/>
            </w:tcBorders>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НСИ</w:t>
            </w:r>
          </w:p>
        </w:tc>
      </w:tr>
      <w:tr w:rsidR="00F25110" w:rsidRPr="00BD7BB1" w:rsidTr="006614F6">
        <w:trPr>
          <w:trHeight w:val="255"/>
        </w:trPr>
        <w:tc>
          <w:tcPr>
            <w:tcW w:w="564" w:type="dxa"/>
            <w:tcBorders>
              <w:top w:val="dashSmallGap" w:sz="4" w:space="0" w:color="auto"/>
              <w:left w:val="single" w:sz="18" w:space="0" w:color="auto"/>
              <w:bottom w:val="single" w:sz="18"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w:t>
            </w:r>
          </w:p>
        </w:tc>
        <w:tc>
          <w:tcPr>
            <w:tcW w:w="5107" w:type="dxa"/>
            <w:tcBorders>
              <w:top w:val="dashSmallGap" w:sz="4" w:space="0" w:color="auto"/>
              <w:left w:val="dashSmallGap" w:sz="4" w:space="0" w:color="auto"/>
              <w:bottom w:val="single" w:sz="18" w:space="0" w:color="auto"/>
              <w:right w:val="dashSmallGap" w:sz="4" w:space="0" w:color="auto"/>
            </w:tcBorders>
            <w:vAlign w:val="center"/>
          </w:tcPr>
          <w:p w:rsidR="00F25110" w:rsidRPr="00BD7BB1" w:rsidRDefault="00F25110" w:rsidP="00F25110">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Население в риск от бедност или социално изключване – хил. души</w:t>
            </w:r>
          </w:p>
        </w:tc>
        <w:tc>
          <w:tcPr>
            <w:tcW w:w="1165" w:type="dxa"/>
            <w:gridSpan w:val="2"/>
            <w:tcBorders>
              <w:top w:val="dashSmallGap" w:sz="4" w:space="0" w:color="auto"/>
              <w:left w:val="dashSmallGap" w:sz="4" w:space="0" w:color="auto"/>
              <w:bottom w:val="single" w:sz="18"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590,8</w:t>
            </w:r>
          </w:p>
          <w:p w:rsidR="00F25110" w:rsidRPr="00BD7BB1" w:rsidRDefault="00F25110" w:rsidP="00F25110">
            <w:pPr>
              <w:spacing w:before="20" w:after="20" w:line="240" w:lineRule="auto"/>
              <w:jc w:val="center"/>
              <w:rPr>
                <w:rFonts w:ascii="Times New Roman" w:eastAsia="Times New Roman" w:hAnsi="Times New Roman"/>
                <w:i/>
                <w:color w:val="auto"/>
                <w:sz w:val="20"/>
                <w:lang w:val="bg-BG" w:eastAsia="bg-BG"/>
              </w:rPr>
            </w:pPr>
            <w:r w:rsidRPr="00BD7BB1">
              <w:rPr>
                <w:rFonts w:ascii="Times New Roman" w:eastAsia="Times New Roman" w:hAnsi="Times New Roman"/>
                <w:i/>
                <w:color w:val="auto"/>
                <w:sz w:val="20"/>
                <w:lang w:val="bg-BG" w:eastAsia="bg-BG"/>
              </w:rPr>
              <w:t>(2010г.)</w:t>
            </w:r>
          </w:p>
        </w:tc>
        <w:tc>
          <w:tcPr>
            <w:tcW w:w="977" w:type="dxa"/>
            <w:tcBorders>
              <w:top w:val="dashSmallGap" w:sz="4" w:space="0" w:color="auto"/>
              <w:left w:val="dashSmallGap" w:sz="4" w:space="0" w:color="auto"/>
              <w:bottom w:val="single" w:sz="18" w:space="0" w:color="auto"/>
              <w:right w:val="dashSmallGap" w:sz="4" w:space="0" w:color="auto"/>
            </w:tcBorders>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569.5</w:t>
            </w:r>
          </w:p>
        </w:tc>
        <w:tc>
          <w:tcPr>
            <w:tcW w:w="835" w:type="dxa"/>
            <w:tcBorders>
              <w:top w:val="dashSmallGap" w:sz="4" w:space="0" w:color="auto"/>
              <w:left w:val="dashSmallGap" w:sz="4" w:space="0" w:color="auto"/>
              <w:bottom w:val="single" w:sz="18" w:space="0" w:color="auto"/>
              <w:right w:val="dashSmallGap" w:sz="4" w:space="0" w:color="auto"/>
            </w:tcBorders>
            <w:noWrap/>
            <w:vAlign w:val="center"/>
          </w:tcPr>
          <w:p w:rsidR="00F25110" w:rsidRPr="00BD7BB1" w:rsidRDefault="00F25110" w:rsidP="00F25110">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535,9</w:t>
            </w:r>
          </w:p>
        </w:tc>
        <w:tc>
          <w:tcPr>
            <w:tcW w:w="1559" w:type="dxa"/>
            <w:tcBorders>
              <w:top w:val="dashSmallGap" w:sz="4" w:space="0" w:color="auto"/>
              <w:left w:val="dashSmallGap" w:sz="4" w:space="0" w:color="auto"/>
              <w:bottom w:val="single" w:sz="18" w:space="0" w:color="auto"/>
              <w:right w:val="dashSmallGap" w:sz="4" w:space="0" w:color="auto"/>
            </w:tcBorders>
            <w:vAlign w:val="center"/>
          </w:tcPr>
          <w:p w:rsidR="00F25110" w:rsidRPr="00BD7BB1" w:rsidRDefault="00F25110" w:rsidP="00F25110">
            <w:pPr>
              <w:spacing w:after="120" w:line="360" w:lineRule="auto"/>
              <w:jc w:val="center"/>
              <w:rPr>
                <w:rFonts w:ascii="Times New Roman" w:eastAsia="Calibri" w:hAnsi="Times New Roman"/>
                <w:color w:val="auto"/>
                <w:sz w:val="20"/>
                <w:szCs w:val="22"/>
                <w:lang w:val="bg-BG"/>
              </w:rPr>
            </w:pPr>
            <w:r w:rsidRPr="00BD7BB1">
              <w:rPr>
                <w:rFonts w:ascii="Times New Roman" w:eastAsia="Calibri" w:hAnsi="Times New Roman"/>
                <w:color w:val="auto"/>
                <w:sz w:val="20"/>
                <w:szCs w:val="22"/>
                <w:lang w:val="bg-BG"/>
              </w:rPr>
              <w:t xml:space="preserve">542,3 хил. души </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color w:val="auto"/>
                <w:sz w:val="20"/>
                <w:szCs w:val="22"/>
                <w:lang w:val="bg-BG"/>
              </w:rPr>
              <w:t>(2013 г. )</w:t>
            </w:r>
          </w:p>
        </w:tc>
        <w:tc>
          <w:tcPr>
            <w:tcW w:w="1134" w:type="dxa"/>
            <w:tcBorders>
              <w:top w:val="dashSmallGap" w:sz="4" w:space="0" w:color="auto"/>
              <w:left w:val="dashSmallGap" w:sz="4" w:space="0" w:color="auto"/>
              <w:bottom w:val="single" w:sz="18" w:space="0" w:color="auto"/>
              <w:right w:val="single" w:sz="18" w:space="0" w:color="auto"/>
            </w:tcBorders>
          </w:tcPr>
          <w:p w:rsidR="00F25110" w:rsidRPr="00BD7BB1" w:rsidRDefault="00F25110" w:rsidP="00F25110">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НСИ</w:t>
            </w:r>
          </w:p>
        </w:tc>
      </w:tr>
    </w:tbl>
    <w:p w:rsidR="00F25110" w:rsidRPr="00BD7BB1" w:rsidRDefault="00F25110" w:rsidP="00F25110">
      <w:pPr>
        <w:spacing w:after="0"/>
        <w:contextualSpacing/>
        <w:jc w:val="both"/>
        <w:rPr>
          <w:rFonts w:ascii="Times New Roman" w:eastAsia="Times New Roman" w:hAnsi="Times New Roman"/>
          <w:i/>
          <w:color w:val="auto"/>
          <w:szCs w:val="22"/>
          <w:lang w:val="bg-BG" w:eastAsia="bg-BG"/>
        </w:rPr>
      </w:pPr>
    </w:p>
    <w:p w:rsidR="00F25110" w:rsidRPr="00BD7BB1" w:rsidRDefault="00F25110" w:rsidP="00F25110">
      <w:pPr>
        <w:spacing w:after="0"/>
        <w:contextualSpacing/>
        <w:jc w:val="both"/>
        <w:rPr>
          <w:rFonts w:ascii="Times New Roman" w:eastAsia="Times New Roman" w:hAnsi="Times New Roman"/>
          <w:i/>
          <w:color w:val="auto"/>
          <w:szCs w:val="22"/>
          <w:lang w:val="bg-BG" w:eastAsia="bg-BG"/>
        </w:rPr>
      </w:pPr>
    </w:p>
    <w:p w:rsidR="00F25110" w:rsidRPr="00755E49" w:rsidRDefault="00F25110" w:rsidP="00F25110">
      <w:pPr>
        <w:spacing w:after="0"/>
        <w:contextualSpacing/>
        <w:jc w:val="both"/>
        <w:rPr>
          <w:rFonts w:ascii="Times New Roman" w:eastAsia="Times New Roman" w:hAnsi="Times New Roman"/>
          <w:b/>
          <w:i/>
          <w:color w:val="9B2D1F" w:themeColor="accent2"/>
          <w:szCs w:val="22"/>
          <w:lang w:val="bg-BG" w:eastAsia="bg-BG"/>
        </w:rPr>
      </w:pPr>
      <w:r w:rsidRPr="00755E49">
        <w:rPr>
          <w:rFonts w:ascii="Times New Roman" w:eastAsia="Times New Roman" w:hAnsi="Times New Roman"/>
          <w:b/>
          <w:i/>
          <w:color w:val="9B2D1F" w:themeColor="accent2"/>
          <w:szCs w:val="22"/>
          <w:lang w:val="bg-BG" w:eastAsia="bg-BG"/>
        </w:rPr>
        <w:t xml:space="preserve">Таблица </w:t>
      </w:r>
      <w:r w:rsidR="00755E49" w:rsidRPr="00755E49">
        <w:rPr>
          <w:rFonts w:ascii="Times New Roman" w:eastAsia="Times New Roman" w:hAnsi="Times New Roman"/>
          <w:b/>
          <w:i/>
          <w:color w:val="9B2D1F" w:themeColor="accent2"/>
          <w:szCs w:val="22"/>
          <w:lang w:val="bg-BG" w:eastAsia="bg-BG"/>
        </w:rPr>
        <w:t>16</w:t>
      </w:r>
      <w:r w:rsidRPr="00755E49">
        <w:rPr>
          <w:rFonts w:ascii="Times New Roman" w:eastAsia="Times New Roman" w:hAnsi="Times New Roman"/>
          <w:b/>
          <w:i/>
          <w:color w:val="9B2D1F" w:themeColor="accent2"/>
          <w:szCs w:val="22"/>
          <w:lang w:val="bg-BG" w:eastAsia="bg-BG"/>
        </w:rPr>
        <w:t>. Специфични индикатори за наблюдение изпълнението на Регионалния план за развитие на Югоизточен район за периода 2014-2020 г.</w:t>
      </w:r>
    </w:p>
    <w:p w:rsidR="00F25110" w:rsidRPr="00755E49" w:rsidRDefault="00F25110" w:rsidP="00F25110">
      <w:pPr>
        <w:spacing w:after="0"/>
        <w:ind w:firstLine="708"/>
        <w:contextualSpacing/>
        <w:jc w:val="both"/>
        <w:outlineLvl w:val="0"/>
        <w:rPr>
          <w:rFonts w:ascii="Times New Roman" w:eastAsia="Times New Roman" w:hAnsi="Times New Roman"/>
          <w:b/>
          <w:color w:val="9B2D1F" w:themeColor="accent2"/>
          <w:sz w:val="24"/>
          <w:szCs w:val="24"/>
          <w:lang w:val="bg-BG" w:eastAsia="bg-BG"/>
        </w:rPr>
      </w:pPr>
    </w:p>
    <w:tbl>
      <w:tblPr>
        <w:tblW w:w="11483" w:type="dxa"/>
        <w:tblInd w:w="-88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08"/>
        <w:gridCol w:w="3846"/>
        <w:gridCol w:w="141"/>
        <w:gridCol w:w="993"/>
        <w:gridCol w:w="1275"/>
        <w:gridCol w:w="993"/>
        <w:gridCol w:w="2379"/>
        <w:gridCol w:w="30"/>
        <w:gridCol w:w="284"/>
        <w:gridCol w:w="1134"/>
      </w:tblGrid>
      <w:tr w:rsidR="00755E49" w:rsidRPr="00BD7BB1" w:rsidTr="00755E49">
        <w:trPr>
          <w:trHeight w:val="270"/>
        </w:trPr>
        <w:tc>
          <w:tcPr>
            <w:tcW w:w="408" w:type="dxa"/>
            <w:shd w:val="clear" w:color="auto" w:fill="F4B29B" w:themeFill="accent1" w:themeFillTint="66"/>
          </w:tcPr>
          <w:p w:rsidR="00F25110" w:rsidRPr="00BD7BB1" w:rsidRDefault="00F25110" w:rsidP="00F25110">
            <w:pPr>
              <w:spacing w:before="40" w:after="40" w:line="240" w:lineRule="auto"/>
              <w:jc w:val="center"/>
              <w:rPr>
                <w:rFonts w:ascii="Times New Roman" w:eastAsia="Calibri" w:hAnsi="Times New Roman"/>
                <w:b/>
                <w:bCs/>
                <w:color w:val="auto"/>
                <w:sz w:val="20"/>
                <w:lang w:val="bg-BG"/>
              </w:rPr>
            </w:pPr>
          </w:p>
        </w:tc>
        <w:tc>
          <w:tcPr>
            <w:tcW w:w="3846" w:type="dxa"/>
            <w:shd w:val="clear" w:color="auto" w:fill="F4B29B" w:themeFill="accent1" w:themeFillTint="66"/>
            <w:noWrap/>
          </w:tcPr>
          <w:p w:rsidR="00F25110" w:rsidRPr="00755E49" w:rsidRDefault="00F25110" w:rsidP="00F25110">
            <w:pPr>
              <w:spacing w:before="40" w:after="4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ИНДИКАТОРИ</w:t>
            </w:r>
          </w:p>
        </w:tc>
        <w:tc>
          <w:tcPr>
            <w:tcW w:w="3402" w:type="dxa"/>
            <w:gridSpan w:val="4"/>
            <w:shd w:val="clear" w:color="auto" w:fill="F4B29B" w:themeFill="accent1" w:themeFillTint="66"/>
          </w:tcPr>
          <w:p w:rsidR="00F25110" w:rsidRPr="00755E49" w:rsidRDefault="00F25110" w:rsidP="00F25110">
            <w:pPr>
              <w:spacing w:before="40" w:after="4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 xml:space="preserve">Стойности </w:t>
            </w:r>
          </w:p>
        </w:tc>
        <w:tc>
          <w:tcPr>
            <w:tcW w:w="2409" w:type="dxa"/>
            <w:gridSpan w:val="2"/>
            <w:vMerge w:val="restart"/>
            <w:shd w:val="clear" w:color="auto" w:fill="F4B29B" w:themeFill="accent1" w:themeFillTint="66"/>
          </w:tcPr>
          <w:p w:rsidR="00F25110" w:rsidRPr="00755E49" w:rsidRDefault="00F25110" w:rsidP="00F25110">
            <w:pPr>
              <w:spacing w:before="40" w:after="4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Изпълнение  към 31.12.2014г.</w:t>
            </w:r>
          </w:p>
        </w:tc>
        <w:tc>
          <w:tcPr>
            <w:tcW w:w="1418" w:type="dxa"/>
            <w:gridSpan w:val="2"/>
            <w:vMerge w:val="restart"/>
            <w:shd w:val="clear" w:color="auto" w:fill="F4B29B" w:themeFill="accent1" w:themeFillTint="66"/>
          </w:tcPr>
          <w:p w:rsidR="00F25110" w:rsidRPr="00755E49" w:rsidRDefault="00F25110" w:rsidP="00F25110">
            <w:pPr>
              <w:spacing w:before="40" w:after="40" w:line="240" w:lineRule="auto"/>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Източник на информация</w:t>
            </w:r>
          </w:p>
        </w:tc>
      </w:tr>
      <w:tr w:rsidR="00755E49" w:rsidRPr="00BD7BB1" w:rsidTr="00755E49">
        <w:trPr>
          <w:trHeight w:val="270"/>
        </w:trPr>
        <w:tc>
          <w:tcPr>
            <w:tcW w:w="408" w:type="dxa"/>
            <w:shd w:val="clear" w:color="auto" w:fill="F4B29B" w:themeFill="accent1" w:themeFillTint="66"/>
            <w:noWrap/>
          </w:tcPr>
          <w:p w:rsidR="00F25110" w:rsidRPr="00755E49" w:rsidRDefault="00F25110" w:rsidP="00F25110">
            <w:pPr>
              <w:spacing w:before="40" w:after="40" w:line="240" w:lineRule="auto"/>
              <w:jc w:val="center"/>
              <w:rPr>
                <w:rFonts w:ascii="Times New Roman" w:eastAsia="Calibri" w:hAnsi="Times New Roman"/>
                <w:color w:val="9B2D1F" w:themeColor="accent2"/>
                <w:sz w:val="20"/>
                <w:lang w:val="bg-BG"/>
              </w:rPr>
            </w:pPr>
          </w:p>
        </w:tc>
        <w:tc>
          <w:tcPr>
            <w:tcW w:w="3846" w:type="dxa"/>
            <w:shd w:val="clear" w:color="auto" w:fill="F4B29B" w:themeFill="accent1" w:themeFillTint="66"/>
            <w:noWrap/>
          </w:tcPr>
          <w:p w:rsidR="00F25110" w:rsidRPr="00755E49" w:rsidRDefault="00F25110" w:rsidP="00F25110">
            <w:pPr>
              <w:spacing w:before="40" w:after="4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СПЕЦИФИЧНИ ИНДИКАТОРИ ЗА РЕЗУЛТАТ</w:t>
            </w:r>
          </w:p>
        </w:tc>
        <w:tc>
          <w:tcPr>
            <w:tcW w:w="1134" w:type="dxa"/>
            <w:gridSpan w:val="2"/>
            <w:shd w:val="clear" w:color="auto" w:fill="F4B29B" w:themeFill="accent1" w:themeFillTint="66"/>
            <w:noWrap/>
          </w:tcPr>
          <w:p w:rsidR="00F25110" w:rsidRPr="00755E49" w:rsidRDefault="00F25110" w:rsidP="00F25110">
            <w:pPr>
              <w:spacing w:before="40" w:after="4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Изходни</w:t>
            </w:r>
          </w:p>
        </w:tc>
        <w:tc>
          <w:tcPr>
            <w:tcW w:w="1275" w:type="dxa"/>
            <w:shd w:val="clear" w:color="auto" w:fill="F4B29B" w:themeFill="accent1" w:themeFillTint="66"/>
          </w:tcPr>
          <w:p w:rsidR="00F25110" w:rsidRPr="00755E49" w:rsidRDefault="00F25110" w:rsidP="00F25110">
            <w:pPr>
              <w:spacing w:after="0" w:line="240" w:lineRule="auto"/>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Междинни           (2015)</w:t>
            </w:r>
          </w:p>
        </w:tc>
        <w:tc>
          <w:tcPr>
            <w:tcW w:w="993" w:type="dxa"/>
            <w:shd w:val="clear" w:color="auto" w:fill="F4B29B" w:themeFill="accent1" w:themeFillTint="66"/>
            <w:noWrap/>
          </w:tcPr>
          <w:p w:rsidR="00F25110" w:rsidRPr="00755E49" w:rsidRDefault="00F25110" w:rsidP="00F25110">
            <w:pPr>
              <w:spacing w:before="40" w:after="40" w:line="240" w:lineRule="auto"/>
              <w:jc w:val="center"/>
              <w:rPr>
                <w:rFonts w:ascii="Times New Roman" w:eastAsia="Calibri" w:hAnsi="Times New Roman"/>
                <w:b/>
                <w:bCs/>
                <w:color w:val="9B2D1F" w:themeColor="accent2"/>
                <w:sz w:val="20"/>
                <w:lang w:val="bg-BG"/>
              </w:rPr>
            </w:pPr>
            <w:r w:rsidRPr="00755E49">
              <w:rPr>
                <w:rFonts w:ascii="Times New Roman" w:eastAsia="Calibri" w:hAnsi="Times New Roman"/>
                <w:b/>
                <w:bCs/>
                <w:color w:val="9B2D1F" w:themeColor="accent2"/>
                <w:sz w:val="20"/>
                <w:lang w:val="bg-BG"/>
              </w:rPr>
              <w:t>Целеви (2020)</w:t>
            </w:r>
          </w:p>
        </w:tc>
        <w:tc>
          <w:tcPr>
            <w:tcW w:w="2409" w:type="dxa"/>
            <w:gridSpan w:val="2"/>
            <w:vMerge/>
            <w:shd w:val="clear" w:color="auto" w:fill="F79646"/>
          </w:tcPr>
          <w:p w:rsidR="00F25110" w:rsidRPr="00BD7BB1" w:rsidRDefault="00F25110" w:rsidP="00F25110">
            <w:pPr>
              <w:spacing w:after="0" w:line="240" w:lineRule="auto"/>
              <w:jc w:val="center"/>
              <w:rPr>
                <w:rFonts w:ascii="Times New Roman" w:eastAsia="Calibri" w:hAnsi="Times New Roman"/>
                <w:b/>
                <w:bCs/>
                <w:color w:val="auto"/>
                <w:sz w:val="20"/>
                <w:lang w:val="bg-BG"/>
              </w:rPr>
            </w:pPr>
          </w:p>
        </w:tc>
        <w:tc>
          <w:tcPr>
            <w:tcW w:w="1418" w:type="dxa"/>
            <w:gridSpan w:val="2"/>
            <w:vMerge/>
            <w:shd w:val="clear" w:color="auto" w:fill="F79646"/>
          </w:tcPr>
          <w:p w:rsidR="00F25110" w:rsidRPr="00BD7BB1" w:rsidRDefault="00F25110" w:rsidP="00F25110">
            <w:pPr>
              <w:spacing w:after="0" w:line="240" w:lineRule="auto"/>
              <w:jc w:val="center"/>
              <w:rPr>
                <w:rFonts w:ascii="Times New Roman" w:eastAsia="Calibri" w:hAnsi="Times New Roman"/>
                <w:b/>
                <w:bCs/>
                <w:color w:val="auto"/>
                <w:sz w:val="20"/>
                <w:lang w:val="bg-BG"/>
              </w:rPr>
            </w:pPr>
          </w:p>
        </w:tc>
      </w:tr>
      <w:tr w:rsidR="00755E49" w:rsidRPr="00BD7BB1" w:rsidTr="00755E49">
        <w:trPr>
          <w:trHeight w:val="270"/>
        </w:trPr>
        <w:tc>
          <w:tcPr>
            <w:tcW w:w="11483" w:type="dxa"/>
            <w:gridSpan w:val="10"/>
            <w:shd w:val="clear" w:color="auto" w:fill="F4B29B" w:themeFill="accent1" w:themeFillTint="66"/>
          </w:tcPr>
          <w:p w:rsidR="00F25110" w:rsidRPr="00755E49" w:rsidRDefault="00F25110" w:rsidP="00F25110">
            <w:pPr>
              <w:spacing w:before="40" w:after="40" w:line="240" w:lineRule="auto"/>
              <w:jc w:val="center"/>
              <w:rPr>
                <w:rFonts w:ascii="Times New Roman" w:eastAsia="Times New Roman" w:hAnsi="Times New Roman"/>
                <w:b/>
                <w:color w:val="9B2D1F" w:themeColor="accent2"/>
                <w:sz w:val="20"/>
                <w:lang w:val="bg-BG" w:eastAsia="bg-BG"/>
              </w:rPr>
            </w:pPr>
            <w:r w:rsidRPr="00755E49">
              <w:rPr>
                <w:rFonts w:ascii="Times New Roman" w:eastAsia="Times New Roman" w:hAnsi="Times New Roman"/>
                <w:b/>
                <w:color w:val="9B2D1F" w:themeColor="accent2"/>
                <w:sz w:val="20"/>
                <w:lang w:val="bg-B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tc>
      </w:tr>
      <w:tr w:rsidR="00755E49" w:rsidRPr="00BD7BB1" w:rsidTr="00755E49">
        <w:trPr>
          <w:trHeight w:val="270"/>
        </w:trPr>
        <w:tc>
          <w:tcPr>
            <w:tcW w:w="11483" w:type="dxa"/>
            <w:gridSpan w:val="10"/>
            <w:shd w:val="clear" w:color="auto" w:fill="F4B29B" w:themeFill="accent1" w:themeFillTint="66"/>
          </w:tcPr>
          <w:p w:rsidR="00F25110" w:rsidRPr="00755E49" w:rsidRDefault="00F25110" w:rsidP="00F25110">
            <w:pPr>
              <w:spacing w:before="40" w:after="40" w:line="240" w:lineRule="auto"/>
              <w:jc w:val="center"/>
              <w:rPr>
                <w:rFonts w:ascii="Times New Roman" w:eastAsia="Times New Roman" w:hAnsi="Times New Roman"/>
                <w:b/>
                <w:color w:val="9B2D1F" w:themeColor="accent2"/>
                <w:sz w:val="20"/>
                <w:lang w:val="bg-BG" w:eastAsia="bg-BG"/>
              </w:rPr>
            </w:pPr>
            <w:r w:rsidRPr="00755E49">
              <w:rPr>
                <w:rFonts w:ascii="Times New Roman" w:eastAsia="Times New Roman" w:hAnsi="Times New Roman"/>
                <w:b/>
                <w:color w:val="9B2D1F" w:themeColor="accent2"/>
                <w:sz w:val="20"/>
                <w:lang w:val="bg-BG" w:eastAsia="bg-BG"/>
              </w:rPr>
              <w:t>Приоритет</w:t>
            </w:r>
            <w:r w:rsidRPr="00755E49">
              <w:rPr>
                <w:rFonts w:ascii="Times New Roman" w:eastAsia="Times New Roman" w:hAnsi="Times New Roman"/>
                <w:color w:val="9B2D1F" w:themeColor="accent2"/>
                <w:sz w:val="20"/>
                <w:lang w:val="bg-BG" w:eastAsia="bg-BG"/>
              </w:rPr>
              <w:t xml:space="preserve"> </w:t>
            </w:r>
            <w:r w:rsidRPr="00755E49">
              <w:rPr>
                <w:rFonts w:ascii="Times New Roman" w:eastAsia="Times New Roman" w:hAnsi="Times New Roman"/>
                <w:b/>
                <w:color w:val="9B2D1F" w:themeColor="accent2"/>
                <w:sz w:val="20"/>
                <w:lang w:val="bg-BG" w:eastAsia="bg-BG"/>
              </w:rPr>
              <w:t>1.</w:t>
            </w:r>
            <w:r w:rsidRPr="00755E49">
              <w:rPr>
                <w:rFonts w:ascii="Times New Roman" w:eastAsia="Times New Roman" w:hAnsi="Times New Roman"/>
                <w:color w:val="9B2D1F" w:themeColor="accent2"/>
                <w:sz w:val="20"/>
                <w:lang w:val="bg-BG" w:eastAsia="bg-BG"/>
              </w:rPr>
              <w:t xml:space="preserve"> </w:t>
            </w:r>
            <w:r w:rsidRPr="00755E49">
              <w:rPr>
                <w:rFonts w:ascii="Times New Roman" w:eastAsia="Times New Roman" w:hAnsi="Times New Roman"/>
                <w:b/>
                <w:color w:val="9B2D1F" w:themeColor="accent2"/>
                <w:sz w:val="20"/>
                <w:lang w:val="bg-BG" w:eastAsia="bg-BG"/>
              </w:rPr>
              <w:t>Повишаване конкурентоспособността на регионалната икономика и подкрепа за малкия и средния бизнес в Югоизточен район.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Приходи от дейността на МСП, в млн. лв.</w:t>
            </w:r>
          </w:p>
        </w:tc>
        <w:tc>
          <w:tcPr>
            <w:tcW w:w="1134"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17 265</w:t>
            </w:r>
          </w:p>
          <w:p w:rsidR="00F25110" w:rsidRPr="00BD7BB1" w:rsidRDefault="00F25110" w:rsidP="00F25110">
            <w:pPr>
              <w:spacing w:after="120"/>
              <w:contextualSpacing/>
              <w:jc w:val="center"/>
              <w:rPr>
                <w:rFonts w:ascii="Times New Roman" w:eastAsia="Calibri" w:hAnsi="Times New Roman"/>
                <w:i/>
                <w:color w:val="auto"/>
                <w:sz w:val="20"/>
                <w:lang w:val="bg-BG"/>
              </w:rPr>
            </w:pPr>
            <w:r w:rsidRPr="00BD7BB1">
              <w:rPr>
                <w:rFonts w:ascii="Times New Roman" w:eastAsia="Calibri" w:hAnsi="Times New Roman"/>
                <w:bCs/>
                <w:i/>
                <w:color w:val="auto"/>
                <w:sz w:val="20"/>
                <w:lang w:val="bg-BG"/>
              </w:rPr>
              <w:t>(2010 г. )</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23 600</w:t>
            </w:r>
          </w:p>
        </w:tc>
        <w:tc>
          <w:tcPr>
            <w:tcW w:w="993"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30 000</w:t>
            </w:r>
          </w:p>
        </w:tc>
        <w:tc>
          <w:tcPr>
            <w:tcW w:w="2693" w:type="dxa"/>
            <w:gridSpan w:val="3"/>
            <w:shd w:val="clear" w:color="auto" w:fill="auto"/>
            <w:vAlign w:val="center"/>
          </w:tcPr>
          <w:p w:rsidR="00F25110" w:rsidRPr="00BD7BB1" w:rsidRDefault="00F25110" w:rsidP="00F25110">
            <w:pPr>
              <w:spacing w:after="120"/>
              <w:rPr>
                <w:rFonts w:ascii="Times New Roman" w:eastAsia="Calibri" w:hAnsi="Times New Roman"/>
                <w:b/>
                <w:color w:val="auto"/>
                <w:sz w:val="20"/>
                <w:lang w:val="bg-BG"/>
              </w:rPr>
            </w:pPr>
            <w:r w:rsidRPr="00BD7BB1">
              <w:rPr>
                <w:rFonts w:ascii="Times New Roman" w:eastAsia="Calibri" w:hAnsi="Times New Roman"/>
                <w:b/>
                <w:color w:val="auto"/>
                <w:sz w:val="20"/>
                <w:lang w:val="bg-BG"/>
              </w:rPr>
              <w:t xml:space="preserve">                 20 311</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color w:val="auto"/>
                <w:sz w:val="20"/>
                <w:lang w:val="bg-BG"/>
              </w:rPr>
              <w:t>Приходите от дейността   на микрофирмите  и  МСП през 2013г.  нарастват с 17,6% спрямо  годишна база  2010г. и достигат стойност  от  20 311 млн.лв.</w:t>
            </w: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Относителен дял на заетите лица в МСП спрямо общия им брой в страната, в %</w:t>
            </w:r>
          </w:p>
        </w:tc>
        <w:tc>
          <w:tcPr>
            <w:tcW w:w="1134"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13.20</w:t>
            </w:r>
          </w:p>
          <w:p w:rsidR="00F25110" w:rsidRPr="00BD7BB1" w:rsidRDefault="00F25110" w:rsidP="00F25110">
            <w:pPr>
              <w:spacing w:after="120"/>
              <w:contextualSpacing/>
              <w:jc w:val="center"/>
              <w:rPr>
                <w:rFonts w:ascii="Times New Roman" w:eastAsia="Calibri" w:hAnsi="Times New Roman"/>
                <w:i/>
                <w:color w:val="auto"/>
                <w:sz w:val="20"/>
                <w:lang w:val="bg-BG"/>
              </w:rPr>
            </w:pPr>
            <w:r w:rsidRPr="00BD7BB1">
              <w:rPr>
                <w:rFonts w:ascii="Times New Roman" w:eastAsia="Calibri" w:hAnsi="Times New Roman"/>
                <w:i/>
                <w:color w:val="auto"/>
                <w:sz w:val="20"/>
                <w:lang w:val="bg-BG"/>
              </w:rPr>
              <w:t>(2010 г. )</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13.10</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13.00</w:t>
            </w:r>
          </w:p>
        </w:tc>
        <w:tc>
          <w:tcPr>
            <w:tcW w:w="2693" w:type="dxa"/>
            <w:gridSpan w:val="3"/>
            <w:shd w:val="clear" w:color="auto" w:fill="auto"/>
            <w:vAlign w:val="center"/>
          </w:tcPr>
          <w:p w:rsidR="00F25110" w:rsidRPr="00BD7BB1" w:rsidRDefault="00F25110" w:rsidP="00F25110">
            <w:pPr>
              <w:tabs>
                <w:tab w:val="left" w:pos="555"/>
                <w:tab w:val="center" w:pos="1096"/>
              </w:tabs>
              <w:spacing w:after="120"/>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13.5</w:t>
            </w:r>
          </w:p>
          <w:p w:rsidR="00F25110" w:rsidRPr="00BD7BB1" w:rsidRDefault="00F25110" w:rsidP="00F25110">
            <w:pPr>
              <w:tabs>
                <w:tab w:val="left" w:pos="555"/>
                <w:tab w:val="center" w:pos="1096"/>
              </w:tabs>
              <w:spacing w:after="120"/>
              <w:jc w:val="both"/>
              <w:rPr>
                <w:rFonts w:ascii="Times New Roman" w:eastAsia="Calibri" w:hAnsi="Times New Roman"/>
                <w:color w:val="auto"/>
                <w:sz w:val="20"/>
                <w:lang w:val="bg-BG"/>
              </w:rPr>
            </w:pPr>
            <w:r w:rsidRPr="00BD7BB1">
              <w:rPr>
                <w:rFonts w:ascii="Times New Roman" w:eastAsia="Calibri" w:hAnsi="Times New Roman"/>
                <w:color w:val="auto"/>
                <w:sz w:val="20"/>
                <w:lang w:val="bg-BG"/>
              </w:rPr>
              <w:t>Броят на заетите лица в МСП за 2013г. в ЮИР възлиза на  208 080 души от 1 540 495 души за страната. Делът на заетите лица в МСП нараства с 0,3 % за периода 2010-2013г.</w:t>
            </w:r>
          </w:p>
          <w:p w:rsidR="00F25110" w:rsidRPr="00BD7BB1" w:rsidRDefault="00F25110" w:rsidP="00F25110">
            <w:pPr>
              <w:tabs>
                <w:tab w:val="left" w:pos="555"/>
                <w:tab w:val="center" w:pos="1096"/>
              </w:tabs>
              <w:spacing w:after="120"/>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p>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Нарастване на преките чуждестранни инвестиции в нефинансовите предприятия, в %</w:t>
            </w:r>
          </w:p>
          <w:p w:rsidR="00F25110" w:rsidRPr="00BD7BB1" w:rsidRDefault="00F25110" w:rsidP="00F25110">
            <w:pPr>
              <w:spacing w:after="120"/>
              <w:contextualSpacing/>
              <w:rPr>
                <w:rFonts w:ascii="Times New Roman" w:eastAsia="Calibri" w:hAnsi="Times New Roman"/>
                <w:bCs/>
                <w:color w:val="auto"/>
                <w:sz w:val="20"/>
                <w:lang w:val="bg-BG"/>
              </w:rPr>
            </w:pPr>
          </w:p>
        </w:tc>
        <w:tc>
          <w:tcPr>
            <w:tcW w:w="1134"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15</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30</w:t>
            </w:r>
          </w:p>
        </w:tc>
        <w:tc>
          <w:tcPr>
            <w:tcW w:w="2693" w:type="dxa"/>
            <w:gridSpan w:val="3"/>
            <w:shd w:val="clear" w:color="auto" w:fill="auto"/>
            <w:vAlign w:val="center"/>
          </w:tcPr>
          <w:p w:rsidR="00F25110" w:rsidRPr="00BD7BB1" w:rsidRDefault="00F25110" w:rsidP="00F25110">
            <w:pPr>
              <w:spacing w:after="120"/>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24</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color w:val="auto"/>
                <w:sz w:val="20"/>
                <w:lang w:val="bg-BG"/>
              </w:rPr>
              <w:t>През 2013г. в ЮИР размерът на  ПЧИ в нефинансовите предприятия е  3 385 949 хил.евро с 24% повече в сравнение с 2010г. (2 728 916 хил.евро)</w:t>
            </w: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 БНБ</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Изградени и/ли обновени технопаркове, бизнесинкубатори и индустриални зони, в бр.</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w:t>
            </w:r>
          </w:p>
        </w:tc>
        <w:tc>
          <w:tcPr>
            <w:tcW w:w="993" w:type="dxa"/>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w:t>
            </w:r>
          </w:p>
        </w:tc>
        <w:tc>
          <w:tcPr>
            <w:tcW w:w="2693" w:type="dxa"/>
            <w:gridSpan w:val="3"/>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Cs/>
                <w:color w:val="auto"/>
                <w:sz w:val="20"/>
                <w:lang w:val="bg-BG"/>
              </w:rPr>
              <w:t>2бр-бизнес инкубатори в Бургас  и  Казанлък и 3бр.  клъстера в областите Стара Загора, Бургас и Сливен</w:t>
            </w:r>
          </w:p>
        </w:tc>
        <w:tc>
          <w:tcPr>
            <w:tcW w:w="1134"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МИ, ИСУН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Персонал, зает с НИРД, в бр.</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1 402</w:t>
            </w: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i/>
                <w:color w:val="auto"/>
                <w:sz w:val="20"/>
                <w:lang w:val="bg-BG"/>
              </w:rPr>
              <w:t>(2010 г. )</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1 650</w:t>
            </w:r>
          </w:p>
        </w:tc>
        <w:tc>
          <w:tcPr>
            <w:tcW w:w="993" w:type="dxa"/>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1 900</w:t>
            </w:r>
          </w:p>
        </w:tc>
        <w:tc>
          <w:tcPr>
            <w:tcW w:w="2693" w:type="dxa"/>
            <w:gridSpan w:val="3"/>
            <w:shd w:val="clear" w:color="auto" w:fill="auto"/>
            <w:vAlign w:val="center"/>
          </w:tcPr>
          <w:p w:rsidR="00F25110" w:rsidRPr="00BD7BB1" w:rsidRDefault="00F25110" w:rsidP="00F25110">
            <w:pPr>
              <w:spacing w:after="120"/>
              <w:rPr>
                <w:rFonts w:ascii="Times New Roman" w:eastAsia="Calibri" w:hAnsi="Times New Roman"/>
                <w:b/>
                <w:color w:val="auto"/>
                <w:sz w:val="20"/>
                <w:lang w:val="bg-BG"/>
              </w:rPr>
            </w:pPr>
            <w:r w:rsidRPr="00BD7BB1">
              <w:rPr>
                <w:rFonts w:ascii="Times New Roman" w:eastAsia="Calibri" w:hAnsi="Times New Roman"/>
                <w:b/>
                <w:color w:val="auto"/>
                <w:sz w:val="20"/>
                <w:lang w:val="bg-BG"/>
              </w:rPr>
              <w:t xml:space="preserve">                    1552</w:t>
            </w:r>
          </w:p>
          <w:p w:rsidR="00F25110" w:rsidRPr="00BD7BB1" w:rsidRDefault="00F25110" w:rsidP="00F25110">
            <w:pPr>
              <w:spacing w:after="120"/>
              <w:jc w:val="both"/>
              <w:rPr>
                <w:rFonts w:ascii="Times New Roman" w:eastAsia="Calibri" w:hAnsi="Times New Roman"/>
                <w:color w:val="auto"/>
                <w:sz w:val="20"/>
                <w:lang w:val="bg-BG"/>
              </w:rPr>
            </w:pPr>
            <w:r w:rsidRPr="00BD7BB1">
              <w:rPr>
                <w:rFonts w:ascii="Times New Roman" w:eastAsia="Calibri" w:hAnsi="Times New Roman"/>
                <w:color w:val="auto"/>
                <w:sz w:val="20"/>
                <w:lang w:val="bg-BG"/>
              </w:rPr>
              <w:t>През 2013г. броят на заетите с НИРД в ЮИР нараства с  35% и достига стойност 1552 бр.,но въпреки това районът изостава по този показател спрямо  по развитите райони.</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p>
        </w:tc>
        <w:tc>
          <w:tcPr>
            <w:tcW w:w="1134"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 Евростат</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Количество продадена електроенергия от ВЕИ, в GWh</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160</w:t>
            </w: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i/>
                <w:color w:val="auto"/>
                <w:sz w:val="20"/>
                <w:lang w:val="bg-BG"/>
              </w:rPr>
              <w:t>(2010г.)</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320</w:t>
            </w:r>
          </w:p>
        </w:tc>
        <w:tc>
          <w:tcPr>
            <w:tcW w:w="993" w:type="dxa"/>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480</w:t>
            </w:r>
          </w:p>
        </w:tc>
        <w:tc>
          <w:tcPr>
            <w:tcW w:w="2693" w:type="dxa"/>
            <w:gridSpan w:val="3"/>
            <w:shd w:val="clear" w:color="auto" w:fill="auto"/>
            <w:vAlign w:val="center"/>
          </w:tcPr>
          <w:p w:rsidR="00F25110" w:rsidRPr="00BD7BB1" w:rsidRDefault="00F25110" w:rsidP="00F25110">
            <w:pPr>
              <w:spacing w:after="200"/>
              <w:jc w:val="both"/>
              <w:rPr>
                <w:rFonts w:ascii="Times New Roman" w:eastAsia="Calibri" w:hAnsi="Times New Roman"/>
                <w:color w:val="auto"/>
                <w:sz w:val="20"/>
                <w:lang w:val="bg-BG"/>
              </w:rPr>
            </w:pPr>
            <w:r w:rsidRPr="00BD7BB1">
              <w:rPr>
                <w:rFonts w:ascii="Times New Roman" w:eastAsia="Calibri" w:hAnsi="Times New Roman"/>
                <w:color w:val="auto"/>
                <w:sz w:val="20"/>
              </w:rPr>
              <w:t>Електрическа</w:t>
            </w:r>
            <w:r w:rsidRPr="00BD7BB1">
              <w:rPr>
                <w:rFonts w:ascii="Times New Roman" w:eastAsia="Calibri" w:hAnsi="Times New Roman"/>
                <w:color w:val="auto"/>
                <w:sz w:val="20"/>
                <w:lang w:val="bg-BG"/>
              </w:rPr>
              <w:t>та</w:t>
            </w:r>
            <w:r w:rsidRPr="00BD7BB1">
              <w:rPr>
                <w:rFonts w:ascii="Times New Roman" w:eastAsia="Calibri" w:hAnsi="Times New Roman"/>
                <w:color w:val="auto"/>
                <w:sz w:val="20"/>
              </w:rPr>
              <w:t xml:space="preserve"> енергия, произведена от възобновяеми източници</w:t>
            </w:r>
            <w:r w:rsidRPr="00BD7BB1">
              <w:rPr>
                <w:rFonts w:ascii="Times New Roman" w:eastAsia="Calibri" w:hAnsi="Times New Roman"/>
                <w:color w:val="auto"/>
                <w:sz w:val="20"/>
                <w:lang w:val="bg-BG"/>
              </w:rPr>
              <w:t xml:space="preserve"> през 2013г. е 18,9 %. </w:t>
            </w:r>
            <w:r w:rsidRPr="00BD7BB1">
              <w:rPr>
                <w:rFonts w:ascii="Times New Roman" w:eastAsia="Calibri" w:hAnsi="Times New Roman"/>
                <w:color w:val="auto"/>
                <w:sz w:val="20"/>
                <w:lang w:val="bg-BG" w:bidi="my-MM"/>
              </w:rPr>
              <w:t>Делът на възобновяемата енергия в брутното крайно потребление на енергия на национално ниво е 19 %.</w:t>
            </w:r>
            <w:r w:rsidRPr="00BD7BB1">
              <w:rPr>
                <w:rFonts w:ascii="Times New Roman" w:eastAsia="Calibri" w:hAnsi="Times New Roman"/>
                <w:color w:val="auto"/>
                <w:sz w:val="20"/>
                <w:lang w:val="bg-BG"/>
              </w:rPr>
              <w:t xml:space="preserve"> </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p>
        </w:tc>
        <w:tc>
          <w:tcPr>
            <w:tcW w:w="1134"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АУЕР, НСИ, Евростат</w:t>
            </w:r>
          </w:p>
        </w:tc>
      </w:tr>
      <w:tr w:rsidR="00755E49" w:rsidRPr="00755E49" w:rsidTr="00755E49">
        <w:trPr>
          <w:trHeight w:val="270"/>
        </w:trPr>
        <w:tc>
          <w:tcPr>
            <w:tcW w:w="11483" w:type="dxa"/>
            <w:gridSpan w:val="10"/>
            <w:shd w:val="clear" w:color="auto" w:fill="F4B29B" w:themeFill="accent1" w:themeFillTint="66"/>
            <w:vAlign w:val="center"/>
          </w:tcPr>
          <w:p w:rsidR="00F25110" w:rsidRPr="00755E49" w:rsidRDefault="00F25110" w:rsidP="00F25110">
            <w:pPr>
              <w:spacing w:before="40" w:after="40" w:line="240" w:lineRule="auto"/>
              <w:jc w:val="center"/>
              <w:rPr>
                <w:rFonts w:ascii="Times New Roman" w:eastAsia="Times New Roman" w:hAnsi="Times New Roman"/>
                <w:b/>
                <w:color w:val="9B2D1F" w:themeColor="accent2"/>
                <w:sz w:val="20"/>
                <w:lang w:val="bg-BG" w:eastAsia="bg-BG"/>
              </w:rPr>
            </w:pPr>
            <w:r w:rsidRPr="00755E49">
              <w:rPr>
                <w:rFonts w:ascii="Times New Roman" w:eastAsia="Times New Roman" w:hAnsi="Times New Roman"/>
                <w:b/>
                <w:color w:val="9B2D1F" w:themeColor="accent2"/>
                <w:sz w:val="20"/>
                <w:lang w:val="bg-BG" w:eastAsia="bg-BG"/>
              </w:rPr>
              <w:t xml:space="preserve">Приоритет </w:t>
            </w:r>
            <w:r w:rsidRPr="00755E49">
              <w:rPr>
                <w:rFonts w:ascii="Times New Roman" w:eastAsia="Times New Roman" w:hAnsi="Times New Roman"/>
                <w:b/>
                <w:bCs/>
                <w:color w:val="9B2D1F" w:themeColor="accent2"/>
                <w:sz w:val="20"/>
                <w:lang w:val="bg-BG" w:eastAsia="bg-BG"/>
              </w:rPr>
              <w:t>2. Развитие на устойчиви форми на туризъм и на културните и творческите индустрии в Югоизточен район.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 Реализирани приходи от нощувки в средствата за подслон и местата за настаняване, в млн. лв.</w:t>
            </w:r>
          </w:p>
        </w:tc>
        <w:tc>
          <w:tcPr>
            <w:tcW w:w="1134"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266</w:t>
            </w:r>
          </w:p>
          <w:p w:rsidR="00F25110" w:rsidRPr="00BD7BB1" w:rsidRDefault="00F25110" w:rsidP="00F25110">
            <w:pPr>
              <w:spacing w:after="120"/>
              <w:contextualSpacing/>
              <w:jc w:val="center"/>
              <w:rPr>
                <w:rFonts w:ascii="Times New Roman" w:eastAsia="Calibri" w:hAnsi="Times New Roman"/>
                <w:i/>
                <w:color w:val="auto"/>
                <w:sz w:val="20"/>
                <w:lang w:val="bg-BG"/>
              </w:rPr>
            </w:pPr>
            <w:r w:rsidRPr="00BD7BB1">
              <w:rPr>
                <w:rFonts w:ascii="Times New Roman" w:eastAsia="Calibri" w:hAnsi="Times New Roman"/>
                <w:i/>
                <w:color w:val="auto"/>
                <w:sz w:val="20"/>
                <w:lang w:val="bg-BG"/>
              </w:rPr>
              <w:t>(2011 г. )</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279</w:t>
            </w:r>
          </w:p>
        </w:tc>
        <w:tc>
          <w:tcPr>
            <w:tcW w:w="993"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293</w:t>
            </w:r>
          </w:p>
        </w:tc>
        <w:tc>
          <w:tcPr>
            <w:tcW w:w="2693" w:type="dxa"/>
            <w:gridSpan w:val="3"/>
            <w:shd w:val="clear" w:color="auto" w:fill="auto"/>
            <w:vAlign w:val="center"/>
          </w:tcPr>
          <w:p w:rsidR="00F25110" w:rsidRPr="00BD7BB1" w:rsidRDefault="00F25110" w:rsidP="00F25110">
            <w:pPr>
              <w:spacing w:after="120"/>
              <w:rPr>
                <w:rFonts w:ascii="Times New Roman" w:eastAsia="Calibri" w:hAnsi="Times New Roman"/>
                <w:b/>
                <w:color w:val="auto"/>
                <w:sz w:val="20"/>
                <w:lang w:val="bg-BG"/>
              </w:rPr>
            </w:pPr>
            <w:r w:rsidRPr="00BD7BB1">
              <w:rPr>
                <w:rFonts w:ascii="Times New Roman" w:eastAsia="Calibri" w:hAnsi="Times New Roman"/>
                <w:b/>
                <w:color w:val="auto"/>
                <w:sz w:val="20"/>
                <w:lang w:val="bg-BG"/>
              </w:rPr>
              <w:t xml:space="preserve">                   369     </w:t>
            </w:r>
          </w:p>
          <w:p w:rsidR="00F25110" w:rsidRPr="00BD7BB1" w:rsidRDefault="00F25110" w:rsidP="00F25110">
            <w:pPr>
              <w:spacing w:after="120"/>
              <w:jc w:val="both"/>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Реализираните приходи от нощувки в ЮИР през 2014 г. са нарастнали с 39,7 %  спрямо приходите реализирани през базовата 2011г. </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color w:val="auto"/>
                <w:sz w:val="20"/>
                <w:lang w:val="bg-BG"/>
              </w:rPr>
              <w:t>По този показател районът е достигнал и надхвърлил не само междинната но и крайната заложена цел от 293 млн. лв</w:t>
            </w:r>
            <w:r w:rsidRPr="00BD7BB1">
              <w:rPr>
                <w:rFonts w:ascii="Times New Roman" w:eastAsia="Calibri" w:hAnsi="Times New Roman"/>
                <w:b/>
                <w:color w:val="auto"/>
                <w:sz w:val="20"/>
                <w:lang w:val="bg-BG"/>
              </w:rPr>
              <w:t xml:space="preserve">.                       </w:t>
            </w: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Създадени/подобрени туристически атракции, в бр.</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10</w:t>
            </w:r>
          </w:p>
        </w:tc>
        <w:tc>
          <w:tcPr>
            <w:tcW w:w="2693" w:type="dxa"/>
            <w:gridSpan w:val="3"/>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72</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община</w:t>
            </w:r>
            <w:r w:rsidRPr="00BD7BB1">
              <w:rPr>
                <w:rFonts w:ascii="Times New Roman" w:eastAsia="Calibri" w:hAnsi="Times New Roman"/>
                <w:color w:val="auto"/>
                <w:sz w:val="20"/>
                <w:lang w:val="bg-BG"/>
              </w:rPr>
              <w:t xml:space="preserve"> </w:t>
            </w:r>
            <w:r w:rsidRPr="00BD7BB1">
              <w:rPr>
                <w:rFonts w:ascii="Times New Roman" w:eastAsia="Calibri" w:hAnsi="Times New Roman"/>
                <w:b/>
                <w:color w:val="auto"/>
                <w:sz w:val="20"/>
                <w:lang w:val="bg-BG"/>
              </w:rPr>
              <w:t>Бургас</w:t>
            </w:r>
            <w:r w:rsidRPr="00BD7BB1">
              <w:rPr>
                <w:rFonts w:ascii="Times New Roman" w:eastAsia="Calibri" w:hAnsi="Times New Roman"/>
                <w:color w:val="auto"/>
                <w:sz w:val="20"/>
                <w:lang w:val="bg-BG"/>
              </w:rPr>
              <w:t xml:space="preserve">- 1бр., </w:t>
            </w:r>
            <w:r w:rsidRPr="00BD7BB1">
              <w:rPr>
                <w:rFonts w:ascii="Times New Roman" w:eastAsia="Calibri" w:hAnsi="Times New Roman"/>
                <w:b/>
                <w:color w:val="auto"/>
                <w:sz w:val="20"/>
                <w:lang w:val="bg-BG"/>
              </w:rPr>
              <w:t>област Бургас</w:t>
            </w:r>
            <w:r w:rsidRPr="00BD7BB1">
              <w:rPr>
                <w:rFonts w:ascii="Times New Roman" w:eastAsia="Calibri" w:hAnsi="Times New Roman"/>
                <w:color w:val="auto"/>
                <w:sz w:val="20"/>
                <w:lang w:val="bg-BG"/>
              </w:rPr>
              <w:t xml:space="preserve"> -1 бр. </w:t>
            </w:r>
            <w:r w:rsidRPr="00BD7BB1">
              <w:rPr>
                <w:rFonts w:ascii="Times New Roman" w:eastAsia="Calibri" w:hAnsi="Times New Roman"/>
                <w:b/>
                <w:color w:val="auto"/>
                <w:sz w:val="20"/>
                <w:lang w:val="bg-BG"/>
              </w:rPr>
              <w:t>Елхово</w:t>
            </w:r>
            <w:r w:rsidRPr="00BD7BB1">
              <w:rPr>
                <w:rFonts w:ascii="Times New Roman" w:eastAsia="Calibri" w:hAnsi="Times New Roman"/>
                <w:color w:val="auto"/>
                <w:sz w:val="20"/>
                <w:lang w:val="bg-BG"/>
              </w:rPr>
              <w:t xml:space="preserve">- 2 бр., </w:t>
            </w:r>
            <w:r w:rsidRPr="00BD7BB1">
              <w:rPr>
                <w:rFonts w:ascii="Times New Roman" w:eastAsia="Calibri" w:hAnsi="Times New Roman"/>
                <w:b/>
                <w:color w:val="auto"/>
                <w:sz w:val="20"/>
                <w:lang w:val="bg-BG"/>
              </w:rPr>
              <w:t xml:space="preserve">Карнобат </w:t>
            </w:r>
            <w:r w:rsidRPr="00BD7BB1">
              <w:rPr>
                <w:rFonts w:ascii="Times New Roman" w:eastAsia="Calibri" w:hAnsi="Times New Roman"/>
                <w:color w:val="auto"/>
                <w:sz w:val="20"/>
                <w:lang w:val="bg-BG"/>
              </w:rPr>
              <w:t xml:space="preserve">-1бр., </w:t>
            </w:r>
            <w:r w:rsidRPr="00BD7BB1">
              <w:rPr>
                <w:rFonts w:ascii="Times New Roman" w:eastAsia="Calibri" w:hAnsi="Times New Roman"/>
                <w:b/>
                <w:color w:val="auto"/>
                <w:sz w:val="20"/>
                <w:lang w:val="bg-BG"/>
              </w:rPr>
              <w:t>Поморие</w:t>
            </w:r>
            <w:r w:rsidRPr="00BD7BB1">
              <w:rPr>
                <w:rFonts w:ascii="Times New Roman" w:eastAsia="Calibri" w:hAnsi="Times New Roman"/>
                <w:color w:val="auto"/>
                <w:sz w:val="20"/>
                <w:lang w:val="bg-BG"/>
              </w:rPr>
              <w:t xml:space="preserve">-1 бр., </w:t>
            </w:r>
            <w:r w:rsidRPr="00BD7BB1">
              <w:rPr>
                <w:rFonts w:ascii="Times New Roman" w:eastAsia="Calibri" w:hAnsi="Times New Roman"/>
                <w:b/>
                <w:color w:val="auto"/>
                <w:sz w:val="20"/>
                <w:lang w:val="bg-BG"/>
              </w:rPr>
              <w:t>Ямбол</w:t>
            </w:r>
            <w:r w:rsidRPr="00BD7BB1">
              <w:rPr>
                <w:rFonts w:ascii="Times New Roman" w:eastAsia="Calibri" w:hAnsi="Times New Roman"/>
                <w:color w:val="auto"/>
                <w:sz w:val="20"/>
                <w:lang w:val="bg-BG"/>
              </w:rPr>
              <w:t xml:space="preserve">- 2бр., </w:t>
            </w:r>
            <w:r w:rsidRPr="00BD7BB1">
              <w:rPr>
                <w:rFonts w:ascii="Times New Roman" w:eastAsia="Calibri" w:hAnsi="Times New Roman"/>
                <w:b/>
                <w:color w:val="auto"/>
                <w:sz w:val="20"/>
                <w:lang w:val="bg-BG"/>
              </w:rPr>
              <w:t>Казанлък</w:t>
            </w:r>
            <w:r w:rsidRPr="00BD7BB1">
              <w:rPr>
                <w:rFonts w:ascii="Times New Roman" w:eastAsia="Calibri" w:hAnsi="Times New Roman"/>
                <w:color w:val="auto"/>
                <w:sz w:val="20"/>
                <w:lang w:val="bg-BG"/>
              </w:rPr>
              <w:t xml:space="preserve"> -41 бр., </w:t>
            </w:r>
            <w:r w:rsidRPr="00BD7BB1">
              <w:rPr>
                <w:rFonts w:ascii="Times New Roman" w:eastAsia="Calibri" w:hAnsi="Times New Roman"/>
                <w:b/>
                <w:color w:val="auto"/>
                <w:sz w:val="20"/>
                <w:lang w:val="bg-BG"/>
              </w:rPr>
              <w:t>Гурково</w:t>
            </w:r>
            <w:r w:rsidRPr="00BD7BB1">
              <w:rPr>
                <w:rFonts w:ascii="Times New Roman" w:eastAsia="Calibri" w:hAnsi="Times New Roman"/>
                <w:color w:val="auto"/>
                <w:sz w:val="20"/>
                <w:lang w:val="bg-BG"/>
              </w:rPr>
              <w:t xml:space="preserve"> -1бр.,Несебър -2 бр.,</w:t>
            </w:r>
            <w:r w:rsidRPr="00BD7BB1">
              <w:rPr>
                <w:rFonts w:ascii="Times New Roman" w:eastAsia="Calibri" w:hAnsi="Times New Roman"/>
                <w:b/>
                <w:color w:val="auto"/>
                <w:sz w:val="20"/>
                <w:lang w:val="bg-BG"/>
              </w:rPr>
              <w:t xml:space="preserve">Стралджа </w:t>
            </w:r>
            <w:r w:rsidRPr="00BD7BB1">
              <w:rPr>
                <w:rFonts w:ascii="Times New Roman" w:eastAsia="Calibri" w:hAnsi="Times New Roman"/>
                <w:color w:val="auto"/>
                <w:sz w:val="20"/>
                <w:lang w:val="bg-BG"/>
              </w:rPr>
              <w:t xml:space="preserve">-1 бр., </w:t>
            </w:r>
            <w:r w:rsidRPr="00BD7BB1">
              <w:rPr>
                <w:rFonts w:ascii="Times New Roman" w:eastAsia="Calibri" w:hAnsi="Times New Roman"/>
                <w:b/>
                <w:color w:val="auto"/>
                <w:sz w:val="20"/>
                <w:lang w:val="bg-BG"/>
              </w:rPr>
              <w:t>Павел баня</w:t>
            </w:r>
            <w:r w:rsidRPr="00BD7BB1">
              <w:rPr>
                <w:rFonts w:ascii="Times New Roman" w:eastAsia="Calibri" w:hAnsi="Times New Roman"/>
                <w:color w:val="auto"/>
                <w:sz w:val="20"/>
                <w:lang w:val="bg-BG"/>
              </w:rPr>
              <w:t>- 3бр.,</w:t>
            </w:r>
            <w:r w:rsidRPr="00BD7BB1">
              <w:rPr>
                <w:rFonts w:ascii="Times New Roman" w:eastAsia="Calibri" w:hAnsi="Times New Roman"/>
                <w:b/>
                <w:color w:val="auto"/>
                <w:sz w:val="20"/>
                <w:lang w:val="bg-BG"/>
              </w:rPr>
              <w:t>Руен</w:t>
            </w:r>
            <w:r w:rsidRPr="00BD7BB1">
              <w:rPr>
                <w:rFonts w:ascii="Times New Roman" w:eastAsia="Calibri" w:hAnsi="Times New Roman"/>
                <w:color w:val="auto"/>
                <w:sz w:val="20"/>
                <w:lang w:val="bg-BG"/>
              </w:rPr>
              <w:t>1 бр.,</w:t>
            </w:r>
            <w:r w:rsidRPr="00BD7BB1">
              <w:rPr>
                <w:rFonts w:ascii="Times New Roman" w:eastAsia="Calibri" w:hAnsi="Times New Roman"/>
                <w:b/>
                <w:color w:val="auto"/>
                <w:sz w:val="20"/>
                <w:lang w:val="bg-BG"/>
              </w:rPr>
              <w:t>Созопол</w:t>
            </w:r>
            <w:r w:rsidRPr="00BD7BB1">
              <w:rPr>
                <w:rFonts w:ascii="Times New Roman" w:eastAsia="Calibri" w:hAnsi="Times New Roman"/>
                <w:color w:val="auto"/>
                <w:sz w:val="20"/>
                <w:lang w:val="bg-BG"/>
              </w:rPr>
              <w:t xml:space="preserve"> - 4 бр.,</w:t>
            </w:r>
            <w:r w:rsidRPr="00BD7BB1">
              <w:rPr>
                <w:rFonts w:ascii="Times New Roman" w:eastAsia="Calibri" w:hAnsi="Times New Roman"/>
                <w:b/>
                <w:color w:val="auto"/>
                <w:sz w:val="20"/>
                <w:lang w:val="bg-BG"/>
              </w:rPr>
              <w:t>Стара Загора</w:t>
            </w:r>
            <w:r w:rsidRPr="00BD7BB1">
              <w:rPr>
                <w:rFonts w:ascii="Times New Roman" w:eastAsia="Calibri" w:hAnsi="Times New Roman"/>
                <w:color w:val="auto"/>
                <w:sz w:val="20"/>
                <w:lang w:val="bg-BG"/>
              </w:rPr>
              <w:t xml:space="preserve"> -1 бр.,</w:t>
            </w:r>
            <w:r w:rsidRPr="00BD7BB1">
              <w:rPr>
                <w:rFonts w:ascii="Times New Roman" w:eastAsia="Calibri" w:hAnsi="Times New Roman"/>
                <w:b/>
                <w:color w:val="auto"/>
                <w:sz w:val="20"/>
                <w:lang w:val="bg-BG"/>
              </w:rPr>
              <w:t>Твърдица</w:t>
            </w:r>
            <w:r w:rsidRPr="00BD7BB1">
              <w:rPr>
                <w:rFonts w:ascii="Times New Roman" w:eastAsia="Calibri" w:hAnsi="Times New Roman"/>
                <w:color w:val="auto"/>
                <w:sz w:val="20"/>
                <w:lang w:val="bg-BG"/>
              </w:rPr>
              <w:t xml:space="preserve">- 8 бр., </w:t>
            </w:r>
            <w:r w:rsidRPr="00BD7BB1">
              <w:rPr>
                <w:rFonts w:ascii="Times New Roman" w:eastAsia="Calibri" w:hAnsi="Times New Roman"/>
                <w:b/>
                <w:color w:val="auto"/>
                <w:sz w:val="20"/>
                <w:lang w:val="bg-BG"/>
              </w:rPr>
              <w:t>Царево</w:t>
            </w:r>
            <w:r w:rsidRPr="00BD7BB1">
              <w:rPr>
                <w:rFonts w:ascii="Times New Roman" w:eastAsia="Calibri" w:hAnsi="Times New Roman"/>
                <w:color w:val="auto"/>
                <w:sz w:val="20"/>
                <w:lang w:val="bg-BG"/>
              </w:rPr>
              <w:t xml:space="preserve"> -2 бр.</w:t>
            </w: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МТ, </w:t>
            </w:r>
          </w:p>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w:t>
            </w:r>
          </w:p>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Общини, ИСУН</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Създадени туристически дестинации на база културно-историческо наследство,</w:t>
            </w:r>
          </w:p>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 в бр.</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4</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8</w:t>
            </w:r>
          </w:p>
        </w:tc>
        <w:tc>
          <w:tcPr>
            <w:tcW w:w="2693" w:type="dxa"/>
            <w:gridSpan w:val="3"/>
            <w:shd w:val="clear" w:color="auto" w:fill="auto"/>
            <w:vAlign w:val="center"/>
          </w:tcPr>
          <w:p w:rsidR="00F25110" w:rsidRPr="00BD7BB1" w:rsidRDefault="00F25110" w:rsidP="00F25110">
            <w:pPr>
              <w:spacing w:after="120" w:line="360" w:lineRule="auto"/>
              <w:rPr>
                <w:rFonts w:ascii="Times New Roman" w:eastAsia="Calibri" w:hAnsi="Times New Roman"/>
                <w:b/>
                <w:color w:val="auto"/>
                <w:sz w:val="20"/>
                <w:lang w:val="bg-BG"/>
              </w:rPr>
            </w:pPr>
            <w:r w:rsidRPr="00BD7BB1">
              <w:rPr>
                <w:rFonts w:ascii="Times New Roman" w:eastAsia="Calibri" w:hAnsi="Times New Roman"/>
                <w:b/>
                <w:color w:val="auto"/>
                <w:sz w:val="20"/>
                <w:lang w:val="bg-BG"/>
              </w:rPr>
              <w:t xml:space="preserve">                  52</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Айтос</w:t>
            </w:r>
            <w:r w:rsidRPr="00BD7BB1">
              <w:rPr>
                <w:rFonts w:ascii="Times New Roman" w:eastAsia="Calibri" w:hAnsi="Times New Roman"/>
                <w:color w:val="auto"/>
                <w:sz w:val="20"/>
                <w:lang w:val="bg-BG"/>
              </w:rPr>
              <w:t xml:space="preserve">- 7 бр, </w:t>
            </w:r>
            <w:r w:rsidRPr="00BD7BB1">
              <w:rPr>
                <w:rFonts w:ascii="Times New Roman" w:eastAsia="Calibri" w:hAnsi="Times New Roman"/>
                <w:b/>
                <w:color w:val="auto"/>
                <w:sz w:val="20"/>
                <w:lang w:val="bg-BG"/>
              </w:rPr>
              <w:t xml:space="preserve">Камено </w:t>
            </w:r>
            <w:r w:rsidRPr="00BD7BB1">
              <w:rPr>
                <w:rFonts w:ascii="Times New Roman" w:eastAsia="Calibri" w:hAnsi="Times New Roman"/>
                <w:color w:val="auto"/>
                <w:sz w:val="20"/>
                <w:lang w:val="bg-BG"/>
              </w:rPr>
              <w:t xml:space="preserve">-1бр., </w:t>
            </w:r>
            <w:r w:rsidRPr="00BD7BB1">
              <w:rPr>
                <w:rFonts w:ascii="Times New Roman" w:eastAsia="Calibri" w:hAnsi="Times New Roman"/>
                <w:b/>
                <w:color w:val="auto"/>
                <w:sz w:val="20"/>
                <w:lang w:val="bg-BG"/>
              </w:rPr>
              <w:t>Раднево</w:t>
            </w:r>
            <w:r w:rsidRPr="00BD7BB1">
              <w:rPr>
                <w:rFonts w:ascii="Times New Roman" w:eastAsia="Calibri" w:hAnsi="Times New Roman"/>
                <w:color w:val="auto"/>
                <w:sz w:val="20"/>
                <w:lang w:val="bg-BG"/>
              </w:rPr>
              <w:t xml:space="preserve"> -1бр., </w:t>
            </w:r>
            <w:r w:rsidRPr="00BD7BB1">
              <w:rPr>
                <w:rFonts w:ascii="Times New Roman" w:eastAsia="Calibri" w:hAnsi="Times New Roman"/>
                <w:b/>
                <w:color w:val="auto"/>
                <w:sz w:val="20"/>
                <w:lang w:val="bg-BG"/>
              </w:rPr>
              <w:t>Болярово</w:t>
            </w:r>
            <w:r w:rsidRPr="00BD7BB1">
              <w:rPr>
                <w:rFonts w:ascii="Times New Roman" w:eastAsia="Calibri" w:hAnsi="Times New Roman"/>
                <w:color w:val="auto"/>
                <w:sz w:val="20"/>
                <w:lang w:val="bg-BG"/>
              </w:rPr>
              <w:t xml:space="preserve"> -1бр.,</w:t>
            </w:r>
            <w:r w:rsidRPr="00BD7BB1">
              <w:rPr>
                <w:rFonts w:ascii="Times New Roman" w:eastAsia="Calibri" w:hAnsi="Times New Roman"/>
                <w:b/>
                <w:color w:val="auto"/>
                <w:sz w:val="20"/>
                <w:lang w:val="bg-BG"/>
              </w:rPr>
              <w:t>Казанлък</w:t>
            </w:r>
            <w:r w:rsidRPr="00BD7BB1">
              <w:rPr>
                <w:rFonts w:ascii="Times New Roman" w:eastAsia="Calibri" w:hAnsi="Times New Roman"/>
                <w:color w:val="auto"/>
                <w:sz w:val="20"/>
                <w:lang w:val="bg-BG"/>
              </w:rPr>
              <w:t>-30бр.,</w:t>
            </w:r>
            <w:r w:rsidRPr="00BD7BB1">
              <w:rPr>
                <w:rFonts w:ascii="Times New Roman" w:eastAsia="Calibri" w:hAnsi="Times New Roman"/>
                <w:b/>
                <w:color w:val="auto"/>
                <w:sz w:val="20"/>
                <w:lang w:val="bg-BG"/>
              </w:rPr>
              <w:t xml:space="preserve"> Павел баня</w:t>
            </w:r>
            <w:r w:rsidRPr="00BD7BB1">
              <w:rPr>
                <w:rFonts w:ascii="Times New Roman" w:eastAsia="Calibri" w:hAnsi="Times New Roman"/>
                <w:color w:val="auto"/>
                <w:sz w:val="20"/>
                <w:lang w:val="bg-BG"/>
              </w:rPr>
              <w:t>- 2бр.,</w:t>
            </w:r>
            <w:r w:rsidRPr="00BD7BB1">
              <w:rPr>
                <w:rFonts w:ascii="Times New Roman" w:eastAsia="Calibri" w:hAnsi="Times New Roman"/>
                <w:b/>
                <w:color w:val="auto"/>
                <w:sz w:val="20"/>
                <w:lang w:val="bg-BG"/>
              </w:rPr>
              <w:t xml:space="preserve"> Руен</w:t>
            </w:r>
            <w:r w:rsidRPr="00BD7BB1">
              <w:rPr>
                <w:rFonts w:ascii="Times New Roman" w:eastAsia="Calibri" w:hAnsi="Times New Roman"/>
                <w:color w:val="auto"/>
                <w:sz w:val="20"/>
                <w:lang w:val="bg-BG"/>
              </w:rPr>
              <w:t>-1 бр.,</w:t>
            </w:r>
            <w:r w:rsidRPr="00BD7BB1">
              <w:rPr>
                <w:rFonts w:ascii="Times New Roman" w:eastAsia="Calibri" w:hAnsi="Times New Roman"/>
                <w:b/>
                <w:color w:val="auto"/>
                <w:sz w:val="20"/>
                <w:lang w:val="bg-BG"/>
              </w:rPr>
              <w:t xml:space="preserve"> Стара Загора</w:t>
            </w:r>
            <w:r w:rsidRPr="00BD7BB1">
              <w:rPr>
                <w:rFonts w:ascii="Times New Roman" w:eastAsia="Calibri" w:hAnsi="Times New Roman"/>
                <w:color w:val="auto"/>
                <w:sz w:val="20"/>
                <w:lang w:val="bg-BG"/>
              </w:rPr>
              <w:t xml:space="preserve"> -2 бр.,</w:t>
            </w:r>
            <w:r w:rsidRPr="00BD7BB1">
              <w:rPr>
                <w:rFonts w:ascii="Times New Roman" w:eastAsia="Calibri" w:hAnsi="Times New Roman"/>
                <w:b/>
                <w:color w:val="auto"/>
                <w:sz w:val="20"/>
                <w:lang w:val="bg-BG"/>
              </w:rPr>
              <w:t xml:space="preserve"> Твърдица- </w:t>
            </w:r>
            <w:r w:rsidRPr="00BD7BB1">
              <w:rPr>
                <w:rFonts w:ascii="Times New Roman" w:eastAsia="Calibri" w:hAnsi="Times New Roman"/>
                <w:color w:val="auto"/>
                <w:sz w:val="20"/>
                <w:lang w:val="bg-BG"/>
              </w:rPr>
              <w:t>3 бр.,</w:t>
            </w:r>
            <w:r w:rsidRPr="00BD7BB1">
              <w:rPr>
                <w:rFonts w:ascii="Times New Roman" w:eastAsia="Calibri" w:hAnsi="Times New Roman"/>
                <w:b/>
                <w:color w:val="auto"/>
                <w:sz w:val="20"/>
                <w:lang w:val="bg-BG"/>
              </w:rPr>
              <w:t xml:space="preserve">Тунджа </w:t>
            </w:r>
            <w:r w:rsidRPr="00BD7BB1">
              <w:rPr>
                <w:rFonts w:ascii="Times New Roman" w:eastAsia="Calibri" w:hAnsi="Times New Roman"/>
                <w:color w:val="auto"/>
                <w:sz w:val="20"/>
                <w:lang w:val="bg-BG"/>
              </w:rPr>
              <w:t>-2 бр.,</w:t>
            </w:r>
            <w:r w:rsidRPr="00BD7BB1">
              <w:rPr>
                <w:rFonts w:ascii="Times New Roman" w:eastAsia="Calibri" w:hAnsi="Times New Roman"/>
                <w:b/>
                <w:color w:val="auto"/>
                <w:sz w:val="20"/>
                <w:lang w:val="bg-BG"/>
              </w:rPr>
              <w:t xml:space="preserve"> Царево</w:t>
            </w:r>
            <w:r w:rsidRPr="00BD7BB1">
              <w:rPr>
                <w:rFonts w:ascii="Times New Roman" w:eastAsia="Calibri" w:hAnsi="Times New Roman"/>
                <w:color w:val="auto"/>
                <w:sz w:val="20"/>
                <w:lang w:val="bg-BG"/>
              </w:rPr>
              <w:t xml:space="preserve"> -2 бр.</w:t>
            </w: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МТ, МК, Общини, ИСУН</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Създадени и/ли подновени/ремонтирани средства за подслон, в %</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7</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15</w:t>
            </w:r>
          </w:p>
        </w:tc>
        <w:tc>
          <w:tcPr>
            <w:tcW w:w="2693" w:type="dxa"/>
            <w:gridSpan w:val="3"/>
            <w:shd w:val="clear" w:color="auto" w:fill="auto"/>
            <w:vAlign w:val="center"/>
          </w:tcPr>
          <w:p w:rsidR="00F25110" w:rsidRPr="00BD7BB1" w:rsidRDefault="00F25110" w:rsidP="00F25110">
            <w:pPr>
              <w:spacing w:after="0"/>
              <w:jc w:val="both"/>
              <w:rPr>
                <w:rFonts w:ascii="Times New Roman" w:eastAsia="Calibri" w:hAnsi="Times New Roman"/>
                <w:b/>
                <w:color w:val="auto"/>
                <w:sz w:val="20"/>
                <w:lang w:val="bg-BG"/>
              </w:rPr>
            </w:pPr>
            <w:r w:rsidRPr="00BD7BB1">
              <w:rPr>
                <w:rFonts w:ascii="Times New Roman" w:eastAsia="Calibri" w:hAnsi="Times New Roman"/>
                <w:b/>
                <w:color w:val="auto"/>
                <w:sz w:val="20"/>
                <w:lang w:val="bg-BG"/>
              </w:rPr>
              <w:t xml:space="preserve">                     40</w:t>
            </w:r>
          </w:p>
          <w:p w:rsidR="00F25110" w:rsidRPr="00BD7BB1" w:rsidRDefault="00F25110" w:rsidP="00F25110">
            <w:pPr>
              <w:spacing w:after="0"/>
              <w:jc w:val="both"/>
              <w:rPr>
                <w:rFonts w:ascii="Times New Roman" w:eastAsia="Calibri" w:hAnsi="Times New Roman"/>
                <w:b/>
                <w:color w:val="auto"/>
                <w:sz w:val="20"/>
                <w:lang w:val="bg-BG"/>
              </w:rPr>
            </w:pPr>
            <w:r w:rsidRPr="00BD7BB1">
              <w:rPr>
                <w:rFonts w:ascii="Times New Roman" w:eastAsia="Calibri" w:hAnsi="Times New Roman"/>
                <w:b/>
                <w:color w:val="auto"/>
                <w:sz w:val="20"/>
                <w:lang w:val="bg-BG"/>
              </w:rPr>
              <w:t>По подадена информация от общини:</w:t>
            </w:r>
          </w:p>
          <w:p w:rsidR="00F25110" w:rsidRPr="00BD7BB1" w:rsidRDefault="00F25110" w:rsidP="00F25110">
            <w:pPr>
              <w:spacing w:after="0"/>
              <w:jc w:val="both"/>
              <w:rPr>
                <w:rFonts w:ascii="Times New Roman" w:eastAsia="Calibri" w:hAnsi="Times New Roman"/>
                <w:b/>
                <w:color w:val="auto"/>
                <w:sz w:val="20"/>
                <w:lang w:val="bg-BG"/>
              </w:rPr>
            </w:pPr>
            <w:r w:rsidRPr="00BD7BB1">
              <w:rPr>
                <w:rFonts w:ascii="Times New Roman" w:eastAsia="Calibri" w:hAnsi="Times New Roman"/>
                <w:b/>
                <w:color w:val="auto"/>
                <w:sz w:val="20"/>
              </w:rPr>
              <w:t>Бургас</w:t>
            </w:r>
            <w:r w:rsidRPr="00BD7BB1">
              <w:rPr>
                <w:rFonts w:ascii="Times New Roman" w:eastAsia="Calibri" w:hAnsi="Times New Roman"/>
                <w:b/>
                <w:color w:val="auto"/>
                <w:sz w:val="20"/>
                <w:lang w:val="bg-BG"/>
              </w:rPr>
              <w:t>-14%</w:t>
            </w:r>
          </w:p>
          <w:p w:rsidR="00F25110" w:rsidRPr="00BD7BB1" w:rsidRDefault="00F25110" w:rsidP="00F25110">
            <w:pPr>
              <w:spacing w:after="0"/>
              <w:jc w:val="both"/>
              <w:rPr>
                <w:rFonts w:ascii="Times New Roman" w:eastAsia="Calibri" w:hAnsi="Times New Roman"/>
                <w:b/>
                <w:color w:val="auto"/>
                <w:sz w:val="20"/>
                <w:lang w:val="bg-BG"/>
              </w:rPr>
            </w:pPr>
            <w:r w:rsidRPr="00BD7BB1">
              <w:rPr>
                <w:rFonts w:ascii="Times New Roman" w:eastAsia="Calibri" w:hAnsi="Times New Roman"/>
                <w:b/>
                <w:color w:val="auto"/>
                <w:sz w:val="20"/>
                <w:lang w:val="bg-BG"/>
              </w:rPr>
              <w:t>Гурково- 80%</w:t>
            </w:r>
          </w:p>
          <w:p w:rsidR="00F25110" w:rsidRPr="00BD7BB1" w:rsidRDefault="00F25110" w:rsidP="00F25110">
            <w:pPr>
              <w:spacing w:after="0"/>
              <w:jc w:val="both"/>
              <w:rPr>
                <w:rFonts w:ascii="Times New Roman" w:eastAsia="Calibri" w:hAnsi="Times New Roman"/>
                <w:b/>
                <w:color w:val="auto"/>
                <w:sz w:val="20"/>
                <w:lang w:val="bg-BG"/>
              </w:rPr>
            </w:pPr>
            <w:r w:rsidRPr="00BD7BB1">
              <w:rPr>
                <w:rFonts w:ascii="Times New Roman" w:eastAsia="Calibri" w:hAnsi="Times New Roman"/>
                <w:b/>
                <w:color w:val="auto"/>
                <w:sz w:val="20"/>
                <w:lang w:val="bg-BG"/>
              </w:rPr>
              <w:t>Павел баня- 25%</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МИЕ, Общини,</w:t>
            </w:r>
          </w:p>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ИСУН</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p>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Увеличаване броя на заетите в сектора на туризма, в %</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18</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25</w:t>
            </w:r>
          </w:p>
        </w:tc>
        <w:tc>
          <w:tcPr>
            <w:tcW w:w="2693" w:type="dxa"/>
            <w:gridSpan w:val="3"/>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Times New Roman" w:hAnsi="Times New Roman"/>
                <w:color w:val="auto"/>
                <w:sz w:val="20"/>
                <w:lang w:val="bg-BG"/>
              </w:rPr>
              <w:t>Б</w:t>
            </w:r>
            <w:r w:rsidRPr="00BD7BB1">
              <w:rPr>
                <w:rFonts w:ascii="Times New Roman" w:eastAsia="Times New Roman" w:hAnsi="Times New Roman"/>
                <w:color w:val="auto"/>
                <w:sz w:val="20"/>
              </w:rPr>
              <w:t>роят на директно заетите</w:t>
            </w:r>
            <w:r w:rsidRPr="00BD7BB1">
              <w:rPr>
                <w:rFonts w:ascii="Times New Roman" w:eastAsia="Times New Roman" w:hAnsi="Times New Roman"/>
                <w:color w:val="auto"/>
                <w:sz w:val="20"/>
                <w:lang w:val="bg-BG"/>
              </w:rPr>
              <w:t xml:space="preserve"> </w:t>
            </w:r>
            <w:r w:rsidRPr="00BD7BB1">
              <w:rPr>
                <w:rFonts w:ascii="Times New Roman" w:eastAsia="Times New Roman" w:hAnsi="Times New Roman"/>
                <w:color w:val="auto"/>
                <w:sz w:val="20"/>
              </w:rPr>
              <w:t>в</w:t>
            </w:r>
            <w:r w:rsidRPr="00BD7BB1">
              <w:rPr>
                <w:rFonts w:ascii="Times New Roman" w:eastAsia="Times New Roman" w:hAnsi="Times New Roman"/>
                <w:color w:val="auto"/>
                <w:sz w:val="20"/>
                <w:lang w:val="bg-BG"/>
              </w:rPr>
              <w:t xml:space="preserve"> </w:t>
            </w:r>
            <w:r w:rsidRPr="00BD7BB1">
              <w:rPr>
                <w:rFonts w:ascii="Times New Roman" w:eastAsia="Times New Roman" w:hAnsi="Times New Roman"/>
                <w:color w:val="auto"/>
                <w:sz w:val="20"/>
              </w:rPr>
              <w:t>туристическата индустрия в България през 2014 г е бил 103 000 души или с 3% повече спрямо 2013 г.</w:t>
            </w: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МТ Агенция по заетостта</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p>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Брой заети в туризма и ресторантьорство</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14</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20</w:t>
            </w:r>
          </w:p>
        </w:tc>
        <w:tc>
          <w:tcPr>
            <w:tcW w:w="2693" w:type="dxa"/>
            <w:gridSpan w:val="3"/>
            <w:shd w:val="clear" w:color="auto" w:fill="auto"/>
            <w:vAlign w:val="center"/>
          </w:tcPr>
          <w:p w:rsidR="00F25110" w:rsidRPr="00BD7BB1" w:rsidRDefault="00F25110" w:rsidP="00F25110">
            <w:pPr>
              <w:spacing w:after="120"/>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                      </w:t>
            </w:r>
            <w:r w:rsidRPr="00BD7BB1">
              <w:rPr>
                <w:rFonts w:ascii="Times New Roman" w:eastAsia="Calibri" w:hAnsi="Times New Roman"/>
                <w:b/>
                <w:color w:val="auto"/>
                <w:sz w:val="20"/>
                <w:lang w:val="bg-BG"/>
              </w:rPr>
              <w:t>27</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color w:val="auto"/>
                <w:sz w:val="20"/>
                <w:lang w:val="bg-BG"/>
              </w:rPr>
              <w:t xml:space="preserve">Броят на заетите лица в сектор </w:t>
            </w:r>
            <w:r w:rsidRPr="00BD7BB1">
              <w:rPr>
                <w:rFonts w:ascii="Times New Roman" w:eastAsia="Calibri" w:hAnsi="Times New Roman"/>
                <w:color w:val="auto"/>
                <w:sz w:val="20"/>
              </w:rPr>
              <w:t>„</w:t>
            </w:r>
            <w:r w:rsidRPr="00BD7BB1">
              <w:rPr>
                <w:rFonts w:ascii="Times New Roman" w:eastAsia="Calibri" w:hAnsi="Times New Roman"/>
                <w:color w:val="auto"/>
                <w:sz w:val="20"/>
                <w:lang w:val="bg-BG"/>
              </w:rPr>
              <w:t>Х</w:t>
            </w:r>
            <w:r w:rsidRPr="00BD7BB1">
              <w:rPr>
                <w:rFonts w:ascii="Times New Roman" w:eastAsia="Calibri" w:hAnsi="Times New Roman"/>
                <w:color w:val="auto"/>
                <w:sz w:val="20"/>
              </w:rPr>
              <w:t>отелиерство и ресторантьорство”</w:t>
            </w:r>
            <w:r w:rsidRPr="00BD7BB1">
              <w:rPr>
                <w:rFonts w:ascii="Times New Roman" w:eastAsia="Calibri" w:hAnsi="Times New Roman"/>
                <w:color w:val="auto"/>
                <w:sz w:val="20"/>
                <w:lang w:val="bg-BG"/>
              </w:rPr>
              <w:t xml:space="preserve"> са налични  за  2013г.  по данни на НСИ.</w:t>
            </w: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Агенция по заетостта</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p>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Нарастване на реализираните приходи от посещения на музеи</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7</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10</w:t>
            </w:r>
          </w:p>
        </w:tc>
        <w:tc>
          <w:tcPr>
            <w:tcW w:w="2693" w:type="dxa"/>
            <w:gridSpan w:val="3"/>
            <w:shd w:val="clear" w:color="auto" w:fill="auto"/>
            <w:vAlign w:val="center"/>
          </w:tcPr>
          <w:p w:rsidR="00F25110" w:rsidRPr="00BD7BB1" w:rsidRDefault="00F25110" w:rsidP="00F25110">
            <w:pPr>
              <w:spacing w:after="120"/>
              <w:contextualSpacing/>
              <w:rPr>
                <w:rFonts w:ascii="Times New Roman" w:eastAsia="Calibri" w:hAnsi="Times New Roman"/>
                <w:b/>
                <w:color w:val="auto"/>
                <w:sz w:val="20"/>
                <w:lang w:val="bg-BG"/>
              </w:rPr>
            </w:pPr>
            <w:r w:rsidRPr="00BD7BB1">
              <w:rPr>
                <w:rFonts w:ascii="Times New Roman" w:eastAsia="Calibri" w:hAnsi="Times New Roman"/>
                <w:b/>
                <w:color w:val="auto"/>
                <w:sz w:val="24"/>
                <w:szCs w:val="22"/>
                <w:lang w:val="bg-BG"/>
              </w:rPr>
              <w:t xml:space="preserve">                      </w:t>
            </w:r>
            <w:r w:rsidRPr="00BD7BB1">
              <w:rPr>
                <w:rFonts w:ascii="Times New Roman" w:eastAsia="Calibri" w:hAnsi="Times New Roman"/>
                <w:b/>
                <w:color w:val="auto"/>
                <w:sz w:val="20"/>
                <w:lang w:val="bg-BG"/>
              </w:rPr>
              <w:t xml:space="preserve">19                    </w:t>
            </w:r>
          </w:p>
          <w:p w:rsidR="00F25110" w:rsidRPr="00BD7BB1" w:rsidRDefault="00F25110" w:rsidP="00F25110">
            <w:pPr>
              <w:spacing w:after="120"/>
              <w:contextualSpacing/>
              <w:rPr>
                <w:rFonts w:ascii="Times New Roman" w:eastAsia="Calibri" w:hAnsi="Times New Roman"/>
                <w:b/>
                <w:color w:val="auto"/>
                <w:sz w:val="20"/>
                <w:lang w:val="bg-BG"/>
              </w:rPr>
            </w:pPr>
            <w:r w:rsidRPr="00BD7BB1">
              <w:rPr>
                <w:rFonts w:ascii="Times New Roman" w:eastAsia="Calibri" w:hAnsi="Times New Roman"/>
                <w:b/>
                <w:color w:val="auto"/>
                <w:sz w:val="20"/>
                <w:lang w:val="bg-BG"/>
              </w:rPr>
              <w:t xml:space="preserve">                                       </w:t>
            </w:r>
          </w:p>
          <w:p w:rsidR="00F25110" w:rsidRPr="00BD7BB1" w:rsidRDefault="00F25110" w:rsidP="00F25110">
            <w:pPr>
              <w:spacing w:after="120"/>
              <w:contextualSpacing/>
              <w:rPr>
                <w:rFonts w:ascii="Times New Roman" w:eastAsia="Calibri" w:hAnsi="Times New Roman"/>
                <w:b/>
                <w:color w:val="auto"/>
                <w:sz w:val="20"/>
                <w:lang w:val="bg-BG"/>
              </w:rPr>
            </w:pPr>
            <w:r w:rsidRPr="00BD7BB1">
              <w:rPr>
                <w:rFonts w:ascii="Times New Roman" w:eastAsia="Calibri" w:hAnsi="Times New Roman"/>
                <w:b/>
                <w:color w:val="auto"/>
                <w:sz w:val="20"/>
                <w:lang w:val="bg-BG"/>
              </w:rPr>
              <w:t>Чирпан -</w:t>
            </w:r>
            <w:r w:rsidRPr="00BD7BB1">
              <w:rPr>
                <w:rFonts w:ascii="Times New Roman" w:eastAsia="Calibri" w:hAnsi="Times New Roman"/>
                <w:color w:val="auto"/>
                <w:sz w:val="20"/>
                <w:lang w:val="bg-BG"/>
              </w:rPr>
              <w:t xml:space="preserve"> 23 % </w:t>
            </w:r>
            <w:r w:rsidRPr="00BD7BB1">
              <w:rPr>
                <w:rFonts w:ascii="Times New Roman" w:eastAsia="Calibri" w:hAnsi="Times New Roman"/>
                <w:b/>
                <w:color w:val="auto"/>
                <w:sz w:val="20"/>
                <w:lang w:val="bg-BG"/>
              </w:rPr>
              <w:t xml:space="preserve">, Ямбол - </w:t>
            </w:r>
            <w:r w:rsidRPr="00BD7BB1">
              <w:rPr>
                <w:rFonts w:ascii="Times New Roman" w:eastAsia="Calibri" w:hAnsi="Times New Roman"/>
                <w:color w:val="auto"/>
                <w:sz w:val="20"/>
                <w:lang w:val="bg-BG"/>
              </w:rPr>
              <w:t>30%;</w:t>
            </w:r>
          </w:p>
          <w:p w:rsidR="00F25110" w:rsidRPr="00BD7BB1" w:rsidRDefault="00F25110" w:rsidP="00F25110">
            <w:pPr>
              <w:spacing w:after="120"/>
              <w:contextualSpacing/>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Стралджа</w:t>
            </w:r>
            <w:r w:rsidRPr="00BD7BB1">
              <w:rPr>
                <w:rFonts w:ascii="Times New Roman" w:eastAsia="Calibri" w:hAnsi="Times New Roman"/>
                <w:color w:val="auto"/>
                <w:sz w:val="20"/>
                <w:lang w:val="bg-BG"/>
              </w:rPr>
              <w:t xml:space="preserve"> - 4,6 % </w:t>
            </w:r>
            <w:r w:rsidRPr="00BD7BB1">
              <w:rPr>
                <w:rFonts w:ascii="Times New Roman" w:eastAsia="Calibri" w:hAnsi="Times New Roman"/>
                <w:b/>
                <w:color w:val="auto"/>
                <w:sz w:val="20"/>
                <w:lang w:val="bg-BG"/>
              </w:rPr>
              <w:t xml:space="preserve"> Павел баня - </w:t>
            </w:r>
            <w:r w:rsidRPr="00BD7BB1">
              <w:rPr>
                <w:rFonts w:ascii="Times New Roman" w:eastAsia="Calibri" w:hAnsi="Times New Roman"/>
                <w:color w:val="auto"/>
                <w:sz w:val="20"/>
                <w:lang w:val="bg-BG"/>
              </w:rPr>
              <w:t xml:space="preserve">36%, </w:t>
            </w:r>
            <w:r w:rsidRPr="00BD7BB1">
              <w:rPr>
                <w:rFonts w:ascii="Times New Roman" w:eastAsia="Calibri" w:hAnsi="Times New Roman"/>
                <w:b/>
                <w:color w:val="auto"/>
                <w:sz w:val="20"/>
                <w:lang w:val="bg-BG"/>
              </w:rPr>
              <w:t>Стара Загора-</w:t>
            </w:r>
            <w:r w:rsidRPr="00BD7BB1">
              <w:rPr>
                <w:rFonts w:ascii="Times New Roman" w:eastAsia="Calibri" w:hAnsi="Times New Roman"/>
                <w:color w:val="auto"/>
                <w:sz w:val="20"/>
                <w:lang w:val="bg-BG"/>
              </w:rPr>
              <w:t xml:space="preserve"> 2,5%, </w:t>
            </w:r>
            <w:r w:rsidRPr="00BD7BB1">
              <w:rPr>
                <w:rFonts w:ascii="Times New Roman" w:eastAsia="Calibri" w:hAnsi="Times New Roman"/>
                <w:b/>
                <w:color w:val="auto"/>
                <w:sz w:val="20"/>
                <w:lang w:val="bg-BG"/>
              </w:rPr>
              <w:t>Твърдица -</w:t>
            </w:r>
            <w:r w:rsidRPr="00BD7BB1">
              <w:rPr>
                <w:rFonts w:ascii="Times New Roman" w:eastAsia="Calibri" w:hAnsi="Times New Roman"/>
                <w:color w:val="auto"/>
                <w:sz w:val="20"/>
                <w:lang w:val="bg-BG"/>
              </w:rPr>
              <w:t xml:space="preserve"> 5 %;</w:t>
            </w:r>
            <w:r w:rsidRPr="00BD7BB1">
              <w:rPr>
                <w:rFonts w:ascii="Times New Roman" w:eastAsia="Calibri" w:hAnsi="Times New Roman"/>
                <w:b/>
                <w:color w:val="auto"/>
                <w:sz w:val="20"/>
                <w:lang w:val="bg-BG"/>
              </w:rPr>
              <w:t xml:space="preserve"> Сливен</w:t>
            </w:r>
            <w:r w:rsidRPr="00BD7BB1">
              <w:rPr>
                <w:rFonts w:ascii="Times New Roman" w:eastAsia="Calibri" w:hAnsi="Times New Roman"/>
                <w:color w:val="auto"/>
                <w:sz w:val="20"/>
                <w:lang w:val="bg-BG"/>
              </w:rPr>
              <w:t xml:space="preserve"> -30% .</w:t>
            </w: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общини, МК</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p>
        </w:tc>
        <w:tc>
          <w:tcPr>
            <w:tcW w:w="3846" w:type="dxa"/>
            <w:shd w:val="clear" w:color="auto" w:fill="auto"/>
            <w:noWrap/>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p>
        </w:tc>
        <w:tc>
          <w:tcPr>
            <w:tcW w:w="2693" w:type="dxa"/>
            <w:gridSpan w:val="3"/>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p>
        </w:tc>
      </w:tr>
      <w:tr w:rsidR="00755E49" w:rsidRPr="00BD7BB1" w:rsidTr="00755E49">
        <w:trPr>
          <w:trHeight w:val="270"/>
        </w:trPr>
        <w:tc>
          <w:tcPr>
            <w:tcW w:w="11483" w:type="dxa"/>
            <w:gridSpan w:val="10"/>
            <w:shd w:val="clear" w:color="auto" w:fill="F4B29B" w:themeFill="accent1" w:themeFillTint="66"/>
            <w:vAlign w:val="center"/>
          </w:tcPr>
          <w:p w:rsidR="00F25110" w:rsidRPr="00BD7BB1" w:rsidRDefault="00F25110" w:rsidP="00F25110">
            <w:pPr>
              <w:spacing w:after="120" w:line="240" w:lineRule="auto"/>
              <w:jc w:val="center"/>
              <w:rPr>
                <w:rFonts w:ascii="Times New Roman" w:eastAsia="Calibri" w:hAnsi="Times New Roman"/>
                <w:b/>
                <w:color w:val="auto"/>
                <w:sz w:val="20"/>
                <w:lang w:val="bg-BG"/>
              </w:rPr>
            </w:pPr>
            <w:r w:rsidRPr="00755E49">
              <w:rPr>
                <w:rFonts w:ascii="Times New Roman" w:eastAsia="Calibri" w:hAnsi="Times New Roman"/>
                <w:b/>
                <w:color w:val="9B2D1F" w:themeColor="accent2"/>
                <w:sz w:val="20"/>
                <w:lang w:val="bg-BG"/>
              </w:rPr>
              <w:t xml:space="preserve">Приоритет </w:t>
            </w:r>
            <w:r w:rsidRPr="00755E49">
              <w:rPr>
                <w:rFonts w:ascii="Times New Roman" w:eastAsia="Calibri" w:hAnsi="Times New Roman"/>
                <w:b/>
                <w:bCs/>
                <w:color w:val="9B2D1F" w:themeColor="accent2"/>
                <w:sz w:val="20"/>
                <w:lang w:val="bg-BG"/>
              </w:rPr>
              <w:t>3. Развитие на инфраструктурата за опазване на околната среда в Югоизточен район.</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Относителен дял на населението, обслужвано от СПСОВ, в %  /бр.</w:t>
            </w:r>
          </w:p>
        </w:tc>
        <w:tc>
          <w:tcPr>
            <w:tcW w:w="1134" w:type="dxa"/>
            <w:gridSpan w:val="2"/>
            <w:shd w:val="clear" w:color="auto" w:fill="auto"/>
            <w:noWrap/>
          </w:tcPr>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r w:rsidRPr="00BD7BB1">
              <w:rPr>
                <w:rFonts w:ascii="Times New Roman" w:eastAsia="Calibri" w:hAnsi="Times New Roman"/>
                <w:b/>
                <w:color w:val="auto"/>
                <w:sz w:val="20"/>
                <w:lang w:val="bg-BG"/>
              </w:rPr>
              <w:t>39</w:t>
            </w:r>
          </w:p>
          <w:p w:rsidR="00F25110" w:rsidRPr="00BD7BB1" w:rsidRDefault="00F25110" w:rsidP="00F25110">
            <w:pPr>
              <w:spacing w:after="120"/>
              <w:contextualSpacing/>
              <w:rPr>
                <w:rFonts w:ascii="Times New Roman" w:eastAsia="Calibri" w:hAnsi="Times New Roman"/>
                <w:i/>
                <w:color w:val="auto"/>
                <w:sz w:val="20"/>
                <w:lang w:val="bg-BG"/>
              </w:rPr>
            </w:pPr>
            <w:r w:rsidRPr="00BD7BB1">
              <w:rPr>
                <w:rFonts w:ascii="Times New Roman" w:eastAsia="Calibri" w:hAnsi="Times New Roman"/>
                <w:i/>
                <w:color w:val="auto"/>
                <w:sz w:val="20"/>
                <w:lang w:val="bg-BG"/>
              </w:rPr>
              <w:t>(2010 г. )</w:t>
            </w:r>
          </w:p>
        </w:tc>
        <w:tc>
          <w:tcPr>
            <w:tcW w:w="1275" w:type="dxa"/>
            <w:shd w:val="clear" w:color="auto" w:fill="auto"/>
          </w:tcPr>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r w:rsidRPr="00BD7BB1">
              <w:rPr>
                <w:rFonts w:ascii="Times New Roman" w:eastAsia="Calibri" w:hAnsi="Times New Roman"/>
                <w:b/>
                <w:color w:val="auto"/>
                <w:sz w:val="20"/>
                <w:lang w:val="bg-BG"/>
              </w:rPr>
              <w:t>52</w:t>
            </w:r>
          </w:p>
        </w:tc>
        <w:tc>
          <w:tcPr>
            <w:tcW w:w="993" w:type="dxa"/>
            <w:shd w:val="clear" w:color="auto" w:fill="auto"/>
          </w:tcPr>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r w:rsidRPr="00BD7BB1">
              <w:rPr>
                <w:rFonts w:ascii="Times New Roman" w:eastAsia="Calibri" w:hAnsi="Times New Roman"/>
                <w:b/>
                <w:color w:val="auto"/>
                <w:sz w:val="20"/>
                <w:lang w:val="bg-BG"/>
              </w:rPr>
              <w:t>65</w:t>
            </w:r>
          </w:p>
        </w:tc>
        <w:tc>
          <w:tcPr>
            <w:tcW w:w="2693" w:type="dxa"/>
            <w:gridSpan w:val="3"/>
            <w:shd w:val="clear" w:color="auto" w:fill="auto"/>
            <w:vAlign w:val="center"/>
          </w:tcPr>
          <w:p w:rsidR="00F25110" w:rsidRPr="00BD7BB1" w:rsidRDefault="00F25110" w:rsidP="00F25110">
            <w:pPr>
              <w:spacing w:after="120" w:line="240" w:lineRule="auto"/>
              <w:jc w:val="center"/>
              <w:rPr>
                <w:rFonts w:ascii="Times New Roman" w:eastAsia="Calibri" w:hAnsi="Times New Roman"/>
                <w:b/>
                <w:color w:val="auto"/>
                <w:sz w:val="20"/>
                <w:lang w:val="bg-BG"/>
              </w:rPr>
            </w:pPr>
          </w:p>
          <w:p w:rsidR="00F25110" w:rsidRPr="00BD7BB1" w:rsidRDefault="00F25110" w:rsidP="00F25110">
            <w:pPr>
              <w:spacing w:after="120" w:line="240" w:lineRule="auto"/>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53.6%</w:t>
            </w:r>
            <w:r w:rsidRPr="00BD7BB1">
              <w:rPr>
                <w:rFonts w:ascii="Times New Roman" w:eastAsia="Calibri" w:hAnsi="Times New Roman"/>
                <w:color w:val="auto"/>
                <w:sz w:val="20"/>
                <w:lang w:val="bg-BG"/>
              </w:rPr>
              <w:t xml:space="preserve"> относителен дял</w:t>
            </w:r>
          </w:p>
          <w:p w:rsidR="00F25110" w:rsidRPr="00BD7BB1" w:rsidRDefault="00F25110" w:rsidP="00F25110">
            <w:pPr>
              <w:spacing w:after="120" w:line="24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22бр. СПСОВ</w:t>
            </w:r>
          </w:p>
          <w:p w:rsidR="00F25110" w:rsidRPr="00BD7BB1" w:rsidRDefault="00F25110" w:rsidP="00F25110">
            <w:pPr>
              <w:spacing w:after="120"/>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за 2013г.</w:t>
            </w: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Разширена, подменена и реконструирана ВиК мрежа, в км</w:t>
            </w:r>
          </w:p>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/Ви К дружества/</w:t>
            </w:r>
          </w:p>
        </w:tc>
        <w:tc>
          <w:tcPr>
            <w:tcW w:w="1134" w:type="dxa"/>
            <w:gridSpan w:val="2"/>
            <w:shd w:val="clear" w:color="auto" w:fill="auto"/>
            <w:noWrap/>
          </w:tcPr>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color w:val="auto"/>
                <w:sz w:val="20"/>
                <w:lang w:val="bg-BG"/>
              </w:rPr>
            </w:pPr>
            <w:r w:rsidRPr="00BD7BB1">
              <w:rPr>
                <w:rFonts w:ascii="Times New Roman" w:eastAsia="Calibri" w:hAnsi="Times New Roman"/>
                <w:b/>
                <w:color w:val="auto"/>
                <w:sz w:val="20"/>
                <w:lang w:val="bg-BG"/>
              </w:rPr>
              <w:t>n/a</w:t>
            </w:r>
          </w:p>
        </w:tc>
        <w:tc>
          <w:tcPr>
            <w:tcW w:w="1275" w:type="dxa"/>
            <w:shd w:val="clear" w:color="auto" w:fill="auto"/>
          </w:tcPr>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r w:rsidRPr="00BD7BB1">
              <w:rPr>
                <w:rFonts w:ascii="Times New Roman" w:eastAsia="Calibri" w:hAnsi="Times New Roman"/>
                <w:b/>
                <w:color w:val="auto"/>
                <w:sz w:val="20"/>
                <w:lang w:val="bg-BG"/>
              </w:rPr>
              <w:t>200</w:t>
            </w:r>
          </w:p>
        </w:tc>
        <w:tc>
          <w:tcPr>
            <w:tcW w:w="993" w:type="dxa"/>
            <w:shd w:val="clear" w:color="auto" w:fill="auto"/>
            <w:noWrap/>
          </w:tcPr>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r w:rsidRPr="00BD7BB1">
              <w:rPr>
                <w:rFonts w:ascii="Times New Roman" w:eastAsia="Calibri" w:hAnsi="Times New Roman"/>
                <w:b/>
                <w:color w:val="auto"/>
                <w:sz w:val="20"/>
                <w:lang w:val="bg-BG"/>
              </w:rPr>
              <w:t>460</w:t>
            </w:r>
          </w:p>
        </w:tc>
        <w:tc>
          <w:tcPr>
            <w:tcW w:w="2693" w:type="dxa"/>
            <w:gridSpan w:val="3"/>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p>
          <w:p w:rsidR="00F25110" w:rsidRPr="00BD7BB1" w:rsidRDefault="00F25110" w:rsidP="00F25110">
            <w:pPr>
              <w:spacing w:after="120"/>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37,75 км</w:t>
            </w:r>
            <w:r w:rsidRPr="00BD7BB1">
              <w:rPr>
                <w:rFonts w:ascii="Times New Roman" w:eastAsia="Calibri" w:hAnsi="Times New Roman"/>
                <w:color w:val="auto"/>
                <w:sz w:val="20"/>
                <w:lang w:val="bg-BG"/>
              </w:rPr>
              <w:t xml:space="preserve"> обща Ви К мрежа за Югоизточен район</w:t>
            </w:r>
          </w:p>
          <w:p w:rsidR="00F25110" w:rsidRPr="00BD7BB1" w:rsidRDefault="00F25110" w:rsidP="00F25110">
            <w:pPr>
              <w:spacing w:after="120" w:line="360" w:lineRule="auto"/>
              <w:jc w:val="center"/>
              <w:rPr>
                <w:rFonts w:ascii="Times New Roman" w:eastAsia="Calibri" w:hAnsi="Times New Roman"/>
                <w:color w:val="auto"/>
                <w:sz w:val="20"/>
                <w:lang w:val="bg-BG"/>
              </w:rPr>
            </w:pPr>
          </w:p>
          <w:p w:rsidR="00F25110" w:rsidRPr="00BD7BB1" w:rsidRDefault="00F25110" w:rsidP="00F25110">
            <w:pPr>
              <w:spacing w:after="120"/>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 xml:space="preserve">36,52 км. </w:t>
            </w:r>
            <w:r w:rsidRPr="00BD7BB1">
              <w:rPr>
                <w:rFonts w:ascii="Times New Roman" w:eastAsia="Calibri" w:hAnsi="Times New Roman"/>
                <w:color w:val="auto"/>
                <w:sz w:val="20"/>
                <w:lang w:val="bg-BG"/>
              </w:rPr>
              <w:t xml:space="preserve">общо водопроводи </w:t>
            </w:r>
            <w:r w:rsidRPr="00BD7BB1">
              <w:rPr>
                <w:rFonts w:ascii="Times New Roman" w:eastAsia="Calibri" w:hAnsi="Times New Roman"/>
                <w:b/>
                <w:color w:val="auto"/>
                <w:sz w:val="20"/>
                <w:lang w:val="bg-BG"/>
              </w:rPr>
              <w:t>1,23 км.</w:t>
            </w:r>
            <w:r w:rsidRPr="00BD7BB1">
              <w:rPr>
                <w:rFonts w:ascii="Times New Roman" w:eastAsia="Calibri" w:hAnsi="Times New Roman"/>
                <w:color w:val="auto"/>
                <w:sz w:val="20"/>
                <w:lang w:val="bg-BG"/>
              </w:rPr>
              <w:t>общо канализация за 2014г.</w:t>
            </w:r>
          </w:p>
          <w:p w:rsidR="00F25110" w:rsidRPr="00BD7BB1" w:rsidRDefault="00F25110" w:rsidP="00F25110">
            <w:pPr>
              <w:spacing w:after="120"/>
              <w:jc w:val="center"/>
              <w:rPr>
                <w:rFonts w:ascii="Times New Roman" w:eastAsia="Calibri" w:hAnsi="Times New Roman"/>
                <w:color w:val="auto"/>
                <w:sz w:val="20"/>
                <w:lang w:val="bg-BG"/>
              </w:rPr>
            </w:pP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 МОСВ,</w:t>
            </w:r>
          </w:p>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В и К , ИСУН</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w:t>
            </w:r>
          </w:p>
        </w:tc>
        <w:tc>
          <w:tcPr>
            <w:tcW w:w="3846" w:type="dxa"/>
            <w:shd w:val="clear" w:color="auto" w:fill="auto"/>
            <w:noWrap/>
          </w:tcPr>
          <w:p w:rsidR="00F25110" w:rsidRPr="00BD7BB1" w:rsidRDefault="00F25110" w:rsidP="00F25110">
            <w:pPr>
              <w:spacing w:after="120" w:line="360" w:lineRule="auto"/>
              <w:jc w:val="center"/>
              <w:rPr>
                <w:rFonts w:ascii="Times New Roman" w:eastAsia="Calibri" w:hAnsi="Times New Roman"/>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Загуби при пренос на питейна вода от постъпилата във водопроводната   мрежа, в %</w:t>
            </w:r>
          </w:p>
        </w:tc>
        <w:tc>
          <w:tcPr>
            <w:tcW w:w="1134" w:type="dxa"/>
            <w:gridSpan w:val="2"/>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68</w:t>
            </w:r>
          </w:p>
          <w:p w:rsidR="00F25110" w:rsidRPr="00BD7BB1" w:rsidRDefault="00F25110" w:rsidP="00F25110">
            <w:pPr>
              <w:spacing w:after="120"/>
              <w:contextualSpacing/>
              <w:jc w:val="center"/>
              <w:rPr>
                <w:rFonts w:ascii="Times New Roman" w:eastAsia="Calibri" w:hAnsi="Times New Roman"/>
                <w:i/>
                <w:color w:val="auto"/>
                <w:sz w:val="20"/>
                <w:lang w:val="bg-BG"/>
              </w:rPr>
            </w:pPr>
            <w:r w:rsidRPr="00BD7BB1">
              <w:rPr>
                <w:rFonts w:ascii="Times New Roman" w:eastAsia="Calibri" w:hAnsi="Times New Roman"/>
                <w:i/>
                <w:color w:val="auto"/>
                <w:sz w:val="20"/>
                <w:lang w:val="bg-BG"/>
              </w:rPr>
              <w:t>(2010 г.)</w:t>
            </w:r>
          </w:p>
        </w:tc>
        <w:tc>
          <w:tcPr>
            <w:tcW w:w="1275" w:type="dxa"/>
            <w:shd w:val="clear" w:color="auto" w:fill="auto"/>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55</w:t>
            </w:r>
          </w:p>
          <w:p w:rsidR="00F25110" w:rsidRPr="00BD7BB1" w:rsidRDefault="00F25110" w:rsidP="00F25110">
            <w:pPr>
              <w:spacing w:after="120"/>
              <w:contextualSpacing/>
              <w:jc w:val="center"/>
              <w:rPr>
                <w:rFonts w:ascii="Times New Roman" w:eastAsia="Calibri" w:hAnsi="Times New Roman"/>
                <w:b/>
                <w:color w:val="auto"/>
                <w:sz w:val="20"/>
                <w:lang w:val="bg-BG"/>
              </w:rPr>
            </w:pP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42</w:t>
            </w:r>
          </w:p>
        </w:tc>
        <w:tc>
          <w:tcPr>
            <w:tcW w:w="2693" w:type="dxa"/>
            <w:gridSpan w:val="3"/>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56 %</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за 2013г.</w:t>
            </w: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Население, обслужвано от организирана система за сметосъбиране, в %</w:t>
            </w:r>
          </w:p>
        </w:tc>
        <w:tc>
          <w:tcPr>
            <w:tcW w:w="1134" w:type="dxa"/>
            <w:gridSpan w:val="2"/>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97</w:t>
            </w:r>
          </w:p>
          <w:p w:rsidR="00F25110" w:rsidRPr="00BD7BB1" w:rsidRDefault="00F25110" w:rsidP="00F25110">
            <w:pPr>
              <w:spacing w:after="120"/>
              <w:contextualSpacing/>
              <w:jc w:val="center"/>
              <w:rPr>
                <w:rFonts w:ascii="Times New Roman" w:eastAsia="Calibri" w:hAnsi="Times New Roman"/>
                <w:i/>
                <w:color w:val="auto"/>
                <w:sz w:val="20"/>
                <w:lang w:val="bg-BG"/>
              </w:rPr>
            </w:pPr>
            <w:r w:rsidRPr="00BD7BB1">
              <w:rPr>
                <w:rFonts w:ascii="Times New Roman" w:eastAsia="Calibri" w:hAnsi="Times New Roman"/>
                <w:i/>
                <w:color w:val="auto"/>
                <w:sz w:val="20"/>
                <w:lang w:val="bg-BG"/>
              </w:rPr>
              <w:t>(2010 г. )</w:t>
            </w:r>
          </w:p>
          <w:p w:rsidR="00F25110" w:rsidRPr="00BD7BB1" w:rsidRDefault="00F25110" w:rsidP="00F25110">
            <w:pPr>
              <w:spacing w:after="120"/>
              <w:contextualSpacing/>
              <w:jc w:val="center"/>
              <w:rPr>
                <w:rFonts w:ascii="Times New Roman" w:eastAsia="Calibri" w:hAnsi="Times New Roman"/>
                <w:color w:val="auto"/>
                <w:sz w:val="20"/>
                <w:lang w:val="bg-BG"/>
              </w:rPr>
            </w:pPr>
          </w:p>
        </w:tc>
        <w:tc>
          <w:tcPr>
            <w:tcW w:w="1275" w:type="dxa"/>
            <w:shd w:val="clear" w:color="auto" w:fill="auto"/>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98.5</w:t>
            </w: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100</w:t>
            </w:r>
          </w:p>
        </w:tc>
        <w:tc>
          <w:tcPr>
            <w:tcW w:w="2693" w:type="dxa"/>
            <w:gridSpan w:val="3"/>
            <w:shd w:val="clear" w:color="auto" w:fill="auto"/>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rPr>
              <w:t>99,7 %</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за 2013г.</w:t>
            </w: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w:t>
            </w:r>
          </w:p>
        </w:tc>
        <w:tc>
          <w:tcPr>
            <w:tcW w:w="3846" w:type="dxa"/>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Изградени системи за ранно предупреждение за възникващи опасности от наводнения, пожари, активиране на свлачищни райони, в бр.</w:t>
            </w:r>
          </w:p>
          <w:p w:rsidR="00F25110" w:rsidRPr="00BD7BB1" w:rsidRDefault="00F25110" w:rsidP="00F25110">
            <w:pPr>
              <w:spacing w:after="120" w:line="360" w:lineRule="auto"/>
              <w:rPr>
                <w:rFonts w:ascii="Times New Roman" w:eastAsia="Calibri" w:hAnsi="Times New Roman"/>
                <w:color w:val="auto"/>
                <w:sz w:val="20"/>
                <w:lang w:val="bg-BG"/>
              </w:rPr>
            </w:pPr>
          </w:p>
        </w:tc>
        <w:tc>
          <w:tcPr>
            <w:tcW w:w="1134" w:type="dxa"/>
            <w:gridSpan w:val="2"/>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w:t>
            </w:r>
          </w:p>
        </w:tc>
        <w:tc>
          <w:tcPr>
            <w:tcW w:w="1275" w:type="dxa"/>
            <w:shd w:val="clear" w:color="auto" w:fill="auto"/>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w:t>
            </w: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3</w:t>
            </w:r>
          </w:p>
        </w:tc>
        <w:tc>
          <w:tcPr>
            <w:tcW w:w="2693" w:type="dxa"/>
            <w:gridSpan w:val="3"/>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15 бр. проекти</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по ОПРР 12бр.приключени </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по ОПОС 3бр. в процес на изпълнение</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към 2014г.</w:t>
            </w:r>
          </w:p>
        </w:tc>
        <w:tc>
          <w:tcPr>
            <w:tcW w:w="1134" w:type="dxa"/>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Пожарна</w:t>
            </w:r>
          </w:p>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 МВР</w:t>
            </w:r>
          </w:p>
        </w:tc>
      </w:tr>
      <w:tr w:rsidR="00755E49" w:rsidRPr="00BD7BB1" w:rsidTr="00755E49">
        <w:trPr>
          <w:trHeight w:val="270"/>
        </w:trPr>
        <w:tc>
          <w:tcPr>
            <w:tcW w:w="11483" w:type="dxa"/>
            <w:gridSpan w:val="10"/>
            <w:shd w:val="clear" w:color="auto" w:fill="F4B29B" w:themeFill="accent1" w:themeFillTint="66"/>
            <w:vAlign w:val="center"/>
          </w:tcPr>
          <w:p w:rsidR="00F25110" w:rsidRPr="00755E49" w:rsidRDefault="00F25110" w:rsidP="00F25110">
            <w:pPr>
              <w:spacing w:after="12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tc>
      </w:tr>
      <w:tr w:rsidR="00755E49" w:rsidRPr="00BD7BB1" w:rsidTr="00755E49">
        <w:trPr>
          <w:trHeight w:val="270"/>
        </w:trPr>
        <w:tc>
          <w:tcPr>
            <w:tcW w:w="11483" w:type="dxa"/>
            <w:gridSpan w:val="10"/>
            <w:shd w:val="clear" w:color="auto" w:fill="F4B29B" w:themeFill="accent1" w:themeFillTint="66"/>
            <w:vAlign w:val="center"/>
          </w:tcPr>
          <w:p w:rsidR="00F25110" w:rsidRPr="00755E49" w:rsidRDefault="00F25110" w:rsidP="00F25110">
            <w:pPr>
              <w:spacing w:after="12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 xml:space="preserve">Приоритет </w:t>
            </w:r>
            <w:r w:rsidRPr="00755E49">
              <w:rPr>
                <w:rFonts w:ascii="Times New Roman" w:eastAsia="Calibri" w:hAnsi="Times New Roman"/>
                <w:b/>
                <w:bCs/>
                <w:color w:val="9B2D1F" w:themeColor="accent2"/>
                <w:sz w:val="20"/>
                <w:lang w:val="bg-BG"/>
              </w:rPr>
              <w:t>1. Подобряване на достъпа до образователни, здравни, социални, културни услуги и развитие на спортната инфраструктура в Югоизточен район.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p>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Реконструирани училища по изкуства и култура, в бр.</w:t>
            </w:r>
          </w:p>
        </w:tc>
        <w:tc>
          <w:tcPr>
            <w:tcW w:w="1134" w:type="dxa"/>
            <w:gridSpan w:val="2"/>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 xml:space="preserve">        n/a</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w:t>
            </w:r>
          </w:p>
        </w:tc>
        <w:tc>
          <w:tcPr>
            <w:tcW w:w="993"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w:t>
            </w:r>
          </w:p>
        </w:tc>
        <w:tc>
          <w:tcPr>
            <w:tcW w:w="2379"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2</w:t>
            </w:r>
          </w:p>
        </w:tc>
        <w:tc>
          <w:tcPr>
            <w:tcW w:w="1448" w:type="dxa"/>
            <w:gridSpan w:val="3"/>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МК, Общини, ИСУН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Модернизирани и реконструирани сгради и обекти на културата, в бр.</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10</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18</w:t>
            </w:r>
          </w:p>
        </w:tc>
        <w:tc>
          <w:tcPr>
            <w:tcW w:w="2379"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43 мерки </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от 14 общини в ЮИР</w:t>
            </w:r>
          </w:p>
        </w:tc>
        <w:tc>
          <w:tcPr>
            <w:tcW w:w="1448" w:type="dxa"/>
            <w:gridSpan w:val="3"/>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МК, Общини, ИСУН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Рехабилитирани здравни и социални заведения, в бр.</w:t>
            </w:r>
          </w:p>
        </w:tc>
        <w:tc>
          <w:tcPr>
            <w:tcW w:w="1134" w:type="dxa"/>
            <w:gridSpan w:val="2"/>
            <w:shd w:val="clear" w:color="auto" w:fill="auto"/>
            <w:noWrap/>
            <w:vAlign w:val="center"/>
          </w:tcPr>
          <w:p w:rsidR="00F25110" w:rsidRPr="00BD7BB1" w:rsidRDefault="00F25110" w:rsidP="00F25110">
            <w:pPr>
              <w:spacing w:after="120" w:line="360" w:lineRule="auto"/>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 xml:space="preserve">       n/a</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4</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8</w:t>
            </w:r>
          </w:p>
        </w:tc>
        <w:tc>
          <w:tcPr>
            <w:tcW w:w="2379"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50 мерки </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от 19 общини в ЮИР  </w:t>
            </w:r>
          </w:p>
        </w:tc>
        <w:tc>
          <w:tcPr>
            <w:tcW w:w="1448" w:type="dxa"/>
            <w:gridSpan w:val="3"/>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МОСВ, Общини, ИСУН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p>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Реконструирани училища и детски градини, в бр.</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25</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45</w:t>
            </w:r>
          </w:p>
        </w:tc>
        <w:tc>
          <w:tcPr>
            <w:tcW w:w="2379"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84 мерки </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от 19 общини в ЮИР</w:t>
            </w:r>
          </w:p>
        </w:tc>
        <w:tc>
          <w:tcPr>
            <w:tcW w:w="1448" w:type="dxa"/>
            <w:gridSpan w:val="3"/>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МОМН, Общини, ИСУН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w:t>
            </w:r>
          </w:p>
        </w:tc>
        <w:bookmarkStart w:id="2" w:name="RANGE!B36"/>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fldChar w:fldCharType="begin"/>
            </w:r>
            <w:r w:rsidRPr="00BD7BB1">
              <w:rPr>
                <w:rFonts w:ascii="Times New Roman" w:eastAsia="Calibri" w:hAnsi="Times New Roman"/>
                <w:bCs/>
                <w:color w:val="auto"/>
                <w:sz w:val="20"/>
                <w:lang w:val="bg-BG"/>
              </w:rPr>
              <w:instrText>HYPERLINK "file://E:\\..\\AppData\\Local\\Microsoft\\Windows\\Temporary Internet Files\\Content.IE5\\AppData\\Local\\Microsoft\\Windows\\Temporary Internet Files\\Content.Outlook\\AppData\\Local\\Microsoft\\Windows\\Temporary Internet Files\\AppData\\Roaming\\Microsoft\\AppData\\Roaming\\Microsoft\\AppData\\Roaming\\Microsoft\\Word\\AppData\\AppData\\Roaming\\Microsoft\\AppData\\Roaming\\Microsoft\\Book1.xls" \l "RANGE!B73"</w:instrText>
            </w:r>
            <w:r w:rsidRPr="00BD7BB1">
              <w:rPr>
                <w:rFonts w:ascii="Times New Roman" w:eastAsia="Calibri" w:hAnsi="Times New Roman"/>
                <w:bCs/>
                <w:color w:val="auto"/>
                <w:sz w:val="20"/>
                <w:lang w:val="bg-BG"/>
              </w:rPr>
              <w:fldChar w:fldCharType="separate"/>
            </w:r>
            <w:r w:rsidRPr="00BD7BB1">
              <w:rPr>
                <w:rFonts w:ascii="Times New Roman" w:eastAsia="Calibri" w:hAnsi="Times New Roman"/>
                <w:bCs/>
                <w:color w:val="auto"/>
                <w:sz w:val="20"/>
                <w:lang w:val="bg-BG"/>
              </w:rPr>
              <w:t>Брой изградени и реконструирани обекти на инфраструктурата за професионален спорт и спорт в свободното време, в бр.</w:t>
            </w:r>
            <w:r w:rsidRPr="00BD7BB1">
              <w:rPr>
                <w:rFonts w:ascii="Times New Roman" w:eastAsia="Calibri" w:hAnsi="Times New Roman"/>
                <w:bCs/>
                <w:color w:val="auto"/>
                <w:sz w:val="20"/>
                <w:lang w:val="bg-BG"/>
              </w:rPr>
              <w:fldChar w:fldCharType="end"/>
            </w:r>
            <w:bookmarkEnd w:id="2"/>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4</w:t>
            </w:r>
          </w:p>
        </w:tc>
        <w:tc>
          <w:tcPr>
            <w:tcW w:w="2379"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43 мерки</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От 15 общини в ЮИР</w:t>
            </w:r>
          </w:p>
        </w:tc>
        <w:tc>
          <w:tcPr>
            <w:tcW w:w="1448" w:type="dxa"/>
            <w:gridSpan w:val="3"/>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МФВС, Общини, ИСУН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p>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Дял на лицата, облагодетелствани от предоставяне на социални услуги в домашна среда, в %</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8</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15</w:t>
            </w:r>
          </w:p>
        </w:tc>
        <w:tc>
          <w:tcPr>
            <w:tcW w:w="2379"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0,65 %  </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По данни на РДСП п о програмите“личен асистент „ и „домашен социален патронаж“ </w:t>
            </w:r>
          </w:p>
          <w:p w:rsidR="00F25110" w:rsidRPr="00BD7BB1" w:rsidRDefault="00F25110" w:rsidP="00F25110">
            <w:pPr>
              <w:spacing w:after="120" w:line="360" w:lineRule="auto"/>
              <w:rPr>
                <w:rFonts w:ascii="Times New Roman" w:eastAsia="Calibri" w:hAnsi="Times New Roman"/>
                <w:color w:val="auto"/>
                <w:sz w:val="20"/>
                <w:lang w:val="bg-BG"/>
              </w:rPr>
            </w:pPr>
          </w:p>
        </w:tc>
        <w:tc>
          <w:tcPr>
            <w:tcW w:w="1448" w:type="dxa"/>
            <w:gridSpan w:val="3"/>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МОМН, Общини</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7</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p>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Дял на децата и учениците, облагодетелствани от подобрена образователна инфраструктура, в %</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20</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40</w:t>
            </w:r>
          </w:p>
        </w:tc>
        <w:tc>
          <w:tcPr>
            <w:tcW w:w="2379"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44 %</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ср. п.п. от общия за общините в ЮИР  </w:t>
            </w:r>
          </w:p>
        </w:tc>
        <w:tc>
          <w:tcPr>
            <w:tcW w:w="1448" w:type="dxa"/>
            <w:gridSpan w:val="3"/>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МОМН, Общини</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8</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p>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Дял на децата и младежите, активно ангажирани със спорт, в %</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20</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40</w:t>
            </w:r>
          </w:p>
        </w:tc>
        <w:tc>
          <w:tcPr>
            <w:tcW w:w="2379"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7,81 %  </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по програми на ММС </w:t>
            </w:r>
          </w:p>
        </w:tc>
        <w:tc>
          <w:tcPr>
            <w:tcW w:w="1448" w:type="dxa"/>
            <w:gridSpan w:val="3"/>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МФВС, Общини</w:t>
            </w:r>
          </w:p>
        </w:tc>
      </w:tr>
      <w:tr w:rsidR="00755E49" w:rsidRPr="00BD7BB1" w:rsidTr="00755E49">
        <w:trPr>
          <w:trHeight w:val="270"/>
        </w:trPr>
        <w:tc>
          <w:tcPr>
            <w:tcW w:w="11483" w:type="dxa"/>
            <w:gridSpan w:val="10"/>
            <w:shd w:val="clear" w:color="auto" w:fill="F4B29B" w:themeFill="accent1" w:themeFillTint="66"/>
            <w:vAlign w:val="center"/>
          </w:tcPr>
          <w:p w:rsidR="00F25110" w:rsidRPr="00BD7BB1" w:rsidRDefault="00F25110" w:rsidP="00F25110">
            <w:pPr>
              <w:spacing w:after="120" w:line="240" w:lineRule="auto"/>
              <w:jc w:val="center"/>
              <w:rPr>
                <w:rFonts w:ascii="Times New Roman" w:eastAsia="Calibri" w:hAnsi="Times New Roman"/>
                <w:b/>
                <w:color w:val="auto"/>
                <w:sz w:val="20"/>
                <w:lang w:val="bg-BG"/>
              </w:rPr>
            </w:pPr>
            <w:r w:rsidRPr="00755E49">
              <w:rPr>
                <w:rFonts w:ascii="Times New Roman" w:eastAsia="Calibri" w:hAnsi="Times New Roman"/>
                <w:b/>
                <w:color w:val="9B2D1F" w:themeColor="accent2"/>
                <w:sz w:val="20"/>
                <w:lang w:val="bg-BG"/>
              </w:rPr>
              <w:t xml:space="preserve">Приоритет </w:t>
            </w:r>
            <w:r w:rsidRPr="00755E49">
              <w:rPr>
                <w:rFonts w:ascii="Times New Roman" w:eastAsia="Calibri" w:hAnsi="Times New Roman"/>
                <w:b/>
                <w:bCs/>
                <w:color w:val="9B2D1F" w:themeColor="accent2"/>
                <w:sz w:val="20"/>
                <w:lang w:val="bg-BG"/>
              </w:rPr>
              <w:t xml:space="preserve">2. Подобряване на качествените характеристики и конкурентоспособността на човешките ресурси в </w:t>
            </w:r>
            <w:r w:rsidRPr="00755E49">
              <w:rPr>
                <w:rFonts w:ascii="Times New Roman" w:eastAsia="Calibri" w:hAnsi="Times New Roman"/>
                <w:b/>
                <w:bCs/>
                <w:color w:val="9B2D1F" w:themeColor="accent2"/>
                <w:sz w:val="20"/>
                <w:shd w:val="clear" w:color="auto" w:fill="F4B29B" w:themeFill="accent1" w:themeFillTint="66"/>
                <w:lang w:val="bg-BG"/>
              </w:rPr>
              <w:t>Югоизточен район.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p>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Процент от населението на възраст 25-64 г., участващо в образование и обучение, в %</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8</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15</w:t>
            </w:r>
          </w:p>
        </w:tc>
        <w:tc>
          <w:tcPr>
            <w:tcW w:w="2379"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26,8 %</w:t>
            </w:r>
          </w:p>
          <w:p w:rsidR="00F25110" w:rsidRPr="00BD7BB1" w:rsidRDefault="00F25110" w:rsidP="00F25110">
            <w:pPr>
              <w:spacing w:after="120" w:line="360" w:lineRule="auto"/>
              <w:jc w:val="center"/>
              <w:rPr>
                <w:rFonts w:ascii="Times New Roman" w:eastAsia="Calibri" w:hAnsi="Times New Roman"/>
                <w:i/>
                <w:color w:val="auto"/>
                <w:sz w:val="20"/>
                <w:lang w:val="bg-BG"/>
              </w:rPr>
            </w:pPr>
            <w:r w:rsidRPr="00BD7BB1">
              <w:rPr>
                <w:rFonts w:ascii="Times New Roman" w:eastAsia="Calibri" w:hAnsi="Times New Roman"/>
                <w:i/>
                <w:color w:val="auto"/>
                <w:sz w:val="20"/>
                <w:lang w:val="bg-BG"/>
              </w:rPr>
              <w:t xml:space="preserve"> ( 2011 г. )</w:t>
            </w:r>
          </w:p>
        </w:tc>
        <w:tc>
          <w:tcPr>
            <w:tcW w:w="1448" w:type="dxa"/>
            <w:gridSpan w:val="3"/>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 Агенция по заетостта</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p>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Дял на безработните, преминали курсове на преквалификация, в %</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18</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35</w:t>
            </w:r>
          </w:p>
        </w:tc>
        <w:tc>
          <w:tcPr>
            <w:tcW w:w="2379"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4,2 %</w:t>
            </w:r>
          </w:p>
        </w:tc>
        <w:tc>
          <w:tcPr>
            <w:tcW w:w="1448" w:type="dxa"/>
            <w:gridSpan w:val="3"/>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Агенция по заетостта</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Увеличение на средния доход на домакинство, в %</w:t>
            </w:r>
          </w:p>
        </w:tc>
        <w:tc>
          <w:tcPr>
            <w:tcW w:w="1134" w:type="dxa"/>
            <w:gridSpan w:val="2"/>
            <w:shd w:val="clear" w:color="auto" w:fill="auto"/>
            <w:noWrap/>
            <w:vAlign w:val="center"/>
          </w:tcPr>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16</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30</w:t>
            </w:r>
          </w:p>
        </w:tc>
        <w:tc>
          <w:tcPr>
            <w:tcW w:w="2379"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2,24  % </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През 2014 г. общият  доход средно на лице от домакинството в ЮИР възлиза на  4 375  лв., в сравнение с 2013  г. с 96 лв. </w:t>
            </w:r>
          </w:p>
        </w:tc>
        <w:tc>
          <w:tcPr>
            <w:tcW w:w="1448" w:type="dxa"/>
            <w:gridSpan w:val="3"/>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w:t>
            </w:r>
          </w:p>
        </w:tc>
      </w:tr>
      <w:tr w:rsidR="00755E49" w:rsidRPr="00BD7BB1" w:rsidTr="00755E49">
        <w:trPr>
          <w:trHeight w:val="270"/>
        </w:trPr>
        <w:tc>
          <w:tcPr>
            <w:tcW w:w="11483" w:type="dxa"/>
            <w:gridSpan w:val="10"/>
            <w:shd w:val="clear" w:color="auto" w:fill="F4B29B" w:themeFill="accent1" w:themeFillTint="66"/>
            <w:vAlign w:val="center"/>
          </w:tcPr>
          <w:p w:rsidR="00F25110" w:rsidRPr="00BD7BB1" w:rsidRDefault="00F25110" w:rsidP="00F25110">
            <w:pPr>
              <w:spacing w:after="120" w:line="240" w:lineRule="auto"/>
              <w:jc w:val="center"/>
              <w:rPr>
                <w:rFonts w:ascii="Times New Roman" w:eastAsia="Calibri" w:hAnsi="Times New Roman"/>
                <w:b/>
                <w:color w:val="auto"/>
                <w:sz w:val="20"/>
                <w:lang w:val="bg-BG"/>
              </w:rPr>
            </w:pPr>
            <w:r w:rsidRPr="00755E49">
              <w:rPr>
                <w:rFonts w:ascii="Times New Roman" w:eastAsia="Calibri" w:hAnsi="Times New Roman"/>
                <w:b/>
                <w:color w:val="9B2D1F" w:themeColor="accent2"/>
                <w:sz w:val="20"/>
                <w:shd w:val="clear" w:color="auto" w:fill="F4B29B" w:themeFill="accent1" w:themeFillTint="66"/>
                <w:lang w:val="bg-BG"/>
              </w:rPr>
              <w:t xml:space="preserve">Приоритет </w:t>
            </w:r>
            <w:r w:rsidRPr="00755E49">
              <w:rPr>
                <w:rFonts w:ascii="Times New Roman" w:eastAsia="Calibri" w:hAnsi="Times New Roman"/>
                <w:b/>
                <w:bCs/>
                <w:color w:val="9B2D1F" w:themeColor="accent2"/>
                <w:sz w:val="20"/>
                <w:shd w:val="clear" w:color="auto" w:fill="F4B29B" w:themeFill="accent1" w:themeFillTint="66"/>
                <w:lang w:val="bg-BG"/>
              </w:rPr>
              <w:t>3. Укрепване на административния капацитет на местните и регионалните власти в Югоизточен район</w:t>
            </w:r>
            <w:r w:rsidRPr="00BD7BB1">
              <w:rPr>
                <w:rFonts w:ascii="Times New Roman" w:eastAsia="Calibri" w:hAnsi="Times New Roman"/>
                <w:b/>
                <w:bCs/>
                <w:color w:val="auto"/>
                <w:sz w:val="20"/>
                <w:lang w:val="bg-BG"/>
              </w:rPr>
              <w:t>.</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Проведени семинари, обучения и информационни кампании по проблемите на регионалното развитие, в бр.</w:t>
            </w:r>
          </w:p>
        </w:tc>
        <w:tc>
          <w:tcPr>
            <w:tcW w:w="1134"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w:t>
            </w:r>
          </w:p>
        </w:tc>
        <w:tc>
          <w:tcPr>
            <w:tcW w:w="2409" w:type="dxa"/>
            <w:gridSpan w:val="2"/>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н/а</w:t>
            </w:r>
          </w:p>
        </w:tc>
        <w:tc>
          <w:tcPr>
            <w:tcW w:w="1418" w:type="dxa"/>
            <w:gridSpan w:val="2"/>
            <w:shd w:val="clear" w:color="auto" w:fill="auto"/>
          </w:tcPr>
          <w:p w:rsidR="00F25110" w:rsidRPr="00BD7BB1" w:rsidRDefault="00F25110" w:rsidP="00F25110">
            <w:pPr>
              <w:spacing w:after="120"/>
              <w:contextualSpacing/>
              <w:jc w:val="center"/>
              <w:rPr>
                <w:rFonts w:ascii="Times New Roman" w:eastAsia="Calibri" w:hAnsi="Times New Roman"/>
                <w:color w:val="auto"/>
                <w:sz w:val="20"/>
                <w:lang w:val="bg-BG"/>
              </w:rPr>
            </w:pP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bookmarkStart w:id="3" w:name="RANGE!B47"/>
        <w:tc>
          <w:tcPr>
            <w:tcW w:w="3846" w:type="dxa"/>
            <w:shd w:val="clear" w:color="auto" w:fill="auto"/>
            <w:noWrap/>
            <w:vAlign w:val="center"/>
          </w:tcPr>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fldChar w:fldCharType="begin"/>
            </w:r>
            <w:r w:rsidRPr="00BD7BB1">
              <w:rPr>
                <w:rFonts w:ascii="Times New Roman" w:eastAsia="Calibri" w:hAnsi="Times New Roman"/>
                <w:bCs/>
                <w:color w:val="auto"/>
                <w:sz w:val="20"/>
                <w:lang w:val="bg-BG"/>
              </w:rPr>
              <w:instrText>HYPERLINK "file://E:\\..\\AppData\\Local\\Microsoft\\Windows\\Temporary Internet Files\\Content.IE5\\AppData\\Local\\Microsoft\\Windows\\Temporary Internet Files\\Content.Outlook\\AppData\\Local\\Microsoft\\Windows\\Temporary Internet Files\\AppData\\Roaming\\Microsoft\\AppData\\Roaming\\Microsoft\\AppData\\Roaming\\Microsoft\\Word\\AppData\\AppData\\Roaming\\Microsoft\\AppData\\Roaming\\Microsoft\\Book1.xls" \l "RANGE!B75"</w:instrText>
            </w:r>
            <w:r w:rsidRPr="00BD7BB1">
              <w:rPr>
                <w:rFonts w:ascii="Times New Roman" w:eastAsia="Calibri" w:hAnsi="Times New Roman"/>
                <w:bCs/>
                <w:color w:val="auto"/>
                <w:sz w:val="20"/>
                <w:lang w:val="bg-BG"/>
              </w:rPr>
              <w:fldChar w:fldCharType="separate"/>
            </w:r>
            <w:r w:rsidRPr="00BD7BB1">
              <w:rPr>
                <w:rFonts w:ascii="Times New Roman" w:eastAsia="Calibri" w:hAnsi="Times New Roman"/>
                <w:bCs/>
                <w:color w:val="auto"/>
                <w:sz w:val="20"/>
                <w:lang w:val="bg-BG"/>
              </w:rPr>
              <w:t>Служители, преминали обучение за развитие на уменията за управление на проекти, финансов контрол и прилагане на интегрирани системи за развитие, в бр.</w:t>
            </w:r>
            <w:r w:rsidRPr="00BD7BB1">
              <w:rPr>
                <w:rFonts w:ascii="Times New Roman" w:eastAsia="Calibri" w:hAnsi="Times New Roman"/>
                <w:bCs/>
                <w:color w:val="auto"/>
                <w:sz w:val="20"/>
                <w:lang w:val="bg-BG"/>
              </w:rPr>
              <w:fldChar w:fldCharType="end"/>
            </w:r>
            <w:bookmarkEnd w:id="3"/>
          </w:p>
        </w:tc>
        <w:tc>
          <w:tcPr>
            <w:tcW w:w="1134"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22</w:t>
            </w:r>
          </w:p>
          <w:p w:rsidR="00F25110" w:rsidRPr="00BD7BB1" w:rsidRDefault="00F25110" w:rsidP="00F25110">
            <w:pPr>
              <w:spacing w:after="120"/>
              <w:contextualSpacing/>
              <w:jc w:val="center"/>
              <w:rPr>
                <w:rFonts w:ascii="Times New Roman" w:eastAsia="Calibri" w:hAnsi="Times New Roman"/>
                <w:i/>
                <w:color w:val="auto"/>
                <w:sz w:val="20"/>
                <w:lang w:val="bg-BG"/>
              </w:rPr>
            </w:pPr>
            <w:r w:rsidRPr="00BD7BB1">
              <w:rPr>
                <w:rFonts w:ascii="Times New Roman" w:eastAsia="Calibri" w:hAnsi="Times New Roman"/>
                <w:i/>
                <w:color w:val="auto"/>
                <w:sz w:val="20"/>
                <w:lang w:val="bg-BG"/>
              </w:rPr>
              <w:t>(2010 г.)</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24</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28</w:t>
            </w:r>
          </w:p>
        </w:tc>
        <w:tc>
          <w:tcPr>
            <w:tcW w:w="2409" w:type="dxa"/>
            <w:gridSpan w:val="2"/>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38 бр..</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През 2014 г. общият брой служители, преминали обучение за развитие на уменията за управление на проекти и финансов контрол е 38 бр.. в ЮИР ( без  бр.прилагане на интегрирани системи за развитие).</w:t>
            </w:r>
          </w:p>
        </w:tc>
        <w:tc>
          <w:tcPr>
            <w:tcW w:w="1418" w:type="dxa"/>
            <w:gridSpan w:val="2"/>
            <w:shd w:val="clear" w:color="auto" w:fill="auto"/>
          </w:tcPr>
          <w:p w:rsidR="00F25110" w:rsidRPr="00BD7BB1" w:rsidRDefault="00F25110" w:rsidP="00F25110">
            <w:pPr>
              <w:spacing w:after="120"/>
              <w:contextualSpacing/>
              <w:jc w:val="center"/>
              <w:rPr>
                <w:rFonts w:ascii="Times New Roman" w:eastAsia="Calibri" w:hAnsi="Times New Roman"/>
                <w:color w:val="auto"/>
                <w:sz w:val="20"/>
                <w:lang w:val="bg-BG"/>
              </w:rPr>
            </w:pPr>
          </w:p>
        </w:tc>
      </w:tr>
      <w:tr w:rsidR="00755E49" w:rsidRPr="00BD7BB1" w:rsidTr="00755E49">
        <w:trPr>
          <w:trHeight w:val="270"/>
        </w:trPr>
        <w:tc>
          <w:tcPr>
            <w:tcW w:w="11483" w:type="dxa"/>
            <w:gridSpan w:val="10"/>
            <w:shd w:val="clear" w:color="auto" w:fill="F4B29B" w:themeFill="accent1" w:themeFillTint="66"/>
            <w:vAlign w:val="center"/>
          </w:tcPr>
          <w:p w:rsidR="00F25110" w:rsidRPr="00755E49" w:rsidRDefault="00F25110" w:rsidP="00F25110">
            <w:pPr>
              <w:spacing w:after="12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tc>
      </w:tr>
      <w:tr w:rsidR="00755E49" w:rsidRPr="00BD7BB1" w:rsidTr="00755E49">
        <w:trPr>
          <w:trHeight w:val="270"/>
        </w:trPr>
        <w:tc>
          <w:tcPr>
            <w:tcW w:w="11483" w:type="dxa"/>
            <w:gridSpan w:val="10"/>
            <w:shd w:val="clear" w:color="auto" w:fill="F4B29B" w:themeFill="accent1" w:themeFillTint="66"/>
            <w:vAlign w:val="center"/>
          </w:tcPr>
          <w:p w:rsidR="00F25110" w:rsidRPr="00755E49" w:rsidRDefault="00F25110" w:rsidP="00F25110">
            <w:pPr>
              <w:spacing w:after="12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 xml:space="preserve">Приоритет </w:t>
            </w:r>
            <w:r w:rsidRPr="00755E49">
              <w:rPr>
                <w:rFonts w:ascii="Times New Roman" w:eastAsia="Calibri" w:hAnsi="Times New Roman"/>
                <w:b/>
                <w:bCs/>
                <w:color w:val="9B2D1F" w:themeColor="accent2"/>
                <w:sz w:val="20"/>
                <w:lang w:val="bg-BG"/>
              </w:rPr>
              <w:t>1. Развитие на трансграничното сътрудничество и мобилизиране потенциала на периферните гранични територии в Югоизточен район.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3987" w:type="dxa"/>
            <w:gridSpan w:val="2"/>
            <w:shd w:val="clear" w:color="auto" w:fill="auto"/>
            <w:noWrap/>
          </w:tcPr>
          <w:p w:rsidR="00F25110" w:rsidRPr="00BD7BB1" w:rsidRDefault="00F25110" w:rsidP="00F25110">
            <w:pPr>
              <w:spacing w:after="120"/>
              <w:contextualSpacing/>
              <w:jc w:val="center"/>
              <w:rPr>
                <w:rFonts w:ascii="Times New Roman" w:eastAsia="Calibri" w:hAnsi="Times New Roman"/>
                <w:bCs/>
                <w:color w:val="auto"/>
                <w:sz w:val="20"/>
                <w:lang w:val="bg-BG"/>
              </w:rPr>
            </w:pPr>
          </w:p>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Проекти / инициативи за трансгранично сътрудничество сключени договори  в бр.</w:t>
            </w:r>
          </w:p>
          <w:p w:rsidR="00F25110" w:rsidRPr="00BD7BB1" w:rsidRDefault="00F25110" w:rsidP="00F25110">
            <w:pPr>
              <w:spacing w:after="120"/>
              <w:contextualSpacing/>
              <w:jc w:val="center"/>
              <w:rPr>
                <w:rFonts w:ascii="Times New Roman" w:eastAsia="Calibri" w:hAnsi="Times New Roman"/>
                <w:b/>
                <w:bCs/>
                <w:color w:val="auto"/>
                <w:sz w:val="20"/>
                <w:lang w:val="bg-BG"/>
              </w:rPr>
            </w:pP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48</w:t>
            </w:r>
          </w:p>
          <w:p w:rsidR="00F25110" w:rsidRPr="00BD7BB1" w:rsidRDefault="00F25110" w:rsidP="00F25110">
            <w:pPr>
              <w:spacing w:after="120"/>
              <w:contextualSpacing/>
              <w:jc w:val="center"/>
              <w:rPr>
                <w:rFonts w:ascii="Times New Roman" w:eastAsia="Calibri" w:hAnsi="Times New Roman"/>
                <w:i/>
                <w:color w:val="auto"/>
                <w:sz w:val="20"/>
                <w:lang w:val="bg-BG"/>
              </w:rPr>
            </w:pPr>
            <w:r w:rsidRPr="00BD7BB1">
              <w:rPr>
                <w:rFonts w:ascii="Times New Roman" w:eastAsia="Calibri" w:hAnsi="Times New Roman"/>
                <w:i/>
                <w:color w:val="auto"/>
                <w:sz w:val="20"/>
                <w:lang w:val="bg-BG"/>
              </w:rPr>
              <w:t>(2011 г. )</w:t>
            </w:r>
          </w:p>
        </w:tc>
        <w:tc>
          <w:tcPr>
            <w:tcW w:w="1275" w:type="dxa"/>
            <w:shd w:val="clear" w:color="auto" w:fill="auto"/>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50</w:t>
            </w: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55</w:t>
            </w:r>
          </w:p>
        </w:tc>
        <w:tc>
          <w:tcPr>
            <w:tcW w:w="2409" w:type="dxa"/>
            <w:gridSpan w:val="2"/>
            <w:shd w:val="clear" w:color="auto" w:fill="auto"/>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 xml:space="preserve">88 </w:t>
            </w:r>
            <w:r w:rsidRPr="00BD7BB1">
              <w:rPr>
                <w:rFonts w:ascii="Times New Roman" w:eastAsia="Calibri" w:hAnsi="Times New Roman"/>
                <w:b/>
                <w:color w:val="auto"/>
                <w:sz w:val="20"/>
              </w:rPr>
              <w:t xml:space="preserve"> </w:t>
            </w:r>
            <w:r w:rsidRPr="00BD7BB1">
              <w:rPr>
                <w:rFonts w:ascii="Times New Roman" w:eastAsia="Calibri" w:hAnsi="Times New Roman"/>
                <w:b/>
                <w:color w:val="auto"/>
                <w:sz w:val="20"/>
                <w:lang w:val="bg-BG"/>
              </w:rPr>
              <w:t>бр.</w:t>
            </w:r>
            <w:r w:rsidRPr="00BD7BB1">
              <w:rPr>
                <w:rFonts w:ascii="Times New Roman" w:eastAsia="Calibri" w:hAnsi="Times New Roman"/>
                <w:color w:val="auto"/>
                <w:sz w:val="20"/>
                <w:lang w:val="bg-BG"/>
              </w:rPr>
              <w:t xml:space="preserve">  -</w:t>
            </w:r>
          </w:p>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общо Проекти по ТГС  „България-Турция“2007-2013г.</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26 бр.</w:t>
            </w:r>
            <w:r w:rsidRPr="00BD7BB1">
              <w:rPr>
                <w:rFonts w:ascii="Times New Roman" w:eastAsia="Calibri" w:hAnsi="Times New Roman"/>
                <w:color w:val="auto"/>
                <w:sz w:val="20"/>
                <w:lang w:val="bg-BG"/>
              </w:rPr>
              <w:t xml:space="preserve">  е  броят на проектите за района за 2014 г.</w:t>
            </w: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ГД УТС</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tc>
          <w:tcPr>
            <w:tcW w:w="3987" w:type="dxa"/>
            <w:gridSpan w:val="2"/>
            <w:shd w:val="clear" w:color="auto" w:fill="auto"/>
            <w:noWrap/>
          </w:tcPr>
          <w:p w:rsidR="00F25110" w:rsidRPr="00BD7BB1" w:rsidRDefault="00F25110" w:rsidP="00F25110">
            <w:pPr>
              <w:spacing w:after="120"/>
              <w:contextualSpacing/>
              <w:rPr>
                <w:rFonts w:ascii="Times New Roman" w:eastAsia="Calibri" w:hAnsi="Times New Roman"/>
                <w:bCs/>
                <w:color w:val="auto"/>
                <w:sz w:val="20"/>
                <w:lang w:val="bg-BG"/>
              </w:rPr>
            </w:pPr>
          </w:p>
          <w:p w:rsidR="00F25110" w:rsidRPr="00BD7BB1" w:rsidRDefault="00F25110" w:rsidP="00F25110">
            <w:pPr>
              <w:spacing w:after="120"/>
              <w:contextualSpacing/>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Интегрирани стратегически планови документи за управление и развитие на граничните територии, в бр.</w:t>
            </w: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n/a</w:t>
            </w:r>
          </w:p>
        </w:tc>
        <w:tc>
          <w:tcPr>
            <w:tcW w:w="1275" w:type="dxa"/>
            <w:shd w:val="clear" w:color="auto" w:fill="auto"/>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n/a</w:t>
            </w: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w:t>
            </w:r>
          </w:p>
        </w:tc>
        <w:tc>
          <w:tcPr>
            <w:tcW w:w="2409" w:type="dxa"/>
            <w:gridSpan w:val="2"/>
            <w:shd w:val="clear" w:color="auto" w:fill="auto"/>
          </w:tcPr>
          <w:p w:rsidR="00F25110" w:rsidRPr="00BD7BB1" w:rsidRDefault="00F25110" w:rsidP="00F25110">
            <w:pPr>
              <w:spacing w:after="120" w:line="360" w:lineRule="auto"/>
              <w:rPr>
                <w:rFonts w:ascii="Times New Roman" w:eastAsia="Calibri" w:hAnsi="Times New Roman"/>
                <w:color w:val="auto"/>
                <w:sz w:val="20"/>
                <w:lang w:val="bg-BG"/>
              </w:rPr>
            </w:pPr>
          </w:p>
          <w:p w:rsidR="00F25110" w:rsidRPr="00BD7BB1" w:rsidRDefault="00F25110" w:rsidP="00F25110">
            <w:pPr>
              <w:spacing w:after="120" w:line="360" w:lineRule="auto"/>
              <w:rPr>
                <w:rFonts w:ascii="Times New Roman" w:eastAsia="Calibri" w:hAnsi="Times New Roman"/>
                <w:color w:val="auto"/>
                <w:sz w:val="20"/>
                <w:lang w:val="bg-BG"/>
              </w:rPr>
            </w:pPr>
            <w:r w:rsidRPr="00BD7BB1">
              <w:rPr>
                <w:rFonts w:ascii="Times New Roman" w:eastAsia="Calibri" w:hAnsi="Times New Roman"/>
                <w:color w:val="auto"/>
                <w:sz w:val="20"/>
                <w:lang w:val="bg-BG"/>
              </w:rPr>
              <w:t xml:space="preserve">През 2014г. е стартирал процеса  на обществена поръчка за </w:t>
            </w:r>
            <w:r w:rsidRPr="00BD7BB1">
              <w:rPr>
                <w:rFonts w:ascii="Times New Roman" w:eastAsia="TimesNewRomanPS-BoldMT" w:hAnsi="Times New Roman"/>
                <w:bCs/>
                <w:color w:val="auto"/>
                <w:sz w:val="20"/>
              </w:rPr>
              <w:t>„Разработване на целенасочена инвестиционна</w:t>
            </w:r>
            <w:r w:rsidRPr="00BD7BB1">
              <w:rPr>
                <w:rFonts w:ascii="Times New Roman" w:eastAsia="Calibri" w:hAnsi="Times New Roman"/>
                <w:color w:val="auto"/>
                <w:sz w:val="20"/>
                <w:lang w:val="bg-BG"/>
              </w:rPr>
              <w:t xml:space="preserve"> </w:t>
            </w:r>
            <w:r w:rsidRPr="00BD7BB1">
              <w:rPr>
                <w:rFonts w:ascii="Times New Roman" w:eastAsia="TimesNewRomanPS-BoldMT" w:hAnsi="Times New Roman"/>
                <w:bCs/>
                <w:color w:val="auto"/>
                <w:sz w:val="20"/>
              </w:rPr>
              <w:t>програма в подкрепа на развитието на Северозападна България, Родопите,</w:t>
            </w:r>
            <w:r w:rsidRPr="00BD7BB1">
              <w:rPr>
                <w:rFonts w:ascii="Times New Roman" w:eastAsia="Calibri" w:hAnsi="Times New Roman"/>
                <w:color w:val="auto"/>
                <w:sz w:val="20"/>
                <w:lang w:val="bg-BG"/>
              </w:rPr>
              <w:t xml:space="preserve"> </w:t>
            </w:r>
            <w:r w:rsidRPr="00BD7BB1">
              <w:rPr>
                <w:rFonts w:ascii="Times New Roman" w:eastAsia="TimesNewRomanPS-BoldMT" w:hAnsi="Times New Roman"/>
                <w:bCs/>
                <w:color w:val="auto"/>
                <w:sz w:val="20"/>
              </w:rPr>
              <w:t>Странджа, пограничните, планинските и</w:t>
            </w:r>
            <w:r w:rsidRPr="00BD7BB1">
              <w:rPr>
                <w:rFonts w:ascii="Times New Roman" w:eastAsia="TimesNewRomanPS-BoldMT" w:hAnsi="Times New Roman"/>
                <w:bCs/>
                <w:color w:val="auto"/>
                <w:sz w:val="20"/>
                <w:lang w:val="bg-BG"/>
              </w:rPr>
              <w:t xml:space="preserve"> </w:t>
            </w:r>
            <w:r w:rsidRPr="00BD7BB1">
              <w:rPr>
                <w:rFonts w:ascii="Times New Roman" w:eastAsia="TimesNewRomanPS-BoldMT" w:hAnsi="Times New Roman"/>
                <w:bCs/>
                <w:color w:val="auto"/>
                <w:sz w:val="20"/>
              </w:rPr>
              <w:t>полупланинските слабо развити</w:t>
            </w:r>
            <w:r w:rsidRPr="00BD7BB1">
              <w:rPr>
                <w:rFonts w:ascii="Times New Roman" w:eastAsia="TimesNewRomanPS-BoldMT" w:hAnsi="Times New Roman"/>
                <w:bCs/>
                <w:color w:val="auto"/>
                <w:sz w:val="20"/>
                <w:lang w:val="bg-BG"/>
              </w:rPr>
              <w:t xml:space="preserve">  </w:t>
            </w:r>
            <w:r w:rsidRPr="00BD7BB1">
              <w:rPr>
                <w:rFonts w:ascii="Times New Roman" w:eastAsia="TimesNewRomanPS-BoldMT" w:hAnsi="Times New Roman"/>
                <w:bCs/>
                <w:color w:val="auto"/>
                <w:sz w:val="20"/>
              </w:rPr>
              <w:t>райони“</w:t>
            </w:r>
            <w:r w:rsidRPr="00BD7BB1">
              <w:rPr>
                <w:rFonts w:ascii="Times New Roman" w:eastAsia="TimesNewRomanPS-BoldMT" w:hAnsi="Times New Roman"/>
                <w:bCs/>
                <w:color w:val="auto"/>
                <w:sz w:val="20"/>
                <w:lang w:val="bg-BG"/>
              </w:rPr>
              <w:t>.</w:t>
            </w: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области,</w:t>
            </w:r>
          </w:p>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общини</w:t>
            </w:r>
          </w:p>
        </w:tc>
      </w:tr>
      <w:tr w:rsidR="00755E49" w:rsidRPr="00BD7BB1" w:rsidTr="00755E49">
        <w:trPr>
          <w:trHeight w:val="270"/>
        </w:trPr>
        <w:tc>
          <w:tcPr>
            <w:tcW w:w="11483" w:type="dxa"/>
            <w:gridSpan w:val="10"/>
            <w:shd w:val="clear" w:color="auto" w:fill="F4B29B" w:themeFill="accent1" w:themeFillTint="66"/>
            <w:vAlign w:val="center"/>
          </w:tcPr>
          <w:p w:rsidR="00F25110" w:rsidRPr="00BD7BB1" w:rsidRDefault="00F25110" w:rsidP="00F25110">
            <w:pPr>
              <w:spacing w:after="120" w:line="240" w:lineRule="auto"/>
              <w:jc w:val="center"/>
              <w:rPr>
                <w:rFonts w:ascii="Times New Roman" w:eastAsia="Calibri" w:hAnsi="Times New Roman"/>
                <w:b/>
                <w:color w:val="auto"/>
                <w:sz w:val="20"/>
                <w:lang w:val="bg-BG"/>
              </w:rPr>
            </w:pPr>
            <w:r w:rsidRPr="00755E49">
              <w:rPr>
                <w:rFonts w:ascii="Times New Roman" w:eastAsia="Calibri" w:hAnsi="Times New Roman"/>
                <w:b/>
                <w:color w:val="9B2D1F" w:themeColor="accent2"/>
                <w:sz w:val="20"/>
                <w:lang w:val="bg-BG"/>
              </w:rPr>
              <w:t xml:space="preserve">Приоритет </w:t>
            </w:r>
            <w:r w:rsidRPr="00755E49">
              <w:rPr>
                <w:rFonts w:ascii="Times New Roman" w:eastAsia="Calibri" w:hAnsi="Times New Roman"/>
                <w:b/>
                <w:bCs/>
                <w:color w:val="9B2D1F" w:themeColor="accent2"/>
                <w:sz w:val="20"/>
                <w:lang w:val="bg-BG"/>
              </w:rPr>
              <w:t>2. Развитие на междурегионално и транснационално сътрудничество в помощ на постигане на стратегическите цели за развитие на Югоизточен район.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в бр.</w:t>
            </w:r>
          </w:p>
          <w:p w:rsidR="00F25110" w:rsidRPr="00BD7BB1" w:rsidRDefault="00F25110" w:rsidP="00F25110">
            <w:pPr>
              <w:spacing w:after="120"/>
              <w:contextualSpacing/>
              <w:jc w:val="center"/>
              <w:rPr>
                <w:rFonts w:ascii="Times New Roman" w:eastAsia="Calibri" w:hAnsi="Times New Roman"/>
                <w:b/>
                <w:bCs/>
                <w:color w:val="auto"/>
                <w:sz w:val="20"/>
                <w:lang w:val="bg-BG"/>
              </w:rPr>
            </w:pPr>
          </w:p>
        </w:tc>
        <w:tc>
          <w:tcPr>
            <w:tcW w:w="993" w:type="dxa"/>
            <w:shd w:val="clear" w:color="auto" w:fill="auto"/>
            <w:noWrap/>
          </w:tcPr>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color w:val="auto"/>
                <w:sz w:val="20"/>
                <w:lang w:val="bg-BG"/>
              </w:rPr>
            </w:pPr>
            <w:r w:rsidRPr="00BD7BB1">
              <w:rPr>
                <w:rFonts w:ascii="Times New Roman" w:eastAsia="Calibri" w:hAnsi="Times New Roman"/>
                <w:b/>
                <w:color w:val="auto"/>
                <w:sz w:val="20"/>
                <w:lang w:val="bg-BG"/>
              </w:rPr>
              <w:t>n/a</w:t>
            </w:r>
          </w:p>
        </w:tc>
        <w:tc>
          <w:tcPr>
            <w:tcW w:w="1275" w:type="dxa"/>
            <w:shd w:val="clear" w:color="auto" w:fill="auto"/>
          </w:tcPr>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r w:rsidRPr="00BD7BB1">
              <w:rPr>
                <w:rFonts w:ascii="Times New Roman" w:eastAsia="Calibri" w:hAnsi="Times New Roman"/>
                <w:b/>
                <w:color w:val="auto"/>
                <w:sz w:val="20"/>
                <w:lang w:val="bg-BG"/>
              </w:rPr>
              <w:t>12</w:t>
            </w:r>
          </w:p>
        </w:tc>
        <w:tc>
          <w:tcPr>
            <w:tcW w:w="993" w:type="dxa"/>
            <w:shd w:val="clear" w:color="auto" w:fill="auto"/>
            <w:noWrap/>
          </w:tcPr>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r w:rsidRPr="00BD7BB1">
              <w:rPr>
                <w:rFonts w:ascii="Times New Roman" w:eastAsia="Calibri" w:hAnsi="Times New Roman"/>
                <w:b/>
                <w:color w:val="auto"/>
                <w:sz w:val="20"/>
                <w:lang w:val="bg-BG"/>
              </w:rPr>
              <w:t>24</w:t>
            </w:r>
          </w:p>
        </w:tc>
        <w:tc>
          <w:tcPr>
            <w:tcW w:w="2409" w:type="dxa"/>
            <w:gridSpan w:val="2"/>
            <w:shd w:val="clear" w:color="auto" w:fill="auto"/>
            <w:vAlign w:val="center"/>
          </w:tcPr>
          <w:p w:rsidR="00F25110" w:rsidRPr="00BD7BB1" w:rsidRDefault="00F25110" w:rsidP="00F25110">
            <w:pPr>
              <w:spacing w:after="120"/>
              <w:contextualSpacing/>
              <w:rPr>
                <w:rFonts w:ascii="Times New Roman" w:eastAsia="Calibri" w:hAnsi="Times New Roman"/>
                <w:color w:val="auto"/>
                <w:sz w:val="20"/>
                <w:lang w:val="bg-BG"/>
              </w:rPr>
            </w:pPr>
          </w:p>
          <w:p w:rsidR="00F25110" w:rsidRPr="00BD7BB1" w:rsidRDefault="00F25110" w:rsidP="00F25110">
            <w:pPr>
              <w:spacing w:after="120" w:line="360" w:lineRule="auto"/>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14 бр.</w:t>
            </w:r>
          </w:p>
          <w:p w:rsidR="00F25110" w:rsidRPr="00BD7BB1" w:rsidRDefault="00F25110" w:rsidP="00F25110">
            <w:pPr>
              <w:spacing w:after="120" w:line="360" w:lineRule="auto"/>
              <w:contextualSpacing/>
              <w:rPr>
                <w:rFonts w:ascii="Times New Roman" w:eastAsia="Calibri" w:hAnsi="Times New Roman"/>
                <w:color w:val="auto"/>
                <w:sz w:val="20"/>
                <w:lang w:val="bg-BG"/>
              </w:rPr>
            </w:pP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области, общини</w:t>
            </w:r>
          </w:p>
        </w:tc>
      </w:tr>
      <w:tr w:rsidR="00755E49" w:rsidRPr="00BD7BB1" w:rsidTr="00755E49">
        <w:trPr>
          <w:trHeight w:val="270"/>
        </w:trPr>
        <w:tc>
          <w:tcPr>
            <w:tcW w:w="11483" w:type="dxa"/>
            <w:gridSpan w:val="10"/>
            <w:shd w:val="clear" w:color="auto" w:fill="F4B29B" w:themeFill="accent1" w:themeFillTint="66"/>
            <w:vAlign w:val="center"/>
          </w:tcPr>
          <w:p w:rsidR="00F25110" w:rsidRPr="00BD7BB1" w:rsidRDefault="00F25110" w:rsidP="00F25110">
            <w:pPr>
              <w:spacing w:after="120" w:line="240" w:lineRule="auto"/>
              <w:jc w:val="center"/>
              <w:rPr>
                <w:rFonts w:ascii="Times New Roman" w:eastAsia="Calibri" w:hAnsi="Times New Roman"/>
                <w:b/>
                <w:color w:val="auto"/>
                <w:sz w:val="20"/>
                <w:lang w:val="bg-BG"/>
              </w:rPr>
            </w:pPr>
            <w:r w:rsidRPr="00755E49">
              <w:rPr>
                <w:rFonts w:ascii="Times New Roman" w:eastAsia="Calibri" w:hAnsi="Times New Roman"/>
                <w:b/>
                <w:color w:val="9B2D1F" w:themeColor="accent2"/>
                <w:sz w:val="20"/>
                <w:lang w:val="bg-BG"/>
              </w:rPr>
              <w:t xml:space="preserve">Приоритет </w:t>
            </w:r>
            <w:r w:rsidRPr="00755E49">
              <w:rPr>
                <w:rFonts w:ascii="Times New Roman" w:eastAsia="Calibri" w:hAnsi="Times New Roman"/>
                <w:b/>
                <w:bCs/>
                <w:color w:val="9B2D1F" w:themeColor="accent2"/>
                <w:sz w:val="20"/>
                <w:lang w:val="bg-BG"/>
              </w:rPr>
              <w:t>3. Опазване българската акватория на Черно море и развитие на морското дело и рибарството в Югоизточен район.</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p>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Реализирани проекти за намаляване на негативното въздействие от риболова върху крайбрежните територии, в бр.</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9</w:t>
            </w:r>
          </w:p>
        </w:tc>
        <w:tc>
          <w:tcPr>
            <w:tcW w:w="2409"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p>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3 бр.</w:t>
            </w:r>
            <w:r w:rsidRPr="00BD7BB1">
              <w:rPr>
                <w:rFonts w:ascii="Times New Roman" w:eastAsia="Calibri" w:hAnsi="Times New Roman"/>
                <w:color w:val="auto"/>
                <w:sz w:val="20"/>
                <w:lang w:val="bg-BG"/>
              </w:rPr>
              <w:t xml:space="preserve"> проекти </w:t>
            </w:r>
          </w:p>
          <w:p w:rsidR="00F25110" w:rsidRPr="00BD7BB1" w:rsidRDefault="00F25110" w:rsidP="00F25110">
            <w:pPr>
              <w:spacing w:after="120"/>
              <w:contextualSpacing/>
              <w:jc w:val="center"/>
              <w:rPr>
                <w:rFonts w:ascii="Times New Roman" w:eastAsia="Calibri" w:hAnsi="Times New Roman"/>
                <w:color w:val="auto"/>
                <w:sz w:val="20"/>
                <w:lang w:val="bg-BG"/>
              </w:rPr>
            </w:pP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ИСУН, области, общини Инстит по океанология</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p>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Реализирани проекти за морско планиране, морски проучвания и морски надзор върху замърсяванията, в бр.</w:t>
            </w:r>
            <w:r w:rsidRPr="00BD7BB1">
              <w:rPr>
                <w:rFonts w:ascii="Times New Roman" w:eastAsia="Calibri" w:hAnsi="Times New Roman"/>
                <w:b/>
                <w:bCs/>
                <w:color w:val="auto"/>
                <w:sz w:val="20"/>
                <w:lang w:val="bg-BG"/>
              </w:rPr>
              <w:t xml:space="preserve"> </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3</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w:t>
            </w:r>
          </w:p>
        </w:tc>
        <w:tc>
          <w:tcPr>
            <w:tcW w:w="2409" w:type="dxa"/>
            <w:gridSpan w:val="2"/>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p>
          <w:p w:rsidR="00F25110" w:rsidRPr="00BD7BB1" w:rsidRDefault="00AA54DF" w:rsidP="00F25110">
            <w:pPr>
              <w:spacing w:after="120" w:line="360" w:lineRule="auto"/>
              <w:jc w:val="center"/>
              <w:rPr>
                <w:rFonts w:ascii="Times New Roman" w:eastAsia="Calibri" w:hAnsi="Times New Roman"/>
                <w:color w:val="auto"/>
                <w:sz w:val="20"/>
                <w:lang w:val="bg-BG"/>
              </w:rPr>
            </w:pPr>
            <w:r>
              <w:rPr>
                <w:rFonts w:ascii="Times New Roman" w:eastAsia="Calibri" w:hAnsi="Times New Roman"/>
                <w:b/>
                <w:color w:val="auto"/>
                <w:sz w:val="20"/>
                <w:lang w:val="bg-BG"/>
              </w:rPr>
              <w:t>9</w:t>
            </w:r>
            <w:r w:rsidR="00F25110" w:rsidRPr="00BD7BB1">
              <w:rPr>
                <w:rFonts w:ascii="Times New Roman" w:eastAsia="Calibri" w:hAnsi="Times New Roman"/>
                <w:b/>
                <w:color w:val="auto"/>
                <w:sz w:val="20"/>
                <w:lang w:val="bg-BG"/>
              </w:rPr>
              <w:t xml:space="preserve"> бр.</w:t>
            </w:r>
            <w:r w:rsidR="00F25110" w:rsidRPr="00BD7BB1">
              <w:rPr>
                <w:rFonts w:ascii="Times New Roman" w:eastAsia="Calibri" w:hAnsi="Times New Roman"/>
                <w:color w:val="auto"/>
                <w:sz w:val="20"/>
                <w:lang w:val="bg-BG"/>
              </w:rPr>
              <w:t xml:space="preserve"> проекти</w:t>
            </w:r>
          </w:p>
          <w:p w:rsidR="00F25110" w:rsidRPr="00BD7BB1" w:rsidRDefault="00F25110" w:rsidP="00F25110">
            <w:pPr>
              <w:spacing w:after="120" w:line="360" w:lineRule="auto"/>
              <w:jc w:val="center"/>
              <w:rPr>
                <w:rFonts w:ascii="Times New Roman" w:eastAsia="Calibri" w:hAnsi="Times New Roman"/>
                <w:color w:val="auto"/>
                <w:sz w:val="20"/>
                <w:lang w:val="bg-BG"/>
              </w:rPr>
            </w:pP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ИСУН, области, общини Институт по океанология</w:t>
            </w:r>
          </w:p>
        </w:tc>
      </w:tr>
      <w:tr w:rsidR="00755E49" w:rsidRPr="00BD7BB1" w:rsidTr="00755E49">
        <w:trPr>
          <w:trHeight w:val="270"/>
        </w:trPr>
        <w:tc>
          <w:tcPr>
            <w:tcW w:w="11483" w:type="dxa"/>
            <w:gridSpan w:val="10"/>
            <w:shd w:val="clear" w:color="auto" w:fill="F4B29B" w:themeFill="accent1" w:themeFillTint="66"/>
            <w:vAlign w:val="center"/>
          </w:tcPr>
          <w:p w:rsidR="00F25110" w:rsidRPr="00755E49" w:rsidRDefault="00F25110" w:rsidP="00F25110">
            <w:pPr>
              <w:spacing w:after="12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Стратегическа цел 4: „</w:t>
            </w:r>
            <w:r w:rsidRPr="00755E49">
              <w:rPr>
                <w:rFonts w:ascii="Times New Roman" w:eastAsia="Calibri" w:hAnsi="Times New Roman"/>
                <w:b/>
                <w:bCs/>
                <w:color w:val="9B2D1F" w:themeColor="accent2"/>
                <w:sz w:val="20"/>
                <w:lang w:val="bg-BG"/>
              </w:rPr>
              <w:t>Балансирано териториално развитие на ЮИР чрез укрепване на градовете-центрове, подобряване свързаността в района и качеството на средата в населените места.</w:t>
            </w:r>
            <w:r w:rsidRPr="00755E49">
              <w:rPr>
                <w:rFonts w:ascii="Times New Roman" w:eastAsia="Calibri" w:hAnsi="Times New Roman"/>
                <w:b/>
                <w:color w:val="9B2D1F" w:themeColor="accent2"/>
                <w:sz w:val="20"/>
                <w:lang w:val="bg-BG"/>
              </w:rPr>
              <w:t>.“</w:t>
            </w:r>
          </w:p>
        </w:tc>
      </w:tr>
      <w:tr w:rsidR="00755E49" w:rsidRPr="00BD7BB1" w:rsidTr="00755E49">
        <w:trPr>
          <w:trHeight w:val="270"/>
        </w:trPr>
        <w:tc>
          <w:tcPr>
            <w:tcW w:w="11483" w:type="dxa"/>
            <w:gridSpan w:val="10"/>
            <w:shd w:val="clear" w:color="auto" w:fill="F4B29B" w:themeFill="accent1" w:themeFillTint="66"/>
            <w:vAlign w:val="center"/>
          </w:tcPr>
          <w:p w:rsidR="00F25110" w:rsidRPr="00755E49" w:rsidRDefault="00F25110" w:rsidP="00F25110">
            <w:pPr>
              <w:spacing w:after="12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 xml:space="preserve">Приоритет </w:t>
            </w:r>
            <w:r w:rsidRPr="00755E49">
              <w:rPr>
                <w:rFonts w:ascii="Times New Roman" w:eastAsia="Calibri" w:hAnsi="Times New Roman"/>
                <w:b/>
                <w:bCs/>
                <w:color w:val="9B2D1F" w:themeColor="accent2"/>
                <w:sz w:val="20"/>
                <w:lang w:val="bg-BG"/>
              </w:rPr>
              <w:t>1. Интегрирано развитие на градовете в Югоизточен район и подобряване качеството на градската среда.</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Население, живеещо на територия с реализирани планове за интегрирано градско развитие, в бр.</w:t>
            </w:r>
          </w:p>
          <w:p w:rsidR="00F25110" w:rsidRPr="00BD7BB1" w:rsidRDefault="00F25110" w:rsidP="00F25110">
            <w:pPr>
              <w:spacing w:after="120"/>
              <w:contextualSpacing/>
              <w:jc w:val="center"/>
              <w:rPr>
                <w:rFonts w:ascii="Times New Roman" w:eastAsia="Calibri" w:hAnsi="Times New Roman"/>
                <w:bCs/>
                <w:color w:val="auto"/>
                <w:sz w:val="20"/>
                <w:lang w:val="bg-BG"/>
              </w:rPr>
            </w:pPr>
          </w:p>
        </w:tc>
        <w:tc>
          <w:tcPr>
            <w:tcW w:w="993" w:type="dxa"/>
            <w:shd w:val="clear" w:color="auto" w:fill="auto"/>
            <w:noWrap/>
            <w:vAlign w:val="center"/>
          </w:tcPr>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500 000</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551 620</w:t>
            </w:r>
          </w:p>
        </w:tc>
        <w:tc>
          <w:tcPr>
            <w:tcW w:w="2409" w:type="dxa"/>
            <w:gridSpan w:val="2"/>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 xml:space="preserve">585 268 души </w:t>
            </w: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Cs/>
                <w:color w:val="auto"/>
                <w:sz w:val="20"/>
                <w:lang w:val="bg-BG"/>
              </w:rPr>
              <w:t>На територията на  ЮИР са разработени 5бр. ИПГР в градовете Бургас, Стара Загора, Ямбол,Сливен, Казанлък.</w:t>
            </w: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ГД ПРР</w:t>
            </w: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Създадени/обновени градски зелени площи, в % от зелените площи</w:t>
            </w:r>
          </w:p>
          <w:p w:rsidR="00F25110" w:rsidRPr="00BD7BB1" w:rsidRDefault="00F25110" w:rsidP="00F25110">
            <w:pPr>
              <w:spacing w:after="120"/>
              <w:contextualSpacing/>
              <w:jc w:val="center"/>
              <w:rPr>
                <w:rFonts w:ascii="Times New Roman" w:eastAsia="Calibri" w:hAnsi="Times New Roman"/>
                <w:b/>
                <w:bCs/>
                <w:color w:val="auto"/>
                <w:sz w:val="20"/>
                <w:lang w:val="bg-BG"/>
              </w:rPr>
            </w:pPr>
          </w:p>
        </w:tc>
        <w:tc>
          <w:tcPr>
            <w:tcW w:w="993" w:type="dxa"/>
            <w:shd w:val="clear" w:color="auto" w:fill="auto"/>
            <w:noWrap/>
          </w:tcPr>
          <w:p w:rsidR="00F25110" w:rsidRPr="00BD7BB1" w:rsidRDefault="00F25110" w:rsidP="00F25110">
            <w:pPr>
              <w:spacing w:after="120" w:line="360" w:lineRule="auto"/>
              <w:rPr>
                <w:rFonts w:ascii="Times New Roman" w:eastAsia="Calibri" w:hAnsi="Times New Roman"/>
                <w:b/>
                <w:color w:val="auto"/>
                <w:sz w:val="20"/>
                <w:lang w:val="bg-BG"/>
              </w:rPr>
            </w:pPr>
          </w:p>
          <w:p w:rsidR="00F25110" w:rsidRPr="00BD7BB1" w:rsidRDefault="00F25110" w:rsidP="00F25110">
            <w:pPr>
              <w:spacing w:after="120" w:line="360" w:lineRule="auto"/>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tcPr>
          <w:p w:rsidR="00F25110" w:rsidRPr="00BD7BB1" w:rsidRDefault="00F25110" w:rsidP="00F25110">
            <w:pPr>
              <w:spacing w:after="120" w:line="360" w:lineRule="auto"/>
              <w:rPr>
                <w:rFonts w:ascii="Times New Roman" w:eastAsia="Calibri" w:hAnsi="Times New Roman"/>
                <w:b/>
                <w:color w:val="auto"/>
                <w:sz w:val="20"/>
                <w:lang w:val="bg-BG"/>
              </w:rPr>
            </w:pPr>
          </w:p>
          <w:p w:rsidR="00F25110" w:rsidRPr="00BD7BB1" w:rsidRDefault="00F25110" w:rsidP="00F25110">
            <w:pPr>
              <w:spacing w:after="120" w:line="360" w:lineRule="auto"/>
              <w:rPr>
                <w:rFonts w:ascii="Times New Roman" w:eastAsia="Calibri" w:hAnsi="Times New Roman"/>
                <w:b/>
                <w:color w:val="auto"/>
                <w:sz w:val="20"/>
                <w:lang w:val="bg-BG"/>
              </w:rPr>
            </w:pPr>
            <w:r w:rsidRPr="00BD7BB1">
              <w:rPr>
                <w:rFonts w:ascii="Times New Roman" w:eastAsia="Calibri" w:hAnsi="Times New Roman"/>
                <w:b/>
                <w:color w:val="auto"/>
                <w:sz w:val="20"/>
                <w:lang w:val="bg-BG"/>
              </w:rPr>
              <w:t>12</w:t>
            </w:r>
          </w:p>
        </w:tc>
        <w:tc>
          <w:tcPr>
            <w:tcW w:w="993" w:type="dxa"/>
            <w:shd w:val="clear" w:color="auto" w:fill="auto"/>
            <w:noWrap/>
          </w:tcPr>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r w:rsidRPr="00BD7BB1">
              <w:rPr>
                <w:rFonts w:ascii="Times New Roman" w:eastAsia="Calibri" w:hAnsi="Times New Roman"/>
                <w:b/>
                <w:color w:val="auto"/>
                <w:sz w:val="20"/>
                <w:lang w:val="bg-BG"/>
              </w:rPr>
              <w:t>20</w:t>
            </w:r>
          </w:p>
        </w:tc>
        <w:tc>
          <w:tcPr>
            <w:tcW w:w="2409" w:type="dxa"/>
            <w:gridSpan w:val="2"/>
            <w:shd w:val="clear" w:color="auto" w:fill="auto"/>
            <w:vAlign w:val="center"/>
          </w:tcPr>
          <w:p w:rsidR="00F25110" w:rsidRPr="00BD7BB1" w:rsidRDefault="00F25110" w:rsidP="00F25110">
            <w:pPr>
              <w:spacing w:after="120" w:line="360" w:lineRule="auto"/>
              <w:jc w:val="center"/>
              <w:rPr>
                <w:rFonts w:ascii="Times New Roman" w:eastAsia="Calibri" w:hAnsi="Times New Roman"/>
                <w:bCs/>
                <w:color w:val="auto"/>
                <w:sz w:val="20"/>
                <w:lang w:val="bg-BG"/>
              </w:rPr>
            </w:pPr>
          </w:p>
          <w:p w:rsidR="00F25110" w:rsidRPr="00BD7BB1" w:rsidRDefault="00F25110" w:rsidP="00F25110">
            <w:pPr>
              <w:spacing w:after="120" w:line="360" w:lineRule="auto"/>
              <w:jc w:val="center"/>
              <w:rPr>
                <w:rFonts w:ascii="Times New Roman" w:eastAsia="Calibri" w:hAnsi="Times New Roman"/>
                <w:b/>
                <w:bCs/>
                <w:color w:val="auto"/>
                <w:sz w:val="20"/>
                <w:lang w:val="bg-BG"/>
              </w:rPr>
            </w:pPr>
            <w:r w:rsidRPr="00BD7BB1">
              <w:rPr>
                <w:rFonts w:ascii="Times New Roman" w:eastAsia="Calibri" w:hAnsi="Times New Roman"/>
                <w:b/>
                <w:bCs/>
                <w:color w:val="auto"/>
                <w:sz w:val="20"/>
                <w:lang w:val="bg-BG"/>
              </w:rPr>
              <w:t>6,1%</w:t>
            </w:r>
          </w:p>
          <w:p w:rsidR="00F25110" w:rsidRPr="00BD7BB1" w:rsidRDefault="00F25110" w:rsidP="00F25110">
            <w:pPr>
              <w:spacing w:after="120"/>
              <w:jc w:val="both"/>
              <w:rPr>
                <w:rFonts w:ascii="Times New Roman" w:eastAsia="Calibri" w:hAnsi="Times New Roman"/>
                <w:bCs/>
                <w:color w:val="auto"/>
                <w:sz w:val="20"/>
                <w:lang w:val="bg-BG"/>
              </w:rPr>
            </w:pP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ИСУН</w:t>
            </w:r>
          </w:p>
          <w:p w:rsidR="00F25110" w:rsidRPr="00BD7BB1" w:rsidRDefault="00F25110" w:rsidP="00F25110">
            <w:pPr>
              <w:spacing w:after="120"/>
              <w:contextualSpacing/>
              <w:jc w:val="center"/>
              <w:rPr>
                <w:rFonts w:ascii="Times New Roman" w:eastAsia="Calibri" w:hAnsi="Times New Roman"/>
                <w:color w:val="auto"/>
                <w:sz w:val="20"/>
                <w:lang w:val="bg-BG"/>
              </w:rPr>
            </w:pPr>
          </w:p>
        </w:tc>
      </w:tr>
      <w:tr w:rsidR="00F25110" w:rsidRPr="00BD7BB1" w:rsidTr="006614F6">
        <w:trPr>
          <w:trHeight w:val="270"/>
        </w:trPr>
        <w:tc>
          <w:tcPr>
            <w:tcW w:w="408" w:type="dxa"/>
            <w:shd w:val="clear" w:color="auto" w:fill="auto"/>
            <w:noWrap/>
            <w:vAlign w:val="center"/>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iCs/>
                <w:color w:val="auto"/>
                <w:sz w:val="20"/>
                <w:lang w:val="bg-BG"/>
              </w:rPr>
            </w:pPr>
            <w:r w:rsidRPr="00BD7BB1">
              <w:rPr>
                <w:rFonts w:ascii="Times New Roman" w:eastAsia="Calibri" w:hAnsi="Times New Roman"/>
                <w:iCs/>
                <w:color w:val="auto"/>
                <w:sz w:val="20"/>
                <w:lang w:val="bg-BG"/>
              </w:rPr>
              <w:t>Дял на населението с подобрена транспортна и комуникационна свързаност в агломерационните ареали на големите градове – в %</w:t>
            </w:r>
          </w:p>
          <w:p w:rsidR="00F25110" w:rsidRPr="00BD7BB1" w:rsidRDefault="00F25110" w:rsidP="00F25110">
            <w:pPr>
              <w:spacing w:after="120"/>
              <w:contextualSpacing/>
              <w:jc w:val="center"/>
              <w:rPr>
                <w:rFonts w:ascii="Times New Roman" w:eastAsia="Calibri" w:hAnsi="Times New Roman"/>
                <w:iCs/>
                <w:color w:val="auto"/>
                <w:sz w:val="20"/>
                <w:lang w:val="bg-BG"/>
              </w:rPr>
            </w:pPr>
          </w:p>
        </w:tc>
        <w:tc>
          <w:tcPr>
            <w:tcW w:w="993" w:type="dxa"/>
            <w:shd w:val="clear" w:color="auto" w:fill="auto"/>
            <w:noWrap/>
          </w:tcPr>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30</w:t>
            </w: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40</w:t>
            </w:r>
          </w:p>
        </w:tc>
        <w:tc>
          <w:tcPr>
            <w:tcW w:w="2409" w:type="dxa"/>
            <w:gridSpan w:val="2"/>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31, 56 %</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iCs/>
                <w:color w:val="auto"/>
                <w:sz w:val="20"/>
                <w:lang w:val="bg-BG"/>
              </w:rPr>
              <w:t>населението</w:t>
            </w:r>
            <w:r w:rsidRPr="00BD7BB1">
              <w:rPr>
                <w:rFonts w:ascii="Times New Roman" w:eastAsia="Calibri" w:hAnsi="Times New Roman"/>
                <w:color w:val="auto"/>
                <w:sz w:val="20"/>
                <w:lang w:val="bg-BG"/>
              </w:rPr>
              <w:t xml:space="preserve"> на двата големи  градски центрове  Бургас и Ст.Загора</w:t>
            </w: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МРР, ИСУН</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w:t>
            </w:r>
          </w:p>
        </w:tc>
        <w:tc>
          <w:tcPr>
            <w:tcW w:w="3987" w:type="dxa"/>
            <w:gridSpan w:val="2"/>
            <w:shd w:val="clear" w:color="auto" w:fill="auto"/>
            <w:noWrap/>
          </w:tcPr>
          <w:p w:rsidR="00F25110" w:rsidRPr="00BD7BB1" w:rsidRDefault="00F25110" w:rsidP="00F25110">
            <w:pPr>
              <w:spacing w:after="120"/>
              <w:contextualSpacing/>
              <w:jc w:val="both"/>
              <w:rPr>
                <w:rFonts w:ascii="Times New Roman" w:eastAsia="Calibri" w:hAnsi="Times New Roman"/>
                <w:iCs/>
                <w:color w:val="auto"/>
                <w:sz w:val="20"/>
                <w:lang w:val="bg-BG"/>
              </w:rPr>
            </w:pPr>
            <w:r w:rsidRPr="00BD7BB1">
              <w:rPr>
                <w:rFonts w:ascii="Times New Roman" w:eastAsia="Calibri" w:hAnsi="Times New Roman"/>
                <w:iCs/>
                <w:color w:val="auto"/>
                <w:sz w:val="20"/>
                <w:lang w:val="bg-BG"/>
              </w:rPr>
              <w:t>Намаление на енергийното потребление в обществени сгради – в %</w:t>
            </w:r>
          </w:p>
          <w:p w:rsidR="00F25110" w:rsidRPr="00BD7BB1" w:rsidRDefault="00F25110" w:rsidP="00F25110">
            <w:pPr>
              <w:spacing w:after="120"/>
              <w:contextualSpacing/>
              <w:jc w:val="both"/>
              <w:rPr>
                <w:rFonts w:ascii="Times New Roman" w:eastAsia="Calibri" w:hAnsi="Times New Roman"/>
                <w:iCs/>
                <w:color w:val="auto"/>
                <w:sz w:val="20"/>
                <w:lang w:val="bg-BG"/>
              </w:rPr>
            </w:pP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color w:val="auto"/>
                <w:sz w:val="20"/>
                <w:lang w:val="bg-BG"/>
              </w:rPr>
            </w:pPr>
          </w:p>
          <w:p w:rsidR="00F25110" w:rsidRPr="00BD7BB1" w:rsidRDefault="00F25110" w:rsidP="00F25110">
            <w:pPr>
              <w:spacing w:after="120"/>
              <w:contextualSpacing/>
              <w:jc w:val="center"/>
              <w:rPr>
                <w:rFonts w:ascii="Times New Roman" w:eastAsia="Calibri" w:hAnsi="Times New Roman"/>
                <w:color w:val="auto"/>
                <w:sz w:val="20"/>
                <w:lang w:val="bg-BG"/>
              </w:rPr>
            </w:pPr>
          </w:p>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n</w:t>
            </w:r>
            <w:r w:rsidRPr="00BD7BB1">
              <w:rPr>
                <w:rFonts w:ascii="Times New Roman" w:eastAsia="Calibri" w:hAnsi="Times New Roman"/>
                <w:b/>
                <w:color w:val="auto"/>
                <w:sz w:val="20"/>
                <w:lang w:val="bg-BG"/>
              </w:rPr>
              <w:t>/a</w:t>
            </w:r>
          </w:p>
        </w:tc>
        <w:tc>
          <w:tcPr>
            <w:tcW w:w="1275" w:type="dxa"/>
            <w:shd w:val="clear" w:color="auto" w:fill="auto"/>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20</w:t>
            </w: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33</w:t>
            </w:r>
          </w:p>
        </w:tc>
        <w:tc>
          <w:tcPr>
            <w:tcW w:w="2409" w:type="dxa"/>
            <w:gridSpan w:val="2"/>
            <w:shd w:val="clear" w:color="auto" w:fill="auto"/>
          </w:tcPr>
          <w:p w:rsidR="00F25110" w:rsidRPr="00BD7BB1" w:rsidRDefault="00F25110" w:rsidP="00F25110">
            <w:pPr>
              <w:spacing w:after="120" w:line="360" w:lineRule="auto"/>
              <w:jc w:val="center"/>
              <w:rPr>
                <w:rFonts w:ascii="Times New Roman" w:eastAsia="Calibri" w:hAnsi="Times New Roman"/>
                <w:b/>
                <w:iCs/>
                <w:color w:val="auto"/>
                <w:sz w:val="20"/>
                <w:lang w:val="bg-BG"/>
              </w:rPr>
            </w:pPr>
          </w:p>
          <w:p w:rsidR="00F25110" w:rsidRPr="00BD7BB1" w:rsidRDefault="00F25110" w:rsidP="00F25110">
            <w:pPr>
              <w:spacing w:after="120" w:line="360" w:lineRule="auto"/>
              <w:jc w:val="center"/>
              <w:rPr>
                <w:rFonts w:ascii="Times New Roman" w:eastAsia="Calibri" w:hAnsi="Times New Roman"/>
                <w:b/>
                <w:iCs/>
                <w:color w:val="auto"/>
                <w:sz w:val="20"/>
                <w:lang w:val="bg-BG"/>
              </w:rPr>
            </w:pPr>
            <w:r w:rsidRPr="00BD7BB1">
              <w:rPr>
                <w:rFonts w:ascii="Times New Roman" w:eastAsia="Calibri" w:hAnsi="Times New Roman"/>
                <w:b/>
                <w:iCs/>
                <w:color w:val="auto"/>
                <w:sz w:val="20"/>
                <w:lang w:val="bg-BG"/>
              </w:rPr>
              <w:t xml:space="preserve">32 бр. </w:t>
            </w:r>
          </w:p>
          <w:p w:rsidR="00F25110" w:rsidRPr="00BD7BB1" w:rsidRDefault="00F25110" w:rsidP="00F25110">
            <w:pPr>
              <w:spacing w:after="120" w:line="360" w:lineRule="auto"/>
              <w:jc w:val="center"/>
              <w:rPr>
                <w:rFonts w:ascii="Times New Roman" w:eastAsia="Calibri" w:hAnsi="Times New Roman"/>
                <w:iCs/>
                <w:color w:val="auto"/>
                <w:sz w:val="20"/>
                <w:lang w:val="bg-BG"/>
              </w:rPr>
            </w:pPr>
            <w:r w:rsidRPr="00BD7BB1">
              <w:rPr>
                <w:rFonts w:ascii="Times New Roman" w:eastAsia="Calibri" w:hAnsi="Times New Roman"/>
                <w:iCs/>
                <w:color w:val="auto"/>
                <w:sz w:val="20"/>
                <w:lang w:val="bg-BG"/>
              </w:rPr>
              <w:t>санирани сгради  по МФ Козлодуй, НДЕФ, ПРСР през 2014г.</w:t>
            </w: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iCs/>
                <w:color w:val="auto"/>
                <w:sz w:val="20"/>
                <w:lang w:val="bg-BG"/>
              </w:rPr>
              <w:t xml:space="preserve"> 66 бр</w:t>
            </w:r>
            <w:r w:rsidRPr="00BD7BB1">
              <w:rPr>
                <w:rFonts w:ascii="Times New Roman" w:eastAsia="Calibri" w:hAnsi="Times New Roman"/>
                <w:iCs/>
                <w:color w:val="auto"/>
                <w:sz w:val="20"/>
                <w:lang w:val="bg-BG"/>
              </w:rPr>
              <w:t>. общо проекти за енергийна ефективност по ОПРБКИ 2007-2013г. до 31.12.2014г.</w:t>
            </w:r>
          </w:p>
        </w:tc>
        <w:tc>
          <w:tcPr>
            <w:tcW w:w="1418" w:type="dxa"/>
            <w:gridSpan w:val="2"/>
            <w:shd w:val="clear" w:color="auto" w:fill="auto"/>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МИЕ, АУЕР</w:t>
            </w:r>
          </w:p>
        </w:tc>
      </w:tr>
      <w:tr w:rsidR="00755E49" w:rsidRPr="00BD7BB1" w:rsidTr="00755E49">
        <w:trPr>
          <w:trHeight w:val="270"/>
        </w:trPr>
        <w:tc>
          <w:tcPr>
            <w:tcW w:w="11483" w:type="dxa"/>
            <w:gridSpan w:val="10"/>
            <w:shd w:val="clear" w:color="auto" w:fill="F4B29B" w:themeFill="accent1" w:themeFillTint="66"/>
          </w:tcPr>
          <w:p w:rsidR="00F25110" w:rsidRPr="00BD7BB1" w:rsidRDefault="00F25110" w:rsidP="00F25110">
            <w:pPr>
              <w:spacing w:after="120" w:line="240" w:lineRule="auto"/>
              <w:jc w:val="both"/>
              <w:rPr>
                <w:rFonts w:ascii="Times New Roman" w:eastAsia="Calibri" w:hAnsi="Times New Roman"/>
                <w:b/>
                <w:color w:val="auto"/>
                <w:sz w:val="20"/>
                <w:lang w:val="bg-BG"/>
              </w:rPr>
            </w:pPr>
            <w:r w:rsidRPr="00755E49">
              <w:rPr>
                <w:rFonts w:ascii="Times New Roman" w:eastAsia="Calibri" w:hAnsi="Times New Roman"/>
                <w:b/>
                <w:color w:val="9B2D1F" w:themeColor="accent2"/>
                <w:sz w:val="20"/>
                <w:lang w:val="bg-BG"/>
              </w:rPr>
              <w:t xml:space="preserve">Приоритет </w:t>
            </w:r>
            <w:r w:rsidRPr="00755E49">
              <w:rPr>
                <w:rFonts w:ascii="Times New Roman" w:eastAsia="Calibri" w:hAnsi="Times New Roman"/>
                <w:b/>
                <w:bCs/>
                <w:color w:val="9B2D1F" w:themeColor="accent2"/>
                <w:sz w:val="20"/>
                <w:lang w:val="bg-BG"/>
              </w:rPr>
              <w:t>2. Подобряване свързаността на Югоизточен район в национален и международен план.</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p>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Дължина на АМ и РПМ I клас, в км</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684</w:t>
            </w:r>
          </w:p>
          <w:p w:rsidR="00F25110" w:rsidRPr="00BD7BB1" w:rsidRDefault="00F25110" w:rsidP="00F25110">
            <w:pPr>
              <w:spacing w:after="120"/>
              <w:contextualSpacing/>
              <w:jc w:val="center"/>
              <w:rPr>
                <w:rFonts w:ascii="Times New Roman" w:eastAsia="Calibri" w:hAnsi="Times New Roman"/>
                <w:i/>
                <w:color w:val="auto"/>
                <w:sz w:val="20"/>
                <w:lang w:val="bg-BG"/>
              </w:rPr>
            </w:pPr>
            <w:r w:rsidRPr="00BD7BB1">
              <w:rPr>
                <w:rFonts w:ascii="Times New Roman" w:eastAsia="Calibri" w:hAnsi="Times New Roman"/>
                <w:i/>
                <w:color w:val="auto"/>
                <w:sz w:val="20"/>
                <w:lang w:val="bg-BG"/>
              </w:rPr>
              <w:t>(2011 г.)</w:t>
            </w:r>
          </w:p>
        </w:tc>
        <w:tc>
          <w:tcPr>
            <w:tcW w:w="1275" w:type="dxa"/>
            <w:shd w:val="clear" w:color="auto" w:fill="auto"/>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750</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821</w:t>
            </w:r>
          </w:p>
        </w:tc>
        <w:tc>
          <w:tcPr>
            <w:tcW w:w="2409"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802 км.</w:t>
            </w:r>
          </w:p>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към</w:t>
            </w:r>
            <w:r w:rsidRPr="00BD7BB1">
              <w:rPr>
                <w:rFonts w:ascii="Times New Roman" w:eastAsia="Calibri" w:hAnsi="Times New Roman"/>
                <w:b/>
                <w:color w:val="auto"/>
                <w:sz w:val="20"/>
                <w:lang w:val="bg-BG"/>
              </w:rPr>
              <w:t xml:space="preserve"> </w:t>
            </w:r>
            <w:r w:rsidRPr="00BD7BB1">
              <w:rPr>
                <w:rFonts w:ascii="Times New Roman" w:eastAsia="Calibri" w:hAnsi="Times New Roman"/>
                <w:color w:val="auto"/>
                <w:sz w:val="20"/>
                <w:lang w:val="bg-BG"/>
              </w:rPr>
              <w:t>31.12.2014г.</w:t>
            </w: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p>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Население с подобрен транспортен достъп, в %</w:t>
            </w:r>
          </w:p>
        </w:tc>
        <w:tc>
          <w:tcPr>
            <w:tcW w:w="993" w:type="dxa"/>
            <w:shd w:val="clear" w:color="auto" w:fill="auto"/>
            <w:noWrap/>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18</w:t>
            </w: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25</w:t>
            </w:r>
          </w:p>
        </w:tc>
        <w:tc>
          <w:tcPr>
            <w:tcW w:w="2409" w:type="dxa"/>
            <w:gridSpan w:val="2"/>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8,61 %</w:t>
            </w:r>
            <w:r w:rsidRPr="00BD7BB1">
              <w:rPr>
                <w:rFonts w:ascii="Times New Roman" w:eastAsia="Calibri" w:hAnsi="Times New Roman"/>
                <w:color w:val="auto"/>
                <w:sz w:val="20"/>
                <w:lang w:val="bg-BG"/>
              </w:rPr>
              <w:t xml:space="preserve"> </w:t>
            </w: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от населението на ЮИР</w:t>
            </w: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АПИ, ИСУН,</w:t>
            </w:r>
          </w:p>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Общини</w:t>
            </w:r>
          </w:p>
          <w:p w:rsidR="00F25110" w:rsidRPr="00BD7BB1" w:rsidRDefault="00F25110" w:rsidP="00F25110">
            <w:pPr>
              <w:spacing w:after="120"/>
              <w:contextualSpacing/>
              <w:jc w:val="center"/>
              <w:rPr>
                <w:rFonts w:ascii="Times New Roman" w:eastAsia="Calibri" w:hAnsi="Times New Roman"/>
                <w:color w:val="auto"/>
                <w:sz w:val="20"/>
                <w:lang w:val="bg-BG"/>
              </w:rPr>
            </w:pP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Рехабилитирана/реконструирана / ремонт на  пътна мрежа, в км</w:t>
            </w:r>
          </w:p>
        </w:tc>
        <w:tc>
          <w:tcPr>
            <w:tcW w:w="993" w:type="dxa"/>
            <w:shd w:val="clear" w:color="auto" w:fill="auto"/>
            <w:noWrap/>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280</w:t>
            </w: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500</w:t>
            </w:r>
          </w:p>
        </w:tc>
        <w:tc>
          <w:tcPr>
            <w:tcW w:w="2409" w:type="dxa"/>
            <w:gridSpan w:val="2"/>
            <w:shd w:val="clear" w:color="auto" w:fill="auto"/>
            <w:vAlign w:val="center"/>
          </w:tcPr>
          <w:p w:rsidR="00F25110" w:rsidRPr="00BD7BB1" w:rsidRDefault="00F25110" w:rsidP="00F25110">
            <w:pPr>
              <w:spacing w:after="120" w:line="240" w:lineRule="auto"/>
              <w:rPr>
                <w:rFonts w:ascii="Times New Roman" w:eastAsia="Calibri" w:hAnsi="Times New Roman"/>
                <w:b/>
                <w:color w:val="auto"/>
                <w:sz w:val="20"/>
                <w:lang w:val="bg-BG"/>
              </w:rPr>
            </w:pPr>
          </w:p>
          <w:p w:rsidR="00F25110" w:rsidRPr="00BD7BB1" w:rsidRDefault="00F25110" w:rsidP="00F25110">
            <w:pPr>
              <w:spacing w:after="120" w:line="24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283,48 км</w:t>
            </w:r>
          </w:p>
          <w:p w:rsidR="00F25110" w:rsidRPr="00BD7BB1" w:rsidRDefault="00F25110" w:rsidP="00F25110">
            <w:pPr>
              <w:spacing w:after="120" w:line="240" w:lineRule="auto"/>
              <w:rPr>
                <w:rFonts w:ascii="Times New Roman" w:eastAsia="Calibri" w:hAnsi="Times New Roman"/>
                <w:color w:val="auto"/>
                <w:sz w:val="20"/>
                <w:lang w:val="bg-BG"/>
              </w:rPr>
            </w:pPr>
            <w:r w:rsidRPr="00BD7BB1">
              <w:rPr>
                <w:rFonts w:ascii="Times New Roman" w:eastAsia="Calibri" w:hAnsi="Times New Roman"/>
                <w:b/>
                <w:color w:val="auto"/>
                <w:sz w:val="20"/>
                <w:lang w:val="bg-BG"/>
              </w:rPr>
              <w:t>11</w:t>
            </w:r>
            <w:r w:rsidRPr="00BD7BB1">
              <w:rPr>
                <w:rFonts w:ascii="Times New Roman" w:eastAsia="Calibri" w:hAnsi="Times New Roman"/>
                <w:b/>
                <w:color w:val="auto"/>
                <w:sz w:val="20"/>
              </w:rPr>
              <w:t>8</w:t>
            </w:r>
            <w:r w:rsidRPr="00BD7BB1">
              <w:rPr>
                <w:rFonts w:ascii="Times New Roman" w:eastAsia="Calibri" w:hAnsi="Times New Roman"/>
                <w:b/>
                <w:color w:val="auto"/>
                <w:sz w:val="20"/>
                <w:lang w:val="bg-BG"/>
              </w:rPr>
              <w:t>,2</w:t>
            </w:r>
            <w:r w:rsidRPr="00BD7BB1">
              <w:rPr>
                <w:rFonts w:ascii="Times New Roman" w:eastAsia="Calibri" w:hAnsi="Times New Roman"/>
                <w:b/>
                <w:color w:val="auto"/>
                <w:sz w:val="20"/>
              </w:rPr>
              <w:t>7</w:t>
            </w:r>
            <w:r w:rsidRPr="00BD7BB1">
              <w:rPr>
                <w:rFonts w:ascii="Times New Roman" w:eastAsia="Calibri" w:hAnsi="Times New Roman"/>
                <w:b/>
                <w:color w:val="auto"/>
                <w:sz w:val="20"/>
                <w:lang w:val="bg-BG"/>
              </w:rPr>
              <w:t xml:space="preserve"> км. /</w:t>
            </w:r>
            <w:r w:rsidRPr="00BD7BB1">
              <w:rPr>
                <w:rFonts w:ascii="Times New Roman" w:eastAsia="Calibri" w:hAnsi="Times New Roman"/>
                <w:color w:val="auto"/>
                <w:sz w:val="20"/>
              </w:rPr>
              <w:t xml:space="preserve">I-II </w:t>
            </w:r>
            <w:r w:rsidRPr="00BD7BB1">
              <w:rPr>
                <w:rFonts w:ascii="Times New Roman" w:eastAsia="Calibri" w:hAnsi="Times New Roman"/>
                <w:color w:val="auto"/>
                <w:sz w:val="20"/>
                <w:lang w:val="bg-BG"/>
              </w:rPr>
              <w:t xml:space="preserve">и </w:t>
            </w:r>
            <w:r w:rsidRPr="00BD7BB1">
              <w:rPr>
                <w:rFonts w:ascii="Times New Roman" w:eastAsia="Calibri" w:hAnsi="Times New Roman"/>
                <w:color w:val="auto"/>
                <w:sz w:val="20"/>
              </w:rPr>
              <w:t>III</w:t>
            </w:r>
            <w:r w:rsidRPr="00BD7BB1">
              <w:rPr>
                <w:rFonts w:ascii="Times New Roman" w:eastAsia="Calibri" w:hAnsi="Times New Roman"/>
                <w:color w:val="auto"/>
                <w:sz w:val="20"/>
                <w:lang w:val="bg-BG"/>
              </w:rPr>
              <w:t>клас /</w:t>
            </w:r>
            <w:r w:rsidRPr="00BD7BB1">
              <w:rPr>
                <w:rFonts w:ascii="Times New Roman" w:eastAsia="Calibri" w:hAnsi="Times New Roman"/>
                <w:b/>
                <w:color w:val="auto"/>
                <w:sz w:val="20"/>
                <w:lang w:val="bg-BG"/>
              </w:rPr>
              <w:t>+165,21км.</w:t>
            </w:r>
            <w:r w:rsidRPr="00BD7BB1">
              <w:rPr>
                <w:rFonts w:ascii="Times New Roman" w:eastAsia="Calibri" w:hAnsi="Times New Roman"/>
                <w:color w:val="auto"/>
                <w:sz w:val="20"/>
              </w:rPr>
              <w:t xml:space="preserve"> IV</w:t>
            </w:r>
            <w:r w:rsidRPr="00BD7BB1">
              <w:rPr>
                <w:rFonts w:ascii="Times New Roman" w:eastAsia="Calibri" w:hAnsi="Times New Roman"/>
                <w:color w:val="auto"/>
                <w:sz w:val="20"/>
                <w:lang w:val="bg-BG"/>
              </w:rPr>
              <w:t>клас</w:t>
            </w:r>
          </w:p>
          <w:p w:rsidR="00F25110" w:rsidRPr="00BD7BB1" w:rsidRDefault="00F25110" w:rsidP="00F25110">
            <w:pPr>
              <w:spacing w:after="120" w:line="240" w:lineRule="auto"/>
              <w:jc w:val="both"/>
              <w:rPr>
                <w:rFonts w:ascii="Times New Roman" w:eastAsia="Calibri" w:hAnsi="Times New Roman"/>
                <w:b/>
                <w:color w:val="auto"/>
                <w:sz w:val="20"/>
                <w:lang w:val="bg-BG"/>
              </w:rPr>
            </w:pPr>
          </w:p>
          <w:p w:rsidR="00F25110" w:rsidRPr="00BD7BB1" w:rsidRDefault="00F25110" w:rsidP="00F25110">
            <w:pPr>
              <w:spacing w:after="120"/>
              <w:jc w:val="both"/>
              <w:rPr>
                <w:rFonts w:ascii="Times New Roman" w:eastAsia="Calibri" w:hAnsi="Times New Roman"/>
                <w:color w:val="auto"/>
                <w:sz w:val="24"/>
                <w:szCs w:val="22"/>
                <w:lang w:val="bg-BG"/>
              </w:rPr>
            </w:pP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 АПИ</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4</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iCs/>
                <w:color w:val="auto"/>
                <w:sz w:val="20"/>
                <w:lang w:val="bg-BG"/>
              </w:rPr>
              <w:t>Обща дължина на реконструирана/ рехабилитирана/ изградена / ремонтирана пътна транспортна инфраструктура от II и III клас на РПМ, в %</w:t>
            </w:r>
          </w:p>
        </w:tc>
        <w:tc>
          <w:tcPr>
            <w:tcW w:w="993" w:type="dxa"/>
            <w:shd w:val="clear" w:color="auto" w:fill="auto"/>
            <w:noWrap/>
          </w:tcPr>
          <w:p w:rsidR="00F25110" w:rsidRPr="00BD7BB1" w:rsidRDefault="00F25110" w:rsidP="00F25110">
            <w:pPr>
              <w:spacing w:after="120" w:line="360" w:lineRule="auto"/>
              <w:rPr>
                <w:rFonts w:ascii="Times New Roman" w:eastAsia="Calibri" w:hAnsi="Times New Roman"/>
                <w:b/>
                <w:color w:val="auto"/>
                <w:sz w:val="20"/>
                <w:lang w:val="bg-BG"/>
              </w:rPr>
            </w:pPr>
          </w:p>
          <w:p w:rsidR="00F25110" w:rsidRPr="00BD7BB1" w:rsidRDefault="00F25110" w:rsidP="00F25110">
            <w:pPr>
              <w:spacing w:after="120" w:line="360" w:lineRule="auto"/>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tcPr>
          <w:p w:rsidR="00F25110" w:rsidRPr="00BD7BB1" w:rsidRDefault="00F25110" w:rsidP="00F25110">
            <w:pPr>
              <w:spacing w:after="120" w:line="360" w:lineRule="auto"/>
              <w:rPr>
                <w:rFonts w:ascii="Times New Roman" w:eastAsia="Calibri" w:hAnsi="Times New Roman"/>
                <w:b/>
                <w:color w:val="auto"/>
                <w:sz w:val="20"/>
                <w:lang w:val="bg-BG"/>
              </w:rPr>
            </w:pPr>
          </w:p>
          <w:p w:rsidR="00F25110" w:rsidRPr="00BD7BB1" w:rsidRDefault="00F25110" w:rsidP="00F25110">
            <w:pPr>
              <w:spacing w:after="120" w:line="360" w:lineRule="auto"/>
              <w:rPr>
                <w:rFonts w:ascii="Times New Roman" w:eastAsia="Calibri" w:hAnsi="Times New Roman"/>
                <w:b/>
                <w:color w:val="auto"/>
                <w:sz w:val="20"/>
                <w:lang w:val="bg-BG"/>
              </w:rPr>
            </w:pPr>
            <w:r w:rsidRPr="00BD7BB1">
              <w:rPr>
                <w:rFonts w:ascii="Times New Roman" w:eastAsia="Calibri" w:hAnsi="Times New Roman"/>
                <w:b/>
                <w:color w:val="auto"/>
                <w:sz w:val="20"/>
                <w:lang w:val="bg-BG"/>
              </w:rPr>
              <w:t>20</w:t>
            </w:r>
          </w:p>
        </w:tc>
        <w:tc>
          <w:tcPr>
            <w:tcW w:w="993" w:type="dxa"/>
            <w:shd w:val="clear" w:color="auto" w:fill="auto"/>
            <w:noWrap/>
          </w:tcPr>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p>
          <w:p w:rsidR="00F25110" w:rsidRPr="00BD7BB1" w:rsidRDefault="00F25110" w:rsidP="00F25110">
            <w:pPr>
              <w:spacing w:after="120"/>
              <w:contextualSpacing/>
              <w:rPr>
                <w:rFonts w:ascii="Times New Roman" w:eastAsia="Calibri" w:hAnsi="Times New Roman"/>
                <w:b/>
                <w:color w:val="auto"/>
                <w:sz w:val="20"/>
                <w:lang w:val="bg-BG"/>
              </w:rPr>
            </w:pPr>
            <w:r w:rsidRPr="00BD7BB1">
              <w:rPr>
                <w:rFonts w:ascii="Times New Roman" w:eastAsia="Calibri" w:hAnsi="Times New Roman"/>
                <w:b/>
                <w:color w:val="auto"/>
                <w:sz w:val="20"/>
                <w:lang w:val="bg-BG"/>
              </w:rPr>
              <w:t>35</w:t>
            </w:r>
          </w:p>
        </w:tc>
        <w:tc>
          <w:tcPr>
            <w:tcW w:w="2409" w:type="dxa"/>
            <w:gridSpan w:val="2"/>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13,28 %</w:t>
            </w:r>
          </w:p>
          <w:p w:rsidR="00F25110" w:rsidRPr="00BD7BB1" w:rsidRDefault="00F25110" w:rsidP="00F25110">
            <w:pPr>
              <w:spacing w:after="120" w:line="360" w:lineRule="auto"/>
              <w:jc w:val="both"/>
              <w:rPr>
                <w:rFonts w:ascii="Times New Roman" w:eastAsia="Calibri" w:hAnsi="Times New Roman"/>
                <w:color w:val="auto"/>
                <w:sz w:val="20"/>
                <w:lang w:val="bg-BG"/>
              </w:rPr>
            </w:pP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 АПИ</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5</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iCs/>
                <w:color w:val="auto"/>
                <w:sz w:val="20"/>
                <w:lang w:val="bg-BG"/>
              </w:rPr>
              <w:t>Обща дължина на реконструирани или подобрени ж.п. линии, в %</w:t>
            </w:r>
          </w:p>
        </w:tc>
        <w:tc>
          <w:tcPr>
            <w:tcW w:w="993" w:type="dxa"/>
            <w:shd w:val="clear" w:color="auto" w:fill="auto"/>
            <w:noWrap/>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15</w:t>
            </w: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25</w:t>
            </w:r>
          </w:p>
        </w:tc>
        <w:tc>
          <w:tcPr>
            <w:tcW w:w="2409" w:type="dxa"/>
            <w:gridSpan w:val="2"/>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 xml:space="preserve">28,8% </w:t>
            </w:r>
          </w:p>
          <w:p w:rsidR="00F25110" w:rsidRPr="00BD7BB1" w:rsidRDefault="00F25110" w:rsidP="00F25110">
            <w:pPr>
              <w:spacing w:after="120" w:line="360" w:lineRule="auto"/>
              <w:jc w:val="center"/>
              <w:rPr>
                <w:rFonts w:ascii="Times New Roman" w:eastAsia="Calibri" w:hAnsi="Times New Roman"/>
                <w:color w:val="auto"/>
                <w:sz w:val="20"/>
                <w:lang w:val="bg-BG"/>
              </w:rPr>
            </w:pP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 НКЖИ</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6</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Относителен дял на домакинствата с достъп до интернет, вкл. и широколентова връзка от общото за страната, в %</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24</w:t>
            </w:r>
          </w:p>
          <w:p w:rsidR="00F25110" w:rsidRPr="00BD7BB1" w:rsidRDefault="00F25110" w:rsidP="00F25110">
            <w:pPr>
              <w:spacing w:after="120"/>
              <w:contextualSpacing/>
              <w:jc w:val="center"/>
              <w:rPr>
                <w:rFonts w:ascii="Times New Roman" w:eastAsia="Calibri" w:hAnsi="Times New Roman"/>
                <w:i/>
                <w:color w:val="auto"/>
                <w:sz w:val="20"/>
                <w:lang w:val="bg-BG"/>
              </w:rPr>
            </w:pPr>
            <w:r w:rsidRPr="00BD7BB1">
              <w:rPr>
                <w:rFonts w:ascii="Times New Roman" w:eastAsia="Calibri" w:hAnsi="Times New Roman"/>
                <w:i/>
                <w:color w:val="auto"/>
                <w:sz w:val="20"/>
                <w:lang w:val="bg-BG"/>
              </w:rPr>
              <w:t>( 2011 г.)</w:t>
            </w:r>
          </w:p>
          <w:p w:rsidR="00F25110" w:rsidRPr="00BD7BB1" w:rsidRDefault="00F25110" w:rsidP="00F25110">
            <w:pPr>
              <w:spacing w:after="120"/>
              <w:contextualSpacing/>
              <w:jc w:val="center"/>
              <w:rPr>
                <w:rFonts w:ascii="Times New Roman" w:eastAsia="Calibri" w:hAnsi="Times New Roman"/>
                <w:color w:val="auto"/>
                <w:sz w:val="20"/>
                <w:lang w:val="bg-BG"/>
              </w:rPr>
            </w:pP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50</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75</w:t>
            </w:r>
          </w:p>
        </w:tc>
        <w:tc>
          <w:tcPr>
            <w:tcW w:w="2409" w:type="dxa"/>
            <w:gridSpan w:val="2"/>
            <w:shd w:val="clear" w:color="auto" w:fill="auto"/>
            <w:vAlign w:val="bottom"/>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52,7 %</w:t>
            </w:r>
          </w:p>
          <w:p w:rsidR="00F25110" w:rsidRPr="00BD7BB1" w:rsidRDefault="00F25110" w:rsidP="00F25110">
            <w:pPr>
              <w:spacing w:after="120" w:line="360" w:lineRule="auto"/>
              <w:jc w:val="center"/>
              <w:rPr>
                <w:rFonts w:ascii="Times New Roman" w:eastAsia="Calibri" w:hAnsi="Times New Roman"/>
                <w:color w:val="auto"/>
                <w:sz w:val="20"/>
                <w:lang w:val="bg-BG"/>
              </w:rPr>
            </w:pP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НСИ, Евростат</w:t>
            </w:r>
          </w:p>
        </w:tc>
      </w:tr>
      <w:tr w:rsidR="00755E49" w:rsidRPr="00BD7BB1" w:rsidTr="00755E49">
        <w:trPr>
          <w:trHeight w:val="270"/>
        </w:trPr>
        <w:tc>
          <w:tcPr>
            <w:tcW w:w="11483" w:type="dxa"/>
            <w:gridSpan w:val="10"/>
            <w:shd w:val="clear" w:color="auto" w:fill="F4B29B" w:themeFill="accent1" w:themeFillTint="66"/>
            <w:vAlign w:val="center"/>
          </w:tcPr>
          <w:p w:rsidR="00F25110" w:rsidRPr="00BD7BB1" w:rsidRDefault="00F25110" w:rsidP="00F25110">
            <w:pPr>
              <w:spacing w:after="120" w:line="240" w:lineRule="auto"/>
              <w:jc w:val="center"/>
              <w:rPr>
                <w:rFonts w:ascii="Times New Roman" w:eastAsia="Calibri" w:hAnsi="Times New Roman"/>
                <w:b/>
                <w:color w:val="auto"/>
                <w:sz w:val="20"/>
                <w:lang w:val="bg-BG"/>
              </w:rPr>
            </w:pPr>
            <w:r w:rsidRPr="00755E49">
              <w:rPr>
                <w:rFonts w:ascii="Times New Roman" w:eastAsia="Calibri" w:hAnsi="Times New Roman"/>
                <w:b/>
                <w:color w:val="9B2D1F" w:themeColor="accent2"/>
                <w:sz w:val="20"/>
                <w:lang w:val="bg-BG"/>
              </w:rPr>
              <w:t xml:space="preserve">Приоритет </w:t>
            </w:r>
            <w:r w:rsidRPr="00755E49">
              <w:rPr>
                <w:rFonts w:ascii="Times New Roman" w:eastAsia="Calibri" w:hAnsi="Times New Roman"/>
                <w:b/>
                <w:bCs/>
                <w:color w:val="9B2D1F" w:themeColor="accent2"/>
                <w:sz w:val="20"/>
                <w:lang w:val="bg-BG"/>
              </w:rPr>
              <w:t>3. Подобряване качеството на живот в селските райони.</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1</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Проекти за подобряване качеството на средата и  живота в селските райони, в бр.</w:t>
            </w:r>
          </w:p>
        </w:tc>
        <w:tc>
          <w:tcPr>
            <w:tcW w:w="993" w:type="dxa"/>
            <w:shd w:val="clear" w:color="auto" w:fill="auto"/>
            <w:noWrap/>
          </w:tcPr>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60</w:t>
            </w:r>
          </w:p>
        </w:tc>
        <w:tc>
          <w:tcPr>
            <w:tcW w:w="993" w:type="dxa"/>
            <w:shd w:val="clear" w:color="auto" w:fill="auto"/>
            <w:noWrap/>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100</w:t>
            </w:r>
          </w:p>
        </w:tc>
        <w:tc>
          <w:tcPr>
            <w:tcW w:w="2409" w:type="dxa"/>
            <w:gridSpan w:val="2"/>
            <w:shd w:val="clear" w:color="auto" w:fill="auto"/>
            <w:vAlign w:val="center"/>
          </w:tcPr>
          <w:p w:rsidR="00F25110" w:rsidRPr="00BD7BB1" w:rsidRDefault="00F25110" w:rsidP="00F25110">
            <w:pPr>
              <w:spacing w:after="120"/>
              <w:contextualSpacing/>
              <w:jc w:val="both"/>
              <w:rPr>
                <w:rFonts w:ascii="Times New Roman" w:eastAsia="Calibri" w:hAnsi="Times New Roman"/>
                <w:b/>
                <w:color w:val="auto"/>
                <w:sz w:val="20"/>
                <w:lang w:val="bg-BG"/>
              </w:rPr>
            </w:pPr>
            <w:r w:rsidRPr="00BD7BB1">
              <w:rPr>
                <w:rFonts w:ascii="Times New Roman" w:eastAsia="Calibri" w:hAnsi="Times New Roman"/>
                <w:b/>
                <w:color w:val="auto"/>
                <w:sz w:val="20"/>
                <w:lang w:val="bg-BG"/>
              </w:rPr>
              <w:t xml:space="preserve">                90       </w:t>
            </w:r>
          </w:p>
          <w:p w:rsidR="00F25110" w:rsidRPr="00BD7BB1" w:rsidRDefault="00F25110" w:rsidP="00F25110">
            <w:pPr>
              <w:spacing w:after="120"/>
              <w:contextualSpacing/>
              <w:jc w:val="both"/>
              <w:rPr>
                <w:rFonts w:ascii="Times New Roman" w:eastAsia="Calibri" w:hAnsi="Times New Roman"/>
                <w:color w:val="auto"/>
                <w:sz w:val="20"/>
                <w:lang w:val="bg-BG"/>
              </w:rPr>
            </w:pPr>
          </w:p>
          <w:p w:rsidR="00F25110" w:rsidRPr="00BD7BB1" w:rsidRDefault="00F25110" w:rsidP="00F25110">
            <w:pPr>
              <w:spacing w:after="120"/>
              <w:contextualSpacing/>
              <w:jc w:val="center"/>
              <w:rPr>
                <w:rFonts w:ascii="Times New Roman" w:eastAsia="Calibri" w:hAnsi="Times New Roman"/>
                <w:color w:val="auto"/>
                <w:sz w:val="20"/>
                <w:lang w:val="bg-BG"/>
              </w:rPr>
            </w:pP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МЗХ</w:t>
            </w: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bCs/>
                <w:color w:val="auto"/>
                <w:sz w:val="20"/>
                <w:lang w:val="bg-BG"/>
              </w:rPr>
              <w:t>Нарастване на инвестициите в селскостопански райони, в %</w:t>
            </w:r>
          </w:p>
        </w:tc>
        <w:tc>
          <w:tcPr>
            <w:tcW w:w="993" w:type="dxa"/>
            <w:shd w:val="clear" w:color="auto" w:fill="auto"/>
            <w:noWrap/>
            <w:vAlign w:val="center"/>
          </w:tcPr>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15</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25</w:t>
            </w:r>
          </w:p>
        </w:tc>
        <w:tc>
          <w:tcPr>
            <w:tcW w:w="2409" w:type="dxa"/>
            <w:gridSpan w:val="2"/>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Руен-</w:t>
            </w:r>
            <w:r w:rsidRPr="00BD7BB1">
              <w:rPr>
                <w:rFonts w:ascii="Times New Roman" w:eastAsia="Calibri" w:hAnsi="Times New Roman"/>
                <w:color w:val="auto"/>
                <w:sz w:val="20"/>
                <w:lang w:val="bg-BG"/>
              </w:rPr>
              <w:t xml:space="preserve">10%,        </w:t>
            </w:r>
            <w:r w:rsidRPr="00BD7BB1">
              <w:rPr>
                <w:rFonts w:ascii="Times New Roman" w:eastAsia="Calibri" w:hAnsi="Times New Roman"/>
                <w:b/>
                <w:color w:val="auto"/>
                <w:sz w:val="20"/>
                <w:lang w:val="bg-BG"/>
              </w:rPr>
              <w:t>Твърдица</w:t>
            </w:r>
            <w:r w:rsidRPr="00BD7BB1">
              <w:rPr>
                <w:rFonts w:ascii="Times New Roman" w:eastAsia="Calibri" w:hAnsi="Times New Roman"/>
                <w:color w:val="auto"/>
                <w:sz w:val="20"/>
                <w:lang w:val="bg-BG"/>
              </w:rPr>
              <w:t xml:space="preserve">-10%,     </w:t>
            </w:r>
            <w:r w:rsidRPr="00BD7BB1">
              <w:rPr>
                <w:rFonts w:ascii="Times New Roman" w:eastAsia="Calibri" w:hAnsi="Times New Roman"/>
                <w:b/>
                <w:color w:val="auto"/>
                <w:sz w:val="20"/>
                <w:lang w:val="bg-BG"/>
              </w:rPr>
              <w:t>Павел баня</w:t>
            </w:r>
            <w:r w:rsidRPr="00BD7BB1">
              <w:rPr>
                <w:rFonts w:ascii="Times New Roman" w:eastAsia="Calibri" w:hAnsi="Times New Roman"/>
                <w:color w:val="auto"/>
                <w:sz w:val="20"/>
                <w:lang w:val="bg-BG"/>
              </w:rPr>
              <w:t xml:space="preserve">-4,3%, </w:t>
            </w:r>
            <w:r w:rsidRPr="00BD7BB1">
              <w:rPr>
                <w:rFonts w:ascii="Times New Roman" w:eastAsia="Calibri" w:hAnsi="Times New Roman"/>
                <w:b/>
                <w:color w:val="auto"/>
                <w:sz w:val="20"/>
                <w:lang w:val="bg-BG"/>
              </w:rPr>
              <w:t>Гурково</w:t>
            </w:r>
            <w:r w:rsidRPr="00BD7BB1">
              <w:rPr>
                <w:rFonts w:ascii="Times New Roman" w:eastAsia="Calibri" w:hAnsi="Times New Roman"/>
                <w:color w:val="auto"/>
                <w:sz w:val="20"/>
                <w:lang w:val="bg-BG"/>
              </w:rPr>
              <w:t>-18%</w:t>
            </w: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МЗХ</w:t>
            </w:r>
          </w:p>
          <w:p w:rsidR="00F25110" w:rsidRPr="00BD7BB1" w:rsidRDefault="00F25110" w:rsidP="00F25110">
            <w:pPr>
              <w:spacing w:after="120"/>
              <w:contextualSpacing/>
              <w:jc w:val="center"/>
              <w:rPr>
                <w:rFonts w:ascii="Times New Roman" w:eastAsia="Calibri" w:hAnsi="Times New Roman"/>
                <w:color w:val="auto"/>
                <w:sz w:val="20"/>
                <w:lang w:val="bg-BG"/>
              </w:rPr>
            </w:pPr>
          </w:p>
        </w:tc>
      </w:tr>
      <w:tr w:rsidR="00F25110" w:rsidRPr="00BD7BB1" w:rsidTr="006614F6">
        <w:trPr>
          <w:trHeight w:val="270"/>
        </w:trPr>
        <w:tc>
          <w:tcPr>
            <w:tcW w:w="408" w:type="dxa"/>
            <w:shd w:val="clear" w:color="auto" w:fill="auto"/>
            <w:noWrap/>
          </w:tcPr>
          <w:p w:rsidR="00F25110" w:rsidRPr="00BD7BB1" w:rsidRDefault="00F25110" w:rsidP="00F25110">
            <w:pPr>
              <w:spacing w:before="40" w:after="4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3</w:t>
            </w:r>
          </w:p>
        </w:tc>
        <w:tc>
          <w:tcPr>
            <w:tcW w:w="3987" w:type="dxa"/>
            <w:gridSpan w:val="2"/>
            <w:shd w:val="clear" w:color="auto" w:fill="auto"/>
            <w:noWrap/>
            <w:vAlign w:val="center"/>
          </w:tcPr>
          <w:p w:rsidR="00F25110" w:rsidRPr="00BD7BB1" w:rsidRDefault="00F25110" w:rsidP="00F25110">
            <w:pPr>
              <w:spacing w:after="120"/>
              <w:contextualSpacing/>
              <w:jc w:val="center"/>
              <w:rPr>
                <w:rFonts w:ascii="Times New Roman" w:eastAsia="Calibri" w:hAnsi="Times New Roman"/>
                <w:bCs/>
                <w:color w:val="auto"/>
                <w:sz w:val="20"/>
                <w:lang w:val="bg-BG"/>
              </w:rPr>
            </w:pPr>
            <w:r w:rsidRPr="00BD7BB1">
              <w:rPr>
                <w:rFonts w:ascii="Times New Roman" w:eastAsia="Calibri" w:hAnsi="Times New Roman"/>
                <w:iCs/>
                <w:color w:val="auto"/>
                <w:sz w:val="20"/>
                <w:lang w:val="bg-BG"/>
              </w:rPr>
              <w:t>Дял на населението, живеещо в села, което е обхванато от интегрирани мерки за подобряване на селищната среда и услугите, в %</w:t>
            </w:r>
          </w:p>
        </w:tc>
        <w:tc>
          <w:tcPr>
            <w:tcW w:w="993" w:type="dxa"/>
            <w:shd w:val="clear" w:color="auto" w:fill="auto"/>
            <w:noWrap/>
            <w:vAlign w:val="center"/>
          </w:tcPr>
          <w:p w:rsidR="00F25110" w:rsidRPr="00BD7BB1" w:rsidRDefault="00F25110" w:rsidP="00F25110">
            <w:pPr>
              <w:spacing w:after="120" w:line="360" w:lineRule="auto"/>
              <w:jc w:val="center"/>
              <w:rPr>
                <w:rFonts w:ascii="Times New Roman" w:eastAsia="Calibri" w:hAnsi="Times New Roman"/>
                <w:b/>
                <w:color w:val="auto"/>
                <w:sz w:val="20"/>
                <w:lang w:val="bg-BG"/>
              </w:rPr>
            </w:pPr>
          </w:p>
          <w:p w:rsidR="00F25110" w:rsidRPr="00BD7BB1" w:rsidRDefault="00F25110" w:rsidP="00F25110">
            <w:pPr>
              <w:spacing w:after="120" w:line="360" w:lineRule="auto"/>
              <w:jc w:val="center"/>
              <w:rPr>
                <w:rFonts w:ascii="Times New Roman" w:eastAsia="Calibri" w:hAnsi="Times New Roman"/>
                <w:color w:val="auto"/>
                <w:sz w:val="24"/>
                <w:szCs w:val="22"/>
                <w:lang w:val="bg-BG"/>
              </w:rPr>
            </w:pPr>
            <w:r w:rsidRPr="00BD7BB1">
              <w:rPr>
                <w:rFonts w:ascii="Times New Roman" w:eastAsia="Calibri" w:hAnsi="Times New Roman"/>
                <w:b/>
                <w:color w:val="auto"/>
                <w:sz w:val="20"/>
                <w:lang w:val="bg-BG"/>
              </w:rPr>
              <w:t>n/a</w:t>
            </w:r>
          </w:p>
        </w:tc>
        <w:tc>
          <w:tcPr>
            <w:tcW w:w="1275" w:type="dxa"/>
            <w:shd w:val="clear" w:color="auto" w:fill="auto"/>
            <w:vAlign w:val="center"/>
          </w:tcPr>
          <w:p w:rsidR="00F25110" w:rsidRPr="00BD7BB1" w:rsidRDefault="00F25110" w:rsidP="00F25110">
            <w:pPr>
              <w:spacing w:after="120" w:line="360" w:lineRule="auto"/>
              <w:jc w:val="center"/>
              <w:rPr>
                <w:rFonts w:ascii="Times New Roman" w:eastAsia="Calibri" w:hAnsi="Times New Roman"/>
                <w:b/>
                <w:color w:val="auto"/>
                <w:sz w:val="20"/>
              </w:rPr>
            </w:pPr>
          </w:p>
          <w:p w:rsidR="00F25110" w:rsidRPr="00BD7BB1" w:rsidRDefault="00F25110" w:rsidP="00F25110">
            <w:pPr>
              <w:spacing w:after="120" w:line="360" w:lineRule="auto"/>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15</w:t>
            </w:r>
          </w:p>
        </w:tc>
        <w:tc>
          <w:tcPr>
            <w:tcW w:w="993" w:type="dxa"/>
            <w:shd w:val="clear" w:color="auto" w:fill="auto"/>
            <w:noWrap/>
            <w:vAlign w:val="center"/>
          </w:tcPr>
          <w:p w:rsidR="00F25110" w:rsidRPr="00BD7BB1" w:rsidRDefault="00F25110" w:rsidP="00F25110">
            <w:pPr>
              <w:spacing w:after="120"/>
              <w:contextualSpacing/>
              <w:jc w:val="center"/>
              <w:rPr>
                <w:rFonts w:ascii="Times New Roman" w:eastAsia="Calibri" w:hAnsi="Times New Roman"/>
                <w:b/>
                <w:color w:val="auto"/>
                <w:sz w:val="20"/>
              </w:rPr>
            </w:pPr>
          </w:p>
          <w:p w:rsidR="00F25110" w:rsidRPr="00BD7BB1" w:rsidRDefault="00F25110" w:rsidP="00F25110">
            <w:pPr>
              <w:spacing w:after="120"/>
              <w:contextualSpacing/>
              <w:jc w:val="center"/>
              <w:rPr>
                <w:rFonts w:ascii="Times New Roman" w:eastAsia="Calibri" w:hAnsi="Times New Roman"/>
                <w:b/>
                <w:color w:val="auto"/>
                <w:sz w:val="20"/>
                <w:lang w:val="bg-BG"/>
              </w:rPr>
            </w:pPr>
            <w:r w:rsidRPr="00BD7BB1">
              <w:rPr>
                <w:rFonts w:ascii="Times New Roman" w:eastAsia="Calibri" w:hAnsi="Times New Roman"/>
                <w:b/>
                <w:color w:val="auto"/>
                <w:sz w:val="20"/>
                <w:lang w:val="bg-BG"/>
              </w:rPr>
              <w:t>25</w:t>
            </w:r>
          </w:p>
        </w:tc>
        <w:tc>
          <w:tcPr>
            <w:tcW w:w="2409" w:type="dxa"/>
            <w:gridSpan w:val="2"/>
            <w:shd w:val="clear" w:color="auto" w:fill="auto"/>
            <w:vAlign w:val="center"/>
          </w:tcPr>
          <w:p w:rsidR="00F25110" w:rsidRPr="00BD7BB1" w:rsidRDefault="00F25110" w:rsidP="00F25110">
            <w:pPr>
              <w:spacing w:after="120" w:line="360" w:lineRule="auto"/>
              <w:jc w:val="center"/>
              <w:rPr>
                <w:rFonts w:ascii="Times New Roman" w:eastAsia="Calibri" w:hAnsi="Times New Roman"/>
                <w:color w:val="auto"/>
                <w:sz w:val="20"/>
                <w:lang w:val="bg-BG"/>
              </w:rPr>
            </w:pPr>
            <w:r w:rsidRPr="00BD7BB1">
              <w:rPr>
                <w:rFonts w:ascii="Times New Roman" w:eastAsia="Calibri" w:hAnsi="Times New Roman"/>
                <w:b/>
                <w:color w:val="auto"/>
                <w:sz w:val="20"/>
                <w:lang w:val="bg-BG"/>
              </w:rPr>
              <w:t>Царево-</w:t>
            </w:r>
            <w:r w:rsidRPr="00BD7BB1">
              <w:rPr>
                <w:rFonts w:ascii="Times New Roman" w:eastAsia="Calibri" w:hAnsi="Times New Roman"/>
                <w:color w:val="auto"/>
                <w:sz w:val="20"/>
                <w:lang w:val="bg-BG"/>
              </w:rPr>
              <w:t xml:space="preserve">13,6%, </w:t>
            </w:r>
            <w:r w:rsidRPr="00BD7BB1">
              <w:rPr>
                <w:rFonts w:ascii="Times New Roman" w:eastAsia="Calibri" w:hAnsi="Times New Roman"/>
                <w:b/>
                <w:color w:val="auto"/>
                <w:sz w:val="20"/>
                <w:lang w:val="bg-BG"/>
              </w:rPr>
              <w:t>Приморско-</w:t>
            </w:r>
            <w:r w:rsidRPr="00BD7BB1">
              <w:rPr>
                <w:rFonts w:ascii="Times New Roman" w:eastAsia="Calibri" w:hAnsi="Times New Roman"/>
                <w:color w:val="auto"/>
                <w:sz w:val="20"/>
                <w:lang w:val="bg-BG"/>
              </w:rPr>
              <w:t xml:space="preserve">70%, </w:t>
            </w:r>
            <w:r w:rsidRPr="00BD7BB1">
              <w:rPr>
                <w:rFonts w:ascii="Times New Roman" w:eastAsia="Calibri" w:hAnsi="Times New Roman"/>
                <w:b/>
                <w:color w:val="auto"/>
                <w:sz w:val="20"/>
                <w:lang w:val="bg-BG"/>
              </w:rPr>
              <w:t>Твърдица</w:t>
            </w:r>
            <w:r w:rsidRPr="00BD7BB1">
              <w:rPr>
                <w:rFonts w:ascii="Times New Roman" w:eastAsia="Calibri" w:hAnsi="Times New Roman"/>
                <w:color w:val="auto"/>
                <w:sz w:val="20"/>
                <w:lang w:val="bg-BG"/>
              </w:rPr>
              <w:t xml:space="preserve">-10%,    </w:t>
            </w:r>
            <w:r w:rsidRPr="00BD7BB1">
              <w:rPr>
                <w:rFonts w:ascii="Times New Roman" w:eastAsia="Calibri" w:hAnsi="Times New Roman"/>
                <w:b/>
                <w:color w:val="auto"/>
                <w:sz w:val="20"/>
                <w:lang w:val="bg-BG"/>
              </w:rPr>
              <w:t>Котел-</w:t>
            </w:r>
            <w:r w:rsidRPr="00BD7BB1">
              <w:rPr>
                <w:rFonts w:ascii="Times New Roman" w:eastAsia="Calibri" w:hAnsi="Times New Roman"/>
                <w:color w:val="auto"/>
                <w:sz w:val="20"/>
                <w:lang w:val="bg-BG"/>
              </w:rPr>
              <w:t xml:space="preserve">70%,          </w:t>
            </w:r>
            <w:r w:rsidRPr="00BD7BB1">
              <w:rPr>
                <w:rFonts w:ascii="Times New Roman" w:eastAsia="Calibri" w:hAnsi="Times New Roman"/>
                <w:b/>
                <w:color w:val="auto"/>
                <w:sz w:val="20"/>
                <w:lang w:val="bg-BG"/>
              </w:rPr>
              <w:t>Елхово</w:t>
            </w:r>
            <w:r w:rsidRPr="00BD7BB1">
              <w:rPr>
                <w:rFonts w:ascii="Times New Roman" w:eastAsia="Calibri" w:hAnsi="Times New Roman"/>
                <w:color w:val="auto"/>
                <w:sz w:val="20"/>
                <w:lang w:val="bg-BG"/>
              </w:rPr>
              <w:t xml:space="preserve">-100%, </w:t>
            </w:r>
            <w:r w:rsidRPr="00BD7BB1">
              <w:rPr>
                <w:rFonts w:ascii="Times New Roman" w:eastAsia="Calibri" w:hAnsi="Times New Roman"/>
                <w:b/>
                <w:color w:val="auto"/>
                <w:sz w:val="20"/>
                <w:lang w:val="bg-BG"/>
              </w:rPr>
              <w:t>Стралджа</w:t>
            </w:r>
            <w:r w:rsidRPr="00BD7BB1">
              <w:rPr>
                <w:rFonts w:ascii="Times New Roman" w:eastAsia="Calibri" w:hAnsi="Times New Roman"/>
                <w:color w:val="auto"/>
                <w:sz w:val="20"/>
                <w:lang w:val="bg-BG"/>
              </w:rPr>
              <w:t xml:space="preserve">-25%,  </w:t>
            </w:r>
            <w:r w:rsidRPr="00BD7BB1">
              <w:rPr>
                <w:rFonts w:ascii="Times New Roman" w:eastAsia="Calibri" w:hAnsi="Times New Roman"/>
                <w:b/>
                <w:color w:val="auto"/>
                <w:sz w:val="20"/>
                <w:lang w:val="bg-BG"/>
              </w:rPr>
              <w:t>Чирпан-</w:t>
            </w:r>
            <w:r w:rsidRPr="00BD7BB1">
              <w:rPr>
                <w:rFonts w:ascii="Times New Roman" w:eastAsia="Calibri" w:hAnsi="Times New Roman"/>
                <w:color w:val="auto"/>
                <w:sz w:val="20"/>
                <w:lang w:val="bg-BG"/>
              </w:rPr>
              <w:t xml:space="preserve">9,33%  </w:t>
            </w:r>
            <w:r w:rsidRPr="00BD7BB1">
              <w:rPr>
                <w:rFonts w:ascii="Times New Roman" w:eastAsia="Calibri" w:hAnsi="Times New Roman"/>
                <w:b/>
                <w:color w:val="auto"/>
                <w:sz w:val="20"/>
                <w:lang w:val="bg-BG"/>
              </w:rPr>
              <w:t>Казанлък</w:t>
            </w:r>
            <w:r w:rsidRPr="00BD7BB1">
              <w:rPr>
                <w:rFonts w:ascii="Times New Roman" w:eastAsia="Calibri" w:hAnsi="Times New Roman"/>
                <w:color w:val="auto"/>
                <w:sz w:val="20"/>
                <w:lang w:val="bg-BG"/>
              </w:rPr>
              <w:t xml:space="preserve"> -12,7%</w:t>
            </w:r>
          </w:p>
        </w:tc>
        <w:tc>
          <w:tcPr>
            <w:tcW w:w="1418" w:type="dxa"/>
            <w:gridSpan w:val="2"/>
            <w:shd w:val="clear" w:color="auto" w:fill="auto"/>
            <w:vAlign w:val="center"/>
          </w:tcPr>
          <w:p w:rsidR="00F25110" w:rsidRPr="00BD7BB1" w:rsidRDefault="00F25110" w:rsidP="00F25110">
            <w:pPr>
              <w:spacing w:after="120"/>
              <w:contextualSpacing/>
              <w:jc w:val="center"/>
              <w:rPr>
                <w:rFonts w:ascii="Times New Roman" w:eastAsia="Calibri" w:hAnsi="Times New Roman"/>
                <w:color w:val="auto"/>
                <w:sz w:val="20"/>
                <w:lang w:val="bg-BG"/>
              </w:rPr>
            </w:pPr>
            <w:r w:rsidRPr="00BD7BB1">
              <w:rPr>
                <w:rFonts w:ascii="Times New Roman" w:eastAsia="Calibri" w:hAnsi="Times New Roman"/>
                <w:color w:val="auto"/>
                <w:sz w:val="20"/>
                <w:lang w:val="bg-BG"/>
              </w:rPr>
              <w:t>МЗХ, МРБ</w:t>
            </w:r>
          </w:p>
        </w:tc>
      </w:tr>
    </w:tbl>
    <w:p w:rsidR="00F25110" w:rsidRPr="00BD7BB1" w:rsidRDefault="00F25110" w:rsidP="00F25110">
      <w:pPr>
        <w:spacing w:after="200"/>
        <w:jc w:val="both"/>
        <w:rPr>
          <w:rFonts w:ascii="Times New Roman" w:eastAsia="Calibri" w:hAnsi="Times New Roman"/>
          <w:color w:val="auto"/>
          <w:sz w:val="24"/>
          <w:szCs w:val="24"/>
          <w:lang w:val="bg-BG"/>
        </w:rPr>
      </w:pPr>
    </w:p>
    <w:p w:rsidR="00F25110" w:rsidRPr="00BD7BB1" w:rsidRDefault="00F25110" w:rsidP="00F25110">
      <w:pPr>
        <w:spacing w:after="0"/>
        <w:contextualSpacing/>
        <w:jc w:val="both"/>
        <w:outlineLvl w:val="0"/>
        <w:rPr>
          <w:rFonts w:ascii="Times New Roman" w:eastAsia="Times New Roman" w:hAnsi="Times New Roman"/>
          <w:b/>
          <w:color w:val="auto"/>
          <w:sz w:val="24"/>
          <w:szCs w:val="24"/>
          <w:lang w:val="bg-BG" w:eastAsia="bg-BG"/>
        </w:rPr>
      </w:pPr>
    </w:p>
    <w:p w:rsidR="00F25110" w:rsidRPr="00BD7BB1" w:rsidRDefault="00F25110" w:rsidP="00F25110">
      <w:pPr>
        <w:spacing w:after="0"/>
        <w:contextualSpacing/>
        <w:jc w:val="both"/>
        <w:outlineLvl w:val="0"/>
        <w:rPr>
          <w:rFonts w:ascii="Times New Roman" w:eastAsia="Times New Roman" w:hAnsi="Times New Roman"/>
          <w:b/>
          <w:color w:val="auto"/>
          <w:sz w:val="24"/>
          <w:szCs w:val="24"/>
          <w:lang w:val="bg-BG" w:eastAsia="bg-BG"/>
        </w:rPr>
      </w:pPr>
    </w:p>
    <w:p w:rsidR="00F25110" w:rsidRPr="00BD7BB1" w:rsidRDefault="00F25110" w:rsidP="00F25110">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ru-RU" w:eastAsia="bg-BG"/>
        </w:rPr>
        <w:t>По отношение на ключовите индикатори за мониторинг на интеграцията на глобалните екологични въпроси</w:t>
      </w:r>
      <w:r w:rsidRPr="00BD7BB1">
        <w:rPr>
          <w:rFonts w:ascii="Times New Roman" w:eastAsia="Times New Roman" w:hAnsi="Times New Roman"/>
          <w:b/>
          <w:i/>
          <w:color w:val="auto"/>
          <w:sz w:val="24"/>
          <w:szCs w:val="24"/>
          <w:lang w:val="ru-RU" w:eastAsia="bg-BG"/>
        </w:rPr>
        <w:t xml:space="preserve"> </w:t>
      </w:r>
      <w:r w:rsidRPr="00BD7BB1">
        <w:rPr>
          <w:rFonts w:ascii="Times New Roman" w:eastAsia="Times New Roman" w:hAnsi="Times New Roman"/>
          <w:color w:val="auto"/>
          <w:sz w:val="24"/>
          <w:szCs w:val="24"/>
          <w:lang w:val="ru-RU" w:eastAsia="bg-BG"/>
        </w:rPr>
        <w:t>(с които следва да се отчитат резултатите от прилагането на трите Конвенции на ООН от Рио де Жанейро – за биоразнообразието, промените в климата и опустиняването), се наблюдават следните тенденции за Югоизточен район:</w:t>
      </w:r>
    </w:p>
    <w:p w:rsidR="00F25110" w:rsidRPr="00BD7BB1" w:rsidRDefault="00F25110" w:rsidP="00F25110">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ru-RU" w:eastAsia="bg-BG"/>
        </w:rPr>
        <w:t xml:space="preserve"> </w:t>
      </w:r>
      <w:r w:rsidRPr="00BD7BB1">
        <w:rPr>
          <w:rFonts w:ascii="Times New Roman" w:eastAsia="Times New Roman" w:hAnsi="Times New Roman"/>
          <w:b/>
          <w:i/>
          <w:color w:val="auto"/>
          <w:sz w:val="24"/>
          <w:szCs w:val="24"/>
          <w:lang w:val="ru-RU" w:eastAsia="bg-BG"/>
        </w:rPr>
        <w:t>Относителен дял на антропогенно натоварените територии</w:t>
      </w:r>
      <w:r w:rsidRPr="00BD7BB1">
        <w:rPr>
          <w:rFonts w:ascii="Times New Roman" w:eastAsia="Times New Roman" w:hAnsi="Times New Roman"/>
          <w:color w:val="auto"/>
          <w:sz w:val="24"/>
          <w:szCs w:val="24"/>
          <w:lang w:val="ru-RU" w:eastAsia="bg-BG"/>
        </w:rPr>
        <w:t xml:space="preserve">  </w:t>
      </w:r>
      <w:r w:rsidRPr="00BD7BB1">
        <w:rPr>
          <w:rFonts w:ascii="Times New Roman" w:eastAsia="Times New Roman" w:hAnsi="Times New Roman"/>
          <w:color w:val="auto"/>
          <w:sz w:val="24"/>
          <w:szCs w:val="24"/>
          <w:lang w:val="bg-BG" w:eastAsia="bg-BG"/>
        </w:rPr>
        <w:t xml:space="preserve">Сумата на антропогенните обекти (кв. км) в ЮИР е 969,171 с </w:t>
      </w:r>
      <w:r w:rsidRPr="00BD7BB1">
        <w:rPr>
          <w:rFonts w:ascii="Times New Roman" w:eastAsia="Times New Roman" w:hAnsi="Times New Roman"/>
          <w:i/>
          <w:color w:val="auto"/>
          <w:sz w:val="24"/>
          <w:szCs w:val="24"/>
          <w:lang w:val="bg-BG" w:eastAsia="bg-BG"/>
        </w:rPr>
        <w:t>относителен дял на антропогенно натоварените</w:t>
      </w:r>
      <w:r w:rsidRPr="00BD7BB1">
        <w:rPr>
          <w:rFonts w:ascii="Times New Roman" w:eastAsia="Times New Roman" w:hAnsi="Times New Roman"/>
          <w:color w:val="auto"/>
          <w:sz w:val="24"/>
          <w:szCs w:val="24"/>
          <w:lang w:val="bg-BG" w:eastAsia="bg-BG"/>
        </w:rPr>
        <w:t xml:space="preserve"> територии от общата територия за ЮИР – 4,89% при средна стойност на индикатора за страната е 5,02 %.</w:t>
      </w:r>
    </w:p>
    <w:p w:rsidR="00F25110" w:rsidRPr="00BD7BB1" w:rsidRDefault="00F25110" w:rsidP="00F25110">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i/>
          <w:color w:val="auto"/>
          <w:sz w:val="24"/>
          <w:szCs w:val="24"/>
          <w:lang w:val="ru-RU" w:eastAsia="bg-BG"/>
        </w:rPr>
        <w:t>Съотношение между горските, земеделските и урбанизираните территории</w:t>
      </w:r>
      <w:r w:rsidRPr="00BD7BB1">
        <w:rPr>
          <w:rFonts w:ascii="Times New Roman" w:eastAsia="Times New Roman" w:hAnsi="Times New Roman"/>
          <w:i/>
          <w:color w:val="auto"/>
          <w:sz w:val="24"/>
          <w:szCs w:val="24"/>
          <w:lang w:val="ru-RU" w:eastAsia="bg-BG"/>
        </w:rPr>
        <w:t xml:space="preserve">. </w:t>
      </w:r>
      <w:r w:rsidRPr="00BD7BB1">
        <w:rPr>
          <w:rFonts w:ascii="Times New Roman" w:eastAsia="Times New Roman" w:hAnsi="Times New Roman"/>
          <w:color w:val="auto"/>
          <w:sz w:val="24"/>
          <w:szCs w:val="24"/>
          <w:lang w:val="ru-RU" w:eastAsia="bg-BG"/>
        </w:rPr>
        <w:t xml:space="preserve">Площта на района е 19 799 кв. км. и съставлява 17,8 % от  територията на страната и  0.47% от тази на ЕС. Земеделските територии са 41,87 %, горските 52,07%, урбанизираните 4,89 %. Природно защитените територии, вкл. тези по Натура 2000, обхващат общо 32.2% от територията на района (малко под средното за страната) и са разположени най-вече в горските,  планинските, крайморските и крайречните територии. </w:t>
      </w:r>
    </w:p>
    <w:p w:rsidR="00F25110" w:rsidRPr="00BD7BB1" w:rsidRDefault="00F25110" w:rsidP="00F25110">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i/>
          <w:color w:val="auto"/>
          <w:sz w:val="24"/>
          <w:szCs w:val="24"/>
          <w:lang w:val="ru-RU" w:eastAsia="bg-BG"/>
        </w:rPr>
        <w:t>Емисии на парникови газове</w:t>
      </w:r>
      <w:r w:rsidRPr="00BD7BB1">
        <w:rPr>
          <w:rFonts w:ascii="Times New Roman" w:eastAsia="Times New Roman" w:hAnsi="Times New Roman"/>
          <w:b/>
          <w:color w:val="auto"/>
          <w:sz w:val="24"/>
          <w:szCs w:val="24"/>
          <w:lang w:val="ru-RU" w:eastAsia="bg-BG"/>
        </w:rPr>
        <w:t xml:space="preserve"> (приравнени към </w:t>
      </w:r>
      <w:r w:rsidRPr="00BD7BB1">
        <w:rPr>
          <w:rFonts w:ascii="Times New Roman" w:eastAsia="Times New Roman" w:hAnsi="Times New Roman"/>
          <w:b/>
          <w:color w:val="auto"/>
          <w:sz w:val="24"/>
          <w:szCs w:val="24"/>
          <w:lang w:val="bg-BG" w:eastAsia="bg-BG"/>
        </w:rPr>
        <w:t>CO</w:t>
      </w:r>
      <w:r w:rsidRPr="00BD7BB1">
        <w:rPr>
          <w:rFonts w:ascii="Times New Roman" w:eastAsia="Times New Roman" w:hAnsi="Times New Roman"/>
          <w:b/>
          <w:color w:val="auto"/>
          <w:sz w:val="24"/>
          <w:szCs w:val="24"/>
          <w:vertAlign w:val="subscript"/>
          <w:lang w:val="ru-RU" w:eastAsia="bg-BG"/>
        </w:rPr>
        <w:t xml:space="preserve">2 </w:t>
      </w:r>
      <w:r w:rsidRPr="00BD7BB1">
        <w:rPr>
          <w:rFonts w:ascii="Times New Roman" w:eastAsia="Times New Roman" w:hAnsi="Times New Roman"/>
          <w:b/>
          <w:color w:val="auto"/>
          <w:sz w:val="24"/>
          <w:szCs w:val="24"/>
          <w:lang w:val="ru-RU" w:eastAsia="bg-BG"/>
        </w:rPr>
        <w:t>еквивалент на жител от населението);</w:t>
      </w:r>
      <w:r w:rsidRPr="00BD7BB1">
        <w:rPr>
          <w:rFonts w:ascii="Times New Roman" w:eastAsia="Times New Roman" w:hAnsi="Times New Roman"/>
          <w:color w:val="auto"/>
          <w:sz w:val="24"/>
          <w:szCs w:val="24"/>
          <w:lang w:val="ru-RU" w:eastAsia="bg-BG"/>
        </w:rPr>
        <w:t xml:space="preserve"> За 2010 г. </w:t>
      </w:r>
      <w:r w:rsidRPr="00BD7BB1">
        <w:rPr>
          <w:rFonts w:ascii="Times New Roman" w:eastAsia="Times New Roman" w:hAnsi="Times New Roman"/>
          <w:color w:val="auto"/>
          <w:sz w:val="24"/>
          <w:szCs w:val="24"/>
          <w:lang w:val="bg-BG" w:eastAsia="bg-BG"/>
        </w:rPr>
        <w:t xml:space="preserve">данните за </w:t>
      </w:r>
      <w:r w:rsidRPr="00BD7BB1">
        <w:rPr>
          <w:rFonts w:ascii="Times New Roman" w:eastAsia="Times New Roman" w:hAnsi="Times New Roman"/>
          <w:i/>
          <w:color w:val="auto"/>
          <w:sz w:val="24"/>
          <w:szCs w:val="24"/>
          <w:lang w:val="bg-BG" w:eastAsia="bg-BG"/>
        </w:rPr>
        <w:t>емисиите на парникови газове</w:t>
      </w:r>
      <w:r w:rsidRPr="00BD7BB1">
        <w:rPr>
          <w:rFonts w:ascii="Times New Roman" w:eastAsia="Times New Roman" w:hAnsi="Times New Roman"/>
          <w:color w:val="auto"/>
          <w:sz w:val="24"/>
          <w:szCs w:val="24"/>
          <w:lang w:val="bg-BG" w:eastAsia="bg-BG"/>
        </w:rPr>
        <w:t>,  приравнени към  СО</w:t>
      </w:r>
      <w:r w:rsidRPr="00BD7BB1">
        <w:rPr>
          <w:rFonts w:ascii="Times New Roman" w:eastAsia="Times New Roman" w:hAnsi="Times New Roman"/>
          <w:color w:val="auto"/>
          <w:sz w:val="24"/>
          <w:szCs w:val="24"/>
          <w:vertAlign w:val="subscript"/>
          <w:lang w:val="bg-BG" w:eastAsia="bg-BG"/>
        </w:rPr>
        <w:t xml:space="preserve">2 </w:t>
      </w:r>
      <w:r w:rsidRPr="00BD7BB1">
        <w:rPr>
          <w:rFonts w:ascii="Times New Roman" w:eastAsia="Times New Roman" w:hAnsi="Times New Roman"/>
          <w:color w:val="auto"/>
          <w:sz w:val="24"/>
          <w:szCs w:val="24"/>
          <w:lang w:val="bg-BG" w:eastAsia="bg-BG"/>
        </w:rPr>
        <w:t xml:space="preserve">еквивалент на човек от населението сочат за района 21.612 т, за страната е 6.162т. Цифрите сочат, че по този показател района надвишава три пъти средната стойност за страната и 10 пъти в сравнение с ЮЦР </w:t>
      </w:r>
      <w:r w:rsidRPr="00BD7BB1">
        <w:rPr>
          <w:rFonts w:ascii="Times New Roman" w:eastAsia="Times New Roman" w:hAnsi="Times New Roman"/>
          <w:color w:val="auto"/>
          <w:sz w:val="24"/>
          <w:szCs w:val="24"/>
          <w:lang w:val="ru-RU" w:eastAsia="bg-BG"/>
        </w:rPr>
        <w:t>(1. 575т)</w:t>
      </w:r>
      <w:r w:rsidRPr="00BD7BB1">
        <w:rPr>
          <w:rFonts w:ascii="Times New Roman" w:eastAsia="Times New Roman" w:hAnsi="Times New Roman"/>
          <w:color w:val="auto"/>
          <w:sz w:val="24"/>
          <w:szCs w:val="24"/>
          <w:lang w:val="bg-BG" w:eastAsia="bg-BG"/>
        </w:rPr>
        <w:t>. В ЮИР най-висока е стойността на показателя в област Стара Загора 58.957 т., а с най-ниска е стойността е в област Бургас - 1.413т.</w:t>
      </w:r>
    </w:p>
    <w:p w:rsidR="00F25110" w:rsidRPr="00BD7BB1" w:rsidRDefault="00F25110" w:rsidP="00F25110">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За периода 1988 – 2013г., емисиите на основните парникови газове имат тенденция към намаляване. През 2011г. са емитирани общи емисии на ПГ – 66 133,28  Gg CO2-екв. или 45,75% от емисиите през базовата година (1988г.) </w:t>
      </w:r>
      <w:r w:rsidRPr="00BD7BB1">
        <w:rPr>
          <w:rFonts w:ascii="Times New Roman" w:eastAsia="Times New Roman" w:hAnsi="Times New Roman"/>
          <w:color w:val="auto"/>
          <w:sz w:val="24"/>
          <w:szCs w:val="24"/>
          <w:lang w:val="bg-BG" w:eastAsia="bg-BG"/>
        </w:rPr>
        <w:tab/>
        <w:t xml:space="preserve">По данни, предоставени от ИАОС предварително изчислените емисии на национално ниво на ПГ продължават да намаляват и за 2012 г. са 60 151,51кт. CO2-екв., а през 2013г. – 54 842кт. CO2-екв.  През 2013 г. емисиите на въглероден окис и двуокис също намаляват  в сравнение с 2012 г. съответно  с 23 и 15 %. Общите емисии на метан също намаляват  с 12 %. Основен източник на емисиите на въглероден двуокис е производството на електроенергия и топлоенергия 62-%. Емисиите на парникови газове на човек от населението също намаляват и достигат 7,57 тона СО2 - екв. през 2013 г. като доближават средното за Европейския съюз. Цифрите показват намаление почти наполовина спрямо стойността на базовата година (1988г. - 13,6  т. СО2- екв.) </w:t>
      </w:r>
      <w:r w:rsidRPr="00BD7BB1">
        <w:rPr>
          <w:rFonts w:ascii="MinionPro-Regular" w:eastAsia="Calibri" w:hAnsi="MinionPro-Regular" w:cs="MinionPro-Regular"/>
          <w:color w:val="auto"/>
          <w:sz w:val="24"/>
          <w:szCs w:val="24"/>
        </w:rPr>
        <w:t>Основната причина е нарасналото количество</w:t>
      </w:r>
      <w:r w:rsidRPr="00BD7BB1">
        <w:rPr>
          <w:rFonts w:ascii="Times New Roman" w:eastAsia="Times New Roman" w:hAnsi="Times New Roman"/>
          <w:color w:val="auto"/>
          <w:sz w:val="24"/>
          <w:szCs w:val="24"/>
          <w:lang w:val="bg-BG" w:eastAsia="bg-BG"/>
        </w:rPr>
        <w:t xml:space="preserve"> </w:t>
      </w:r>
      <w:r w:rsidRPr="00BD7BB1">
        <w:rPr>
          <w:rFonts w:ascii="MinionPro-Regular" w:eastAsia="Calibri" w:hAnsi="MinionPro-Regular" w:cs="MinionPro-Regular"/>
          <w:color w:val="auto"/>
          <w:sz w:val="24"/>
          <w:szCs w:val="24"/>
        </w:rPr>
        <w:t>на уловените серни окиси в големите ТЕЦ, както и количеството произведена електроенергия,</w:t>
      </w:r>
      <w:r w:rsidRPr="00BD7BB1">
        <w:rPr>
          <w:rFonts w:ascii="Times New Roman" w:eastAsia="Times New Roman" w:hAnsi="Times New Roman"/>
          <w:color w:val="auto"/>
          <w:sz w:val="24"/>
          <w:szCs w:val="24"/>
          <w:lang w:val="bg-BG" w:eastAsia="bg-BG"/>
        </w:rPr>
        <w:t xml:space="preserve"> </w:t>
      </w:r>
      <w:r w:rsidRPr="00BD7BB1">
        <w:rPr>
          <w:rFonts w:ascii="MinionPro-Regular" w:eastAsia="Calibri" w:hAnsi="MinionPro-Regular" w:cs="MinionPro-Regular"/>
          <w:color w:val="auto"/>
          <w:sz w:val="24"/>
          <w:szCs w:val="24"/>
        </w:rPr>
        <w:t>което е под нивото на 2012 година.</w:t>
      </w:r>
      <w:r w:rsidRPr="00BD7BB1">
        <w:rPr>
          <w:rFonts w:ascii="Times New Roman" w:eastAsia="Times New Roman" w:hAnsi="Times New Roman"/>
          <w:color w:val="auto"/>
          <w:sz w:val="24"/>
          <w:szCs w:val="24"/>
          <w:lang w:val="bg-BG" w:eastAsia="bg-BG"/>
        </w:rPr>
        <w:t xml:space="preserve"> През 2012 г. в сероочистващите инсталации са уловени 1005,55 хиляди тона серен диоксид  - за сравнение през 2011 г. са уловени 824,4 хиляди тона серен диоксид. </w:t>
      </w:r>
      <w:r w:rsidRPr="00BD7BB1">
        <w:rPr>
          <w:rFonts w:ascii="MinionPro-Regular" w:eastAsia="Calibri" w:hAnsi="MinionPro-Regular" w:cs="MinionPro-Regular"/>
          <w:color w:val="auto"/>
          <w:sz w:val="24"/>
          <w:szCs w:val="24"/>
        </w:rPr>
        <w:t>В дългосрочен план намаляването на емисиите на единица БВП може да се дължи на промени</w:t>
      </w:r>
      <w:r w:rsidRPr="00BD7BB1">
        <w:rPr>
          <w:rFonts w:ascii="Times New Roman" w:eastAsia="Times New Roman" w:hAnsi="Times New Roman"/>
          <w:color w:val="auto"/>
          <w:sz w:val="24"/>
          <w:szCs w:val="24"/>
          <w:lang w:val="bg-BG" w:eastAsia="bg-BG"/>
        </w:rPr>
        <w:t xml:space="preserve"> </w:t>
      </w:r>
      <w:r w:rsidRPr="00BD7BB1">
        <w:rPr>
          <w:rFonts w:ascii="MinionPro-Regular" w:eastAsia="Calibri" w:hAnsi="MinionPro-Regular" w:cs="MinionPro-Regular"/>
          <w:color w:val="auto"/>
          <w:sz w:val="24"/>
          <w:szCs w:val="24"/>
        </w:rPr>
        <w:t>в технологическите процеси - използване на ресурсоспестяващи технологии, пречистване на отпадъчните газове и производство на високотехнологична</w:t>
      </w:r>
      <w:r w:rsidRPr="00BD7BB1">
        <w:rPr>
          <w:rFonts w:ascii="Times New Roman" w:eastAsia="Times New Roman" w:hAnsi="Times New Roman"/>
          <w:color w:val="auto"/>
          <w:sz w:val="24"/>
          <w:szCs w:val="24"/>
          <w:lang w:val="bg-BG" w:eastAsia="bg-BG"/>
        </w:rPr>
        <w:t xml:space="preserve"> </w:t>
      </w:r>
      <w:r w:rsidRPr="00BD7BB1">
        <w:rPr>
          <w:rFonts w:ascii="MinionPro-Regular" w:eastAsia="Calibri" w:hAnsi="MinionPro-Regular" w:cs="MinionPro-Regular"/>
          <w:color w:val="auto"/>
          <w:sz w:val="24"/>
          <w:szCs w:val="24"/>
        </w:rPr>
        <w:t>(с висока добавена стойност) продукция.</w:t>
      </w:r>
      <w:r w:rsidRPr="00BD7BB1">
        <w:rPr>
          <w:rFonts w:ascii="Times New Roman" w:eastAsia="Times New Roman" w:hAnsi="Times New Roman"/>
          <w:color w:val="auto"/>
          <w:sz w:val="24"/>
          <w:szCs w:val="24"/>
          <w:lang w:val="bg-BG" w:eastAsia="bg-BG"/>
        </w:rPr>
        <w:t xml:space="preserve"> </w:t>
      </w:r>
      <w:r w:rsidRPr="00BD7BB1">
        <w:rPr>
          <w:rFonts w:ascii="MinionPro-Regular" w:eastAsia="Calibri" w:hAnsi="MinionPro-Regular" w:cs="MinionPro-Regular"/>
          <w:color w:val="auto"/>
          <w:sz w:val="24"/>
          <w:szCs w:val="24"/>
        </w:rPr>
        <w:t>В краткосрочен план промените в емисиите на единица БВП се дължат най-вече на</w:t>
      </w:r>
      <w:r w:rsidRPr="00BD7BB1">
        <w:rPr>
          <w:rFonts w:ascii="Times New Roman" w:eastAsia="Times New Roman" w:hAnsi="Times New Roman"/>
          <w:color w:val="auto"/>
          <w:sz w:val="24"/>
          <w:szCs w:val="24"/>
          <w:lang w:val="bg-BG" w:eastAsia="bg-BG"/>
        </w:rPr>
        <w:t xml:space="preserve"> </w:t>
      </w:r>
      <w:r w:rsidRPr="00BD7BB1">
        <w:rPr>
          <w:rFonts w:ascii="MinionPro-Regular" w:eastAsia="Calibri" w:hAnsi="MinionPro-Regular" w:cs="MinionPro-Regular"/>
          <w:color w:val="auto"/>
          <w:sz w:val="24"/>
          <w:szCs w:val="24"/>
        </w:rPr>
        <w:t>промени в структурата на БВП – например</w:t>
      </w:r>
      <w:r w:rsidRPr="00BD7BB1">
        <w:rPr>
          <w:rFonts w:ascii="Times New Roman" w:eastAsia="Times New Roman" w:hAnsi="Times New Roman"/>
          <w:color w:val="auto"/>
          <w:sz w:val="24"/>
          <w:szCs w:val="24"/>
          <w:lang w:val="bg-BG" w:eastAsia="bg-BG"/>
        </w:rPr>
        <w:t xml:space="preserve"> </w:t>
      </w:r>
      <w:r w:rsidRPr="00BD7BB1">
        <w:rPr>
          <w:rFonts w:ascii="MinionPro-Regular" w:eastAsia="Calibri" w:hAnsi="MinionPro-Regular" w:cs="MinionPro-Regular"/>
          <w:color w:val="auto"/>
          <w:sz w:val="24"/>
          <w:szCs w:val="24"/>
        </w:rPr>
        <w:t>увеличаване на относителния дял на услугите</w:t>
      </w:r>
      <w:r w:rsidRPr="00BD7BB1">
        <w:rPr>
          <w:rFonts w:ascii="Times New Roman" w:eastAsia="Times New Roman" w:hAnsi="Times New Roman"/>
          <w:color w:val="auto"/>
          <w:sz w:val="24"/>
          <w:szCs w:val="24"/>
          <w:lang w:val="bg-BG" w:eastAsia="bg-BG"/>
        </w:rPr>
        <w:t xml:space="preserve"> </w:t>
      </w:r>
      <w:r w:rsidRPr="00BD7BB1">
        <w:rPr>
          <w:rFonts w:ascii="MinionPro-Regular" w:eastAsia="Calibri" w:hAnsi="MinionPro-Regular" w:cs="MinionPro-Regular"/>
          <w:color w:val="auto"/>
          <w:sz w:val="24"/>
          <w:szCs w:val="24"/>
        </w:rPr>
        <w:t>за сметка на индустрията. Също така влияние оказва и международната конюнктура.</w:t>
      </w:r>
    </w:p>
    <w:p w:rsidR="00F25110" w:rsidRPr="00BD7BB1" w:rsidRDefault="00F25110" w:rsidP="00F25110">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bCs/>
          <w:i/>
          <w:color w:val="auto"/>
          <w:sz w:val="24"/>
          <w:szCs w:val="24"/>
          <w:lang w:val="bg-BG" w:eastAsia="bg-BG"/>
        </w:rPr>
        <w:t>Разходите за ДМА с екологично предназначение</w:t>
      </w:r>
      <w:r w:rsidRPr="00BD7BB1">
        <w:rPr>
          <w:rFonts w:ascii="Times New Roman" w:eastAsia="Times New Roman" w:hAnsi="Times New Roman"/>
          <w:bCs/>
          <w:i/>
          <w:color w:val="auto"/>
          <w:sz w:val="24"/>
          <w:szCs w:val="24"/>
          <w:lang w:val="bg-BG" w:eastAsia="bg-BG"/>
        </w:rPr>
        <w:t xml:space="preserve"> </w:t>
      </w:r>
      <w:r w:rsidRPr="00BD7BB1">
        <w:rPr>
          <w:rFonts w:ascii="Times New Roman" w:eastAsia="Times New Roman" w:hAnsi="Times New Roman"/>
          <w:color w:val="auto"/>
          <w:sz w:val="24"/>
          <w:szCs w:val="24"/>
          <w:lang w:val="bg-BG" w:eastAsia="bg-BG"/>
        </w:rPr>
        <w:t>показват размера на извършените разходи за придобиване и поддръжка на ДМА с екологично предназначение за дадена териториална единица (регион, държава) и размера на средствата, изразходвани за намаляване на последствията от антропогенния натиск върху околната среда. За ЮИР през 2013 г. тези разходи възлизат на 442 147  хил.лв.</w:t>
      </w:r>
    </w:p>
    <w:p w:rsidR="00F25110" w:rsidRPr="00BD7BB1" w:rsidRDefault="00F25110" w:rsidP="00F25110">
      <w:pPr>
        <w:adjustRightInd w:val="0"/>
        <w:spacing w:before="100" w:beforeAutospacing="1" w:after="100" w:afterAutospacing="1"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bCs/>
          <w:i/>
          <w:color w:val="auto"/>
          <w:sz w:val="24"/>
          <w:szCs w:val="24"/>
          <w:lang w:val="bg-BG" w:eastAsia="bg-BG"/>
        </w:rPr>
        <w:t>Разходите за ДМА с екологично предназначение</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
          <w:i/>
          <w:color w:val="auto"/>
          <w:sz w:val="24"/>
          <w:szCs w:val="24"/>
          <w:lang w:val="bg-BG" w:eastAsia="bg-BG"/>
        </w:rPr>
        <w:t>на човек от населението</w:t>
      </w:r>
      <w:r w:rsidRPr="00BD7BB1">
        <w:rPr>
          <w:rFonts w:ascii="Times New Roman" w:eastAsia="Times New Roman" w:hAnsi="Times New Roman"/>
          <w:color w:val="auto"/>
          <w:sz w:val="24"/>
          <w:szCs w:val="24"/>
          <w:lang w:val="bg-BG" w:eastAsia="bg-BG"/>
        </w:rPr>
        <w:t xml:space="preserve">  за 2013г</w:t>
      </w:r>
      <w:r w:rsidR="00214C42">
        <w:rPr>
          <w:rFonts w:ascii="Times New Roman" w:eastAsia="Times New Roman" w:hAnsi="Times New Roman"/>
          <w:color w:val="auto"/>
          <w:sz w:val="24"/>
          <w:szCs w:val="24"/>
          <w:lang w:val="bg-BG" w:eastAsia="bg-BG"/>
        </w:rPr>
        <w:t>. в ЮИР възлизат на 416 лв./чов</w:t>
      </w:r>
      <w:r w:rsidRPr="00BD7BB1">
        <w:rPr>
          <w:rFonts w:ascii="Times New Roman" w:eastAsia="Times New Roman" w:hAnsi="Times New Roman"/>
          <w:color w:val="auto"/>
          <w:sz w:val="24"/>
          <w:szCs w:val="24"/>
          <w:lang w:val="bg-BG" w:eastAsia="bg-BG"/>
        </w:rPr>
        <w:t>ек.</w:t>
      </w:r>
    </w:p>
    <w:p w:rsidR="00F25110" w:rsidRPr="00BD7BB1" w:rsidRDefault="00F25110" w:rsidP="00F25110">
      <w:pPr>
        <w:shd w:val="clear" w:color="auto" w:fill="FFFFFF"/>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i/>
          <w:color w:val="auto"/>
          <w:sz w:val="24"/>
          <w:szCs w:val="24"/>
          <w:lang w:val="ru-RU" w:eastAsia="bg-BG"/>
        </w:rPr>
        <w:t>Дял от територията с висок риск от ерозия</w:t>
      </w:r>
      <w:r w:rsidRPr="00BD7BB1">
        <w:rPr>
          <w:rFonts w:ascii="Times New Roman" w:eastAsia="Calibri" w:hAnsi="Times New Roman"/>
          <w:color w:val="auto"/>
          <w:sz w:val="24"/>
          <w:szCs w:val="24"/>
          <w:lang w:val="bg-BG"/>
        </w:rPr>
        <w:t>.</w:t>
      </w:r>
      <w:r w:rsidRPr="00BD7BB1">
        <w:rPr>
          <w:rFonts w:ascii="Times New Roman" w:eastAsia="Times New Roman" w:hAnsi="Times New Roman"/>
          <w:color w:val="auto"/>
          <w:sz w:val="24"/>
          <w:szCs w:val="24"/>
          <w:lang w:val="bg-BG" w:eastAsia="bg-BG"/>
        </w:rPr>
        <w:t xml:space="preserve"> </w:t>
      </w:r>
    </w:p>
    <w:p w:rsidR="00F25110" w:rsidRPr="00BD7BB1" w:rsidRDefault="00F25110" w:rsidP="00F25110">
      <w:pPr>
        <w:shd w:val="clear" w:color="auto" w:fill="FFFFFF"/>
        <w:spacing w:after="0" w:line="360" w:lineRule="auto"/>
        <w:ind w:firstLine="708"/>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Стойностите на индикатора са актуализирани през 2013 г. на база доклад, разработен</w:t>
      </w:r>
      <w:r w:rsidRPr="00BD7BB1">
        <w:rPr>
          <w:rFonts w:ascii="Times New Roman" w:eastAsia="Calibri" w:hAnsi="Times New Roman"/>
          <w:color w:val="auto"/>
          <w:sz w:val="24"/>
          <w:szCs w:val="24"/>
        </w:rPr>
        <w:t xml:space="preserve"> </w:t>
      </w:r>
      <w:r w:rsidRPr="00BD7BB1">
        <w:rPr>
          <w:rFonts w:ascii="Times New Roman" w:eastAsia="Calibri" w:hAnsi="Times New Roman"/>
          <w:color w:val="auto"/>
          <w:sz w:val="24"/>
          <w:szCs w:val="24"/>
          <w:lang w:val="bg-BG"/>
        </w:rPr>
        <w:t>от външен консултант за целите на наблюдението на изпълнението на регионалните планове за развитие, във връзка с прилагането на индикаторите за конвенциите от Рио, като задължителни индикатори за наблюдение. Общата площ от територията на Югоизточен район с висок и много висок действителен риск от водоплощна ерозия е 912,71 кв.км.</w:t>
      </w:r>
      <w:r w:rsidRPr="00BD7BB1">
        <w:rPr>
          <w:rFonts w:ascii="Times New Roman" w:eastAsia="Times New Roman" w:hAnsi="Times New Roman"/>
          <w:color w:val="auto"/>
          <w:sz w:val="24"/>
          <w:szCs w:val="24"/>
          <w:lang w:val="bg-BG" w:eastAsia="bg-BG"/>
        </w:rPr>
        <w:t xml:space="preserve"> </w:t>
      </w:r>
      <w:r w:rsidRPr="00BD7BB1">
        <w:rPr>
          <w:rFonts w:ascii="Times New Roman" w:eastAsia="Calibri" w:hAnsi="Times New Roman"/>
          <w:color w:val="auto"/>
          <w:sz w:val="24"/>
          <w:szCs w:val="24"/>
          <w:lang w:val="bg-BG"/>
        </w:rPr>
        <w:t xml:space="preserve">По данни на ИАОС за Югоизточен район през 2013г. относителният дял водоплощна ерозия от територията на района </w:t>
      </w:r>
      <w:r w:rsidRPr="00BD7BB1">
        <w:rPr>
          <w:rFonts w:ascii="Times New Roman" w:eastAsia="Calibri" w:hAnsi="Times New Roman"/>
          <w:b/>
          <w:color w:val="auto"/>
          <w:sz w:val="24"/>
          <w:szCs w:val="24"/>
          <w:lang w:val="bg-BG"/>
        </w:rPr>
        <w:t>с висок и много висок риск е 4,3 %.</w:t>
      </w:r>
      <w:r w:rsidRPr="00BD7BB1">
        <w:rPr>
          <w:rFonts w:ascii="Times New Roman" w:eastAsia="Calibri" w:hAnsi="Times New Roman"/>
          <w:color w:val="auto"/>
          <w:sz w:val="24"/>
          <w:szCs w:val="24"/>
          <w:lang w:val="bg-BG"/>
        </w:rPr>
        <w:t xml:space="preserve"> Трайно засегнати от </w:t>
      </w:r>
      <w:r w:rsidRPr="00BD7BB1">
        <w:rPr>
          <w:rFonts w:ascii="Times New Roman" w:eastAsia="Calibri" w:hAnsi="Times New Roman"/>
          <w:b/>
          <w:color w:val="auto"/>
          <w:sz w:val="24"/>
          <w:szCs w:val="24"/>
          <w:lang w:val="bg-BG"/>
        </w:rPr>
        <w:t>водоплощна ерозия</w:t>
      </w:r>
      <w:r w:rsidRPr="00BD7BB1">
        <w:rPr>
          <w:rFonts w:ascii="Times New Roman" w:eastAsia="Calibri" w:hAnsi="Times New Roman"/>
          <w:color w:val="auto"/>
          <w:sz w:val="24"/>
          <w:szCs w:val="24"/>
          <w:lang w:val="bg-BG"/>
        </w:rPr>
        <w:t xml:space="preserve"> са 356,63 кв.км от общата площ на област Бургас. Относителният дял от територията на областта с висок и много висок риск от ерозия е съответно – 3,1% и 0,3%.  За останалите области данните са следните: област Сливен - 340,80 кв.км от територията на областта е засегната от ерозия, относителен дял с висок и много висок риск от ерозия - 4,7% и 2 %; област  Стара Загора - 200,08 кв.км от територията на областта</w:t>
      </w:r>
      <w:r w:rsidRPr="00BD7BB1">
        <w:rPr>
          <w:rFonts w:ascii="Times New Roman" w:eastAsia="Times New Roman" w:hAnsi="Times New Roman"/>
          <w:color w:val="auto"/>
          <w:sz w:val="24"/>
          <w:szCs w:val="24"/>
          <w:lang w:val="bg-BG" w:eastAsia="bg-BG"/>
        </w:rPr>
        <w:t xml:space="preserve"> </w:t>
      </w:r>
      <w:r w:rsidRPr="00BD7BB1">
        <w:rPr>
          <w:rFonts w:ascii="Times New Roman" w:eastAsia="Calibri" w:hAnsi="Times New Roman"/>
          <w:color w:val="auto"/>
          <w:sz w:val="24"/>
          <w:szCs w:val="24"/>
          <w:lang w:val="bg-BG"/>
        </w:rPr>
        <w:t>е засегната от ерозия, относителен дял с висок и много висок риск от ерозия -2 % и 0,5 %; област Ямбол - 15,20 кв.км от територията на областта е засегната от ерозия, относителен дял с висок и много висок риск от ерозия – 3,9 % и 1 %.</w:t>
      </w:r>
    </w:p>
    <w:p w:rsidR="00F25110" w:rsidRPr="00BD7BB1" w:rsidRDefault="00F25110" w:rsidP="00F25110">
      <w:pPr>
        <w:shd w:val="clear" w:color="auto" w:fill="FFFFFF"/>
        <w:spacing w:after="0" w:line="360" w:lineRule="auto"/>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 xml:space="preserve">През 2013г. се наблюдава </w:t>
      </w:r>
      <w:r w:rsidRPr="00BD7BB1">
        <w:rPr>
          <w:rFonts w:ascii="Times New Roman" w:eastAsia="Calibri" w:hAnsi="Times New Roman"/>
          <w:b/>
          <w:color w:val="auto"/>
          <w:sz w:val="24"/>
          <w:szCs w:val="24"/>
          <w:lang w:val="bg-BG"/>
        </w:rPr>
        <w:t>висок и много висок риск от ветрова ерозия</w:t>
      </w:r>
      <w:r w:rsidRPr="00BD7BB1">
        <w:rPr>
          <w:rFonts w:ascii="Times New Roman" w:eastAsia="Calibri" w:hAnsi="Times New Roman"/>
          <w:color w:val="auto"/>
          <w:sz w:val="24"/>
          <w:szCs w:val="24"/>
          <w:lang w:val="bg-BG"/>
        </w:rPr>
        <w:t xml:space="preserve"> на територията на Югоизточен район -0,3 % и 0,1%.</w:t>
      </w:r>
    </w:p>
    <w:p w:rsidR="00F25110" w:rsidRPr="00BD7BB1" w:rsidRDefault="00F25110" w:rsidP="00F25110">
      <w:pPr>
        <w:shd w:val="clear" w:color="auto" w:fill="FFFFFF"/>
        <w:spacing w:after="0" w:line="360" w:lineRule="auto"/>
        <w:ind w:firstLine="708"/>
        <w:jc w:val="both"/>
        <w:rPr>
          <w:rFonts w:ascii="Times New Roman" w:eastAsia="Calibri" w:hAnsi="Times New Roman"/>
          <w:color w:val="auto"/>
          <w:sz w:val="24"/>
          <w:szCs w:val="24"/>
          <w:lang w:val="bg-BG"/>
        </w:rPr>
      </w:pPr>
      <w:r w:rsidRPr="00BD7BB1">
        <w:rPr>
          <w:rFonts w:ascii="Times New Roman" w:eastAsia="Calibri" w:hAnsi="Times New Roman"/>
          <w:color w:val="auto"/>
          <w:sz w:val="24"/>
          <w:szCs w:val="24"/>
          <w:lang w:val="bg-BG"/>
        </w:rPr>
        <w:t>В област Бургас, относителния</w:t>
      </w:r>
      <w:r w:rsidR="000640DF">
        <w:rPr>
          <w:rFonts w:ascii="Times New Roman" w:eastAsia="Calibri" w:hAnsi="Times New Roman"/>
          <w:color w:val="auto"/>
          <w:sz w:val="24"/>
          <w:szCs w:val="24"/>
          <w:lang w:val="bg-BG"/>
        </w:rPr>
        <w:t>т</w:t>
      </w:r>
      <w:r w:rsidRPr="00BD7BB1">
        <w:rPr>
          <w:rFonts w:ascii="Times New Roman" w:eastAsia="Calibri" w:hAnsi="Times New Roman"/>
          <w:color w:val="auto"/>
          <w:sz w:val="24"/>
          <w:szCs w:val="24"/>
          <w:lang w:val="bg-BG"/>
        </w:rPr>
        <w:t xml:space="preserve"> дял с висок и много висок  риск от ветрова ерозия спрямо територията на съответния РИП е 4,60 %и 0,01%. Риска от ветрова ерозия спрямо територията на Бургаска област съответно е 9,6% и 0,01%. В област Ямбол, с умерен риск от ветрова ерозия са 6,8 кв.км от територията на областта или 0,2 % относителен дел.</w:t>
      </w:r>
    </w:p>
    <w:p w:rsidR="00F25110" w:rsidRPr="00BD7BB1" w:rsidRDefault="00F25110" w:rsidP="00F25110">
      <w:pPr>
        <w:spacing w:after="0" w:line="360" w:lineRule="auto"/>
        <w:jc w:val="both"/>
        <w:rPr>
          <w:rFonts w:ascii="Times New Roman" w:eastAsia="Times New Roman" w:hAnsi="Times New Roman"/>
          <w:color w:val="auto"/>
          <w:sz w:val="24"/>
          <w:szCs w:val="24"/>
          <w:lang w:val="bg-BG" w:eastAsia="bg-BG"/>
        </w:rPr>
      </w:pPr>
    </w:p>
    <w:p w:rsidR="00F25110" w:rsidRPr="00BD7BB1" w:rsidRDefault="00F25110" w:rsidP="00F25110">
      <w:pPr>
        <w:spacing w:after="0" w:line="360" w:lineRule="auto"/>
        <w:ind w:firstLine="708"/>
        <w:jc w:val="both"/>
        <w:rPr>
          <w:rFonts w:ascii="Times New Roman" w:eastAsia="Times New Roman" w:hAnsi="Times New Roman" w:cs="TT3B95o00"/>
          <w:color w:val="auto"/>
          <w:sz w:val="24"/>
          <w:szCs w:val="24"/>
          <w:lang w:val="bg-BG" w:eastAsia="bg-BG" w:bidi="my-MM"/>
        </w:rPr>
      </w:pPr>
      <w:r w:rsidRPr="00BD7BB1">
        <w:rPr>
          <w:rFonts w:ascii="Times New Roman" w:eastAsia="Times New Roman" w:hAnsi="Times New Roman"/>
          <w:color w:val="auto"/>
          <w:sz w:val="24"/>
          <w:szCs w:val="24"/>
          <w:lang w:val="bg-BG" w:eastAsia="bg-BG"/>
        </w:rPr>
        <w:t xml:space="preserve">Наличните към момента данни за </w:t>
      </w:r>
      <w:r w:rsidRPr="00BD7BB1">
        <w:rPr>
          <w:rFonts w:ascii="Times New Roman" w:eastAsia="Times New Roman" w:hAnsi="Times New Roman"/>
          <w:b/>
          <w:i/>
          <w:color w:val="auto"/>
          <w:sz w:val="24"/>
          <w:szCs w:val="24"/>
          <w:lang w:val="bg-BG" w:eastAsia="bg-BG"/>
        </w:rPr>
        <w:t xml:space="preserve">степен на постигане на националните цели за използване на възобновяеми енергийни източници и енергийна ефективност </w:t>
      </w:r>
      <w:r w:rsidRPr="00BD7BB1">
        <w:rPr>
          <w:rFonts w:ascii="Times New Roman" w:eastAsia="Times New Roman" w:hAnsi="Times New Roman"/>
          <w:color w:val="auto"/>
          <w:sz w:val="24"/>
          <w:szCs w:val="24"/>
          <w:lang w:val="bg-BG" w:eastAsia="bg-BG"/>
        </w:rPr>
        <w:t xml:space="preserve">позволяват извършването на изчисления и анализи на национално ниво, докато за по-ниските териториални равнища (общини и региони за планиране) подобни изчисления към момента са невъзможни поради липсата на изходни данни. </w:t>
      </w:r>
      <w:r w:rsidRPr="00BD7BB1">
        <w:rPr>
          <w:rFonts w:ascii="Times New Roman" w:eastAsia="Times New Roman" w:hAnsi="Times New Roman" w:cs="TT3B95o00"/>
          <w:color w:val="auto"/>
          <w:sz w:val="24"/>
          <w:szCs w:val="24"/>
          <w:lang w:val="bg-BG" w:eastAsia="bg-BG" w:bidi="my-MM"/>
        </w:rPr>
        <w:t xml:space="preserve">Индикаторът отразява спестената енергия чрез прилагане на мерки за енергийна ефективност и произведената енергия от ВЕИ в дадена АТЕ (община, регион, държава), сравнени с поставените национални цели.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s="TT3B95o00"/>
          <w:color w:val="auto"/>
          <w:sz w:val="24"/>
          <w:szCs w:val="24"/>
          <w:lang w:val="bg-BG" w:eastAsia="bg-BG" w:bidi="my-MM"/>
        </w:rPr>
      </w:pPr>
      <w:r w:rsidRPr="00BD7BB1">
        <w:rPr>
          <w:rFonts w:ascii="Times New Roman" w:eastAsia="Times New Roman" w:hAnsi="Times New Roman" w:cs="TT3B95o00"/>
          <w:color w:val="auto"/>
          <w:sz w:val="24"/>
          <w:szCs w:val="24"/>
          <w:lang w:val="bg-BG" w:eastAsia="bg-BG" w:bidi="my-MM"/>
        </w:rPr>
        <w:t xml:space="preserve">През 2012 г. производството и потреблението на енергия от възобновяеми източници (ВИ) в страната значително се увеличава, достига до задължителната национална цел от 16 % дял на енергия от ВИ в брутното крайно потребление на енергия. По данни на НСИ за 2013 г. делът на енергията, произведена от възобновяеми източници в брутното крайно потребление на енергия </w:t>
      </w:r>
      <w:r w:rsidRPr="00BD7BB1">
        <w:rPr>
          <w:rFonts w:ascii="Times New Roman" w:eastAsia="Times New Roman" w:hAnsi="Times New Roman" w:cs="TT3B95o00"/>
          <w:color w:val="auto"/>
          <w:sz w:val="24"/>
          <w:szCs w:val="24"/>
          <w:lang w:eastAsia="bg-BG" w:bidi="my-MM"/>
        </w:rPr>
        <w:t>(</w:t>
      </w:r>
      <w:r w:rsidRPr="00BD7BB1">
        <w:rPr>
          <w:rFonts w:ascii="Times New Roman" w:eastAsia="Times New Roman" w:hAnsi="Times New Roman" w:cs="TT3B95o00"/>
          <w:color w:val="auto"/>
          <w:sz w:val="24"/>
          <w:szCs w:val="24"/>
          <w:lang w:val="bg-BG" w:eastAsia="bg-BG" w:bidi="my-MM"/>
        </w:rPr>
        <w:t>с нормализация на водна и вятърна енергия</w:t>
      </w:r>
      <w:r w:rsidRPr="00BD7BB1">
        <w:rPr>
          <w:rFonts w:ascii="Times New Roman" w:eastAsia="Times New Roman" w:hAnsi="Times New Roman" w:cs="TT3B95o00"/>
          <w:color w:val="auto"/>
          <w:sz w:val="24"/>
          <w:szCs w:val="24"/>
          <w:lang w:eastAsia="bg-BG" w:bidi="my-MM"/>
        </w:rPr>
        <w:t>)</w:t>
      </w:r>
      <w:r w:rsidRPr="00BD7BB1">
        <w:rPr>
          <w:rFonts w:ascii="Times New Roman" w:eastAsia="Times New Roman" w:hAnsi="Times New Roman" w:cs="TT3B95o00"/>
          <w:color w:val="auto"/>
          <w:sz w:val="24"/>
          <w:szCs w:val="24"/>
          <w:lang w:val="bg-BG" w:eastAsia="bg-BG" w:bidi="my-MM"/>
        </w:rPr>
        <w:t xml:space="preserve"> в страната продължава да нараства и достига 19 % дял, което е увеличение с 3% спрямо 2012 г. </w:t>
      </w:r>
      <w:r w:rsidRPr="00BD7BB1">
        <w:rPr>
          <w:rFonts w:ascii="Times New Roman" w:eastAsia="Times New Roman" w:hAnsi="Times New Roman" w:cs="TT3B95o00"/>
          <w:color w:val="auto"/>
          <w:sz w:val="24"/>
          <w:szCs w:val="24"/>
          <w:lang w:eastAsia="bg-BG" w:bidi="my-MM"/>
        </w:rPr>
        <w:t>(</w:t>
      </w:r>
      <w:r w:rsidRPr="00BD7BB1">
        <w:rPr>
          <w:rFonts w:ascii="Times New Roman" w:eastAsia="Times New Roman" w:hAnsi="Times New Roman" w:cs="TT3B95o00"/>
          <w:color w:val="auto"/>
          <w:sz w:val="24"/>
          <w:szCs w:val="24"/>
          <w:lang w:val="bg-BG" w:eastAsia="bg-BG" w:bidi="my-MM"/>
        </w:rPr>
        <w:t>16 %</w:t>
      </w:r>
      <w:r w:rsidRPr="00BD7BB1">
        <w:rPr>
          <w:rFonts w:ascii="Times New Roman" w:eastAsia="Times New Roman" w:hAnsi="Times New Roman" w:cs="TT3B95o00"/>
          <w:color w:val="auto"/>
          <w:sz w:val="24"/>
          <w:szCs w:val="24"/>
          <w:lang w:eastAsia="bg-BG" w:bidi="my-MM"/>
        </w:rPr>
        <w:t>)</w:t>
      </w:r>
      <w:r w:rsidRPr="00BD7BB1">
        <w:rPr>
          <w:rFonts w:ascii="Times New Roman" w:eastAsia="Times New Roman" w:hAnsi="Times New Roman" w:cs="TT3B95o00"/>
          <w:color w:val="auto"/>
          <w:sz w:val="24"/>
          <w:szCs w:val="24"/>
          <w:lang w:val="bg-BG" w:eastAsia="bg-BG" w:bidi="my-MM"/>
        </w:rPr>
        <w:t xml:space="preserve">. При повишаване на енергийната ефективност, се наблюдава намаляване на  енергийната интензивност на брутния вътрешен продукт и през 2013 г. тя отчита намаление  с  8,4% спрямо 2012 г.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s="TT3B95o00"/>
          <w:color w:val="auto"/>
          <w:sz w:val="24"/>
          <w:szCs w:val="24"/>
          <w:lang w:val="bg-BG" w:eastAsia="bg-BG" w:bidi="my-MM"/>
        </w:rPr>
      </w:pPr>
      <w:r w:rsidRPr="00BD7BB1">
        <w:rPr>
          <w:rFonts w:ascii="Times New Roman" w:eastAsia="Times New Roman" w:hAnsi="Times New Roman" w:cs="TT3B95o00"/>
          <w:color w:val="auto"/>
          <w:sz w:val="24"/>
          <w:szCs w:val="24"/>
          <w:lang w:val="bg-BG" w:eastAsia="bg-BG" w:bidi="my-MM"/>
        </w:rPr>
        <w:t xml:space="preserve">За постигането на задължителната национална цел на Република България от 16 % общ дял на енергия от ВЕИ в брутното крайно потребление на енергия, включително 10% дял на енергията от ВЕИ в транспорта, е разработен и се изпълнява Национален план за действие за енергията от възобновяеми източници за периода 2010-2020 г. НПДЕВИ очертава насоките за развитие на сектора на ВЕИ в България до 2020 г., за да бъде постигната националната цел.  По данни на НСИ през 2013 г. делът на ВЕ в потреблението на горива от транспорта достига 5,6 %. Първичното и крайното енергийно потребление за за страната са съответно 16 492 хил.т. и  8598 хил.т. , което е намаление спрямо 2012 г. </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s="TT3B95o00"/>
          <w:color w:val="auto"/>
          <w:sz w:val="24"/>
          <w:szCs w:val="24"/>
          <w:lang w:val="bg-BG" w:eastAsia="bg-BG" w:bidi="my-MM"/>
        </w:rPr>
        <w:t xml:space="preserve">През 2010 г. произведената енергия от ВЕИ за </w:t>
      </w:r>
      <w:r w:rsidRPr="00BD7BB1">
        <w:rPr>
          <w:rFonts w:ascii="Times New Roman" w:eastAsia="Times New Roman" w:hAnsi="Times New Roman"/>
          <w:color w:val="auto"/>
          <w:sz w:val="24"/>
          <w:szCs w:val="24"/>
          <w:lang w:val="bg-BG" w:eastAsia="bg-BG"/>
        </w:rPr>
        <w:t>Югоизточният район</w:t>
      </w:r>
      <w:r w:rsidRPr="00BD7BB1">
        <w:rPr>
          <w:rFonts w:ascii="Times New Roman" w:eastAsia="Times New Roman" w:hAnsi="Times New Roman" w:cs="TT3B95o00"/>
          <w:color w:val="auto"/>
          <w:sz w:val="24"/>
          <w:szCs w:val="24"/>
          <w:lang w:val="bg-BG" w:eastAsia="bg-BG" w:bidi="my-MM"/>
        </w:rPr>
        <w:t xml:space="preserve"> е 204 617 хил. кВтч. от общо 5 787 814 хил. кВтч, което е 3,5 % от общото за страната. </w:t>
      </w:r>
      <w:r w:rsidRPr="00BD7BB1">
        <w:rPr>
          <w:rFonts w:ascii="Times New Roman" w:eastAsia="Times New Roman" w:hAnsi="Times New Roman"/>
          <w:color w:val="auto"/>
          <w:sz w:val="24"/>
          <w:szCs w:val="24"/>
          <w:lang w:val="bg-BG" w:eastAsia="bg-BG"/>
        </w:rPr>
        <w:t>Като цяло страната и районите в нея са все още твърде далеч от постигането на общоевропейската цел за около 20 % от производството на енергия от ВЕИ към 2020 г.</w:t>
      </w:r>
    </w:p>
    <w:p w:rsidR="00F25110" w:rsidRPr="00BD7BB1" w:rsidRDefault="00F25110" w:rsidP="00F25110">
      <w:pPr>
        <w:autoSpaceDE w:val="0"/>
        <w:autoSpaceDN w:val="0"/>
        <w:adjustRightInd w:val="0"/>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Очаква се производството на електрическа енергия от ВЕИ да достигне 7 537 GWh през 2020 г., като основно ще бъдат използвани водната и вятърната енергия. Делът на централите на ВЕИ е 12,2% от брутното производство на електрическа енергия в страната през 2010 г.</w:t>
      </w:r>
    </w:p>
    <w:p w:rsidR="00F25110" w:rsidRPr="00BD7BB1" w:rsidRDefault="00F25110" w:rsidP="00F25110">
      <w:pPr>
        <w:spacing w:after="0" w:line="360" w:lineRule="auto"/>
        <w:ind w:firstLine="708"/>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Реализирани спестявания  от енергия в посока изпълнението на Първия национален план за действие по енергийна ефективност към края на 2011г. по райони и области показва следните резултати: СЗР бележи най-висока стойност – 7 553.5 MWh/год., следван от СИР - 3 664.4 MWh/год., ЮЦР – 3 324.5 MWh/год.,  СЦР – 3 238.9 MWh/год.,   ЮЗР – 2253.2 MWh/год. и ЮИР с 1 155.5 MWh/год. Спестяванията  от енергия в областите на ЮИР са  отчетени с най- висока стойност в област Ямбол - 852.8 MWh/год. , следвана от област Бургас – 243.4 MWh/год. и Стара Загора – 59.3 MWh/год. Резултати от област Сливен не са налични, поради липса на реализирани такива. Информацията, подадена от АУЕР за реализираните спестявания на енергия към края на 2011г. от задължените собственици на сгради по чл.19, ал.2 от Закона за енергийна ефективност / ЗЕЕ / е обобщена на база постъпили данни за изпълнението на енергоспестяващи мерки  от общинските и областните администрации на територията на областите.</w:t>
      </w:r>
    </w:p>
    <w:p w:rsidR="00F25110" w:rsidRPr="00BD7BB1" w:rsidRDefault="00F25110" w:rsidP="00F25110">
      <w:pPr>
        <w:spacing w:after="0" w:line="360" w:lineRule="auto"/>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По данни на Държавна комисия за енергийно и водно регулиране, България - Годишен доклад за 2013 г. – и</w:t>
      </w:r>
      <w:r w:rsidRPr="00BD7BB1">
        <w:rPr>
          <w:rFonts w:ascii="Times New Roman" w:eastAsia="Times New Roman" w:hAnsi="Times New Roman"/>
          <w:color w:val="auto"/>
          <w:sz w:val="24"/>
          <w:szCs w:val="24"/>
          <w:lang w:eastAsia="bg-BG"/>
        </w:rPr>
        <w:t xml:space="preserve">нсталираните мощности, работещи с енергия от възобновяеми източници към 31.12.2013 г. са в размер на 3 894 MW, като количеството произведена електрическа енергия е 6 825 257 МWh. През 2013 г. растежът на енергията от възобновяеми източници се е запазил, като според издадените сертификати за гаранции за произход на произведената електрическа енергия от възобновяеми източници от Агенцията за устойчиво енергийно развитие е в размер 6 825 257 MWh, което с 6,52 % повече </w:t>
      </w:r>
      <w:r w:rsidR="00F70061">
        <w:rPr>
          <w:rFonts w:ascii="Times New Roman" w:eastAsia="Times New Roman" w:hAnsi="Times New Roman"/>
          <w:color w:val="auto"/>
          <w:sz w:val="24"/>
          <w:szCs w:val="24"/>
          <w:lang w:val="bg-BG" w:eastAsia="bg-BG"/>
        </w:rPr>
        <w:t xml:space="preserve">в </w:t>
      </w:r>
      <w:r w:rsidRPr="00BD7BB1">
        <w:rPr>
          <w:rFonts w:ascii="Times New Roman" w:eastAsia="Times New Roman" w:hAnsi="Times New Roman"/>
          <w:color w:val="auto"/>
          <w:sz w:val="24"/>
          <w:szCs w:val="24"/>
          <w:lang w:eastAsia="bg-BG"/>
        </w:rPr>
        <w:t>сравнение с произведената електрическа енергия през 2012 г. Процентното изменение на дела на възобновяемите енергийни източници в брутното крайно потребление на енергия е посочено на 19.02.2014 г. от Националния статистически институт и е в размер на 16,3 %, като поставената индикативна цел за 2020 г. на Република България е 16%.</w:t>
      </w:r>
    </w:p>
    <w:p w:rsidR="00F25110" w:rsidRPr="00BD7BB1" w:rsidRDefault="00F25110" w:rsidP="00F25110">
      <w:pPr>
        <w:spacing w:after="0"/>
        <w:contextualSpacing/>
        <w:jc w:val="both"/>
        <w:outlineLvl w:val="0"/>
        <w:rPr>
          <w:rFonts w:ascii="Times New Roman" w:eastAsia="Times New Roman" w:hAnsi="Times New Roman"/>
          <w:b/>
          <w:color w:val="auto"/>
          <w:sz w:val="24"/>
          <w:szCs w:val="24"/>
          <w:lang w:val="bg-BG" w:eastAsia="bg-BG"/>
        </w:rPr>
      </w:pPr>
    </w:p>
    <w:p w:rsidR="00F25110" w:rsidRDefault="00F25110"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755E49" w:rsidRPr="00BD7BB1" w:rsidRDefault="00755E49" w:rsidP="00F25110">
      <w:pPr>
        <w:spacing w:after="0"/>
        <w:contextualSpacing/>
        <w:jc w:val="both"/>
        <w:outlineLvl w:val="0"/>
        <w:rPr>
          <w:rFonts w:ascii="Times New Roman" w:eastAsia="Times New Roman" w:hAnsi="Times New Roman"/>
          <w:b/>
          <w:color w:val="auto"/>
          <w:sz w:val="24"/>
          <w:szCs w:val="24"/>
          <w:lang w:val="bg-BG" w:eastAsia="bg-BG"/>
        </w:rPr>
      </w:pPr>
    </w:p>
    <w:p w:rsidR="00F25110" w:rsidRPr="00755E49" w:rsidRDefault="00F25110" w:rsidP="00F25110">
      <w:pPr>
        <w:spacing w:after="0"/>
        <w:contextualSpacing/>
        <w:rPr>
          <w:rFonts w:ascii="Times New Roman" w:eastAsia="Times New Roman" w:hAnsi="Times New Roman"/>
          <w:b/>
          <w:i/>
          <w:color w:val="9B2D1F" w:themeColor="accent2"/>
          <w:sz w:val="24"/>
          <w:szCs w:val="24"/>
          <w:lang w:val="bg-BG" w:eastAsia="bg-BG"/>
        </w:rPr>
      </w:pPr>
      <w:r w:rsidRPr="00755E49">
        <w:rPr>
          <w:rFonts w:ascii="Times New Roman" w:eastAsia="Times New Roman" w:hAnsi="Times New Roman"/>
          <w:b/>
          <w:i/>
          <w:color w:val="9B2D1F" w:themeColor="accent2"/>
          <w:sz w:val="24"/>
          <w:szCs w:val="24"/>
          <w:lang w:val="bg-BG" w:eastAsia="bg-BG"/>
        </w:rPr>
        <w:t xml:space="preserve">Таблица </w:t>
      </w:r>
      <w:r w:rsidR="00755E49" w:rsidRPr="00755E49">
        <w:rPr>
          <w:rFonts w:ascii="Times New Roman" w:eastAsia="Times New Roman" w:hAnsi="Times New Roman"/>
          <w:b/>
          <w:i/>
          <w:color w:val="9B2D1F" w:themeColor="accent2"/>
          <w:sz w:val="24"/>
          <w:szCs w:val="24"/>
          <w:lang w:val="bg-BG" w:eastAsia="bg-BG"/>
        </w:rPr>
        <w:t>17</w:t>
      </w:r>
      <w:r w:rsidRPr="00755E49">
        <w:rPr>
          <w:rFonts w:ascii="Times New Roman" w:eastAsia="Calibri" w:hAnsi="Times New Roman"/>
          <w:b/>
          <w:bCs/>
          <w:i/>
          <w:color w:val="9B2D1F" w:themeColor="accent2"/>
          <w:sz w:val="18"/>
          <w:szCs w:val="18"/>
          <w:lang w:val="bg-BG"/>
        </w:rPr>
        <w:t xml:space="preserve"> </w:t>
      </w:r>
      <w:r w:rsidRPr="00755E49">
        <w:rPr>
          <w:rFonts w:ascii="Times New Roman" w:eastAsia="Times New Roman" w:hAnsi="Times New Roman"/>
          <w:b/>
          <w:i/>
          <w:color w:val="9B2D1F" w:themeColor="accent2"/>
          <w:sz w:val="20"/>
          <w:lang w:val="bg-BG" w:eastAsia="bg-BG"/>
        </w:rPr>
        <w:t xml:space="preserve"> </w:t>
      </w:r>
      <w:r w:rsidRPr="00755E49">
        <w:rPr>
          <w:rFonts w:ascii="Times New Roman" w:eastAsia="Times New Roman" w:hAnsi="Times New Roman"/>
          <w:b/>
          <w:i/>
          <w:color w:val="9B2D1F" w:themeColor="accent2"/>
          <w:sz w:val="24"/>
          <w:szCs w:val="24"/>
          <w:lang w:val="bg-BG" w:eastAsia="bg-BG"/>
        </w:rPr>
        <w:t>Глобални екологични индикатори</w:t>
      </w:r>
      <w:r w:rsidRPr="00755E49">
        <w:rPr>
          <w:rFonts w:ascii="Times New Roman" w:eastAsia="Calibri" w:hAnsi="Times New Roman"/>
          <w:b/>
          <w:bCs/>
          <w:color w:val="9B2D1F" w:themeColor="accent2"/>
          <w:sz w:val="18"/>
          <w:szCs w:val="18"/>
          <w:lang w:val="bg-BG"/>
        </w:rPr>
        <w:t xml:space="preserve"> </w:t>
      </w:r>
    </w:p>
    <w:tbl>
      <w:tblPr>
        <w:tblpPr w:leftFromText="180" w:rightFromText="180" w:vertAnchor="text" w:horzAnchor="margin" w:tblpX="-680" w:tblpY="245"/>
        <w:tblW w:w="11165"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Look w:val="0000" w:firstRow="0" w:lastRow="0" w:firstColumn="0" w:lastColumn="0" w:noHBand="0" w:noVBand="0"/>
      </w:tblPr>
      <w:tblGrid>
        <w:gridCol w:w="637"/>
        <w:gridCol w:w="4275"/>
        <w:gridCol w:w="1292"/>
        <w:gridCol w:w="1134"/>
        <w:gridCol w:w="1134"/>
        <w:gridCol w:w="1417"/>
        <w:gridCol w:w="1276"/>
      </w:tblGrid>
      <w:tr w:rsidR="00755E49" w:rsidRPr="00BD7BB1" w:rsidTr="00755E49">
        <w:trPr>
          <w:trHeight w:val="283"/>
        </w:trPr>
        <w:tc>
          <w:tcPr>
            <w:tcW w:w="637" w:type="dxa"/>
            <w:tcBorders>
              <w:top w:val="single" w:sz="18" w:space="0" w:color="auto"/>
              <w:left w:val="single" w:sz="18" w:space="0" w:color="auto"/>
              <w:bottom w:val="dashSmallGap" w:sz="4" w:space="0" w:color="auto"/>
            </w:tcBorders>
            <w:shd w:val="clear" w:color="auto" w:fill="F4B29B" w:themeFill="accent1" w:themeFillTint="66"/>
          </w:tcPr>
          <w:p w:rsidR="00F25110" w:rsidRPr="00755E49" w:rsidRDefault="00F25110" w:rsidP="001D6BA2">
            <w:pPr>
              <w:spacing w:after="0" w:line="240" w:lineRule="auto"/>
              <w:jc w:val="center"/>
              <w:rPr>
                <w:rFonts w:ascii="Times New Roman" w:eastAsia="Calibri" w:hAnsi="Times New Roman"/>
                <w:b/>
                <w:bCs/>
                <w:color w:val="9B2D1F" w:themeColor="accent2"/>
                <w:sz w:val="18"/>
                <w:szCs w:val="18"/>
                <w:lang w:val="bg-BG"/>
              </w:rPr>
            </w:pPr>
          </w:p>
        </w:tc>
        <w:tc>
          <w:tcPr>
            <w:tcW w:w="4275" w:type="dxa"/>
            <w:tcBorders>
              <w:top w:val="single" w:sz="18" w:space="0" w:color="auto"/>
              <w:bottom w:val="dashSmallGap" w:sz="4" w:space="0" w:color="auto"/>
            </w:tcBorders>
            <w:shd w:val="clear" w:color="auto" w:fill="auto"/>
            <w:noWrap/>
          </w:tcPr>
          <w:p w:rsidR="00F25110" w:rsidRPr="00BD7BB1" w:rsidRDefault="00F25110" w:rsidP="001D6BA2">
            <w:pPr>
              <w:spacing w:after="0" w:line="240" w:lineRule="auto"/>
              <w:jc w:val="center"/>
              <w:rPr>
                <w:rFonts w:ascii="Times New Roman" w:eastAsia="Calibri" w:hAnsi="Times New Roman"/>
                <w:b/>
                <w:bCs/>
                <w:color w:val="auto"/>
                <w:sz w:val="18"/>
                <w:szCs w:val="18"/>
                <w:lang w:val="bg-BG"/>
              </w:rPr>
            </w:pPr>
            <w:r w:rsidRPr="00BD7BB1">
              <w:rPr>
                <w:rFonts w:ascii="Times New Roman" w:eastAsia="Calibri" w:hAnsi="Times New Roman"/>
                <w:b/>
                <w:bCs/>
                <w:color w:val="auto"/>
                <w:sz w:val="18"/>
                <w:szCs w:val="18"/>
                <w:lang w:val="bg-BG"/>
              </w:rPr>
              <w:t>ИНДИКАТОРИ</w:t>
            </w:r>
          </w:p>
        </w:tc>
        <w:tc>
          <w:tcPr>
            <w:tcW w:w="3560" w:type="dxa"/>
            <w:gridSpan w:val="3"/>
            <w:tcBorders>
              <w:top w:val="single" w:sz="18" w:space="0" w:color="auto"/>
              <w:bottom w:val="dashSmallGap" w:sz="4" w:space="0" w:color="auto"/>
            </w:tcBorders>
            <w:shd w:val="clear" w:color="auto" w:fill="F4B29B" w:themeFill="accent1" w:themeFillTint="66"/>
          </w:tcPr>
          <w:p w:rsidR="00F25110" w:rsidRPr="00755E49" w:rsidRDefault="00F25110" w:rsidP="001D6BA2">
            <w:pPr>
              <w:spacing w:after="0" w:line="240" w:lineRule="auto"/>
              <w:jc w:val="center"/>
              <w:rPr>
                <w:rFonts w:ascii="Times New Roman" w:eastAsia="Calibri" w:hAnsi="Times New Roman"/>
                <w:b/>
                <w:bCs/>
                <w:color w:val="9B2D1F" w:themeColor="accent2"/>
                <w:sz w:val="18"/>
                <w:szCs w:val="18"/>
                <w:lang w:val="bg-BG"/>
              </w:rPr>
            </w:pPr>
            <w:r w:rsidRPr="00755E49">
              <w:rPr>
                <w:rFonts w:ascii="Times New Roman" w:eastAsia="Calibri" w:hAnsi="Times New Roman"/>
                <w:b/>
                <w:bCs/>
                <w:color w:val="9B2D1F" w:themeColor="accent2"/>
                <w:sz w:val="18"/>
                <w:szCs w:val="18"/>
                <w:lang w:val="bg-BG"/>
              </w:rPr>
              <w:t xml:space="preserve">Стойности </w:t>
            </w:r>
          </w:p>
        </w:tc>
        <w:tc>
          <w:tcPr>
            <w:tcW w:w="1417" w:type="dxa"/>
            <w:vMerge w:val="restart"/>
            <w:tcBorders>
              <w:top w:val="single" w:sz="18" w:space="0" w:color="auto"/>
            </w:tcBorders>
            <w:shd w:val="clear" w:color="auto" w:fill="auto"/>
          </w:tcPr>
          <w:p w:rsidR="00F25110" w:rsidRPr="00BD7BB1" w:rsidRDefault="00F25110" w:rsidP="001D6BA2">
            <w:pPr>
              <w:spacing w:after="0" w:line="240" w:lineRule="auto"/>
              <w:jc w:val="center"/>
              <w:rPr>
                <w:rFonts w:ascii="Times New Roman" w:eastAsia="Calibri" w:hAnsi="Times New Roman"/>
                <w:b/>
                <w:bCs/>
                <w:color w:val="auto"/>
                <w:sz w:val="18"/>
                <w:szCs w:val="18"/>
                <w:lang w:val="bg-BG"/>
              </w:rPr>
            </w:pPr>
            <w:r w:rsidRPr="00BD7BB1">
              <w:rPr>
                <w:rFonts w:ascii="Times New Roman" w:eastAsia="Calibri" w:hAnsi="Times New Roman"/>
                <w:b/>
                <w:bCs/>
                <w:color w:val="auto"/>
                <w:sz w:val="18"/>
                <w:szCs w:val="18"/>
                <w:lang w:val="bg-BG"/>
              </w:rPr>
              <w:t>Изпълнение  към 31.12.2014г.</w:t>
            </w:r>
          </w:p>
        </w:tc>
        <w:tc>
          <w:tcPr>
            <w:tcW w:w="1276" w:type="dxa"/>
            <w:vMerge w:val="restart"/>
            <w:tcBorders>
              <w:top w:val="single" w:sz="18" w:space="0" w:color="auto"/>
              <w:right w:val="single" w:sz="18" w:space="0" w:color="auto"/>
            </w:tcBorders>
            <w:shd w:val="clear" w:color="auto" w:fill="F4B29B" w:themeFill="accent1" w:themeFillTint="66"/>
          </w:tcPr>
          <w:p w:rsidR="00F25110" w:rsidRPr="00755E49" w:rsidRDefault="00F25110" w:rsidP="001D6BA2">
            <w:pPr>
              <w:spacing w:after="0" w:line="240" w:lineRule="auto"/>
              <w:rPr>
                <w:rFonts w:ascii="Times New Roman" w:eastAsia="Calibri" w:hAnsi="Times New Roman"/>
                <w:b/>
                <w:bCs/>
                <w:color w:val="9B2D1F" w:themeColor="accent2"/>
                <w:sz w:val="18"/>
                <w:szCs w:val="18"/>
                <w:lang w:val="bg-BG"/>
              </w:rPr>
            </w:pPr>
            <w:r w:rsidRPr="00755E49">
              <w:rPr>
                <w:rFonts w:ascii="Times New Roman" w:eastAsia="Calibri" w:hAnsi="Times New Roman"/>
                <w:b/>
                <w:bCs/>
                <w:color w:val="9B2D1F" w:themeColor="accent2"/>
                <w:sz w:val="18"/>
                <w:szCs w:val="18"/>
                <w:lang w:val="bg-BG"/>
              </w:rPr>
              <w:t>Източник на инф.</w:t>
            </w:r>
          </w:p>
        </w:tc>
      </w:tr>
      <w:tr w:rsidR="00755E49" w:rsidRPr="00BD7BB1" w:rsidTr="00755E49">
        <w:trPr>
          <w:trHeight w:val="283"/>
        </w:trPr>
        <w:tc>
          <w:tcPr>
            <w:tcW w:w="637" w:type="dxa"/>
            <w:tcBorders>
              <w:top w:val="dashSmallGap" w:sz="4" w:space="0" w:color="auto"/>
              <w:left w:val="single" w:sz="18" w:space="0" w:color="auto"/>
              <w:bottom w:val="dashSmallGap" w:sz="4" w:space="0" w:color="auto"/>
            </w:tcBorders>
            <w:shd w:val="clear" w:color="auto" w:fill="F4B29B" w:themeFill="accent1" w:themeFillTint="66"/>
            <w:noWrap/>
          </w:tcPr>
          <w:p w:rsidR="00F25110" w:rsidRPr="00755E49" w:rsidRDefault="00F25110" w:rsidP="001D6BA2">
            <w:pPr>
              <w:spacing w:after="0" w:line="240" w:lineRule="auto"/>
              <w:rPr>
                <w:rFonts w:ascii="Times New Roman" w:eastAsia="Calibri" w:hAnsi="Times New Roman"/>
                <w:color w:val="9B2D1F" w:themeColor="accent2"/>
                <w:sz w:val="18"/>
                <w:szCs w:val="18"/>
                <w:lang w:val="bg-BG"/>
              </w:rPr>
            </w:pPr>
            <w:r w:rsidRPr="00755E49">
              <w:rPr>
                <w:rFonts w:ascii="Times New Roman" w:eastAsia="Calibri" w:hAnsi="Times New Roman"/>
                <w:color w:val="9B2D1F" w:themeColor="accent2"/>
                <w:sz w:val="18"/>
                <w:szCs w:val="18"/>
                <w:lang w:val="bg-BG"/>
              </w:rPr>
              <w:t> </w:t>
            </w:r>
          </w:p>
        </w:tc>
        <w:tc>
          <w:tcPr>
            <w:tcW w:w="4275" w:type="dxa"/>
            <w:tcBorders>
              <w:top w:val="dashSmallGap" w:sz="4" w:space="0" w:color="auto"/>
              <w:bottom w:val="dashSmallGap" w:sz="4" w:space="0" w:color="auto"/>
            </w:tcBorders>
            <w:shd w:val="clear" w:color="auto" w:fill="auto"/>
            <w:noWrap/>
          </w:tcPr>
          <w:p w:rsidR="00F25110" w:rsidRPr="00BD7BB1" w:rsidRDefault="00F25110" w:rsidP="001D6BA2">
            <w:pPr>
              <w:spacing w:after="0" w:line="240" w:lineRule="auto"/>
              <w:jc w:val="center"/>
              <w:rPr>
                <w:rFonts w:ascii="Times New Roman" w:eastAsia="Calibri" w:hAnsi="Times New Roman"/>
                <w:b/>
                <w:bCs/>
                <w:color w:val="auto"/>
                <w:sz w:val="18"/>
                <w:szCs w:val="18"/>
                <w:lang w:val="bg-BG"/>
              </w:rPr>
            </w:pPr>
            <w:r w:rsidRPr="00BD7BB1">
              <w:rPr>
                <w:rFonts w:ascii="Times New Roman" w:eastAsia="Calibri" w:hAnsi="Times New Roman"/>
                <w:b/>
                <w:bCs/>
                <w:color w:val="auto"/>
                <w:sz w:val="18"/>
                <w:szCs w:val="18"/>
                <w:lang w:val="bg-BG"/>
              </w:rPr>
              <w:t>ГЛОБАЛНИ ЕКОЛОГИЧНИ ИНДИКАТОРИ</w:t>
            </w:r>
          </w:p>
        </w:tc>
        <w:tc>
          <w:tcPr>
            <w:tcW w:w="1292" w:type="dxa"/>
            <w:tcBorders>
              <w:top w:val="dashSmallGap" w:sz="4" w:space="0" w:color="auto"/>
              <w:bottom w:val="dashSmallGap" w:sz="4" w:space="0" w:color="auto"/>
            </w:tcBorders>
            <w:shd w:val="clear" w:color="auto" w:fill="F4B29B" w:themeFill="accent1" w:themeFillTint="66"/>
            <w:noWrap/>
          </w:tcPr>
          <w:p w:rsidR="00F25110" w:rsidRPr="00755E49" w:rsidRDefault="00F25110" w:rsidP="001D6BA2">
            <w:pPr>
              <w:spacing w:after="0" w:line="240" w:lineRule="auto"/>
              <w:jc w:val="center"/>
              <w:rPr>
                <w:rFonts w:ascii="Times New Roman" w:eastAsia="Calibri" w:hAnsi="Times New Roman"/>
                <w:b/>
                <w:bCs/>
                <w:color w:val="9B2D1F" w:themeColor="accent2"/>
                <w:sz w:val="18"/>
                <w:szCs w:val="18"/>
                <w:lang w:val="bg-BG"/>
              </w:rPr>
            </w:pPr>
            <w:r w:rsidRPr="00755E49">
              <w:rPr>
                <w:rFonts w:ascii="Times New Roman" w:eastAsia="Calibri" w:hAnsi="Times New Roman"/>
                <w:b/>
                <w:bCs/>
                <w:color w:val="9B2D1F" w:themeColor="accent2"/>
                <w:sz w:val="18"/>
                <w:szCs w:val="18"/>
                <w:lang w:val="bg-BG"/>
              </w:rPr>
              <w:t xml:space="preserve">Изходни </w:t>
            </w:r>
          </w:p>
        </w:tc>
        <w:tc>
          <w:tcPr>
            <w:tcW w:w="1134" w:type="dxa"/>
            <w:tcBorders>
              <w:top w:val="dashSmallGap" w:sz="4" w:space="0" w:color="auto"/>
              <w:bottom w:val="dashSmallGap" w:sz="4" w:space="0" w:color="auto"/>
            </w:tcBorders>
            <w:shd w:val="clear" w:color="auto" w:fill="auto"/>
          </w:tcPr>
          <w:p w:rsidR="00F25110" w:rsidRPr="00BD7BB1" w:rsidRDefault="00F25110" w:rsidP="001D6BA2">
            <w:pPr>
              <w:spacing w:after="0" w:line="240" w:lineRule="auto"/>
              <w:jc w:val="center"/>
              <w:rPr>
                <w:rFonts w:ascii="Times New Roman" w:eastAsia="Calibri" w:hAnsi="Times New Roman"/>
                <w:b/>
                <w:bCs/>
                <w:color w:val="auto"/>
                <w:sz w:val="18"/>
                <w:szCs w:val="18"/>
                <w:lang w:val="bg-BG"/>
              </w:rPr>
            </w:pPr>
            <w:r w:rsidRPr="00BD7BB1">
              <w:rPr>
                <w:rFonts w:ascii="Times New Roman" w:eastAsia="Calibri" w:hAnsi="Times New Roman"/>
                <w:b/>
                <w:bCs/>
                <w:color w:val="auto"/>
                <w:sz w:val="18"/>
                <w:szCs w:val="18"/>
                <w:lang w:val="bg-BG"/>
              </w:rPr>
              <w:t>Междинни (2015)</w:t>
            </w:r>
          </w:p>
        </w:tc>
        <w:tc>
          <w:tcPr>
            <w:tcW w:w="1134" w:type="dxa"/>
            <w:tcBorders>
              <w:top w:val="dashSmallGap" w:sz="4" w:space="0" w:color="auto"/>
              <w:bottom w:val="dashSmallGap" w:sz="4" w:space="0" w:color="auto"/>
            </w:tcBorders>
            <w:shd w:val="clear" w:color="auto" w:fill="F4B29B" w:themeFill="accent1" w:themeFillTint="66"/>
            <w:noWrap/>
          </w:tcPr>
          <w:p w:rsidR="00F25110" w:rsidRPr="00755E49" w:rsidRDefault="00F25110" w:rsidP="001D6BA2">
            <w:pPr>
              <w:spacing w:after="0" w:line="240" w:lineRule="auto"/>
              <w:jc w:val="center"/>
              <w:rPr>
                <w:rFonts w:ascii="Times New Roman" w:eastAsia="Calibri" w:hAnsi="Times New Roman"/>
                <w:b/>
                <w:bCs/>
                <w:color w:val="9B2D1F" w:themeColor="accent2"/>
                <w:sz w:val="18"/>
                <w:szCs w:val="18"/>
                <w:lang w:val="bg-BG"/>
              </w:rPr>
            </w:pPr>
            <w:r w:rsidRPr="00755E49">
              <w:rPr>
                <w:rFonts w:ascii="Times New Roman" w:eastAsia="Calibri" w:hAnsi="Times New Roman"/>
                <w:b/>
                <w:bCs/>
                <w:color w:val="9B2D1F" w:themeColor="accent2"/>
                <w:sz w:val="18"/>
                <w:szCs w:val="18"/>
                <w:lang w:val="bg-BG"/>
              </w:rPr>
              <w:t>Целеви (2020)</w:t>
            </w:r>
          </w:p>
        </w:tc>
        <w:tc>
          <w:tcPr>
            <w:tcW w:w="1417" w:type="dxa"/>
            <w:vMerge/>
            <w:tcBorders>
              <w:bottom w:val="dashSmallGap" w:sz="4" w:space="0" w:color="auto"/>
            </w:tcBorders>
            <w:shd w:val="clear" w:color="auto" w:fill="auto"/>
          </w:tcPr>
          <w:p w:rsidR="00F25110" w:rsidRPr="00BD7BB1" w:rsidRDefault="00F25110" w:rsidP="001D6BA2">
            <w:pPr>
              <w:spacing w:after="0" w:line="240" w:lineRule="auto"/>
              <w:rPr>
                <w:rFonts w:ascii="Times New Roman" w:eastAsia="Calibri" w:hAnsi="Times New Roman"/>
                <w:b/>
                <w:bCs/>
                <w:color w:val="auto"/>
                <w:sz w:val="18"/>
                <w:szCs w:val="18"/>
                <w:lang w:val="bg-BG"/>
              </w:rPr>
            </w:pPr>
          </w:p>
        </w:tc>
        <w:tc>
          <w:tcPr>
            <w:tcW w:w="1276" w:type="dxa"/>
            <w:vMerge/>
            <w:tcBorders>
              <w:bottom w:val="dashSmallGap" w:sz="4" w:space="0" w:color="auto"/>
              <w:right w:val="single" w:sz="18" w:space="0" w:color="auto"/>
            </w:tcBorders>
            <w:shd w:val="clear" w:color="auto" w:fill="F4B29B" w:themeFill="accent1" w:themeFillTint="66"/>
          </w:tcPr>
          <w:p w:rsidR="00F25110" w:rsidRPr="00755E49" w:rsidRDefault="00F25110" w:rsidP="001D6BA2">
            <w:pPr>
              <w:spacing w:after="0" w:line="240" w:lineRule="auto"/>
              <w:rPr>
                <w:rFonts w:ascii="Times New Roman" w:eastAsia="Calibri" w:hAnsi="Times New Roman"/>
                <w:b/>
                <w:bCs/>
                <w:color w:val="9B2D1F" w:themeColor="accent2"/>
                <w:sz w:val="18"/>
                <w:szCs w:val="18"/>
                <w:lang w:val="bg-BG"/>
              </w:rPr>
            </w:pPr>
          </w:p>
        </w:tc>
      </w:tr>
      <w:tr w:rsidR="00755E49" w:rsidRPr="00BD7BB1" w:rsidTr="00755E49">
        <w:trPr>
          <w:trHeight w:val="283"/>
        </w:trPr>
        <w:tc>
          <w:tcPr>
            <w:tcW w:w="637" w:type="dxa"/>
            <w:tcBorders>
              <w:top w:val="dashSmallGap" w:sz="4" w:space="0" w:color="auto"/>
              <w:left w:val="single" w:sz="18" w:space="0" w:color="auto"/>
            </w:tcBorders>
            <w:shd w:val="clear" w:color="auto" w:fill="F4B29B" w:themeFill="accent1" w:themeFillTint="66"/>
          </w:tcPr>
          <w:p w:rsidR="00F25110" w:rsidRPr="00755E49" w:rsidRDefault="00F25110" w:rsidP="001D6BA2">
            <w:pPr>
              <w:spacing w:before="20" w:after="20" w:line="240" w:lineRule="auto"/>
              <w:rPr>
                <w:rFonts w:ascii="Times New Roman" w:eastAsia="Times New Roman" w:hAnsi="Times New Roman"/>
                <w:color w:val="9B2D1F" w:themeColor="accent2"/>
                <w:sz w:val="20"/>
                <w:lang w:val="bg-BG" w:eastAsia="bg-BG"/>
              </w:rPr>
            </w:pPr>
            <w:r w:rsidRPr="00755E49">
              <w:rPr>
                <w:rFonts w:ascii="Times New Roman" w:eastAsia="Times New Roman" w:hAnsi="Times New Roman"/>
                <w:color w:val="9B2D1F" w:themeColor="accent2"/>
                <w:sz w:val="20"/>
                <w:lang w:val="bg-BG" w:eastAsia="bg-BG"/>
              </w:rPr>
              <w:t>1</w:t>
            </w:r>
          </w:p>
        </w:tc>
        <w:tc>
          <w:tcPr>
            <w:tcW w:w="4275" w:type="dxa"/>
            <w:tcBorders>
              <w:top w:val="dashSmallGap" w:sz="4" w:space="0" w:color="auto"/>
            </w:tcBorders>
            <w:shd w:val="clear" w:color="auto" w:fill="auto"/>
          </w:tcPr>
          <w:p w:rsidR="00F25110" w:rsidRPr="00BD7BB1" w:rsidRDefault="00F25110" w:rsidP="001D6BA2">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Относителен дял на антропогенно натоварените територии (инфраструктура, селища, промишлени обекти) – %</w:t>
            </w:r>
          </w:p>
        </w:tc>
        <w:tc>
          <w:tcPr>
            <w:tcW w:w="1292" w:type="dxa"/>
            <w:tcBorders>
              <w:top w:val="dashSmallGap" w:sz="4" w:space="0" w:color="auto"/>
            </w:tcBorders>
            <w:shd w:val="clear" w:color="auto" w:fill="F4B29B" w:themeFill="accent1" w:themeFillTint="66"/>
            <w:noWrap/>
            <w:vAlign w:val="center"/>
          </w:tcPr>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p>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4.89</w:t>
            </w:r>
          </w:p>
          <w:p w:rsidR="00F25110" w:rsidRPr="00755E49" w:rsidRDefault="00F25110" w:rsidP="001D6BA2">
            <w:pPr>
              <w:spacing w:after="0" w:line="240" w:lineRule="auto"/>
              <w:jc w:val="center"/>
              <w:rPr>
                <w:rFonts w:ascii="Times New Roman" w:eastAsia="Calibri" w:hAnsi="Times New Roman"/>
                <w:color w:val="9B2D1F" w:themeColor="accent2"/>
                <w:sz w:val="20"/>
                <w:lang w:val="bg-BG"/>
              </w:rPr>
            </w:pPr>
            <w:r w:rsidRPr="00755E49">
              <w:rPr>
                <w:rFonts w:ascii="Times New Roman" w:eastAsia="Calibri" w:hAnsi="Times New Roman"/>
                <w:i/>
                <w:color w:val="9B2D1F" w:themeColor="accent2"/>
                <w:sz w:val="20"/>
                <w:szCs w:val="22"/>
                <w:lang w:val="bg-BG"/>
              </w:rPr>
              <w:t>(2008г.)</w:t>
            </w:r>
          </w:p>
        </w:tc>
        <w:tc>
          <w:tcPr>
            <w:tcW w:w="1134" w:type="dxa"/>
            <w:tcBorders>
              <w:top w:val="dashSmallGap" w:sz="4" w:space="0" w:color="auto"/>
            </w:tcBorders>
            <w:shd w:val="clear" w:color="auto" w:fill="auto"/>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5.50</w:t>
            </w:r>
          </w:p>
        </w:tc>
        <w:tc>
          <w:tcPr>
            <w:tcW w:w="1134" w:type="dxa"/>
            <w:tcBorders>
              <w:top w:val="dashSmallGap" w:sz="4" w:space="0" w:color="auto"/>
            </w:tcBorders>
            <w:shd w:val="clear" w:color="auto" w:fill="F4B29B" w:themeFill="accent1" w:themeFillTint="66"/>
            <w:noWrap/>
            <w:vAlign w:val="center"/>
          </w:tcPr>
          <w:p w:rsidR="00F25110" w:rsidRPr="00755E49" w:rsidRDefault="00F25110" w:rsidP="001D6BA2">
            <w:pPr>
              <w:spacing w:before="20" w:after="20" w:line="240" w:lineRule="auto"/>
              <w:jc w:val="center"/>
              <w:rPr>
                <w:rFonts w:ascii="Times New Roman" w:eastAsia="Times New Roman" w:hAnsi="Times New Roman"/>
                <w:b/>
                <w:color w:val="9B2D1F" w:themeColor="accent2"/>
                <w:sz w:val="20"/>
                <w:lang w:val="bg-BG" w:eastAsia="bg-BG"/>
              </w:rPr>
            </w:pPr>
            <w:r w:rsidRPr="00755E49">
              <w:rPr>
                <w:rFonts w:ascii="Times New Roman" w:eastAsia="Times New Roman" w:hAnsi="Times New Roman"/>
                <w:b/>
                <w:color w:val="9B2D1F" w:themeColor="accent2"/>
                <w:sz w:val="20"/>
                <w:lang w:val="bg-BG" w:eastAsia="bg-BG"/>
              </w:rPr>
              <w:t>6.00</w:t>
            </w:r>
          </w:p>
        </w:tc>
        <w:tc>
          <w:tcPr>
            <w:tcW w:w="1417" w:type="dxa"/>
            <w:tcBorders>
              <w:top w:val="dashSmallGap" w:sz="4" w:space="0" w:color="auto"/>
            </w:tcBorders>
            <w:shd w:val="clear" w:color="auto" w:fill="auto"/>
          </w:tcPr>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Различна периодичност в зависимост от данните, предоставяни в рамките на проект CORINE  Landcover</w:t>
            </w:r>
            <w:r w:rsidRPr="00BD7BB1">
              <w:rPr>
                <w:rFonts w:ascii="Times New Roman" w:eastAsia="Times New Roman" w:hAnsi="Times New Roman"/>
                <w:color w:val="auto"/>
                <w:sz w:val="20"/>
                <w:vertAlign w:val="superscript"/>
                <w:lang w:val="bg-BG" w:eastAsia="bg-BG"/>
              </w:rPr>
              <w:footnoteReference w:id="1"/>
            </w:r>
          </w:p>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w:t>
            </w:r>
          </w:p>
        </w:tc>
        <w:tc>
          <w:tcPr>
            <w:tcW w:w="1276" w:type="dxa"/>
            <w:tcBorders>
              <w:top w:val="dashSmallGap" w:sz="4" w:space="0" w:color="auto"/>
              <w:right w:val="single" w:sz="18" w:space="0" w:color="auto"/>
            </w:tcBorders>
            <w:shd w:val="clear" w:color="auto" w:fill="F4B29B" w:themeFill="accent1" w:themeFillTint="66"/>
          </w:tcPr>
          <w:p w:rsidR="00F25110" w:rsidRPr="00755E49" w:rsidRDefault="00F25110" w:rsidP="001D6BA2">
            <w:pPr>
              <w:spacing w:before="20" w:after="20" w:line="240" w:lineRule="auto"/>
              <w:jc w:val="center"/>
              <w:rPr>
                <w:rFonts w:ascii="Times New Roman" w:eastAsia="Times New Roman" w:hAnsi="Times New Roman"/>
                <w:color w:val="9B2D1F" w:themeColor="accent2"/>
                <w:sz w:val="20"/>
                <w:lang w:val="bg-BG" w:eastAsia="bg-BG"/>
              </w:rPr>
            </w:pPr>
            <w:r w:rsidRPr="00755E49">
              <w:rPr>
                <w:rFonts w:ascii="Times New Roman" w:eastAsia="Times New Roman" w:hAnsi="Times New Roman"/>
                <w:color w:val="9B2D1F" w:themeColor="accent2"/>
                <w:sz w:val="20"/>
                <w:lang w:val="bg-BG" w:eastAsia="bg-BG"/>
              </w:rPr>
              <w:t>ИАОС</w:t>
            </w:r>
          </w:p>
          <w:p w:rsidR="00F25110" w:rsidRPr="00755E49" w:rsidRDefault="00F25110" w:rsidP="001D6BA2">
            <w:pPr>
              <w:spacing w:before="20" w:after="20" w:line="240" w:lineRule="auto"/>
              <w:jc w:val="both"/>
              <w:rPr>
                <w:rFonts w:ascii="Times New Roman" w:eastAsia="Times New Roman" w:hAnsi="Times New Roman"/>
                <w:color w:val="9B2D1F" w:themeColor="accent2"/>
                <w:sz w:val="20"/>
                <w:lang w:val="bg-BG" w:eastAsia="bg-BG"/>
              </w:rPr>
            </w:pPr>
          </w:p>
        </w:tc>
      </w:tr>
      <w:tr w:rsidR="00755E49" w:rsidRPr="00BD7BB1" w:rsidTr="00755E49">
        <w:trPr>
          <w:trHeight w:val="1125"/>
        </w:trPr>
        <w:tc>
          <w:tcPr>
            <w:tcW w:w="637" w:type="dxa"/>
            <w:tcBorders>
              <w:top w:val="dashSmallGap" w:sz="4" w:space="0" w:color="auto"/>
              <w:left w:val="single" w:sz="18" w:space="0" w:color="auto"/>
              <w:bottom w:val="dashSmallGap" w:sz="4" w:space="0" w:color="auto"/>
            </w:tcBorders>
            <w:shd w:val="clear" w:color="auto" w:fill="F4B29B" w:themeFill="accent1" w:themeFillTint="66"/>
          </w:tcPr>
          <w:p w:rsidR="00F25110" w:rsidRPr="00755E49" w:rsidRDefault="00F25110" w:rsidP="001D6BA2">
            <w:pPr>
              <w:spacing w:before="20" w:after="20" w:line="240" w:lineRule="auto"/>
              <w:rPr>
                <w:rFonts w:ascii="Times New Roman" w:eastAsia="Times New Roman" w:hAnsi="Times New Roman"/>
                <w:color w:val="9B2D1F" w:themeColor="accent2"/>
                <w:sz w:val="20"/>
                <w:lang w:val="bg-BG" w:eastAsia="bg-BG"/>
              </w:rPr>
            </w:pPr>
            <w:r w:rsidRPr="00755E49">
              <w:rPr>
                <w:rFonts w:ascii="Times New Roman" w:eastAsia="Times New Roman" w:hAnsi="Times New Roman"/>
                <w:color w:val="9B2D1F" w:themeColor="accent2"/>
                <w:sz w:val="20"/>
                <w:lang w:val="bg-BG" w:eastAsia="bg-BG"/>
              </w:rPr>
              <w:t>2</w:t>
            </w:r>
          </w:p>
        </w:tc>
        <w:tc>
          <w:tcPr>
            <w:tcW w:w="4275" w:type="dxa"/>
            <w:tcBorders>
              <w:top w:val="dashSmallGap" w:sz="4" w:space="0" w:color="auto"/>
              <w:bottom w:val="dashSmallGap" w:sz="4" w:space="0" w:color="auto"/>
            </w:tcBorders>
            <w:shd w:val="clear" w:color="auto" w:fill="auto"/>
          </w:tcPr>
          <w:p w:rsidR="00F25110" w:rsidRPr="00BD7BB1" w:rsidRDefault="00F25110" w:rsidP="001D6BA2">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 xml:space="preserve">Съотношение между  земеделските, горските </w:t>
            </w:r>
          </w:p>
          <w:p w:rsidR="00F25110" w:rsidRPr="00BD7BB1" w:rsidRDefault="00F25110" w:rsidP="001D6BA2">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и урбанизираните територии - %/ %/ %</w:t>
            </w:r>
          </w:p>
        </w:tc>
        <w:tc>
          <w:tcPr>
            <w:tcW w:w="1292" w:type="dxa"/>
            <w:tcBorders>
              <w:top w:val="dashSmallGap" w:sz="4" w:space="0" w:color="auto"/>
              <w:bottom w:val="dashSmallGap" w:sz="4" w:space="0" w:color="auto"/>
            </w:tcBorders>
            <w:shd w:val="clear" w:color="auto" w:fill="F4B29B" w:themeFill="accent1" w:themeFillTint="66"/>
            <w:noWrap/>
            <w:vAlign w:val="center"/>
          </w:tcPr>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p>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52.07/41.87 /</w:t>
            </w:r>
          </w:p>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4.89</w:t>
            </w:r>
          </w:p>
          <w:p w:rsidR="00F25110" w:rsidRPr="00755E49" w:rsidRDefault="00F25110" w:rsidP="001D6BA2">
            <w:pPr>
              <w:spacing w:after="0" w:line="240" w:lineRule="auto"/>
              <w:jc w:val="center"/>
              <w:rPr>
                <w:rFonts w:ascii="Times New Roman" w:eastAsia="Calibri" w:hAnsi="Times New Roman"/>
                <w:i/>
                <w:color w:val="9B2D1F" w:themeColor="accent2"/>
                <w:sz w:val="20"/>
                <w:lang w:val="bg-BG"/>
              </w:rPr>
            </w:pPr>
            <w:r w:rsidRPr="00755E49">
              <w:rPr>
                <w:rFonts w:ascii="Times New Roman" w:eastAsia="Calibri" w:hAnsi="Times New Roman"/>
                <w:i/>
                <w:color w:val="9B2D1F" w:themeColor="accent2"/>
                <w:sz w:val="20"/>
                <w:lang w:val="bg-BG"/>
              </w:rPr>
              <w:t>(2008г.)</w:t>
            </w:r>
          </w:p>
        </w:tc>
        <w:tc>
          <w:tcPr>
            <w:tcW w:w="1134" w:type="dxa"/>
            <w:tcBorders>
              <w:top w:val="dashSmallGap" w:sz="4" w:space="0" w:color="auto"/>
              <w:bottom w:val="dashSmallGap" w:sz="4" w:space="0" w:color="auto"/>
            </w:tcBorders>
            <w:shd w:val="clear" w:color="auto" w:fill="auto"/>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52.07/41.26/ 5.50</w:t>
            </w:r>
          </w:p>
        </w:tc>
        <w:tc>
          <w:tcPr>
            <w:tcW w:w="1134" w:type="dxa"/>
            <w:tcBorders>
              <w:top w:val="dashSmallGap" w:sz="4" w:space="0" w:color="auto"/>
              <w:bottom w:val="dashSmallGap" w:sz="4" w:space="0" w:color="auto"/>
            </w:tcBorders>
            <w:shd w:val="clear" w:color="auto" w:fill="F4B29B" w:themeFill="accent1" w:themeFillTint="66"/>
            <w:noWrap/>
            <w:vAlign w:val="center"/>
          </w:tcPr>
          <w:p w:rsidR="00F25110" w:rsidRPr="00755E49" w:rsidRDefault="00F25110" w:rsidP="001D6BA2">
            <w:pPr>
              <w:spacing w:before="20" w:after="20" w:line="240" w:lineRule="auto"/>
              <w:jc w:val="center"/>
              <w:rPr>
                <w:rFonts w:ascii="Times New Roman" w:eastAsia="Times New Roman" w:hAnsi="Times New Roman"/>
                <w:b/>
                <w:color w:val="9B2D1F" w:themeColor="accent2"/>
                <w:sz w:val="20"/>
                <w:lang w:val="bg-BG" w:eastAsia="bg-BG"/>
              </w:rPr>
            </w:pPr>
            <w:r w:rsidRPr="00755E49">
              <w:rPr>
                <w:rFonts w:ascii="Times New Roman" w:eastAsia="Times New Roman" w:hAnsi="Times New Roman"/>
                <w:b/>
                <w:color w:val="9B2D1F" w:themeColor="accent2"/>
                <w:sz w:val="20"/>
                <w:lang w:val="bg-BG" w:eastAsia="bg-BG"/>
              </w:rPr>
              <w:t>52.07/40.77/6.00</w:t>
            </w:r>
          </w:p>
        </w:tc>
        <w:tc>
          <w:tcPr>
            <w:tcW w:w="1417" w:type="dxa"/>
            <w:vMerge w:val="restart"/>
            <w:tcBorders>
              <w:top w:val="dashSmallGap" w:sz="4" w:space="0" w:color="auto"/>
            </w:tcBorders>
            <w:shd w:val="clear" w:color="auto" w:fill="auto"/>
          </w:tcPr>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Различна периодичност -CORINE Landcover</w:t>
            </w:r>
          </w:p>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w:t>
            </w:r>
          </w:p>
        </w:tc>
        <w:tc>
          <w:tcPr>
            <w:tcW w:w="1276" w:type="dxa"/>
            <w:tcBorders>
              <w:top w:val="dashSmallGap" w:sz="4" w:space="0" w:color="auto"/>
              <w:bottom w:val="dashSmallGap" w:sz="4" w:space="0" w:color="auto"/>
              <w:right w:val="single" w:sz="18" w:space="0" w:color="auto"/>
            </w:tcBorders>
            <w:shd w:val="clear" w:color="auto" w:fill="F4B29B" w:themeFill="accent1" w:themeFillTint="66"/>
          </w:tcPr>
          <w:p w:rsidR="00F25110" w:rsidRPr="00755E49" w:rsidRDefault="00F25110" w:rsidP="001D6BA2">
            <w:pPr>
              <w:spacing w:before="20" w:after="20" w:line="240" w:lineRule="auto"/>
              <w:jc w:val="center"/>
              <w:rPr>
                <w:rFonts w:ascii="Times New Roman" w:eastAsia="Times New Roman" w:hAnsi="Times New Roman"/>
                <w:color w:val="9B2D1F" w:themeColor="accent2"/>
                <w:sz w:val="20"/>
                <w:lang w:val="bg-BG" w:eastAsia="bg-BG"/>
              </w:rPr>
            </w:pPr>
            <w:r w:rsidRPr="00755E49">
              <w:rPr>
                <w:rFonts w:ascii="Times New Roman" w:eastAsia="Times New Roman" w:hAnsi="Times New Roman"/>
                <w:color w:val="9B2D1F" w:themeColor="accent2"/>
                <w:sz w:val="20"/>
                <w:lang w:val="bg-BG" w:eastAsia="bg-BG"/>
              </w:rPr>
              <w:t>ИАОС</w:t>
            </w:r>
          </w:p>
          <w:p w:rsidR="00F25110" w:rsidRPr="00755E49" w:rsidRDefault="00F25110" w:rsidP="001D6BA2">
            <w:pPr>
              <w:spacing w:before="20" w:after="20" w:line="240" w:lineRule="auto"/>
              <w:jc w:val="center"/>
              <w:rPr>
                <w:rFonts w:ascii="Times New Roman" w:eastAsia="Times New Roman" w:hAnsi="Times New Roman"/>
                <w:color w:val="9B2D1F" w:themeColor="accent2"/>
                <w:sz w:val="20"/>
                <w:lang w:val="bg-BG" w:eastAsia="bg-BG"/>
              </w:rPr>
            </w:pPr>
          </w:p>
        </w:tc>
      </w:tr>
      <w:tr w:rsidR="00755E49" w:rsidRPr="00BD7BB1" w:rsidTr="00755E49">
        <w:trPr>
          <w:trHeight w:val="360"/>
        </w:trPr>
        <w:tc>
          <w:tcPr>
            <w:tcW w:w="637" w:type="dxa"/>
            <w:tcBorders>
              <w:top w:val="dashSmallGap" w:sz="4" w:space="0" w:color="auto"/>
              <w:left w:val="single" w:sz="18" w:space="0" w:color="auto"/>
            </w:tcBorders>
            <w:shd w:val="clear" w:color="auto" w:fill="F4B29B" w:themeFill="accent1" w:themeFillTint="66"/>
          </w:tcPr>
          <w:p w:rsidR="00F25110" w:rsidRPr="00755E49" w:rsidRDefault="00F25110" w:rsidP="001D6BA2">
            <w:pPr>
              <w:spacing w:before="20" w:after="20" w:line="240" w:lineRule="auto"/>
              <w:rPr>
                <w:rFonts w:ascii="Times New Roman" w:eastAsia="Times New Roman" w:hAnsi="Times New Roman"/>
                <w:color w:val="9B2D1F" w:themeColor="accent2"/>
                <w:sz w:val="20"/>
                <w:lang w:val="bg-BG" w:eastAsia="bg-BG"/>
              </w:rPr>
            </w:pPr>
          </w:p>
        </w:tc>
        <w:tc>
          <w:tcPr>
            <w:tcW w:w="4275" w:type="dxa"/>
            <w:tcBorders>
              <w:top w:val="dashSmallGap" w:sz="4" w:space="0" w:color="auto"/>
            </w:tcBorders>
            <w:shd w:val="clear" w:color="auto" w:fill="auto"/>
          </w:tcPr>
          <w:p w:rsidR="00F25110" w:rsidRPr="00BD7BB1" w:rsidRDefault="00F25110" w:rsidP="001D6BA2">
            <w:pPr>
              <w:spacing w:before="20" w:after="20" w:line="240" w:lineRule="auto"/>
              <w:rPr>
                <w:rFonts w:ascii="Times New Roman" w:eastAsia="Times New Roman" w:hAnsi="Times New Roman"/>
                <w:color w:val="auto"/>
                <w:sz w:val="20"/>
                <w:lang w:val="bg-BG" w:eastAsia="bg-BG"/>
              </w:rPr>
            </w:pPr>
          </w:p>
        </w:tc>
        <w:tc>
          <w:tcPr>
            <w:tcW w:w="1292" w:type="dxa"/>
            <w:tcBorders>
              <w:top w:val="dashSmallGap" w:sz="4" w:space="0" w:color="auto"/>
            </w:tcBorders>
            <w:shd w:val="clear" w:color="auto" w:fill="F4B29B" w:themeFill="accent1" w:themeFillTint="66"/>
            <w:noWrap/>
            <w:vAlign w:val="center"/>
          </w:tcPr>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p>
        </w:tc>
        <w:tc>
          <w:tcPr>
            <w:tcW w:w="1134" w:type="dxa"/>
            <w:tcBorders>
              <w:top w:val="dashSmallGap" w:sz="4" w:space="0" w:color="auto"/>
            </w:tcBorders>
            <w:shd w:val="clear" w:color="auto" w:fill="auto"/>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p>
        </w:tc>
        <w:tc>
          <w:tcPr>
            <w:tcW w:w="1134" w:type="dxa"/>
            <w:tcBorders>
              <w:top w:val="dashSmallGap" w:sz="4" w:space="0" w:color="auto"/>
            </w:tcBorders>
            <w:shd w:val="clear" w:color="auto" w:fill="F4B29B" w:themeFill="accent1" w:themeFillTint="66"/>
            <w:noWrap/>
            <w:vAlign w:val="center"/>
          </w:tcPr>
          <w:p w:rsidR="00F25110" w:rsidRPr="00755E49" w:rsidRDefault="00F25110" w:rsidP="001D6BA2">
            <w:pPr>
              <w:spacing w:before="20" w:after="20" w:line="240" w:lineRule="auto"/>
              <w:jc w:val="center"/>
              <w:rPr>
                <w:rFonts w:ascii="Times New Roman" w:eastAsia="Times New Roman" w:hAnsi="Times New Roman"/>
                <w:b/>
                <w:color w:val="9B2D1F" w:themeColor="accent2"/>
                <w:sz w:val="20"/>
                <w:lang w:val="bg-BG" w:eastAsia="bg-BG"/>
              </w:rPr>
            </w:pPr>
          </w:p>
        </w:tc>
        <w:tc>
          <w:tcPr>
            <w:tcW w:w="1417" w:type="dxa"/>
            <w:vMerge/>
            <w:shd w:val="clear" w:color="auto" w:fill="auto"/>
          </w:tcPr>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p>
        </w:tc>
        <w:tc>
          <w:tcPr>
            <w:tcW w:w="1276" w:type="dxa"/>
            <w:tcBorders>
              <w:top w:val="dashSmallGap" w:sz="4" w:space="0" w:color="auto"/>
              <w:right w:val="single" w:sz="18" w:space="0" w:color="auto"/>
            </w:tcBorders>
            <w:shd w:val="clear" w:color="auto" w:fill="F4B29B" w:themeFill="accent1" w:themeFillTint="66"/>
          </w:tcPr>
          <w:p w:rsidR="00F25110" w:rsidRPr="00755E49" w:rsidRDefault="00F25110" w:rsidP="001D6BA2">
            <w:pPr>
              <w:spacing w:before="20" w:after="20" w:line="240" w:lineRule="auto"/>
              <w:jc w:val="center"/>
              <w:rPr>
                <w:rFonts w:ascii="Times New Roman" w:eastAsia="Times New Roman" w:hAnsi="Times New Roman"/>
                <w:color w:val="9B2D1F" w:themeColor="accent2"/>
                <w:sz w:val="20"/>
                <w:lang w:val="bg-BG" w:eastAsia="bg-BG"/>
              </w:rPr>
            </w:pPr>
          </w:p>
        </w:tc>
      </w:tr>
      <w:tr w:rsidR="00755E49" w:rsidRPr="00BD7BB1" w:rsidTr="00755E49">
        <w:trPr>
          <w:trHeight w:val="1196"/>
        </w:trPr>
        <w:tc>
          <w:tcPr>
            <w:tcW w:w="637" w:type="dxa"/>
            <w:tcBorders>
              <w:left w:val="single" w:sz="18" w:space="0" w:color="auto"/>
              <w:bottom w:val="dashSmallGap" w:sz="4" w:space="0" w:color="auto"/>
            </w:tcBorders>
            <w:shd w:val="clear" w:color="auto" w:fill="F4B29B" w:themeFill="accent1" w:themeFillTint="66"/>
          </w:tcPr>
          <w:p w:rsidR="00F25110" w:rsidRPr="00755E49" w:rsidRDefault="00F25110" w:rsidP="001D6BA2">
            <w:pPr>
              <w:spacing w:before="20" w:after="20" w:line="240" w:lineRule="auto"/>
              <w:rPr>
                <w:rFonts w:ascii="Times New Roman" w:eastAsia="Times New Roman" w:hAnsi="Times New Roman"/>
                <w:color w:val="9B2D1F" w:themeColor="accent2"/>
                <w:sz w:val="20"/>
                <w:lang w:val="bg-BG" w:eastAsia="bg-BG"/>
              </w:rPr>
            </w:pPr>
            <w:r w:rsidRPr="00755E49">
              <w:rPr>
                <w:rFonts w:ascii="Times New Roman" w:eastAsia="Times New Roman" w:hAnsi="Times New Roman"/>
                <w:color w:val="9B2D1F" w:themeColor="accent2"/>
                <w:sz w:val="20"/>
                <w:lang w:val="bg-BG" w:eastAsia="bg-BG"/>
              </w:rPr>
              <w:t>3</w:t>
            </w:r>
          </w:p>
        </w:tc>
        <w:tc>
          <w:tcPr>
            <w:tcW w:w="4275" w:type="dxa"/>
            <w:tcBorders>
              <w:bottom w:val="dashSmallGap" w:sz="4" w:space="0" w:color="auto"/>
            </w:tcBorders>
            <w:shd w:val="clear" w:color="auto" w:fill="auto"/>
          </w:tcPr>
          <w:p w:rsidR="00F25110" w:rsidRPr="00BD7BB1" w:rsidRDefault="00F25110" w:rsidP="001D6BA2">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Емисии на парникови газове (приравнени към CO2 еквивалент) на жител от населението - т/ човек/ година</w:t>
            </w:r>
          </w:p>
        </w:tc>
        <w:tc>
          <w:tcPr>
            <w:tcW w:w="1292" w:type="dxa"/>
            <w:tcBorders>
              <w:bottom w:val="dashSmallGap" w:sz="4" w:space="0" w:color="auto"/>
            </w:tcBorders>
            <w:shd w:val="clear" w:color="auto" w:fill="F4B29B" w:themeFill="accent1" w:themeFillTint="66"/>
            <w:noWrap/>
            <w:vAlign w:val="center"/>
          </w:tcPr>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p>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21.612</w:t>
            </w:r>
          </w:p>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i/>
                <w:color w:val="9B2D1F" w:themeColor="accent2"/>
                <w:sz w:val="20"/>
                <w:lang w:val="bg-BG"/>
              </w:rPr>
              <w:t>(2010г.)</w:t>
            </w:r>
          </w:p>
        </w:tc>
        <w:tc>
          <w:tcPr>
            <w:tcW w:w="1134" w:type="dxa"/>
            <w:tcBorders>
              <w:bottom w:val="dashSmallGap" w:sz="4" w:space="0" w:color="auto"/>
            </w:tcBorders>
            <w:shd w:val="clear" w:color="auto" w:fill="auto"/>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19.600</w:t>
            </w:r>
          </w:p>
        </w:tc>
        <w:tc>
          <w:tcPr>
            <w:tcW w:w="1134" w:type="dxa"/>
            <w:tcBorders>
              <w:bottom w:val="dashSmallGap" w:sz="4" w:space="0" w:color="auto"/>
            </w:tcBorders>
            <w:shd w:val="clear" w:color="auto" w:fill="F4B29B" w:themeFill="accent1" w:themeFillTint="66"/>
            <w:noWrap/>
            <w:vAlign w:val="center"/>
          </w:tcPr>
          <w:p w:rsidR="00F25110" w:rsidRPr="00755E49" w:rsidRDefault="00F25110" w:rsidP="001D6BA2">
            <w:pPr>
              <w:spacing w:before="20" w:after="20" w:line="240" w:lineRule="auto"/>
              <w:jc w:val="center"/>
              <w:rPr>
                <w:rFonts w:ascii="Times New Roman" w:eastAsia="Times New Roman" w:hAnsi="Times New Roman"/>
                <w:b/>
                <w:color w:val="9B2D1F" w:themeColor="accent2"/>
                <w:sz w:val="20"/>
                <w:lang w:val="bg-BG" w:eastAsia="bg-BG"/>
              </w:rPr>
            </w:pPr>
            <w:r w:rsidRPr="00755E49">
              <w:rPr>
                <w:rFonts w:ascii="Times New Roman" w:eastAsia="Times New Roman" w:hAnsi="Times New Roman"/>
                <w:b/>
                <w:color w:val="9B2D1F" w:themeColor="accent2"/>
                <w:sz w:val="20"/>
                <w:lang w:val="bg-BG" w:eastAsia="bg-BG"/>
              </w:rPr>
              <w:t>17.550</w:t>
            </w:r>
          </w:p>
        </w:tc>
        <w:tc>
          <w:tcPr>
            <w:tcW w:w="1417" w:type="dxa"/>
            <w:tcBorders>
              <w:bottom w:val="dashSmallGap" w:sz="4" w:space="0" w:color="auto"/>
            </w:tcBorders>
            <w:shd w:val="clear" w:color="auto" w:fill="auto"/>
          </w:tcPr>
          <w:p w:rsidR="00F25110" w:rsidRPr="00BD7BB1" w:rsidRDefault="00F25110" w:rsidP="001D6BA2">
            <w:pPr>
              <w:spacing w:after="0" w:line="240" w:lineRule="auto"/>
              <w:jc w:val="center"/>
              <w:rPr>
                <w:rFonts w:ascii="Times New Roman" w:eastAsia="Calibri" w:hAnsi="Times New Roman"/>
                <w:color w:val="auto"/>
                <w:sz w:val="20"/>
                <w:lang w:val="bg-BG"/>
              </w:rPr>
            </w:pPr>
          </w:p>
          <w:p w:rsidR="00F25110" w:rsidRPr="00BD7BB1" w:rsidRDefault="00F25110" w:rsidP="001D6BA2">
            <w:pPr>
              <w:spacing w:after="0" w:line="240" w:lineRule="auto"/>
              <w:jc w:val="center"/>
              <w:rPr>
                <w:rFonts w:ascii="Times New Roman" w:eastAsia="Calibri" w:hAnsi="Times New Roman"/>
                <w:color w:val="auto"/>
                <w:sz w:val="24"/>
                <w:szCs w:val="22"/>
                <w:lang w:val="bg-BG"/>
              </w:rPr>
            </w:pPr>
            <w:r w:rsidRPr="00755E49">
              <w:rPr>
                <w:rFonts w:ascii="Times New Roman" w:eastAsia="Calibri" w:hAnsi="Times New Roman"/>
                <w:b/>
                <w:color w:val="auto"/>
                <w:sz w:val="20"/>
                <w:lang w:val="bg-BG"/>
              </w:rPr>
              <w:t>7,57 т.</w:t>
            </w:r>
            <w:r w:rsidRPr="00BD7BB1">
              <w:rPr>
                <w:rFonts w:ascii="Times New Roman" w:eastAsia="Times New Roman" w:hAnsi="Times New Roman"/>
                <w:color w:val="auto"/>
                <w:sz w:val="24"/>
                <w:szCs w:val="24"/>
                <w:lang w:val="bg-BG" w:eastAsia="bg-BG"/>
              </w:rPr>
              <w:t xml:space="preserve"> </w:t>
            </w:r>
            <w:r w:rsidRPr="00BD7BB1">
              <w:rPr>
                <w:rFonts w:ascii="Times New Roman" w:eastAsia="Calibri" w:hAnsi="Times New Roman"/>
                <w:color w:val="auto"/>
                <w:sz w:val="20"/>
                <w:lang w:val="bg-BG"/>
              </w:rPr>
              <w:t xml:space="preserve">CO2-екв.на човек за 2013г. на национално ниво </w:t>
            </w:r>
          </w:p>
        </w:tc>
        <w:tc>
          <w:tcPr>
            <w:tcW w:w="1276" w:type="dxa"/>
            <w:tcBorders>
              <w:bottom w:val="dashSmallGap" w:sz="4" w:space="0" w:color="auto"/>
              <w:right w:val="single" w:sz="18" w:space="0" w:color="auto"/>
            </w:tcBorders>
            <w:shd w:val="clear" w:color="auto" w:fill="F4B29B" w:themeFill="accent1" w:themeFillTint="66"/>
          </w:tcPr>
          <w:p w:rsidR="00F25110" w:rsidRPr="00755E49" w:rsidRDefault="00F25110" w:rsidP="001D6BA2">
            <w:pPr>
              <w:spacing w:before="20" w:after="20" w:line="240" w:lineRule="auto"/>
              <w:jc w:val="center"/>
              <w:rPr>
                <w:rFonts w:ascii="Times New Roman" w:eastAsia="Times New Roman" w:hAnsi="Times New Roman"/>
                <w:color w:val="9B2D1F" w:themeColor="accent2"/>
                <w:sz w:val="20"/>
                <w:lang w:val="bg-BG" w:eastAsia="bg-BG"/>
              </w:rPr>
            </w:pPr>
            <w:r w:rsidRPr="00755E49">
              <w:rPr>
                <w:rFonts w:ascii="Times New Roman" w:eastAsia="Times New Roman" w:hAnsi="Times New Roman"/>
                <w:color w:val="9B2D1F" w:themeColor="accent2"/>
                <w:sz w:val="20"/>
                <w:lang w:val="bg-BG" w:eastAsia="bg-BG"/>
              </w:rPr>
              <w:t>ИАОС</w:t>
            </w:r>
          </w:p>
        </w:tc>
      </w:tr>
      <w:tr w:rsidR="00755E49" w:rsidRPr="00BD7BB1" w:rsidTr="00755E49">
        <w:trPr>
          <w:trHeight w:val="310"/>
        </w:trPr>
        <w:tc>
          <w:tcPr>
            <w:tcW w:w="637" w:type="dxa"/>
            <w:tcBorders>
              <w:top w:val="dashSmallGap" w:sz="4" w:space="0" w:color="auto"/>
              <w:left w:val="single" w:sz="18" w:space="0" w:color="auto"/>
            </w:tcBorders>
            <w:shd w:val="clear" w:color="auto" w:fill="F4B29B" w:themeFill="accent1" w:themeFillTint="66"/>
          </w:tcPr>
          <w:p w:rsidR="00F25110" w:rsidRPr="00755E49" w:rsidRDefault="00F25110" w:rsidP="001D6BA2">
            <w:pPr>
              <w:spacing w:before="20" w:after="20" w:line="240" w:lineRule="auto"/>
              <w:rPr>
                <w:rFonts w:ascii="Times New Roman" w:eastAsia="Times New Roman" w:hAnsi="Times New Roman"/>
                <w:color w:val="9B2D1F" w:themeColor="accent2"/>
                <w:sz w:val="20"/>
                <w:lang w:val="bg-BG" w:eastAsia="bg-BG"/>
              </w:rPr>
            </w:pPr>
          </w:p>
        </w:tc>
        <w:tc>
          <w:tcPr>
            <w:tcW w:w="4275" w:type="dxa"/>
            <w:tcBorders>
              <w:top w:val="dashSmallGap" w:sz="4" w:space="0" w:color="auto"/>
            </w:tcBorders>
            <w:shd w:val="clear" w:color="auto" w:fill="auto"/>
          </w:tcPr>
          <w:p w:rsidR="00F25110" w:rsidRPr="00BD7BB1" w:rsidRDefault="00F25110" w:rsidP="001D6BA2">
            <w:pPr>
              <w:spacing w:before="20" w:after="20" w:line="240" w:lineRule="auto"/>
              <w:rPr>
                <w:rFonts w:ascii="Times New Roman" w:eastAsia="Times New Roman" w:hAnsi="Times New Roman"/>
                <w:color w:val="auto"/>
                <w:sz w:val="20"/>
                <w:lang w:val="bg-BG" w:eastAsia="bg-BG"/>
              </w:rPr>
            </w:pPr>
          </w:p>
        </w:tc>
        <w:tc>
          <w:tcPr>
            <w:tcW w:w="1292" w:type="dxa"/>
            <w:tcBorders>
              <w:top w:val="dashSmallGap" w:sz="4" w:space="0" w:color="auto"/>
            </w:tcBorders>
            <w:shd w:val="clear" w:color="auto" w:fill="F4B29B" w:themeFill="accent1" w:themeFillTint="66"/>
            <w:noWrap/>
            <w:vAlign w:val="center"/>
          </w:tcPr>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p>
        </w:tc>
        <w:tc>
          <w:tcPr>
            <w:tcW w:w="1134" w:type="dxa"/>
            <w:tcBorders>
              <w:top w:val="dashSmallGap" w:sz="4" w:space="0" w:color="auto"/>
            </w:tcBorders>
            <w:shd w:val="clear" w:color="auto" w:fill="auto"/>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p>
        </w:tc>
        <w:tc>
          <w:tcPr>
            <w:tcW w:w="1134" w:type="dxa"/>
            <w:tcBorders>
              <w:top w:val="dashSmallGap" w:sz="4" w:space="0" w:color="auto"/>
            </w:tcBorders>
            <w:shd w:val="clear" w:color="auto" w:fill="F4B29B" w:themeFill="accent1" w:themeFillTint="66"/>
            <w:noWrap/>
            <w:vAlign w:val="center"/>
          </w:tcPr>
          <w:p w:rsidR="00F25110" w:rsidRPr="00755E49" w:rsidRDefault="00F25110" w:rsidP="001D6BA2">
            <w:pPr>
              <w:spacing w:before="20" w:after="20" w:line="240" w:lineRule="auto"/>
              <w:jc w:val="center"/>
              <w:rPr>
                <w:rFonts w:ascii="Times New Roman" w:eastAsia="Times New Roman" w:hAnsi="Times New Roman"/>
                <w:b/>
                <w:color w:val="9B2D1F" w:themeColor="accent2"/>
                <w:sz w:val="20"/>
                <w:lang w:val="bg-BG" w:eastAsia="bg-BG"/>
              </w:rPr>
            </w:pPr>
          </w:p>
        </w:tc>
        <w:tc>
          <w:tcPr>
            <w:tcW w:w="1417" w:type="dxa"/>
            <w:tcBorders>
              <w:top w:val="dashSmallGap" w:sz="4" w:space="0" w:color="auto"/>
            </w:tcBorders>
            <w:shd w:val="clear" w:color="auto" w:fill="auto"/>
          </w:tcPr>
          <w:p w:rsidR="00F25110" w:rsidRPr="00BD7BB1" w:rsidRDefault="00F25110" w:rsidP="001D6BA2">
            <w:pPr>
              <w:spacing w:after="0" w:line="240" w:lineRule="auto"/>
              <w:jc w:val="center"/>
              <w:rPr>
                <w:rFonts w:ascii="Times New Roman" w:eastAsia="Calibri" w:hAnsi="Times New Roman"/>
                <w:color w:val="auto"/>
                <w:sz w:val="20"/>
                <w:lang w:val="bg-BG"/>
              </w:rPr>
            </w:pPr>
          </w:p>
        </w:tc>
        <w:tc>
          <w:tcPr>
            <w:tcW w:w="1276" w:type="dxa"/>
            <w:tcBorders>
              <w:top w:val="dashSmallGap" w:sz="4" w:space="0" w:color="auto"/>
              <w:right w:val="single" w:sz="18" w:space="0" w:color="auto"/>
            </w:tcBorders>
            <w:shd w:val="clear" w:color="auto" w:fill="F4B29B" w:themeFill="accent1" w:themeFillTint="66"/>
          </w:tcPr>
          <w:p w:rsidR="00F25110" w:rsidRPr="00755E49" w:rsidRDefault="00F25110" w:rsidP="001D6BA2">
            <w:pPr>
              <w:spacing w:before="20" w:after="20" w:line="240" w:lineRule="auto"/>
              <w:jc w:val="center"/>
              <w:rPr>
                <w:rFonts w:ascii="Times New Roman" w:eastAsia="Times New Roman" w:hAnsi="Times New Roman"/>
                <w:color w:val="9B2D1F" w:themeColor="accent2"/>
                <w:sz w:val="20"/>
                <w:lang w:val="bg-BG" w:eastAsia="bg-BG"/>
              </w:rPr>
            </w:pPr>
          </w:p>
        </w:tc>
      </w:tr>
      <w:tr w:rsidR="00755E49" w:rsidRPr="00BD7BB1" w:rsidTr="00755E49">
        <w:trPr>
          <w:trHeight w:val="720"/>
        </w:trPr>
        <w:tc>
          <w:tcPr>
            <w:tcW w:w="637" w:type="dxa"/>
            <w:tcBorders>
              <w:left w:val="single" w:sz="18" w:space="0" w:color="auto"/>
              <w:bottom w:val="dashSmallGap" w:sz="4" w:space="0" w:color="auto"/>
            </w:tcBorders>
            <w:shd w:val="clear" w:color="auto" w:fill="F4B29B" w:themeFill="accent1" w:themeFillTint="66"/>
          </w:tcPr>
          <w:p w:rsidR="00F25110" w:rsidRPr="00755E49" w:rsidRDefault="00F25110" w:rsidP="001D6BA2">
            <w:pPr>
              <w:spacing w:before="20" w:after="20" w:line="240" w:lineRule="auto"/>
              <w:rPr>
                <w:rFonts w:ascii="Times New Roman" w:eastAsia="Times New Roman" w:hAnsi="Times New Roman"/>
                <w:color w:val="9B2D1F" w:themeColor="accent2"/>
                <w:sz w:val="20"/>
                <w:lang w:val="bg-BG" w:eastAsia="bg-BG"/>
              </w:rPr>
            </w:pPr>
            <w:r w:rsidRPr="00755E49">
              <w:rPr>
                <w:rFonts w:ascii="Times New Roman" w:eastAsia="Times New Roman" w:hAnsi="Times New Roman"/>
                <w:color w:val="9B2D1F" w:themeColor="accent2"/>
                <w:sz w:val="20"/>
                <w:lang w:val="bg-BG" w:eastAsia="bg-BG"/>
              </w:rPr>
              <w:t> 4</w:t>
            </w:r>
          </w:p>
        </w:tc>
        <w:tc>
          <w:tcPr>
            <w:tcW w:w="4275" w:type="dxa"/>
            <w:tcBorders>
              <w:bottom w:val="dashSmallGap" w:sz="4" w:space="0" w:color="auto"/>
            </w:tcBorders>
            <w:shd w:val="clear" w:color="auto" w:fill="auto"/>
          </w:tcPr>
          <w:p w:rsidR="00F25110" w:rsidRPr="00BD7BB1" w:rsidRDefault="00F25110" w:rsidP="001D6BA2">
            <w:pPr>
              <w:spacing w:before="20" w:after="20" w:line="240" w:lineRule="auto"/>
              <w:jc w:val="both"/>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Разходи за ДМА с екологично предназначение – млн. лв.</w:t>
            </w:r>
          </w:p>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p>
        </w:tc>
        <w:tc>
          <w:tcPr>
            <w:tcW w:w="1292" w:type="dxa"/>
            <w:tcBorders>
              <w:bottom w:val="dashSmallGap" w:sz="4" w:space="0" w:color="auto"/>
            </w:tcBorders>
            <w:shd w:val="clear" w:color="auto" w:fill="F4B29B" w:themeFill="accent1" w:themeFillTint="66"/>
            <w:noWrap/>
            <w:vAlign w:val="center"/>
          </w:tcPr>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387</w:t>
            </w:r>
          </w:p>
          <w:p w:rsidR="00F25110" w:rsidRPr="00755E49" w:rsidRDefault="00F25110" w:rsidP="001D6BA2">
            <w:pPr>
              <w:spacing w:after="0" w:line="240" w:lineRule="auto"/>
              <w:jc w:val="center"/>
              <w:rPr>
                <w:rFonts w:ascii="Times New Roman" w:eastAsia="Calibri" w:hAnsi="Times New Roman"/>
                <w:i/>
                <w:color w:val="9B2D1F" w:themeColor="accent2"/>
                <w:sz w:val="20"/>
                <w:lang w:val="bg-BG"/>
              </w:rPr>
            </w:pPr>
            <w:r w:rsidRPr="00755E49">
              <w:rPr>
                <w:rFonts w:ascii="Times New Roman" w:eastAsia="Calibri" w:hAnsi="Times New Roman"/>
                <w:i/>
                <w:color w:val="9B2D1F" w:themeColor="accent2"/>
                <w:sz w:val="20"/>
                <w:lang w:val="bg-BG"/>
              </w:rPr>
              <w:t>(2011г.)</w:t>
            </w:r>
          </w:p>
        </w:tc>
        <w:tc>
          <w:tcPr>
            <w:tcW w:w="1134" w:type="dxa"/>
            <w:tcBorders>
              <w:bottom w:val="dashSmallGap" w:sz="4" w:space="0" w:color="auto"/>
            </w:tcBorders>
            <w:shd w:val="clear" w:color="auto" w:fill="auto"/>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420</w:t>
            </w:r>
          </w:p>
        </w:tc>
        <w:tc>
          <w:tcPr>
            <w:tcW w:w="1134" w:type="dxa"/>
            <w:tcBorders>
              <w:bottom w:val="dashSmallGap" w:sz="4" w:space="0" w:color="auto"/>
            </w:tcBorders>
            <w:shd w:val="clear" w:color="auto" w:fill="F4B29B" w:themeFill="accent1" w:themeFillTint="66"/>
            <w:noWrap/>
            <w:vAlign w:val="center"/>
          </w:tcPr>
          <w:p w:rsidR="00F25110" w:rsidRPr="00755E49" w:rsidRDefault="00F25110" w:rsidP="001D6BA2">
            <w:pPr>
              <w:spacing w:before="20" w:after="20" w:line="240" w:lineRule="auto"/>
              <w:jc w:val="center"/>
              <w:rPr>
                <w:rFonts w:ascii="Times New Roman" w:eastAsia="Times New Roman" w:hAnsi="Times New Roman"/>
                <w:b/>
                <w:color w:val="9B2D1F" w:themeColor="accent2"/>
                <w:sz w:val="20"/>
                <w:lang w:val="bg-BG" w:eastAsia="bg-BG"/>
              </w:rPr>
            </w:pPr>
            <w:r w:rsidRPr="00755E49">
              <w:rPr>
                <w:rFonts w:ascii="Times New Roman" w:eastAsia="Times New Roman" w:hAnsi="Times New Roman"/>
                <w:b/>
                <w:color w:val="9B2D1F" w:themeColor="accent2"/>
                <w:sz w:val="20"/>
                <w:lang w:val="bg-BG" w:eastAsia="bg-BG"/>
              </w:rPr>
              <w:t>470</w:t>
            </w:r>
          </w:p>
        </w:tc>
        <w:tc>
          <w:tcPr>
            <w:tcW w:w="1417" w:type="dxa"/>
            <w:tcBorders>
              <w:bottom w:val="dashSmallGap" w:sz="4" w:space="0" w:color="auto"/>
            </w:tcBorders>
            <w:shd w:val="clear" w:color="auto" w:fill="auto"/>
          </w:tcPr>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p>
          <w:p w:rsidR="00F25110" w:rsidRPr="00755E49" w:rsidRDefault="00F25110" w:rsidP="001D6BA2">
            <w:pPr>
              <w:spacing w:before="20" w:after="20" w:line="240" w:lineRule="auto"/>
              <w:jc w:val="center"/>
              <w:rPr>
                <w:rFonts w:ascii="Times New Roman" w:eastAsia="Times New Roman" w:hAnsi="Times New Roman"/>
                <w:b/>
                <w:color w:val="auto"/>
                <w:sz w:val="20"/>
                <w:lang w:val="bg-BG" w:eastAsia="bg-BG"/>
              </w:rPr>
            </w:pPr>
            <w:r w:rsidRPr="00755E49">
              <w:rPr>
                <w:rFonts w:ascii="Times New Roman" w:eastAsia="Times New Roman" w:hAnsi="Times New Roman"/>
                <w:b/>
                <w:color w:val="auto"/>
                <w:sz w:val="20"/>
                <w:lang w:val="bg-BG" w:eastAsia="bg-BG"/>
              </w:rPr>
              <w:t>442</w:t>
            </w:r>
          </w:p>
        </w:tc>
        <w:tc>
          <w:tcPr>
            <w:tcW w:w="1276" w:type="dxa"/>
            <w:tcBorders>
              <w:bottom w:val="dashSmallGap" w:sz="4" w:space="0" w:color="auto"/>
              <w:right w:val="single" w:sz="18" w:space="0" w:color="auto"/>
            </w:tcBorders>
            <w:shd w:val="clear" w:color="auto" w:fill="F4B29B" w:themeFill="accent1" w:themeFillTint="66"/>
          </w:tcPr>
          <w:p w:rsidR="00F25110" w:rsidRPr="00755E49" w:rsidRDefault="00F25110" w:rsidP="001D6BA2">
            <w:pPr>
              <w:spacing w:before="20" w:after="20" w:line="240" w:lineRule="auto"/>
              <w:jc w:val="center"/>
              <w:rPr>
                <w:rFonts w:ascii="Times New Roman" w:eastAsia="Times New Roman" w:hAnsi="Times New Roman"/>
                <w:color w:val="9B2D1F" w:themeColor="accent2"/>
                <w:sz w:val="20"/>
                <w:lang w:val="bg-BG" w:eastAsia="bg-BG"/>
              </w:rPr>
            </w:pPr>
            <w:r w:rsidRPr="00755E49">
              <w:rPr>
                <w:rFonts w:ascii="Times New Roman" w:eastAsia="Times New Roman" w:hAnsi="Times New Roman"/>
                <w:color w:val="9B2D1F" w:themeColor="accent2"/>
                <w:sz w:val="20"/>
                <w:lang w:val="bg-BG" w:eastAsia="bg-BG"/>
              </w:rPr>
              <w:t>НСИ</w:t>
            </w:r>
          </w:p>
        </w:tc>
      </w:tr>
      <w:tr w:rsidR="00755E49" w:rsidRPr="00BD7BB1" w:rsidTr="00755E49">
        <w:trPr>
          <w:trHeight w:val="246"/>
        </w:trPr>
        <w:tc>
          <w:tcPr>
            <w:tcW w:w="637" w:type="dxa"/>
            <w:tcBorders>
              <w:top w:val="dashSmallGap" w:sz="4" w:space="0" w:color="auto"/>
              <w:left w:val="single" w:sz="18" w:space="0" w:color="auto"/>
            </w:tcBorders>
            <w:shd w:val="clear" w:color="auto" w:fill="F4B29B" w:themeFill="accent1" w:themeFillTint="66"/>
          </w:tcPr>
          <w:p w:rsidR="00F25110" w:rsidRPr="00755E49" w:rsidRDefault="00F25110" w:rsidP="001D6BA2">
            <w:pPr>
              <w:spacing w:before="20" w:after="20" w:line="240" w:lineRule="auto"/>
              <w:rPr>
                <w:rFonts w:ascii="Times New Roman" w:eastAsia="Times New Roman" w:hAnsi="Times New Roman"/>
                <w:color w:val="9B2D1F" w:themeColor="accent2"/>
                <w:sz w:val="20"/>
                <w:lang w:val="bg-BG" w:eastAsia="bg-BG"/>
              </w:rPr>
            </w:pPr>
          </w:p>
        </w:tc>
        <w:tc>
          <w:tcPr>
            <w:tcW w:w="4275" w:type="dxa"/>
            <w:tcBorders>
              <w:top w:val="dashSmallGap" w:sz="4" w:space="0" w:color="auto"/>
            </w:tcBorders>
            <w:shd w:val="clear" w:color="auto" w:fill="auto"/>
          </w:tcPr>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p>
        </w:tc>
        <w:tc>
          <w:tcPr>
            <w:tcW w:w="1292" w:type="dxa"/>
            <w:tcBorders>
              <w:top w:val="dashSmallGap" w:sz="4" w:space="0" w:color="auto"/>
            </w:tcBorders>
            <w:shd w:val="clear" w:color="auto" w:fill="F4B29B" w:themeFill="accent1" w:themeFillTint="66"/>
            <w:noWrap/>
            <w:vAlign w:val="center"/>
          </w:tcPr>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p>
        </w:tc>
        <w:tc>
          <w:tcPr>
            <w:tcW w:w="1134" w:type="dxa"/>
            <w:tcBorders>
              <w:top w:val="dashSmallGap" w:sz="4" w:space="0" w:color="auto"/>
            </w:tcBorders>
            <w:shd w:val="clear" w:color="auto" w:fill="auto"/>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p>
        </w:tc>
        <w:tc>
          <w:tcPr>
            <w:tcW w:w="1134" w:type="dxa"/>
            <w:tcBorders>
              <w:top w:val="dashSmallGap" w:sz="4" w:space="0" w:color="auto"/>
            </w:tcBorders>
            <w:shd w:val="clear" w:color="auto" w:fill="F4B29B" w:themeFill="accent1" w:themeFillTint="66"/>
            <w:noWrap/>
            <w:vAlign w:val="center"/>
          </w:tcPr>
          <w:p w:rsidR="00F25110" w:rsidRPr="00755E49" w:rsidRDefault="00F25110" w:rsidP="001D6BA2">
            <w:pPr>
              <w:spacing w:before="20" w:after="20" w:line="240" w:lineRule="auto"/>
              <w:jc w:val="center"/>
              <w:rPr>
                <w:rFonts w:ascii="Times New Roman" w:eastAsia="Times New Roman" w:hAnsi="Times New Roman"/>
                <w:b/>
                <w:color w:val="9B2D1F" w:themeColor="accent2"/>
                <w:sz w:val="20"/>
                <w:lang w:val="bg-BG" w:eastAsia="bg-BG"/>
              </w:rPr>
            </w:pPr>
          </w:p>
        </w:tc>
        <w:tc>
          <w:tcPr>
            <w:tcW w:w="1417" w:type="dxa"/>
            <w:tcBorders>
              <w:top w:val="dashSmallGap" w:sz="4" w:space="0" w:color="auto"/>
            </w:tcBorders>
            <w:shd w:val="clear" w:color="auto" w:fill="auto"/>
          </w:tcPr>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p>
        </w:tc>
        <w:tc>
          <w:tcPr>
            <w:tcW w:w="1276" w:type="dxa"/>
            <w:tcBorders>
              <w:top w:val="dashSmallGap" w:sz="4" w:space="0" w:color="auto"/>
              <w:right w:val="single" w:sz="18" w:space="0" w:color="auto"/>
            </w:tcBorders>
            <w:shd w:val="clear" w:color="auto" w:fill="F4B29B" w:themeFill="accent1" w:themeFillTint="66"/>
          </w:tcPr>
          <w:p w:rsidR="00F25110" w:rsidRPr="00755E49" w:rsidRDefault="00F25110" w:rsidP="001D6BA2">
            <w:pPr>
              <w:spacing w:before="20" w:after="20" w:line="240" w:lineRule="auto"/>
              <w:jc w:val="center"/>
              <w:rPr>
                <w:rFonts w:ascii="Times New Roman" w:eastAsia="Times New Roman" w:hAnsi="Times New Roman"/>
                <w:color w:val="9B2D1F" w:themeColor="accent2"/>
                <w:sz w:val="20"/>
                <w:lang w:val="bg-BG" w:eastAsia="bg-BG"/>
              </w:rPr>
            </w:pPr>
          </w:p>
        </w:tc>
      </w:tr>
      <w:tr w:rsidR="00755E49" w:rsidRPr="00BD7BB1" w:rsidTr="00755E49">
        <w:trPr>
          <w:trHeight w:val="690"/>
        </w:trPr>
        <w:tc>
          <w:tcPr>
            <w:tcW w:w="637" w:type="dxa"/>
            <w:tcBorders>
              <w:left w:val="single" w:sz="18" w:space="0" w:color="auto"/>
              <w:bottom w:val="dashSmallGap" w:sz="4" w:space="0" w:color="auto"/>
            </w:tcBorders>
            <w:shd w:val="clear" w:color="auto" w:fill="F4B29B" w:themeFill="accent1" w:themeFillTint="66"/>
          </w:tcPr>
          <w:p w:rsidR="00F25110" w:rsidRPr="00755E49" w:rsidRDefault="00F25110" w:rsidP="001D6BA2">
            <w:pPr>
              <w:spacing w:before="20" w:after="20" w:line="240" w:lineRule="auto"/>
              <w:rPr>
                <w:rFonts w:ascii="Times New Roman" w:eastAsia="Times New Roman" w:hAnsi="Times New Roman"/>
                <w:color w:val="9B2D1F" w:themeColor="accent2"/>
                <w:sz w:val="20"/>
                <w:lang w:val="bg-BG" w:eastAsia="bg-BG"/>
              </w:rPr>
            </w:pPr>
            <w:r w:rsidRPr="00755E49">
              <w:rPr>
                <w:rFonts w:ascii="Times New Roman" w:eastAsia="Times New Roman" w:hAnsi="Times New Roman"/>
                <w:color w:val="9B2D1F" w:themeColor="accent2"/>
                <w:sz w:val="20"/>
                <w:lang w:val="bg-BG" w:eastAsia="bg-BG"/>
              </w:rPr>
              <w:t> 5</w:t>
            </w:r>
          </w:p>
        </w:tc>
        <w:tc>
          <w:tcPr>
            <w:tcW w:w="4275" w:type="dxa"/>
            <w:tcBorders>
              <w:bottom w:val="dashSmallGap" w:sz="4" w:space="0" w:color="auto"/>
            </w:tcBorders>
            <w:shd w:val="clear" w:color="auto" w:fill="auto"/>
          </w:tcPr>
          <w:p w:rsidR="00F25110" w:rsidRPr="00BD7BB1" w:rsidRDefault="00F25110" w:rsidP="001D6BA2">
            <w:pPr>
              <w:spacing w:before="20" w:after="20" w:line="240" w:lineRule="auto"/>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Разходи за ДМА с екологично предназначение на човек от населението-лв.</w:t>
            </w:r>
          </w:p>
        </w:tc>
        <w:tc>
          <w:tcPr>
            <w:tcW w:w="1292" w:type="dxa"/>
            <w:tcBorders>
              <w:bottom w:val="dashSmallGap" w:sz="4" w:space="0" w:color="auto"/>
            </w:tcBorders>
            <w:shd w:val="clear" w:color="auto" w:fill="F4B29B" w:themeFill="accent1" w:themeFillTint="66"/>
            <w:noWrap/>
            <w:vAlign w:val="center"/>
          </w:tcPr>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361</w:t>
            </w:r>
          </w:p>
          <w:p w:rsidR="00F25110" w:rsidRPr="00755E49" w:rsidRDefault="00F25110" w:rsidP="001D6BA2">
            <w:pPr>
              <w:spacing w:after="0" w:line="240" w:lineRule="auto"/>
              <w:jc w:val="center"/>
              <w:rPr>
                <w:rFonts w:ascii="Times New Roman" w:eastAsia="Calibri" w:hAnsi="Times New Roman"/>
                <w:color w:val="9B2D1F" w:themeColor="accent2"/>
                <w:sz w:val="20"/>
                <w:lang w:val="bg-BG"/>
              </w:rPr>
            </w:pPr>
            <w:r w:rsidRPr="00755E49">
              <w:rPr>
                <w:rFonts w:ascii="Times New Roman" w:eastAsia="Calibri" w:hAnsi="Times New Roman"/>
                <w:i/>
                <w:color w:val="9B2D1F" w:themeColor="accent2"/>
                <w:sz w:val="20"/>
                <w:lang w:val="bg-BG"/>
              </w:rPr>
              <w:t>(2011г.)</w:t>
            </w:r>
          </w:p>
        </w:tc>
        <w:tc>
          <w:tcPr>
            <w:tcW w:w="1134" w:type="dxa"/>
            <w:tcBorders>
              <w:bottom w:val="dashSmallGap" w:sz="4" w:space="0" w:color="auto"/>
            </w:tcBorders>
            <w:shd w:val="clear" w:color="auto" w:fill="auto"/>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386</w:t>
            </w:r>
          </w:p>
        </w:tc>
        <w:tc>
          <w:tcPr>
            <w:tcW w:w="1134" w:type="dxa"/>
            <w:tcBorders>
              <w:bottom w:val="dashSmallGap" w:sz="4" w:space="0" w:color="auto"/>
            </w:tcBorders>
            <w:shd w:val="clear" w:color="auto" w:fill="F4B29B" w:themeFill="accent1" w:themeFillTint="66"/>
            <w:noWrap/>
            <w:vAlign w:val="center"/>
          </w:tcPr>
          <w:p w:rsidR="00F25110" w:rsidRPr="00755E49" w:rsidRDefault="00F25110" w:rsidP="001D6BA2">
            <w:pPr>
              <w:spacing w:before="20" w:after="20" w:line="240" w:lineRule="auto"/>
              <w:jc w:val="center"/>
              <w:rPr>
                <w:rFonts w:ascii="Times New Roman" w:eastAsia="Times New Roman" w:hAnsi="Times New Roman"/>
                <w:b/>
                <w:color w:val="9B2D1F" w:themeColor="accent2"/>
                <w:sz w:val="20"/>
                <w:lang w:val="bg-BG" w:eastAsia="bg-BG"/>
              </w:rPr>
            </w:pPr>
            <w:r w:rsidRPr="00755E49">
              <w:rPr>
                <w:rFonts w:ascii="Times New Roman" w:eastAsia="Times New Roman" w:hAnsi="Times New Roman"/>
                <w:b/>
                <w:color w:val="9B2D1F" w:themeColor="accent2"/>
                <w:sz w:val="20"/>
                <w:lang w:val="bg-BG" w:eastAsia="bg-BG"/>
              </w:rPr>
              <w:t>436</w:t>
            </w:r>
          </w:p>
        </w:tc>
        <w:tc>
          <w:tcPr>
            <w:tcW w:w="1417" w:type="dxa"/>
            <w:tcBorders>
              <w:bottom w:val="dashSmallGap" w:sz="4" w:space="0" w:color="auto"/>
            </w:tcBorders>
            <w:shd w:val="clear" w:color="auto" w:fill="auto"/>
          </w:tcPr>
          <w:p w:rsidR="00F25110" w:rsidRPr="00755E49" w:rsidRDefault="00F25110" w:rsidP="001D6BA2">
            <w:pPr>
              <w:spacing w:before="20" w:after="20" w:line="240" w:lineRule="auto"/>
              <w:jc w:val="center"/>
              <w:rPr>
                <w:rFonts w:ascii="Times New Roman" w:eastAsia="Times New Roman" w:hAnsi="Times New Roman"/>
                <w:b/>
                <w:color w:val="auto"/>
                <w:sz w:val="20"/>
                <w:lang w:val="bg-BG" w:eastAsia="bg-BG"/>
              </w:rPr>
            </w:pPr>
            <w:r w:rsidRPr="00755E49">
              <w:rPr>
                <w:rFonts w:ascii="Times New Roman" w:eastAsia="Times New Roman" w:hAnsi="Times New Roman"/>
                <w:b/>
                <w:color w:val="auto"/>
                <w:sz w:val="20"/>
                <w:lang w:val="bg-BG" w:eastAsia="bg-BG"/>
              </w:rPr>
              <w:t>416</w:t>
            </w:r>
          </w:p>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2013г.</w:t>
            </w:r>
          </w:p>
        </w:tc>
        <w:tc>
          <w:tcPr>
            <w:tcW w:w="1276" w:type="dxa"/>
            <w:tcBorders>
              <w:bottom w:val="dashSmallGap" w:sz="4" w:space="0" w:color="auto"/>
              <w:right w:val="single" w:sz="18" w:space="0" w:color="auto"/>
            </w:tcBorders>
            <w:shd w:val="clear" w:color="auto" w:fill="F4B29B" w:themeFill="accent1" w:themeFillTint="66"/>
          </w:tcPr>
          <w:p w:rsidR="00F25110" w:rsidRPr="00755E49" w:rsidRDefault="00F25110" w:rsidP="001D6BA2">
            <w:pPr>
              <w:spacing w:before="20" w:after="20" w:line="240" w:lineRule="auto"/>
              <w:jc w:val="center"/>
              <w:rPr>
                <w:rFonts w:ascii="Times New Roman" w:eastAsia="Times New Roman" w:hAnsi="Times New Roman"/>
                <w:color w:val="9B2D1F" w:themeColor="accent2"/>
                <w:sz w:val="20"/>
                <w:lang w:val="bg-BG" w:eastAsia="bg-BG"/>
              </w:rPr>
            </w:pPr>
            <w:r w:rsidRPr="00755E49">
              <w:rPr>
                <w:rFonts w:ascii="Times New Roman" w:eastAsia="Times New Roman" w:hAnsi="Times New Roman"/>
                <w:color w:val="9B2D1F" w:themeColor="accent2"/>
                <w:sz w:val="20"/>
                <w:lang w:val="bg-BG" w:eastAsia="bg-BG"/>
              </w:rPr>
              <w:t>НСИ</w:t>
            </w:r>
          </w:p>
        </w:tc>
      </w:tr>
      <w:tr w:rsidR="00755E49" w:rsidRPr="00BD7BB1" w:rsidTr="00755E49">
        <w:trPr>
          <w:trHeight w:val="420"/>
        </w:trPr>
        <w:tc>
          <w:tcPr>
            <w:tcW w:w="637" w:type="dxa"/>
            <w:tcBorders>
              <w:top w:val="dashSmallGap" w:sz="4" w:space="0" w:color="auto"/>
              <w:left w:val="single" w:sz="18" w:space="0" w:color="auto"/>
            </w:tcBorders>
            <w:shd w:val="clear" w:color="auto" w:fill="F4B29B" w:themeFill="accent1" w:themeFillTint="66"/>
          </w:tcPr>
          <w:p w:rsidR="00F25110" w:rsidRPr="00755E49" w:rsidRDefault="00F25110" w:rsidP="001D6BA2">
            <w:pPr>
              <w:spacing w:before="20" w:after="20" w:line="240" w:lineRule="auto"/>
              <w:rPr>
                <w:rFonts w:ascii="Times New Roman" w:eastAsia="Times New Roman" w:hAnsi="Times New Roman"/>
                <w:color w:val="9B2D1F" w:themeColor="accent2"/>
                <w:sz w:val="20"/>
                <w:lang w:val="bg-BG" w:eastAsia="bg-BG"/>
              </w:rPr>
            </w:pPr>
          </w:p>
        </w:tc>
        <w:tc>
          <w:tcPr>
            <w:tcW w:w="4275" w:type="dxa"/>
            <w:tcBorders>
              <w:top w:val="dashSmallGap" w:sz="4" w:space="0" w:color="auto"/>
            </w:tcBorders>
            <w:shd w:val="clear" w:color="auto" w:fill="auto"/>
          </w:tcPr>
          <w:p w:rsidR="00F25110" w:rsidRPr="00BD7BB1" w:rsidRDefault="00F25110" w:rsidP="001D6BA2">
            <w:pPr>
              <w:spacing w:before="20" w:after="20" w:line="240" w:lineRule="auto"/>
              <w:rPr>
                <w:rFonts w:ascii="Times New Roman" w:eastAsia="Times New Roman" w:hAnsi="Times New Roman"/>
                <w:color w:val="auto"/>
                <w:sz w:val="20"/>
                <w:lang w:val="bg-BG" w:eastAsia="bg-BG"/>
              </w:rPr>
            </w:pPr>
          </w:p>
        </w:tc>
        <w:tc>
          <w:tcPr>
            <w:tcW w:w="1292" w:type="dxa"/>
            <w:tcBorders>
              <w:top w:val="dashSmallGap" w:sz="4" w:space="0" w:color="auto"/>
            </w:tcBorders>
            <w:shd w:val="clear" w:color="auto" w:fill="F4B29B" w:themeFill="accent1" w:themeFillTint="66"/>
            <w:noWrap/>
            <w:vAlign w:val="center"/>
          </w:tcPr>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p>
        </w:tc>
        <w:tc>
          <w:tcPr>
            <w:tcW w:w="1134" w:type="dxa"/>
            <w:tcBorders>
              <w:top w:val="dashSmallGap" w:sz="4" w:space="0" w:color="auto"/>
            </w:tcBorders>
            <w:shd w:val="clear" w:color="auto" w:fill="auto"/>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p>
        </w:tc>
        <w:tc>
          <w:tcPr>
            <w:tcW w:w="1134" w:type="dxa"/>
            <w:tcBorders>
              <w:top w:val="dashSmallGap" w:sz="4" w:space="0" w:color="auto"/>
            </w:tcBorders>
            <w:shd w:val="clear" w:color="auto" w:fill="F4B29B" w:themeFill="accent1" w:themeFillTint="66"/>
            <w:noWrap/>
            <w:vAlign w:val="center"/>
          </w:tcPr>
          <w:p w:rsidR="00F25110" w:rsidRPr="00755E49" w:rsidRDefault="00F25110" w:rsidP="001D6BA2">
            <w:pPr>
              <w:spacing w:before="20" w:after="20" w:line="240" w:lineRule="auto"/>
              <w:jc w:val="center"/>
              <w:rPr>
                <w:rFonts w:ascii="Times New Roman" w:eastAsia="Times New Roman" w:hAnsi="Times New Roman"/>
                <w:b/>
                <w:color w:val="9B2D1F" w:themeColor="accent2"/>
                <w:sz w:val="20"/>
                <w:lang w:val="bg-BG" w:eastAsia="bg-BG"/>
              </w:rPr>
            </w:pPr>
          </w:p>
        </w:tc>
        <w:tc>
          <w:tcPr>
            <w:tcW w:w="1417" w:type="dxa"/>
            <w:tcBorders>
              <w:top w:val="dashSmallGap" w:sz="4" w:space="0" w:color="auto"/>
            </w:tcBorders>
            <w:shd w:val="clear" w:color="auto" w:fill="auto"/>
          </w:tcPr>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p>
        </w:tc>
        <w:tc>
          <w:tcPr>
            <w:tcW w:w="1276" w:type="dxa"/>
            <w:tcBorders>
              <w:top w:val="dashSmallGap" w:sz="4" w:space="0" w:color="auto"/>
              <w:right w:val="single" w:sz="18" w:space="0" w:color="auto"/>
            </w:tcBorders>
            <w:shd w:val="clear" w:color="auto" w:fill="F4B29B" w:themeFill="accent1" w:themeFillTint="66"/>
          </w:tcPr>
          <w:p w:rsidR="00F25110" w:rsidRPr="00755E49" w:rsidRDefault="00F25110" w:rsidP="001D6BA2">
            <w:pPr>
              <w:spacing w:before="20" w:after="20" w:line="240" w:lineRule="auto"/>
              <w:jc w:val="center"/>
              <w:rPr>
                <w:rFonts w:ascii="Times New Roman" w:eastAsia="Times New Roman" w:hAnsi="Times New Roman"/>
                <w:color w:val="9B2D1F" w:themeColor="accent2"/>
                <w:sz w:val="20"/>
                <w:lang w:val="bg-BG" w:eastAsia="bg-BG"/>
              </w:rPr>
            </w:pPr>
          </w:p>
        </w:tc>
      </w:tr>
      <w:tr w:rsidR="00755E49" w:rsidRPr="00BD7BB1" w:rsidTr="00755E49">
        <w:trPr>
          <w:trHeight w:val="1410"/>
        </w:trPr>
        <w:tc>
          <w:tcPr>
            <w:tcW w:w="637" w:type="dxa"/>
            <w:tcBorders>
              <w:left w:val="single" w:sz="18" w:space="0" w:color="auto"/>
              <w:bottom w:val="dashSmallGap" w:sz="4" w:space="0" w:color="auto"/>
            </w:tcBorders>
            <w:shd w:val="clear" w:color="auto" w:fill="F4B29B" w:themeFill="accent1" w:themeFillTint="66"/>
          </w:tcPr>
          <w:p w:rsidR="00F25110" w:rsidRPr="00755E49" w:rsidRDefault="00F25110" w:rsidP="001D6BA2">
            <w:pPr>
              <w:spacing w:before="20" w:after="20" w:line="240" w:lineRule="auto"/>
              <w:rPr>
                <w:rFonts w:ascii="Times New Roman" w:eastAsia="Times New Roman" w:hAnsi="Times New Roman"/>
                <w:color w:val="9B2D1F" w:themeColor="accent2"/>
                <w:sz w:val="20"/>
                <w:lang w:val="bg-BG" w:eastAsia="bg-BG"/>
              </w:rPr>
            </w:pPr>
            <w:r w:rsidRPr="00755E49">
              <w:rPr>
                <w:rFonts w:ascii="Times New Roman" w:eastAsia="Times New Roman" w:hAnsi="Times New Roman"/>
                <w:color w:val="9B2D1F" w:themeColor="accent2"/>
                <w:sz w:val="20"/>
                <w:lang w:val="bg-BG" w:eastAsia="bg-BG"/>
              </w:rPr>
              <w:t> 6</w:t>
            </w:r>
          </w:p>
        </w:tc>
        <w:tc>
          <w:tcPr>
            <w:tcW w:w="4275" w:type="dxa"/>
            <w:tcBorders>
              <w:bottom w:val="dashSmallGap" w:sz="4" w:space="0" w:color="auto"/>
            </w:tcBorders>
            <w:shd w:val="clear" w:color="auto" w:fill="auto"/>
          </w:tcPr>
          <w:p w:rsidR="00F25110" w:rsidRPr="00BD7BB1" w:rsidRDefault="00F25110" w:rsidP="001D6BA2">
            <w:pPr>
              <w:spacing w:before="20" w:after="20" w:line="240" w:lineRule="auto"/>
              <w:rPr>
                <w:rFonts w:ascii="Times New Roman" w:eastAsia="Times New Roman" w:hAnsi="Times New Roman"/>
                <w:iCs/>
                <w:color w:val="auto"/>
                <w:sz w:val="20"/>
                <w:lang w:val="bg-BG" w:eastAsia="bg-BG"/>
              </w:rPr>
            </w:pPr>
            <w:r w:rsidRPr="00BD7BB1">
              <w:rPr>
                <w:rFonts w:ascii="Times New Roman" w:eastAsia="Times New Roman" w:hAnsi="Times New Roman"/>
                <w:iCs/>
                <w:color w:val="auto"/>
                <w:sz w:val="20"/>
                <w:lang w:val="bg-BG" w:eastAsia="bg-BG"/>
              </w:rPr>
              <w:t>Дял от територията със силна и много силна податливост на ерозиране – %</w:t>
            </w:r>
          </w:p>
        </w:tc>
        <w:tc>
          <w:tcPr>
            <w:tcW w:w="1292" w:type="dxa"/>
            <w:tcBorders>
              <w:bottom w:val="dashSmallGap" w:sz="4" w:space="0" w:color="auto"/>
            </w:tcBorders>
            <w:shd w:val="clear" w:color="auto" w:fill="F4B29B" w:themeFill="accent1" w:themeFillTint="66"/>
            <w:noWrap/>
            <w:vAlign w:val="center"/>
          </w:tcPr>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r w:rsidRPr="00755E49">
              <w:rPr>
                <w:rFonts w:ascii="Times New Roman" w:eastAsia="Calibri" w:hAnsi="Times New Roman"/>
                <w:b/>
                <w:color w:val="9B2D1F" w:themeColor="accent2"/>
                <w:sz w:val="20"/>
                <w:lang w:val="bg-BG"/>
              </w:rPr>
              <w:t>4.65</w:t>
            </w:r>
          </w:p>
          <w:p w:rsidR="00F25110" w:rsidRPr="00755E49" w:rsidRDefault="00F25110" w:rsidP="001D6BA2">
            <w:pPr>
              <w:spacing w:after="0" w:line="240" w:lineRule="auto"/>
              <w:jc w:val="center"/>
              <w:rPr>
                <w:rFonts w:ascii="Times New Roman" w:eastAsia="Calibri" w:hAnsi="Times New Roman"/>
                <w:i/>
                <w:color w:val="9B2D1F" w:themeColor="accent2"/>
                <w:sz w:val="20"/>
                <w:lang w:val="bg-BG"/>
              </w:rPr>
            </w:pPr>
            <w:r w:rsidRPr="00755E49">
              <w:rPr>
                <w:rFonts w:ascii="Times New Roman" w:eastAsia="Calibri" w:hAnsi="Times New Roman"/>
                <w:i/>
                <w:color w:val="9B2D1F" w:themeColor="accent2"/>
                <w:sz w:val="20"/>
                <w:lang w:val="bg-BG"/>
              </w:rPr>
              <w:t>(2012)</w:t>
            </w:r>
          </w:p>
        </w:tc>
        <w:tc>
          <w:tcPr>
            <w:tcW w:w="1134" w:type="dxa"/>
            <w:tcBorders>
              <w:bottom w:val="dashSmallGap" w:sz="4" w:space="0" w:color="auto"/>
            </w:tcBorders>
            <w:shd w:val="clear" w:color="auto" w:fill="auto"/>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4.3</w:t>
            </w:r>
          </w:p>
        </w:tc>
        <w:tc>
          <w:tcPr>
            <w:tcW w:w="1134" w:type="dxa"/>
            <w:tcBorders>
              <w:bottom w:val="dashSmallGap" w:sz="4" w:space="0" w:color="auto"/>
            </w:tcBorders>
            <w:shd w:val="clear" w:color="auto" w:fill="F4B29B" w:themeFill="accent1" w:themeFillTint="66"/>
            <w:noWrap/>
            <w:vAlign w:val="center"/>
          </w:tcPr>
          <w:p w:rsidR="00F25110" w:rsidRPr="00755E49" w:rsidRDefault="00F25110" w:rsidP="001D6BA2">
            <w:pPr>
              <w:spacing w:before="20" w:after="20" w:line="240" w:lineRule="auto"/>
              <w:jc w:val="center"/>
              <w:rPr>
                <w:rFonts w:ascii="Times New Roman" w:eastAsia="Times New Roman" w:hAnsi="Times New Roman"/>
                <w:b/>
                <w:color w:val="9B2D1F" w:themeColor="accent2"/>
                <w:sz w:val="20"/>
                <w:lang w:val="bg-BG" w:eastAsia="bg-BG"/>
              </w:rPr>
            </w:pPr>
            <w:r w:rsidRPr="00755E49">
              <w:rPr>
                <w:rFonts w:ascii="Times New Roman" w:eastAsia="Times New Roman" w:hAnsi="Times New Roman"/>
                <w:b/>
                <w:color w:val="9B2D1F" w:themeColor="accent2"/>
                <w:sz w:val="20"/>
                <w:lang w:val="bg-BG" w:eastAsia="bg-BG"/>
              </w:rPr>
              <w:t>4.0</w:t>
            </w:r>
          </w:p>
        </w:tc>
        <w:tc>
          <w:tcPr>
            <w:tcW w:w="1417" w:type="dxa"/>
            <w:tcBorders>
              <w:bottom w:val="dashSmallGap" w:sz="4" w:space="0" w:color="auto"/>
            </w:tcBorders>
            <w:shd w:val="clear" w:color="auto" w:fill="auto"/>
          </w:tcPr>
          <w:p w:rsidR="00F25110" w:rsidRPr="00755E49" w:rsidRDefault="00F25110" w:rsidP="001D6BA2">
            <w:pPr>
              <w:spacing w:before="20" w:after="20" w:line="240" w:lineRule="auto"/>
              <w:jc w:val="center"/>
              <w:rPr>
                <w:rFonts w:ascii="Times New Roman" w:eastAsia="Times New Roman" w:hAnsi="Times New Roman"/>
                <w:b/>
                <w:color w:val="auto"/>
                <w:sz w:val="20"/>
                <w:lang w:val="bg-BG" w:eastAsia="bg-BG"/>
              </w:rPr>
            </w:pPr>
            <w:r w:rsidRPr="00755E49">
              <w:rPr>
                <w:rFonts w:ascii="Times New Roman" w:eastAsia="Times New Roman" w:hAnsi="Times New Roman"/>
                <w:b/>
                <w:color w:val="auto"/>
                <w:sz w:val="20"/>
                <w:lang w:val="bg-BG" w:eastAsia="bg-BG"/>
              </w:rPr>
              <w:t>4,3</w:t>
            </w:r>
            <w:r w:rsidR="00755E49">
              <w:rPr>
                <w:rFonts w:ascii="Times New Roman" w:eastAsia="Times New Roman" w:hAnsi="Times New Roman"/>
                <w:b/>
                <w:color w:val="auto"/>
                <w:sz w:val="20"/>
                <w:lang w:val="bg-BG" w:eastAsia="bg-BG"/>
              </w:rPr>
              <w:t>%</w:t>
            </w:r>
          </w:p>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Общо висок и мн.висок риск от ерозия за 2013г.</w:t>
            </w:r>
          </w:p>
        </w:tc>
        <w:tc>
          <w:tcPr>
            <w:tcW w:w="1276" w:type="dxa"/>
            <w:tcBorders>
              <w:bottom w:val="dashSmallGap" w:sz="4" w:space="0" w:color="auto"/>
              <w:right w:val="single" w:sz="18" w:space="0" w:color="auto"/>
            </w:tcBorders>
            <w:shd w:val="clear" w:color="auto" w:fill="F4B29B" w:themeFill="accent1" w:themeFillTint="66"/>
          </w:tcPr>
          <w:p w:rsidR="00F25110" w:rsidRPr="00755E49" w:rsidRDefault="00F25110" w:rsidP="001D6BA2">
            <w:pPr>
              <w:spacing w:before="20" w:after="20" w:line="240" w:lineRule="auto"/>
              <w:jc w:val="center"/>
              <w:rPr>
                <w:rFonts w:ascii="Times New Roman" w:eastAsia="Times New Roman" w:hAnsi="Times New Roman"/>
                <w:color w:val="9B2D1F" w:themeColor="accent2"/>
                <w:sz w:val="20"/>
                <w:lang w:val="bg-BG" w:eastAsia="bg-BG"/>
              </w:rPr>
            </w:pPr>
            <w:r w:rsidRPr="00755E49">
              <w:rPr>
                <w:rFonts w:ascii="Times New Roman" w:eastAsia="Times New Roman" w:hAnsi="Times New Roman"/>
                <w:color w:val="9B2D1F" w:themeColor="accent2"/>
                <w:sz w:val="20"/>
                <w:lang w:val="bg-BG" w:eastAsia="bg-BG"/>
              </w:rPr>
              <w:t>ИАОС</w:t>
            </w:r>
          </w:p>
        </w:tc>
      </w:tr>
      <w:tr w:rsidR="00755E49" w:rsidRPr="00BD7BB1" w:rsidTr="00755E49">
        <w:trPr>
          <w:trHeight w:val="305"/>
        </w:trPr>
        <w:tc>
          <w:tcPr>
            <w:tcW w:w="637" w:type="dxa"/>
            <w:tcBorders>
              <w:top w:val="dashSmallGap" w:sz="4" w:space="0" w:color="auto"/>
              <w:left w:val="single" w:sz="18" w:space="0" w:color="auto"/>
            </w:tcBorders>
            <w:shd w:val="clear" w:color="auto" w:fill="F4B29B" w:themeFill="accent1" w:themeFillTint="66"/>
          </w:tcPr>
          <w:p w:rsidR="00F25110" w:rsidRPr="00BD7BB1" w:rsidRDefault="00F25110" w:rsidP="001D6BA2">
            <w:pPr>
              <w:spacing w:before="20" w:after="20" w:line="240" w:lineRule="auto"/>
              <w:rPr>
                <w:rFonts w:ascii="Times New Roman" w:eastAsia="Times New Roman" w:hAnsi="Times New Roman"/>
                <w:color w:val="auto"/>
                <w:sz w:val="20"/>
                <w:lang w:val="bg-BG" w:eastAsia="bg-BG"/>
              </w:rPr>
            </w:pPr>
          </w:p>
        </w:tc>
        <w:tc>
          <w:tcPr>
            <w:tcW w:w="4275" w:type="dxa"/>
            <w:tcBorders>
              <w:top w:val="dashSmallGap" w:sz="4" w:space="0" w:color="auto"/>
            </w:tcBorders>
            <w:shd w:val="clear" w:color="auto" w:fill="auto"/>
          </w:tcPr>
          <w:p w:rsidR="00F25110" w:rsidRPr="00BD7BB1" w:rsidRDefault="00F25110" w:rsidP="001D6BA2">
            <w:pPr>
              <w:spacing w:before="20" w:after="20" w:line="240" w:lineRule="auto"/>
              <w:rPr>
                <w:rFonts w:ascii="Times New Roman" w:eastAsia="Times New Roman" w:hAnsi="Times New Roman"/>
                <w:iCs/>
                <w:color w:val="auto"/>
                <w:sz w:val="20"/>
                <w:lang w:val="bg-BG" w:eastAsia="bg-BG"/>
              </w:rPr>
            </w:pPr>
          </w:p>
        </w:tc>
        <w:tc>
          <w:tcPr>
            <w:tcW w:w="1292" w:type="dxa"/>
            <w:tcBorders>
              <w:top w:val="dashSmallGap" w:sz="4" w:space="0" w:color="auto"/>
            </w:tcBorders>
            <w:shd w:val="clear" w:color="auto" w:fill="F4B29B" w:themeFill="accent1" w:themeFillTint="66"/>
            <w:noWrap/>
            <w:vAlign w:val="center"/>
          </w:tcPr>
          <w:p w:rsidR="00F25110" w:rsidRPr="00755E49" w:rsidRDefault="00F25110" w:rsidP="001D6BA2">
            <w:pPr>
              <w:spacing w:after="0" w:line="240" w:lineRule="auto"/>
              <w:jc w:val="center"/>
              <w:rPr>
                <w:rFonts w:ascii="Times New Roman" w:eastAsia="Calibri" w:hAnsi="Times New Roman"/>
                <w:b/>
                <w:color w:val="9B2D1F" w:themeColor="accent2"/>
                <w:sz w:val="20"/>
                <w:lang w:val="bg-BG"/>
              </w:rPr>
            </w:pPr>
          </w:p>
        </w:tc>
        <w:tc>
          <w:tcPr>
            <w:tcW w:w="1134" w:type="dxa"/>
            <w:tcBorders>
              <w:top w:val="dashSmallGap" w:sz="4" w:space="0" w:color="auto"/>
            </w:tcBorders>
            <w:shd w:val="clear" w:color="auto" w:fill="auto"/>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p>
        </w:tc>
        <w:tc>
          <w:tcPr>
            <w:tcW w:w="1134" w:type="dxa"/>
            <w:tcBorders>
              <w:top w:val="dashSmallGap" w:sz="4" w:space="0" w:color="auto"/>
            </w:tcBorders>
            <w:shd w:val="clear" w:color="auto" w:fill="F4B29B" w:themeFill="accent1" w:themeFillTint="66"/>
            <w:noWrap/>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p>
        </w:tc>
        <w:tc>
          <w:tcPr>
            <w:tcW w:w="1417" w:type="dxa"/>
            <w:tcBorders>
              <w:top w:val="dashSmallGap" w:sz="4" w:space="0" w:color="auto"/>
            </w:tcBorders>
            <w:shd w:val="clear" w:color="auto" w:fill="auto"/>
          </w:tcPr>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p>
        </w:tc>
        <w:tc>
          <w:tcPr>
            <w:tcW w:w="1276" w:type="dxa"/>
            <w:tcBorders>
              <w:top w:val="dashSmallGap" w:sz="4" w:space="0" w:color="auto"/>
              <w:right w:val="single" w:sz="18" w:space="0" w:color="auto"/>
            </w:tcBorders>
            <w:shd w:val="clear" w:color="auto" w:fill="F4B29B" w:themeFill="accent1" w:themeFillTint="66"/>
          </w:tcPr>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p>
        </w:tc>
      </w:tr>
      <w:tr w:rsidR="001D6BA2" w:rsidRPr="00BD7BB1" w:rsidTr="001D6BA2">
        <w:trPr>
          <w:trHeight w:val="1560"/>
        </w:trPr>
        <w:tc>
          <w:tcPr>
            <w:tcW w:w="637" w:type="dxa"/>
            <w:tcBorders>
              <w:left w:val="single" w:sz="18" w:space="0" w:color="auto"/>
              <w:bottom w:val="single" w:sz="18" w:space="0" w:color="auto"/>
            </w:tcBorders>
            <w:shd w:val="clear" w:color="auto" w:fill="F4B29B" w:themeFill="accent1" w:themeFillTint="66"/>
          </w:tcPr>
          <w:p w:rsidR="00F25110" w:rsidRPr="00BD7BB1" w:rsidRDefault="00F25110" w:rsidP="001D6BA2">
            <w:pPr>
              <w:spacing w:before="20" w:after="20" w:line="240" w:lineRule="auto"/>
              <w:rPr>
                <w:rFonts w:ascii="Times New Roman" w:eastAsia="Times New Roman" w:hAnsi="Times New Roman"/>
                <w:color w:val="auto"/>
                <w:sz w:val="20"/>
                <w:lang w:val="bg-BG" w:eastAsia="bg-BG"/>
              </w:rPr>
            </w:pPr>
            <w:r w:rsidRPr="001D6BA2">
              <w:rPr>
                <w:rFonts w:ascii="Times New Roman" w:eastAsia="Times New Roman" w:hAnsi="Times New Roman"/>
                <w:color w:val="9B2D1F" w:themeColor="accent2"/>
                <w:sz w:val="20"/>
                <w:lang w:val="bg-BG" w:eastAsia="bg-BG"/>
              </w:rPr>
              <w:t>7</w:t>
            </w:r>
          </w:p>
        </w:tc>
        <w:tc>
          <w:tcPr>
            <w:tcW w:w="4275" w:type="dxa"/>
            <w:tcBorders>
              <w:bottom w:val="single" w:sz="18" w:space="0" w:color="auto"/>
            </w:tcBorders>
            <w:shd w:val="clear" w:color="auto" w:fill="auto"/>
          </w:tcPr>
          <w:p w:rsidR="00F25110" w:rsidRPr="00BD7BB1" w:rsidRDefault="00F25110" w:rsidP="001D6BA2">
            <w:pPr>
              <w:spacing w:before="20" w:after="20" w:line="240" w:lineRule="auto"/>
              <w:rPr>
                <w:rFonts w:ascii="Times New Roman" w:eastAsia="Times New Roman" w:hAnsi="Times New Roman"/>
                <w:iCs/>
                <w:color w:val="auto"/>
                <w:sz w:val="20"/>
                <w:lang w:val="bg-BG" w:eastAsia="bg-BG"/>
              </w:rPr>
            </w:pPr>
            <w:r w:rsidRPr="00BD7BB1">
              <w:rPr>
                <w:rFonts w:ascii="Times New Roman" w:eastAsia="Times New Roman" w:hAnsi="Times New Roman"/>
                <w:iCs/>
                <w:color w:val="auto"/>
                <w:sz w:val="20"/>
                <w:lang w:val="bg-BG" w:eastAsia="bg-BG"/>
              </w:rPr>
              <w:t>Регионален  климатичен индекс -точки</w:t>
            </w:r>
          </w:p>
        </w:tc>
        <w:tc>
          <w:tcPr>
            <w:tcW w:w="1292" w:type="dxa"/>
            <w:tcBorders>
              <w:bottom w:val="single" w:sz="18" w:space="0" w:color="auto"/>
            </w:tcBorders>
            <w:shd w:val="clear" w:color="auto" w:fill="F4B29B" w:themeFill="accent1" w:themeFillTint="66"/>
            <w:noWrap/>
            <w:vAlign w:val="center"/>
          </w:tcPr>
          <w:p w:rsidR="00F25110" w:rsidRPr="001D6BA2" w:rsidRDefault="00F25110" w:rsidP="001D6BA2">
            <w:pPr>
              <w:spacing w:after="0" w:line="240" w:lineRule="auto"/>
              <w:jc w:val="center"/>
              <w:rPr>
                <w:rFonts w:ascii="Times New Roman" w:eastAsia="Calibri" w:hAnsi="Times New Roman"/>
                <w:b/>
                <w:color w:val="9B2D1F" w:themeColor="accent2"/>
                <w:sz w:val="20"/>
                <w:lang w:val="bg-BG"/>
              </w:rPr>
            </w:pPr>
            <w:r w:rsidRPr="001D6BA2">
              <w:rPr>
                <w:rFonts w:ascii="Times New Roman" w:eastAsia="Calibri" w:hAnsi="Times New Roman"/>
                <w:b/>
                <w:color w:val="9B2D1F" w:themeColor="accent2"/>
                <w:sz w:val="20"/>
                <w:lang w:val="bg-BG"/>
              </w:rPr>
              <w:t>11.98</w:t>
            </w:r>
          </w:p>
          <w:p w:rsidR="00F25110" w:rsidRPr="00BD7BB1" w:rsidRDefault="00F25110" w:rsidP="001D6BA2">
            <w:pPr>
              <w:spacing w:after="0" w:line="240" w:lineRule="auto"/>
              <w:jc w:val="center"/>
              <w:rPr>
                <w:rFonts w:ascii="Times New Roman" w:eastAsia="Calibri" w:hAnsi="Times New Roman"/>
                <w:i/>
                <w:color w:val="auto"/>
                <w:sz w:val="20"/>
                <w:lang w:val="bg-BG"/>
              </w:rPr>
            </w:pPr>
            <w:r w:rsidRPr="001D6BA2">
              <w:rPr>
                <w:rFonts w:ascii="Times New Roman" w:eastAsia="Calibri" w:hAnsi="Times New Roman"/>
                <w:i/>
                <w:color w:val="9B2D1F" w:themeColor="accent2"/>
                <w:sz w:val="20"/>
                <w:lang w:val="bg-BG"/>
              </w:rPr>
              <w:t>(2010г.)</w:t>
            </w:r>
          </w:p>
        </w:tc>
        <w:tc>
          <w:tcPr>
            <w:tcW w:w="1134" w:type="dxa"/>
            <w:tcBorders>
              <w:bottom w:val="single" w:sz="18" w:space="0" w:color="auto"/>
            </w:tcBorders>
            <w:shd w:val="clear" w:color="auto" w:fill="auto"/>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r w:rsidRPr="00BD7BB1">
              <w:rPr>
                <w:rFonts w:ascii="Times New Roman" w:eastAsia="Times New Roman" w:hAnsi="Times New Roman"/>
                <w:b/>
                <w:color w:val="auto"/>
                <w:sz w:val="20"/>
                <w:lang w:val="bg-BG" w:eastAsia="bg-BG"/>
              </w:rPr>
              <w:t>14.23</w:t>
            </w:r>
          </w:p>
        </w:tc>
        <w:tc>
          <w:tcPr>
            <w:tcW w:w="1134" w:type="dxa"/>
            <w:tcBorders>
              <w:bottom w:val="single" w:sz="18" w:space="0" w:color="auto"/>
            </w:tcBorders>
            <w:shd w:val="clear" w:color="auto" w:fill="F4B29B" w:themeFill="accent1" w:themeFillTint="66"/>
            <w:noWrap/>
            <w:vAlign w:val="center"/>
          </w:tcPr>
          <w:p w:rsidR="00F25110" w:rsidRPr="00BD7BB1" w:rsidRDefault="00F25110" w:rsidP="001D6BA2">
            <w:pPr>
              <w:spacing w:before="20" w:after="20" w:line="240" w:lineRule="auto"/>
              <w:jc w:val="center"/>
              <w:rPr>
                <w:rFonts w:ascii="Times New Roman" w:eastAsia="Times New Roman" w:hAnsi="Times New Roman"/>
                <w:b/>
                <w:color w:val="auto"/>
                <w:sz w:val="20"/>
                <w:lang w:val="bg-BG" w:eastAsia="bg-BG"/>
              </w:rPr>
            </w:pPr>
            <w:r w:rsidRPr="001D6BA2">
              <w:rPr>
                <w:rFonts w:ascii="Times New Roman" w:eastAsia="Times New Roman" w:hAnsi="Times New Roman"/>
                <w:b/>
                <w:color w:val="9B2D1F" w:themeColor="accent2"/>
                <w:sz w:val="20"/>
                <w:lang w:val="bg-BG" w:eastAsia="bg-BG"/>
              </w:rPr>
              <w:t>17.57</w:t>
            </w:r>
          </w:p>
        </w:tc>
        <w:tc>
          <w:tcPr>
            <w:tcW w:w="1417" w:type="dxa"/>
            <w:tcBorders>
              <w:bottom w:val="single" w:sz="18" w:space="0" w:color="auto"/>
            </w:tcBorders>
            <w:shd w:val="clear" w:color="auto" w:fill="auto"/>
          </w:tcPr>
          <w:p w:rsidR="00F25110" w:rsidRPr="00BD7BB1" w:rsidRDefault="00F25110" w:rsidP="001D6BA2">
            <w:pPr>
              <w:spacing w:before="20" w:after="20" w:line="240" w:lineRule="auto"/>
              <w:jc w:val="center"/>
              <w:rPr>
                <w:rFonts w:ascii="Times New Roman" w:eastAsia="Times New Roman" w:hAnsi="Times New Roman"/>
                <w:color w:val="auto"/>
                <w:sz w:val="20"/>
                <w:lang w:val="bg-BG" w:eastAsia="bg-BG"/>
              </w:rPr>
            </w:pPr>
            <w:r w:rsidRPr="00BD7BB1">
              <w:rPr>
                <w:rFonts w:ascii="Times New Roman" w:eastAsia="Times New Roman" w:hAnsi="Times New Roman"/>
                <w:color w:val="auto"/>
                <w:sz w:val="20"/>
                <w:lang w:val="bg-BG" w:eastAsia="bg-BG"/>
              </w:rPr>
              <w:t>Различна периодичност – съгласно изследвания</w:t>
            </w:r>
          </w:p>
        </w:tc>
        <w:tc>
          <w:tcPr>
            <w:tcW w:w="1276" w:type="dxa"/>
            <w:tcBorders>
              <w:bottom w:val="single" w:sz="18" w:space="0" w:color="auto"/>
              <w:right w:val="single" w:sz="18" w:space="0" w:color="auto"/>
            </w:tcBorders>
            <w:shd w:val="clear" w:color="auto" w:fill="F4B29B" w:themeFill="accent1" w:themeFillTint="66"/>
          </w:tcPr>
          <w:p w:rsidR="00F25110" w:rsidRPr="001D6BA2" w:rsidRDefault="00F25110" w:rsidP="001D6BA2">
            <w:pPr>
              <w:spacing w:before="20" w:after="20" w:line="240" w:lineRule="auto"/>
              <w:jc w:val="center"/>
              <w:rPr>
                <w:rFonts w:ascii="Times New Roman" w:eastAsia="Times New Roman" w:hAnsi="Times New Roman"/>
                <w:color w:val="9B2D1F" w:themeColor="accent2"/>
                <w:sz w:val="20"/>
                <w:lang w:val="bg-BG" w:eastAsia="bg-BG"/>
              </w:rPr>
            </w:pPr>
            <w:r w:rsidRPr="001D6BA2">
              <w:rPr>
                <w:rFonts w:ascii="Times New Roman" w:eastAsia="Times New Roman" w:hAnsi="Times New Roman"/>
                <w:color w:val="9B2D1F" w:themeColor="accent2"/>
                <w:sz w:val="20"/>
                <w:lang w:val="bg-BG" w:eastAsia="bg-BG"/>
              </w:rPr>
              <w:t xml:space="preserve">МРР </w:t>
            </w:r>
          </w:p>
          <w:p w:rsidR="00F25110" w:rsidRPr="001D6BA2" w:rsidRDefault="00F25110" w:rsidP="001D6BA2">
            <w:pPr>
              <w:spacing w:before="20" w:after="20" w:line="240" w:lineRule="auto"/>
              <w:jc w:val="center"/>
              <w:rPr>
                <w:rFonts w:ascii="Times New Roman" w:eastAsia="Times New Roman" w:hAnsi="Times New Roman"/>
                <w:color w:val="9B2D1F" w:themeColor="accent2"/>
                <w:sz w:val="20"/>
                <w:lang w:val="bg-BG" w:eastAsia="bg-BG"/>
              </w:rPr>
            </w:pPr>
          </w:p>
        </w:tc>
      </w:tr>
    </w:tbl>
    <w:p w:rsidR="00141BD6" w:rsidRPr="00F25110" w:rsidRDefault="00141BD6" w:rsidP="00141BD6">
      <w:pPr>
        <w:spacing w:after="0" w:line="360" w:lineRule="auto"/>
        <w:jc w:val="both"/>
        <w:rPr>
          <w:rFonts w:ascii="Times New Roman" w:eastAsia="Times New Roman" w:hAnsi="Times New Roman"/>
          <w:color w:val="000000"/>
          <w:sz w:val="24"/>
          <w:szCs w:val="24"/>
          <w:lang w:val="bg-BG" w:eastAsia="bg-BG"/>
        </w:rPr>
      </w:pPr>
    </w:p>
    <w:p w:rsidR="00141BD6" w:rsidRPr="00515F00" w:rsidRDefault="00734A7C" w:rsidP="002E1F34">
      <w:pPr>
        <w:shd w:val="clear" w:color="auto" w:fill="F4B29B" w:themeFill="accent1" w:themeFillTint="66"/>
        <w:spacing w:after="0" w:line="360" w:lineRule="auto"/>
        <w:ind w:firstLine="708"/>
        <w:jc w:val="both"/>
        <w:rPr>
          <w:rFonts w:eastAsia="Times New Roman"/>
          <w:b/>
          <w:i/>
          <w:color w:val="000000"/>
          <w:sz w:val="24"/>
          <w:szCs w:val="24"/>
          <w:lang w:val="bg-BG" w:eastAsia="bg-BG"/>
        </w:rPr>
      </w:pPr>
      <w:r w:rsidRPr="00515F00">
        <w:rPr>
          <w:rFonts w:ascii="Times New Roman" w:eastAsia="Times New Roman" w:hAnsi="Times New Roman"/>
          <w:b/>
          <w:i/>
          <w:color w:val="000000"/>
          <w:sz w:val="24"/>
          <w:szCs w:val="24"/>
          <w:lang w:val="bg-BG" w:eastAsia="bg-BG"/>
        </w:rPr>
        <w:t>Извод:</w:t>
      </w:r>
      <w:r>
        <w:rPr>
          <w:rFonts w:ascii="Times New Roman" w:eastAsia="Times New Roman" w:hAnsi="Times New Roman"/>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база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направения</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преглед</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напредъка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Стратегическите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цели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може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да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се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заключи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че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в</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изпълнение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мерките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се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наблюдава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добър</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напредък</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в</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резултат</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изпълняващите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се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проекти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по</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ОП</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Планове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Програми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за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ТГС</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др. международни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през</w:t>
      </w:r>
      <w:r w:rsidRPr="00515F00">
        <w:rPr>
          <w:rFonts w:eastAsia="Times New Roman"/>
          <w:b/>
          <w:i/>
          <w:color w:val="000000"/>
          <w:sz w:val="24"/>
          <w:szCs w:val="24"/>
          <w:lang w:val="bg-BG" w:eastAsia="bg-BG"/>
        </w:rPr>
        <w:t xml:space="preserve"> 2014 </w:t>
      </w:r>
      <w:r w:rsidRPr="00515F00">
        <w:rPr>
          <w:rFonts w:ascii="Times New Roman" w:eastAsia="Times New Roman" w:hAnsi="Times New Roman"/>
          <w:b/>
          <w:i/>
          <w:color w:val="000000"/>
          <w:sz w:val="24"/>
          <w:szCs w:val="24"/>
          <w:lang w:val="bg-BG" w:eastAsia="bg-BG"/>
        </w:rPr>
        <w:t>г</w:t>
      </w:r>
      <w:r w:rsidRPr="00515F00">
        <w:rPr>
          <w:rFonts w:eastAsia="Times New Roman"/>
          <w:b/>
          <w:i/>
          <w:color w:val="000000"/>
          <w:sz w:val="24"/>
          <w:szCs w:val="24"/>
          <w:lang w:val="bg-BG" w:eastAsia="bg-BG"/>
        </w:rPr>
        <w:t>.</w:t>
      </w:r>
      <w:r w:rsidRPr="00515F00">
        <w:rPr>
          <w:rFonts w:ascii="Cambria" w:eastAsia="Times New Roman" w:hAnsi="Cambria"/>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Изпълнението</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приоритетите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се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определя</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като</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добро</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тъй</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като</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по</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трите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стратегически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цели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се реализират</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конкретни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проекти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Постигнат</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значителен</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напредък</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в</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изпълнението</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всички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индикатори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по</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приоритетите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което</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обуславя</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наличието</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добро</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изпълнение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целите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и</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приоритетите</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през</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първа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година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изпълнението</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на</w:t>
      </w:r>
      <w:r w:rsidRPr="00515F00">
        <w:rPr>
          <w:rFonts w:eastAsia="Times New Roman"/>
          <w:b/>
          <w:i/>
          <w:color w:val="000000"/>
          <w:sz w:val="24"/>
          <w:szCs w:val="24"/>
          <w:lang w:val="bg-BG" w:eastAsia="bg-BG"/>
        </w:rPr>
        <w:t xml:space="preserve"> </w:t>
      </w:r>
      <w:r w:rsidRPr="00515F00">
        <w:rPr>
          <w:rFonts w:ascii="Times New Roman" w:eastAsia="Times New Roman" w:hAnsi="Times New Roman"/>
          <w:b/>
          <w:i/>
          <w:color w:val="000000"/>
          <w:sz w:val="24"/>
          <w:szCs w:val="24"/>
          <w:lang w:val="bg-BG" w:eastAsia="bg-BG"/>
        </w:rPr>
        <w:t>документа</w:t>
      </w:r>
      <w:r w:rsidRPr="00515F00">
        <w:rPr>
          <w:rFonts w:eastAsia="Times New Roman"/>
          <w:b/>
          <w:i/>
          <w:color w:val="000000"/>
          <w:sz w:val="24"/>
          <w:szCs w:val="24"/>
          <w:lang w:val="bg-BG" w:eastAsia="bg-BG"/>
        </w:rPr>
        <w:t>.</w:t>
      </w:r>
      <w:r w:rsidR="00141BD6" w:rsidRPr="00515F00">
        <w:rPr>
          <w:rFonts w:ascii="Times New Roman" w:eastAsia="Times New Roman" w:hAnsi="Times New Roman"/>
          <w:b/>
          <w:i/>
          <w:color w:val="000000"/>
          <w:sz w:val="24"/>
          <w:szCs w:val="24"/>
          <w:lang w:val="bg-BG" w:eastAsia="bg-BG"/>
        </w:rPr>
        <w:t xml:space="preserve"> </w:t>
      </w:r>
    </w:p>
    <w:p w:rsidR="00F25110" w:rsidRPr="00BD7BB1" w:rsidRDefault="00F25110" w:rsidP="00F25110">
      <w:pPr>
        <w:spacing w:after="0" w:line="360" w:lineRule="auto"/>
        <w:jc w:val="both"/>
        <w:textAlignment w:val="center"/>
        <w:rPr>
          <w:rFonts w:ascii="Times New Roman" w:eastAsia="Times New Roman" w:hAnsi="Times New Roman"/>
          <w:b/>
          <w:color w:val="auto"/>
          <w:sz w:val="24"/>
          <w:szCs w:val="24"/>
          <w:lang w:val="bg-BG" w:eastAsia="bg-BG"/>
        </w:rPr>
      </w:pPr>
    </w:p>
    <w:p w:rsidR="00F25110" w:rsidRPr="00141BD6" w:rsidRDefault="00F25110" w:rsidP="00F25110">
      <w:pPr>
        <w:spacing w:after="0" w:line="360" w:lineRule="auto"/>
        <w:jc w:val="both"/>
        <w:textAlignment w:val="center"/>
        <w:rPr>
          <w:rFonts w:ascii="Times New Roman" w:eastAsia="Times New Roman" w:hAnsi="Times New Roman"/>
          <w:b/>
          <w:color w:val="9B2D1F" w:themeColor="accent2"/>
          <w:sz w:val="24"/>
          <w:szCs w:val="24"/>
          <w:lang w:val="bg-BG" w:eastAsia="bg-BG"/>
        </w:rPr>
      </w:pPr>
      <w:r w:rsidRPr="00141BD6">
        <w:rPr>
          <w:rFonts w:ascii="Times New Roman" w:eastAsia="Times New Roman" w:hAnsi="Times New Roman"/>
          <w:b/>
          <w:color w:val="9B2D1F" w:themeColor="accent2"/>
          <w:sz w:val="24"/>
          <w:szCs w:val="24"/>
          <w:lang w:eastAsia="bg-BG"/>
        </w:rPr>
        <w:t>IV</w:t>
      </w:r>
      <w:r w:rsidRPr="00141BD6">
        <w:rPr>
          <w:rFonts w:ascii="Times New Roman" w:eastAsia="Times New Roman" w:hAnsi="Times New Roman"/>
          <w:b/>
          <w:color w:val="9B2D1F" w:themeColor="accent2"/>
          <w:sz w:val="24"/>
          <w:szCs w:val="24"/>
          <w:lang w:val="bg-BG" w:eastAsia="bg-BG"/>
        </w:rPr>
        <w:t>. ДЕЙСТВИЯТА, ПРЕДПРИЕТИ ОТ РЕГИОНАЛНИЯ СЪВЕТ ЗА РАЗВИТИЕ НА ЮГОИЗТОЧЕН РАЙОН, С ЦЕЛ ОСИГУРЯВАНЕ НА ЕФЕКТИВНОСТ И ЕФИКАСНОСТ ПРИ ИЗПЪЛНЕНИЕ НА РЕГИОНАЛНИЯ ПЛАН ЗА РАЗВИТИЕ.</w:t>
      </w:r>
    </w:p>
    <w:p w:rsidR="00F25110" w:rsidRPr="00BD7BB1" w:rsidRDefault="00F25110" w:rsidP="00F25110">
      <w:pPr>
        <w:spacing w:after="0" w:line="360" w:lineRule="auto"/>
        <w:jc w:val="both"/>
        <w:textAlignment w:val="center"/>
        <w:rPr>
          <w:rFonts w:ascii="Times New Roman" w:eastAsia="Times New Roman" w:hAnsi="Times New Roman"/>
          <w:b/>
          <w:color w:val="auto"/>
          <w:sz w:val="24"/>
          <w:szCs w:val="24"/>
          <w:lang w:val="bg-BG" w:eastAsia="bg-BG"/>
        </w:rPr>
      </w:pP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Съгласно Закона за регионалното развитие (ЗРР), чл.18, ал.1 и чл.43 от Правилника за приложение на ЗРР  </w:t>
      </w:r>
      <w:r w:rsidRPr="00BD7BB1">
        <w:rPr>
          <w:rFonts w:ascii="Times New Roman" w:eastAsia="Times New Roman" w:hAnsi="Times New Roman"/>
          <w:color w:val="auto"/>
          <w:sz w:val="24"/>
          <w:szCs w:val="24"/>
          <w:highlight w:val="white"/>
          <w:shd w:val="clear" w:color="auto" w:fill="FEFEFE"/>
          <w:lang w:val="bg-BG" w:eastAsia="bg-BG"/>
        </w:rPr>
        <w:t>Регионалният съвет за развитие (РСР) е орган за провеждане на държавната политика за регионално развитие в съответния район</w:t>
      </w:r>
      <w:r w:rsidRPr="00BD7BB1">
        <w:rPr>
          <w:rFonts w:ascii="Times New Roman" w:eastAsia="Times New Roman" w:hAnsi="Times New Roman"/>
          <w:color w:val="auto"/>
          <w:sz w:val="24"/>
          <w:szCs w:val="24"/>
          <w:shd w:val="clear" w:color="auto" w:fill="FEFEFE"/>
          <w:lang w:val="bg-BG" w:eastAsia="bg-BG"/>
        </w:rPr>
        <w:t>.</w:t>
      </w:r>
      <w:r w:rsidRPr="00BD7BB1">
        <w:rPr>
          <w:rFonts w:ascii="Times New Roman" w:eastAsia="Times New Roman" w:hAnsi="Times New Roman"/>
          <w:color w:val="auto"/>
          <w:sz w:val="24"/>
          <w:szCs w:val="24"/>
          <w:lang w:val="bg-BG" w:eastAsia="bg-BG"/>
        </w:rPr>
        <w:t xml:space="preserve">  В състава на РСР  на ЮИР влизат представители на министерства, областните управители на областите включени в ЮИР, представители на общините и представители на организациите на работодателите и на работниците и служителите на национално равнище. </w:t>
      </w:r>
    </w:p>
    <w:p w:rsidR="00F25110" w:rsidRPr="00BD7BB1" w:rsidRDefault="00F25110" w:rsidP="00F25110">
      <w:pPr>
        <w:spacing w:after="0" w:line="360" w:lineRule="auto"/>
        <w:ind w:firstLine="720"/>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По инициатива на членовете на съвета, в заседанията с право на съвещателен глас участват представители на висшите учебни заведения -</w:t>
      </w:r>
      <w:r w:rsidRPr="00BD7BB1">
        <w:rPr>
          <w:rFonts w:ascii="Times New Roman" w:eastAsia="Times New Roman" w:hAnsi="Times New Roman"/>
          <w:i/>
          <w:color w:val="auto"/>
          <w:spacing w:val="-1"/>
          <w:sz w:val="24"/>
          <w:szCs w:val="24"/>
          <w:lang w:val="bg-BG" w:eastAsia="bg-BG"/>
        </w:rPr>
        <w:t xml:space="preserve"> Тракийски университет - Стара Загора; </w:t>
      </w:r>
      <w:r w:rsidRPr="00BD7BB1">
        <w:rPr>
          <w:rFonts w:ascii="Times New Roman" w:eastAsia="Times New Roman" w:hAnsi="Times New Roman"/>
          <w:color w:val="auto"/>
          <w:spacing w:val="-1"/>
          <w:sz w:val="24"/>
          <w:szCs w:val="24"/>
          <w:lang w:val="bg-BG" w:eastAsia="bg-BG"/>
        </w:rPr>
        <w:t xml:space="preserve"> </w:t>
      </w:r>
      <w:r w:rsidRPr="00BD7BB1">
        <w:rPr>
          <w:rFonts w:ascii="Times New Roman" w:eastAsia="Times New Roman" w:hAnsi="Times New Roman"/>
          <w:i/>
          <w:color w:val="auto"/>
          <w:spacing w:val="-1"/>
          <w:sz w:val="24"/>
          <w:szCs w:val="24"/>
          <w:lang w:val="bg-BG" w:eastAsia="bg-BG"/>
        </w:rPr>
        <w:t xml:space="preserve">„Бургаски свободен университет“ - гр.Бургас ; „Факултет и Колеж - Сливен“ към Технически университет - София; Факултет „Техника и технологии“- Ямбол към  Тракийски университет - Стара Загора </w:t>
      </w:r>
      <w:r w:rsidRPr="00BD7BB1">
        <w:rPr>
          <w:rFonts w:ascii="Times New Roman" w:eastAsia="Times New Roman" w:hAnsi="Times New Roman"/>
          <w:color w:val="auto"/>
          <w:sz w:val="24"/>
          <w:szCs w:val="24"/>
          <w:lang w:val="bg-BG" w:eastAsia="bg-BG"/>
        </w:rPr>
        <w:t>и др.научно-изследователски институции в района, които се включват в дискусиите и представят свои становища по обсъжданите проблеми. През 2014г.  в заседанията участваха и предст</w:t>
      </w:r>
      <w:r w:rsidR="009230EB">
        <w:rPr>
          <w:rFonts w:ascii="Times New Roman" w:eastAsia="Times New Roman" w:hAnsi="Times New Roman"/>
          <w:color w:val="auto"/>
          <w:sz w:val="24"/>
          <w:szCs w:val="24"/>
          <w:lang w:val="bg-BG" w:eastAsia="bg-BG"/>
        </w:rPr>
        <w:t>а</w:t>
      </w:r>
      <w:r w:rsidRPr="00BD7BB1">
        <w:rPr>
          <w:rFonts w:ascii="Times New Roman" w:eastAsia="Times New Roman" w:hAnsi="Times New Roman"/>
          <w:color w:val="auto"/>
          <w:sz w:val="24"/>
          <w:szCs w:val="24"/>
          <w:lang w:val="bg-BG" w:eastAsia="bg-BG"/>
        </w:rPr>
        <w:t>вители на гражданския сектор от района в лицето на -  Сдружение „Форум Гражданско участие”- област Бургас и</w:t>
      </w:r>
      <w:r w:rsidRPr="00BD7BB1">
        <w:rPr>
          <w:rFonts w:ascii="Times New Roman" w:eastAsia="Times New Roman" w:hAnsi="Times New Roman"/>
          <w:b/>
          <w:bCs/>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Сдружение „За духовни и социални дейности“</w:t>
      </w:r>
      <w:r w:rsidRPr="00BD7BB1">
        <w:rPr>
          <w:rFonts w:ascii="Times New Roman" w:eastAsia="Times New Roman" w:hAnsi="Times New Roman"/>
          <w:b/>
          <w:bCs/>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 - област Сливен.  Този подход води до повишаване на експертния капацитет на РСР и информираността при вземане на решения. Представителите на университетите допринасят за обвързване и ориентиране на образователния процес за придобиване на професионално образование към нуждите и перспективите за развитие на ЮИР.</w:t>
      </w:r>
    </w:p>
    <w:p w:rsidR="00F25110" w:rsidRPr="00BD7BB1" w:rsidRDefault="00F25110" w:rsidP="00F25110">
      <w:pPr>
        <w:shd w:val="clear" w:color="auto" w:fill="FFFFFF"/>
        <w:spacing w:after="0" w:line="360" w:lineRule="auto"/>
        <w:ind w:left="5" w:firstLine="703"/>
        <w:jc w:val="both"/>
        <w:rPr>
          <w:rFonts w:ascii="Times New Roman" w:eastAsia="Times New Roman" w:hAnsi="Times New Roman"/>
          <w:i/>
          <w:color w:val="auto"/>
          <w:spacing w:val="-1"/>
          <w:sz w:val="24"/>
          <w:szCs w:val="24"/>
          <w:lang w:val="bg-BG" w:eastAsia="bg-BG"/>
        </w:rPr>
      </w:pPr>
    </w:p>
    <w:p w:rsidR="00F25110" w:rsidRPr="00BD7BB1" w:rsidRDefault="00F25110" w:rsidP="00F25110">
      <w:pPr>
        <w:spacing w:after="0" w:line="360" w:lineRule="auto"/>
        <w:ind w:firstLine="708"/>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В чл.49 от ППЗРР са регламентирани функциите на РСР. Съгласно чл.84 от ППЗРР Регионалният съвет за развитие на Югоизточния район е органа за наблюдение на Регионалния план за развитие на района. </w:t>
      </w:r>
    </w:p>
    <w:p w:rsidR="00F25110" w:rsidRPr="00BD7BB1" w:rsidRDefault="00F25110" w:rsidP="00F25110">
      <w:pPr>
        <w:spacing w:after="0" w:line="360" w:lineRule="auto"/>
        <w:ind w:firstLine="720"/>
        <w:jc w:val="both"/>
        <w:textAlignment w:val="center"/>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РСР обсъжда и одобрява Годишния доклад за наблюдението на изпълнението на РПР. В документа се съдържа информация за предприетите действия от РСР на ЮИР, съгласно чл.87, т.3 от ППЗРР в т.число:</w:t>
      </w:r>
    </w:p>
    <w:p w:rsidR="00F25110" w:rsidRPr="00BD7BB1"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а) мерките за наблюдение и създадените механизми за събиране, обработване и анализ на данни;</w:t>
      </w:r>
    </w:p>
    <w:p w:rsidR="00F25110" w:rsidRPr="00BD7BB1"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б) преглед на проблемите, възникнали в процеса на прилагане на регионалния план за развитие през съответната година, както и мерките за преодоляване на тези проблеми;</w:t>
      </w:r>
    </w:p>
    <w:p w:rsidR="00F25110" w:rsidRPr="00BD7BB1"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в) мерките за осигуряване на информация и публичност на действията по изпълнение на регионалния план за развитие;</w:t>
      </w:r>
    </w:p>
    <w:p w:rsidR="00F25110" w:rsidRPr="00BD7BB1"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г) мерките за постигане на необходимото съответствие на регионалния план за развитие със секторните политики, планове и програми;</w:t>
      </w:r>
    </w:p>
    <w:p w:rsidR="00F25110" w:rsidRPr="00BD7BB1"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д) мерките за прилагане принципа на партньорство;</w:t>
      </w:r>
    </w:p>
    <w:p w:rsidR="00F25110" w:rsidRPr="00BD7BB1"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е) резултатите от извършени тематични оценки или оценки за специфични случаи към края на съответната година.</w:t>
      </w:r>
    </w:p>
    <w:p w:rsidR="00F25110" w:rsidRPr="00BD7BB1" w:rsidRDefault="00F25110" w:rsidP="00F25110">
      <w:pPr>
        <w:spacing w:after="0" w:line="360" w:lineRule="auto"/>
        <w:ind w:firstLine="720"/>
        <w:jc w:val="both"/>
        <w:textAlignment w:val="center"/>
        <w:rPr>
          <w:rFonts w:ascii="Times New Roman" w:eastAsia="Times New Roman" w:hAnsi="Times New Roman"/>
          <w:color w:val="auto"/>
          <w:sz w:val="24"/>
          <w:szCs w:val="24"/>
          <w:lang w:val="ru-RU" w:eastAsia="bg-BG"/>
        </w:rPr>
      </w:pPr>
    </w:p>
    <w:p w:rsidR="00F25110" w:rsidRPr="00BD7BB1" w:rsidRDefault="00F25110" w:rsidP="00957FF6">
      <w:pPr>
        <w:numPr>
          <w:ilvl w:val="0"/>
          <w:numId w:val="10"/>
        </w:numPr>
        <w:tabs>
          <w:tab w:val="left" w:pos="0"/>
          <w:tab w:val="left" w:pos="270"/>
        </w:tabs>
        <w:spacing w:after="0" w:line="360" w:lineRule="auto"/>
        <w:ind w:left="0" w:firstLine="360"/>
        <w:contextualSpacing/>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b/>
          <w:color w:val="auto"/>
          <w:sz w:val="24"/>
          <w:szCs w:val="24"/>
          <w:lang w:val="bg-BG" w:eastAsia="bg-BG"/>
        </w:rPr>
        <w:t xml:space="preserve">Предприети </w:t>
      </w:r>
      <w:r w:rsidRPr="00BD7BB1">
        <w:rPr>
          <w:rFonts w:ascii="Times New Roman" w:eastAsia="Times New Roman" w:hAnsi="Times New Roman"/>
          <w:b/>
          <w:color w:val="auto"/>
          <w:sz w:val="24"/>
          <w:szCs w:val="24"/>
          <w:lang w:val="ru-RU" w:eastAsia="bg-BG"/>
        </w:rPr>
        <w:t>мерки за наблюдение и създадени механизми за събиране, обработване и анализ на данни</w:t>
      </w:r>
    </w:p>
    <w:p w:rsidR="00F25110" w:rsidRPr="00BD7BB1" w:rsidRDefault="00F25110" w:rsidP="00F25110">
      <w:pPr>
        <w:spacing w:after="0" w:line="360" w:lineRule="auto"/>
        <w:ind w:firstLine="708"/>
        <w:jc w:val="both"/>
        <w:rPr>
          <w:rFonts w:ascii="Times New Roman" w:eastAsia="Times New Roman" w:hAnsi="Times New Roman"/>
          <w:color w:val="auto"/>
          <w:spacing w:val="1"/>
          <w:sz w:val="24"/>
          <w:szCs w:val="24"/>
          <w:lang w:val="bg-BG" w:eastAsia="bg-BG"/>
        </w:rPr>
      </w:pPr>
      <w:r w:rsidRPr="00BD7BB1">
        <w:rPr>
          <w:rFonts w:ascii="Times New Roman" w:eastAsia="Times New Roman" w:hAnsi="Times New Roman"/>
          <w:color w:val="auto"/>
          <w:spacing w:val="1"/>
          <w:sz w:val="24"/>
          <w:szCs w:val="24"/>
          <w:lang w:val="bg-BG" w:eastAsia="bg-BG"/>
        </w:rPr>
        <w:t xml:space="preserve">През </w:t>
      </w:r>
      <w:r w:rsidRPr="00BD7BB1">
        <w:rPr>
          <w:rFonts w:ascii="Times New Roman" w:eastAsia="Times New Roman" w:hAnsi="Times New Roman"/>
          <w:b/>
          <w:color w:val="auto"/>
          <w:spacing w:val="1"/>
          <w:sz w:val="24"/>
          <w:szCs w:val="24"/>
          <w:lang w:val="bg-BG" w:eastAsia="bg-BG"/>
        </w:rPr>
        <w:t xml:space="preserve">първото </w:t>
      </w:r>
      <w:r w:rsidRPr="00BD7BB1">
        <w:rPr>
          <w:rFonts w:ascii="Times New Roman" w:eastAsia="Times New Roman" w:hAnsi="Times New Roman"/>
          <w:color w:val="auto"/>
          <w:spacing w:val="1"/>
          <w:sz w:val="24"/>
          <w:szCs w:val="24"/>
          <w:lang w:val="bg-BG" w:eastAsia="bg-BG"/>
        </w:rPr>
        <w:t xml:space="preserve">полугодие на 2014 г. са проведени  две заседания  на РСР на ЮИР,  от които едно съвместно с  РКК към РСР на ЮИР  под председателството на област Стара Загора. През </w:t>
      </w:r>
      <w:r w:rsidRPr="00BD7BB1">
        <w:rPr>
          <w:rFonts w:ascii="Times New Roman" w:eastAsia="Times New Roman" w:hAnsi="Times New Roman"/>
          <w:b/>
          <w:color w:val="auto"/>
          <w:spacing w:val="1"/>
          <w:sz w:val="24"/>
          <w:szCs w:val="24"/>
          <w:lang w:val="bg-BG" w:eastAsia="bg-BG"/>
        </w:rPr>
        <w:t>второто</w:t>
      </w:r>
      <w:r w:rsidRPr="00BD7BB1">
        <w:rPr>
          <w:rFonts w:ascii="Times New Roman" w:eastAsia="Times New Roman" w:hAnsi="Times New Roman"/>
          <w:color w:val="auto"/>
          <w:spacing w:val="1"/>
          <w:sz w:val="24"/>
          <w:szCs w:val="24"/>
          <w:lang w:val="bg-BG" w:eastAsia="bg-BG"/>
        </w:rPr>
        <w:t xml:space="preserve"> полугодие на 2014 г. са проведени  две заседания  на РСР на ЮИР, от които едно съвместно с  РКК към РСР на ЮИР  под председателството на област Ямбол.</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color w:val="auto"/>
          <w:spacing w:val="1"/>
          <w:sz w:val="24"/>
          <w:szCs w:val="24"/>
          <w:lang w:val="bg-BG" w:eastAsia="bg-BG"/>
        </w:rPr>
        <w:t>На проведените две</w:t>
      </w:r>
      <w:r w:rsidRPr="00BD7BB1">
        <w:rPr>
          <w:rFonts w:ascii="Times New Roman" w:eastAsia="Times New Roman" w:hAnsi="Times New Roman"/>
          <w:b/>
          <w:i/>
          <w:color w:val="auto"/>
          <w:spacing w:val="1"/>
          <w:sz w:val="24"/>
          <w:szCs w:val="24"/>
          <w:lang w:val="bg-BG" w:eastAsia="bg-BG"/>
        </w:rPr>
        <w:t xml:space="preserve"> </w:t>
      </w:r>
      <w:r w:rsidRPr="00BD7BB1">
        <w:rPr>
          <w:rFonts w:ascii="Times New Roman" w:eastAsia="Times New Roman" w:hAnsi="Times New Roman"/>
          <w:color w:val="auto"/>
          <w:spacing w:val="1"/>
          <w:sz w:val="24"/>
          <w:szCs w:val="24"/>
          <w:lang w:val="bg-BG" w:eastAsia="bg-BG"/>
        </w:rPr>
        <w:t>съвместни заседания представители на Управляващите органи на Оперативните програми представиха актуална информация и справки за изпълнението на оперативните програми на територията на района. Основните финансови инструменти за постигане на целите и приоритетите на РПР на ЮИР са оперативните програми и в тази връзка периодичното подготвяне, представяне и обсъждане на информацията относно хода на операциите е особено важно за процеса на наблюдение на изпълнението на РПР на ЮИР.  При изготвянето на Годишния доклад за наблюдение изпълнението на РПР на ЮИР за 2013 г., са използвани последните налични официални статистически данни на НСИ и Евростат, както и данни от други източници (РИОСВ, ИСУН, АЗ, АПИ, общински и областни администрации и др.) Докладът е обсъден и одобрен на 18-то заседание на Регионалния съвет за развитие на Югоизточен ра</w:t>
      </w:r>
      <w:r w:rsidR="005C1DF1">
        <w:rPr>
          <w:rFonts w:ascii="Times New Roman" w:eastAsia="Times New Roman" w:hAnsi="Times New Roman"/>
          <w:color w:val="auto"/>
          <w:spacing w:val="1"/>
          <w:sz w:val="24"/>
          <w:szCs w:val="24"/>
          <w:lang w:val="bg-BG" w:eastAsia="bg-BG"/>
        </w:rPr>
        <w:t>йон, проведено на 06.06.2014 г.</w:t>
      </w:r>
    </w:p>
    <w:p w:rsidR="00F25110" w:rsidRPr="00BD7BB1" w:rsidRDefault="00F25110" w:rsidP="00F25110">
      <w:pPr>
        <w:spacing w:after="0" w:line="360" w:lineRule="auto"/>
        <w:ind w:firstLine="708"/>
        <w:jc w:val="both"/>
        <w:rPr>
          <w:rFonts w:ascii="Times New Roman" w:eastAsia="Times New Roman" w:hAnsi="Times New Roman"/>
          <w:color w:val="auto"/>
          <w:spacing w:val="1"/>
          <w:sz w:val="24"/>
          <w:szCs w:val="24"/>
          <w:lang w:val="bg-BG" w:eastAsia="bg-BG"/>
        </w:rPr>
      </w:pPr>
      <w:r w:rsidRPr="00BD7BB1">
        <w:rPr>
          <w:rFonts w:ascii="Times New Roman" w:eastAsia="Times New Roman" w:hAnsi="Times New Roman"/>
          <w:color w:val="auto"/>
          <w:spacing w:val="1"/>
          <w:sz w:val="24"/>
          <w:szCs w:val="24"/>
          <w:lang w:val="bg-BG" w:eastAsia="bg-BG"/>
        </w:rPr>
        <w:t>При изготвянето на Последващата оценка на РПР на ЮИР  за периода 2007-2013г. секретариатът на РСР на ЮИР оказа съдействие на независимия консултант, който разработва оценката, обезпечавайки го с информация и данни. Осъществена бе  добра комуникация и координация по планираните дейности и етапи по отношение на цялостния анализ на оценката.</w:t>
      </w:r>
    </w:p>
    <w:p w:rsidR="00F25110" w:rsidRPr="00BD7BB1" w:rsidRDefault="00F25110" w:rsidP="00957FF6">
      <w:pPr>
        <w:numPr>
          <w:ilvl w:val="0"/>
          <w:numId w:val="10"/>
        </w:numPr>
        <w:autoSpaceDE w:val="0"/>
        <w:autoSpaceDN w:val="0"/>
        <w:adjustRightInd w:val="0"/>
        <w:spacing w:after="0" w:line="360" w:lineRule="auto"/>
        <w:ind w:left="0" w:firstLine="360"/>
        <w:jc w:val="both"/>
        <w:rPr>
          <w:rFonts w:ascii="Times New Roman" w:eastAsia="Times New Roman" w:hAnsi="Times New Roman"/>
          <w:b/>
          <w:color w:val="auto"/>
          <w:sz w:val="24"/>
          <w:szCs w:val="24"/>
          <w:lang w:val="ru-RU" w:eastAsia="bg-BG"/>
        </w:rPr>
      </w:pPr>
      <w:r w:rsidRPr="00BD7BB1">
        <w:rPr>
          <w:rFonts w:ascii="Times New Roman" w:eastAsia="Times New Roman" w:hAnsi="Times New Roman"/>
          <w:b/>
          <w:color w:val="auto"/>
          <w:sz w:val="24"/>
          <w:szCs w:val="24"/>
          <w:lang w:val="ru-RU" w:eastAsia="bg-BG"/>
        </w:rPr>
        <w:t>Преглед на проблемите, възникнали в процеса на прилагане на РПР на ЮИР през 2014 г., както и мерките за преодоляване на тези проблеми</w:t>
      </w:r>
    </w:p>
    <w:p w:rsidR="00F25110" w:rsidRPr="00BD7BB1" w:rsidRDefault="00F25110" w:rsidP="00F25110">
      <w:pPr>
        <w:spacing w:after="0" w:line="360" w:lineRule="auto"/>
        <w:ind w:firstLine="360"/>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Основен проблем е липсата на </w:t>
      </w:r>
      <w:r w:rsidRPr="00BD7BB1">
        <w:rPr>
          <w:rFonts w:ascii="Times New Roman" w:eastAsia="Times New Roman" w:hAnsi="Times New Roman"/>
          <w:bCs/>
          <w:color w:val="auto"/>
          <w:sz w:val="24"/>
          <w:szCs w:val="24"/>
          <w:lang w:val="ru-RU" w:eastAsia="bg-BG"/>
        </w:rPr>
        <w:t>статистическа информация на регионално ниво за изменението на някои индикатори, които определят напредъка по изпълнение на приоритетите на Регионалния план, както и проследяване на  въздействието на всички източници за финансиране изпълнението на плана.</w:t>
      </w:r>
      <w:r w:rsidRPr="00BD7BB1">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Определените в новия РПР на ЮИР ключови, специфични индикатори и индикатори за целите на Стратегия „Европа 2020“на ЕС за наблюдение изпълнението на стратегическите цели и приоритети обхващат разнородни характеристики, нива и източници, за някои от които не са зададени начални стойности. </w:t>
      </w:r>
    </w:p>
    <w:p w:rsidR="00F25110" w:rsidRPr="00BD7BB1" w:rsidRDefault="00F25110" w:rsidP="00F25110">
      <w:pPr>
        <w:spacing w:after="0" w:line="360" w:lineRule="auto"/>
        <w:ind w:firstLine="70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За преодоляване на тези пречки, за целите на Годишния доклад през м.април 2014 г. са изготвени писма от Председателят на РСР на ЮИР </w:t>
      </w:r>
      <w:r w:rsidRPr="00BD7BB1">
        <w:rPr>
          <w:rFonts w:ascii="Times New Roman" w:eastAsia="Times New Roman" w:hAnsi="Times New Roman"/>
          <w:bCs/>
          <w:color w:val="auto"/>
          <w:sz w:val="24"/>
          <w:szCs w:val="24"/>
          <w:lang w:val="ru-RU" w:eastAsia="bg-BG"/>
        </w:rPr>
        <w:t xml:space="preserve">до областните и общинските администрации на територията на ЮИР </w:t>
      </w:r>
      <w:r w:rsidRPr="00BD7BB1">
        <w:rPr>
          <w:rFonts w:ascii="Times New Roman" w:eastAsia="Times New Roman" w:hAnsi="Times New Roman"/>
          <w:bCs/>
          <w:color w:val="auto"/>
          <w:sz w:val="24"/>
          <w:szCs w:val="24"/>
          <w:lang w:val="bg-BG" w:eastAsia="bg-BG"/>
        </w:rPr>
        <w:t xml:space="preserve">за представяне на информация за изпълнението на </w:t>
      </w:r>
      <w:r w:rsidRPr="00BD7BB1">
        <w:rPr>
          <w:rFonts w:ascii="Times New Roman" w:eastAsia="Times New Roman" w:hAnsi="Times New Roman"/>
          <w:bCs/>
          <w:color w:val="auto"/>
          <w:sz w:val="24"/>
          <w:szCs w:val="24"/>
          <w:lang w:val="ru-RU" w:eastAsia="bg-BG"/>
        </w:rPr>
        <w:t xml:space="preserve">определени индикатори, която е добавена към доклада. При изготвянето на документа </w:t>
      </w:r>
      <w:r w:rsidRPr="00BD7BB1">
        <w:rPr>
          <w:rFonts w:ascii="Times New Roman" w:eastAsia="Times New Roman" w:hAnsi="Times New Roman"/>
          <w:bCs/>
          <w:color w:val="auto"/>
          <w:sz w:val="24"/>
          <w:szCs w:val="24"/>
          <w:lang w:val="bg-BG" w:eastAsia="bg-BG"/>
        </w:rPr>
        <w:t xml:space="preserve">са използвани данни, анализи и доклади от НСИ, сравнителни данни на Евростат за регионите в ЕС, информация от официалните сайтове на оперативните програми, единния информационен портал за Структурните фондове на ЕС в България - ИСУН, УО на оперативните програми. </w:t>
      </w:r>
      <w:r w:rsidRPr="00BD7BB1">
        <w:rPr>
          <w:rFonts w:ascii="Times New Roman" w:eastAsia="Times New Roman" w:hAnsi="Times New Roman"/>
          <w:color w:val="auto"/>
          <w:sz w:val="24"/>
          <w:szCs w:val="24"/>
          <w:lang w:val="bg-BG" w:eastAsia="bg-BG"/>
        </w:rPr>
        <w:t xml:space="preserve">В някои от случаите, по определени показатели липсват официални или институционални данни или ако ги има, те са единствено на национално ниво, а не на регионално ниво. </w:t>
      </w:r>
      <w:r w:rsidRPr="00BD7BB1">
        <w:rPr>
          <w:rFonts w:ascii="Times New Roman" w:eastAsia="Times New Roman" w:hAnsi="Times New Roman"/>
          <w:bCs/>
          <w:color w:val="auto"/>
          <w:sz w:val="24"/>
          <w:szCs w:val="24"/>
          <w:lang w:val="bg-BG" w:eastAsia="bg-BG"/>
        </w:rPr>
        <w:t>В резултат на това са изготвени допълнителни писма от Председателят на РСР на ЮИР. В отговор са подадени справки за отделни индикатори от ДП „Национална компания железопътна инфраструктура, Министерство на културата, Министерство на туризма, Областните пътни управления, Дирекция „Регионална служба по заетостта“, Басейнова дирекция, В и К дружества, Институт по океанология –Варна, Регионалните инспекторати по образование и др.регионални структури, в зависимост тяхната необходимост и полезност за отчитане напредъка на плана. Тази информация също бе отразена в Годишния доклад на РПР .</w:t>
      </w:r>
    </w:p>
    <w:p w:rsidR="00F25110" w:rsidRPr="00BD7BB1" w:rsidRDefault="00F25110" w:rsidP="00F25110">
      <w:pPr>
        <w:spacing w:after="0" w:line="360" w:lineRule="auto"/>
        <w:ind w:firstLine="70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 През 2014 г. началникът на  отдел „СПКРР в ЮИР-Бургас“ участва в заседанията на Областния съвет за развитие на област Стара Загора и област Бургас и по този начин отделът е допълнително информиран за дейността на областта. Периодично областните администрации  </w:t>
      </w:r>
      <w:r w:rsidRPr="00BD7BB1">
        <w:rPr>
          <w:rFonts w:ascii="Times New Roman" w:eastAsia="Times New Roman" w:hAnsi="Times New Roman"/>
          <w:bCs/>
          <w:color w:val="auto"/>
          <w:sz w:val="24"/>
          <w:szCs w:val="24"/>
          <w:lang w:val="ru-RU" w:eastAsia="bg-BG"/>
        </w:rPr>
        <w:t>представят информация  за изпълняваните от тях</w:t>
      </w:r>
      <w:r w:rsidR="001E0984">
        <w:rPr>
          <w:rFonts w:ascii="Times New Roman" w:eastAsia="Times New Roman" w:hAnsi="Times New Roman"/>
          <w:bCs/>
          <w:color w:val="auto"/>
          <w:sz w:val="24"/>
          <w:szCs w:val="24"/>
          <w:lang w:val="ru-RU" w:eastAsia="bg-BG"/>
        </w:rPr>
        <w:t xml:space="preserve"> действия</w:t>
      </w:r>
      <w:r w:rsidRPr="00BD7BB1">
        <w:rPr>
          <w:rFonts w:ascii="Times New Roman" w:eastAsia="Times New Roman" w:hAnsi="Times New Roman"/>
          <w:bCs/>
          <w:color w:val="auto"/>
          <w:sz w:val="24"/>
          <w:szCs w:val="24"/>
          <w:lang w:val="ru-RU" w:eastAsia="bg-BG"/>
        </w:rPr>
        <w:t>, както и</w:t>
      </w:r>
      <w:r w:rsidRPr="00BD7BB1">
        <w:rPr>
          <w:rFonts w:ascii="Times New Roman" w:eastAsia="Times New Roman" w:hAnsi="Times New Roman"/>
          <w:bCs/>
          <w:color w:val="auto"/>
          <w:sz w:val="24"/>
          <w:szCs w:val="24"/>
          <w:lang w:val="bg-BG" w:eastAsia="bg-BG"/>
        </w:rPr>
        <w:t xml:space="preserve"> за проведените заседания на ОСР и взетите решения.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p>
    <w:p w:rsidR="00F25110" w:rsidRPr="00BD7BB1" w:rsidRDefault="00F25110" w:rsidP="00957FF6">
      <w:pPr>
        <w:numPr>
          <w:ilvl w:val="0"/>
          <w:numId w:val="15"/>
        </w:numPr>
        <w:tabs>
          <w:tab w:val="left" w:pos="1134"/>
        </w:tabs>
        <w:spacing w:after="0" w:line="360" w:lineRule="auto"/>
        <w:ind w:left="0" w:firstLine="851"/>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ru-RU" w:eastAsia="bg-BG"/>
        </w:rPr>
        <w:t>Мерки за осигуряване на информация и публичност на действията по изпълнение на РПР на ЮИР</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РСР на ЮИР осигурява информация и публичност на всички нива при осъществяване на планирането, програмирането, финансирането, наблюдението и оценката на РПР.</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На заседанията на РСР участват партньори, широк кръг заинтересовани страни, институции с цел съгласуване, обсъждане на важни въпроси за района, което гарантира прозрачност и ефективност в процеса на вземане на решения. Това позволява споделяне на идеи и предложения  и поемане на отговорност при формулиране на дадена политика.</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 xml:space="preserve">Съгласно чл. 55, ал. 1 от ППЗРР, след всяко проведено заседание приетите решения се довеждат до знанието на заинтересованите страни, чрез средствата за масово осведомяване, с цел осигуряване на публичност и прозрачност на обсъдените теми и генериране на повишено внимание и ангажираност у гражданите. </w:t>
      </w:r>
      <w:r w:rsidRPr="00BD7BB1">
        <w:rPr>
          <w:rFonts w:ascii="Times New Roman" w:eastAsia="Times New Roman" w:hAnsi="Times New Roman"/>
          <w:color w:val="auto"/>
          <w:sz w:val="24"/>
          <w:szCs w:val="24"/>
          <w:lang w:val="ru-RU" w:eastAsia="bg-BG"/>
        </w:rPr>
        <w:t>Протоколите от заседанията на РСР и РКК на ЮИР се публикуват на официалната страница на МРРБ, както и се изпращат по електронната поща до всички членове и присъствали на заседанието за сведение.  През 2014 г. областните администрации от района редовно публикуваха на своите интернет страници информация, относно проведените заседания на РСР.</w:t>
      </w:r>
    </w:p>
    <w:p w:rsidR="00F25110" w:rsidRPr="00BD7BB1" w:rsidRDefault="00F25110" w:rsidP="00F25110">
      <w:pPr>
        <w:spacing w:after="0" w:line="360" w:lineRule="auto"/>
        <w:ind w:firstLine="70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Съгласно чл. 49. т.7 от ППЗРР, изготвения проект на Последващата оценка на Регионалния план за развитие на Югоизточен район за периода 2007-2013 г. бе обсъдена и одобрена с Решение № 3 на заседание на РСР на ЮИР на 05.12.2014 г. В срещата  с право на съвещателен глас по чл. 46, ал. 1 от ППЗРР участие взеха и представителите  на академичните среди, имащи отношение към регионалното развитие. Експертите от отдел „СПКРР в ЮИР-Бургас“ взеха участие в проведената среща на фокус група на 16.10.2014г. относно изготвянето на  Последващата оценка на РПР на ЮИР. Началникът на отдела участва в междинен семинар за представяне на напредъка по изготвяне на последващи оценки на регионалните планове за развитие на районите от ниво 2 на 29.10.2014г. в  гр.Дряново, както  и в заключителна консултативна среща за обсъждане на резултатите от извършените последващи оценки на РПР (2007-2013г.) на 6-те района от ниво 2 на 10.11.2014г. в гр.Пловдив. Бяха изготвени редица становища и проведени разговори на експертно ниво, като бележките и препоръките във връзка с последващата оценка на Югоизточен район своевременно бяха отразени. Участието на експерти от отдел„СПКРР в ЮИР-Бургас“ в този процес даде възможност за осъществяване на координация, както със звеното на ГД „СПРРАТУ”на централно ниво в рамките на МРРБ, така и с административни структури, имащи отношение със съгласувателната процедура по приемане на доклада на ПО на РПР на ЮИР.  Докладът относно резултатите от последващата оценка за изпълнението на Регионалния план за развитие на Югоизточен район за периода 2007-2013 г.е одобрен с Протокол № 15/15.04.2015 г. от заседанието на Министерския съвет.</w:t>
      </w:r>
    </w:p>
    <w:p w:rsidR="00F25110" w:rsidRPr="00BD7BB1" w:rsidRDefault="00F25110" w:rsidP="00F25110">
      <w:pPr>
        <w:spacing w:after="0" w:line="360" w:lineRule="auto"/>
        <w:ind w:firstLine="70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На заседание на </w:t>
      </w:r>
      <w:r w:rsidRPr="00BD7BB1">
        <w:rPr>
          <w:rFonts w:ascii="Times New Roman" w:eastAsia="Times New Roman" w:hAnsi="Times New Roman"/>
          <w:color w:val="auto"/>
          <w:spacing w:val="1"/>
          <w:sz w:val="24"/>
          <w:szCs w:val="24"/>
          <w:lang w:val="bg-BG" w:eastAsia="bg-BG"/>
        </w:rPr>
        <w:t xml:space="preserve">06.06.2014 г. </w:t>
      </w:r>
      <w:r w:rsidRPr="00BD7BB1">
        <w:rPr>
          <w:rFonts w:ascii="Times New Roman" w:eastAsia="Times New Roman" w:hAnsi="Times New Roman"/>
          <w:bCs/>
          <w:color w:val="auto"/>
          <w:sz w:val="24"/>
          <w:szCs w:val="24"/>
          <w:lang w:val="bg-BG" w:eastAsia="bg-BG"/>
        </w:rPr>
        <w:t>РСР на ЮИР обсъди и одобри Годишния  доклад за наблюдение на изпълнението на Регионалния план за развитие на Югоизточен район за 2014г. С цел осигуряване на публичност докладът също е публикуван на интернет страницата на МРР</w:t>
      </w:r>
      <w:r w:rsidR="001C1426">
        <w:rPr>
          <w:rFonts w:ascii="Times New Roman" w:eastAsia="Times New Roman" w:hAnsi="Times New Roman"/>
          <w:bCs/>
          <w:color w:val="auto"/>
          <w:sz w:val="24"/>
          <w:szCs w:val="24"/>
          <w:lang w:val="bg-BG" w:eastAsia="bg-BG"/>
        </w:rPr>
        <w:t>Б</w:t>
      </w:r>
      <w:r w:rsidRPr="00BD7BB1">
        <w:rPr>
          <w:rFonts w:ascii="Times New Roman" w:eastAsia="Times New Roman" w:hAnsi="Times New Roman"/>
          <w:bCs/>
          <w:color w:val="auto"/>
          <w:sz w:val="24"/>
          <w:szCs w:val="24"/>
          <w:lang w:val="bg-BG" w:eastAsia="bg-BG"/>
        </w:rPr>
        <w:t>. През 2014 г. в заседанията на РСР на ЮИР отново в</w:t>
      </w:r>
      <w:r w:rsidR="00543DBD">
        <w:rPr>
          <w:rFonts w:ascii="Times New Roman" w:eastAsia="Times New Roman" w:hAnsi="Times New Roman"/>
          <w:bCs/>
          <w:color w:val="auto"/>
          <w:sz w:val="24"/>
          <w:szCs w:val="24"/>
          <w:lang w:val="bg-BG" w:eastAsia="bg-BG"/>
        </w:rPr>
        <w:t>з</w:t>
      </w:r>
      <w:r w:rsidRPr="00BD7BB1">
        <w:rPr>
          <w:rFonts w:ascii="Times New Roman" w:eastAsia="Times New Roman" w:hAnsi="Times New Roman"/>
          <w:bCs/>
          <w:color w:val="auto"/>
          <w:sz w:val="24"/>
          <w:szCs w:val="24"/>
          <w:lang w:val="bg-BG" w:eastAsia="bg-BG"/>
        </w:rPr>
        <w:t>еха участие представители на академичните среди от Югоизточен район ( БСУ - Бургас, Тракийски университет - Стара Загора,  „Факултет и колеж - Сливен“ към  Технически университет - София, Факултет „Техника и технологии“-Ямбол към</w:t>
      </w:r>
      <w:r w:rsidR="00557CCB">
        <w:rPr>
          <w:rFonts w:ascii="Times New Roman" w:eastAsia="Times New Roman" w:hAnsi="Times New Roman"/>
          <w:bCs/>
          <w:color w:val="auto"/>
          <w:sz w:val="24"/>
          <w:szCs w:val="24"/>
          <w:lang w:val="bg-BG" w:eastAsia="bg-BG"/>
        </w:rPr>
        <w:t xml:space="preserve"> Технически университет - София</w:t>
      </w:r>
      <w:r w:rsidRPr="00BD7BB1">
        <w:rPr>
          <w:rFonts w:ascii="Times New Roman" w:eastAsia="Times New Roman" w:hAnsi="Times New Roman"/>
          <w:bCs/>
          <w:color w:val="auto"/>
          <w:sz w:val="24"/>
          <w:szCs w:val="24"/>
          <w:lang w:val="bg-BG" w:eastAsia="bg-BG"/>
        </w:rPr>
        <w:t>.</w:t>
      </w:r>
    </w:p>
    <w:p w:rsidR="00F25110" w:rsidRPr="00BD7BB1" w:rsidRDefault="00F25110" w:rsidP="00F25110">
      <w:pPr>
        <w:spacing w:after="0" w:line="360" w:lineRule="auto"/>
        <w:ind w:firstLine="70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В зависимост от темите на заседанията са присъствали и представители на Териториални структури и организации от Югоизточен район - РИО, ДРСЗ, НПО и др.   </w:t>
      </w:r>
    </w:p>
    <w:p w:rsidR="00F25110" w:rsidRPr="00BD7BB1" w:rsidRDefault="00F25110" w:rsidP="00F25110">
      <w:pPr>
        <w:shd w:val="clear" w:color="auto" w:fill="FFFFFF"/>
        <w:spacing w:after="0" w:line="360" w:lineRule="auto"/>
        <w:ind w:left="5" w:firstLine="703"/>
        <w:jc w:val="both"/>
        <w:rPr>
          <w:rFonts w:ascii="Times New Roman" w:eastAsia="Times New Roman" w:hAnsi="Times New Roman"/>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В резултат на проведено заседание и разгледаната тема за образованието членовете на съвета изразиха готовност за обединяване на усилията си в посока сътрудничество на университетите и училищата с бизнеса. На вниманието на работната група, разработваща </w:t>
      </w:r>
      <w:r w:rsidRPr="00BD7BB1">
        <w:rPr>
          <w:rFonts w:ascii="Times New Roman" w:eastAsia="Times New Roman" w:hAnsi="Times New Roman"/>
          <w:color w:val="auto"/>
          <w:sz w:val="24"/>
          <w:szCs w:val="24"/>
          <w:lang w:val="ru-RU" w:eastAsia="bg-BG"/>
        </w:rPr>
        <w:t xml:space="preserve">Оперативна програма „Наука и образование за интелигентен растеж“ 2014-2020 г. е </w:t>
      </w:r>
      <w:r w:rsidRPr="00BD7BB1">
        <w:rPr>
          <w:rFonts w:ascii="Times New Roman" w:eastAsia="Times New Roman" w:hAnsi="Times New Roman"/>
          <w:bCs/>
          <w:color w:val="auto"/>
          <w:sz w:val="24"/>
          <w:szCs w:val="24"/>
          <w:lang w:val="bg-BG" w:eastAsia="bg-BG"/>
        </w:rPr>
        <w:t xml:space="preserve">изпратено писмо до МОН от Председателя на РСР на ЮИР. </w:t>
      </w:r>
      <w:r w:rsidRPr="00BD7BB1">
        <w:rPr>
          <w:rFonts w:ascii="Times New Roman" w:eastAsia="Times New Roman" w:hAnsi="Times New Roman"/>
          <w:color w:val="auto"/>
          <w:sz w:val="24"/>
          <w:szCs w:val="24"/>
          <w:lang w:val="bg-BG" w:eastAsia="bg-BG"/>
        </w:rPr>
        <w:t xml:space="preserve">Във връзка с обвързване на политиката на регионалното развитие със Стратегията за интелигентен, устойчив и приобщаващ растеж и с оглед изразяване волята на членовете на съвета, </w:t>
      </w:r>
      <w:r w:rsidRPr="00BD7BB1">
        <w:rPr>
          <w:rFonts w:ascii="Times New Roman" w:eastAsia="Times New Roman" w:hAnsi="Times New Roman"/>
          <w:bCs/>
          <w:color w:val="auto"/>
          <w:sz w:val="24"/>
          <w:szCs w:val="24"/>
          <w:lang w:val="bg-BG" w:eastAsia="bg-BG"/>
        </w:rPr>
        <w:t>в приложение на писмото са изпратени Протокол от проведеното заседание, както и подкрепеното от членовете на съвета Становище на катедра „Регионално развитие“ на Стопански факултет към Тракийски университет - Стара Загора, с оформени предложения, с цел отразяването им във финалния вариант на програмата.</w:t>
      </w:r>
    </w:p>
    <w:p w:rsidR="00F25110" w:rsidRPr="00BD7BB1" w:rsidRDefault="00F25110" w:rsidP="00F25110">
      <w:pPr>
        <w:spacing w:after="0" w:line="360" w:lineRule="auto"/>
        <w:ind w:firstLine="720"/>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В изпълнение на чл.49, т.15 от Правилника за прилагане на Закона за регионалното развитие, Регионалният съвет за развитие на Югоизточен район прие Годишна индикативна програма за дейността си през 2015 г. - на заседание на 08 октомври 2014 г. в гр. Ямбол.</w:t>
      </w:r>
    </w:p>
    <w:p w:rsidR="00F25110" w:rsidRPr="00BD7BB1" w:rsidRDefault="00F25110" w:rsidP="00957FF6">
      <w:pPr>
        <w:numPr>
          <w:ilvl w:val="0"/>
          <w:numId w:val="10"/>
        </w:numPr>
        <w:spacing w:after="0" w:line="360" w:lineRule="auto"/>
        <w:ind w:left="0" w:firstLine="360"/>
        <w:jc w:val="both"/>
        <w:rPr>
          <w:rFonts w:ascii="Times New Roman" w:eastAsia="Times New Roman" w:hAnsi="Times New Roman"/>
          <w:b/>
          <w:color w:val="auto"/>
          <w:sz w:val="24"/>
          <w:szCs w:val="24"/>
          <w:lang w:val="ru-RU" w:eastAsia="bg-BG"/>
        </w:rPr>
      </w:pPr>
      <w:r w:rsidRPr="00BD7BB1">
        <w:rPr>
          <w:rFonts w:ascii="Times New Roman" w:eastAsia="Times New Roman" w:hAnsi="Times New Roman"/>
          <w:b/>
          <w:color w:val="auto"/>
          <w:sz w:val="24"/>
          <w:szCs w:val="24"/>
          <w:lang w:val="ru-RU" w:eastAsia="bg-BG"/>
        </w:rPr>
        <w:t>Мерки за постигане на необходимото съответствие на РПР на ЮИР със секторните политики, планове и програми</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ru-RU" w:eastAsia="bg-BG"/>
        </w:rPr>
        <w:t>Разработеният Регионал</w:t>
      </w:r>
      <w:r w:rsidR="00557CCB">
        <w:rPr>
          <w:rFonts w:ascii="Times New Roman" w:eastAsia="Times New Roman" w:hAnsi="Times New Roman"/>
          <w:color w:val="auto"/>
          <w:sz w:val="24"/>
          <w:szCs w:val="24"/>
          <w:lang w:val="ru-RU" w:eastAsia="bg-BG"/>
        </w:rPr>
        <w:t>ен</w:t>
      </w:r>
      <w:r w:rsidRPr="00BD7BB1">
        <w:rPr>
          <w:rFonts w:ascii="Times New Roman" w:eastAsia="Times New Roman" w:hAnsi="Times New Roman"/>
          <w:color w:val="auto"/>
          <w:sz w:val="24"/>
          <w:szCs w:val="24"/>
          <w:lang w:val="ru-RU" w:eastAsia="bg-BG"/>
        </w:rPr>
        <w:t xml:space="preserve"> план за развитие на ЮИР за периода 2014-2020 г., и неговите заложени стратегически цели и приоритети са  съгласувани с предвижданията на европейските и национални</w:t>
      </w:r>
      <w:r w:rsidR="00557CCB">
        <w:rPr>
          <w:rFonts w:ascii="Times New Roman" w:eastAsia="Times New Roman" w:hAnsi="Times New Roman"/>
          <w:color w:val="auto"/>
          <w:sz w:val="24"/>
          <w:szCs w:val="24"/>
          <w:lang w:val="ru-RU" w:eastAsia="bg-BG"/>
        </w:rPr>
        <w:t>те</w:t>
      </w:r>
      <w:r w:rsidRPr="00BD7BB1">
        <w:rPr>
          <w:rFonts w:ascii="Times New Roman" w:eastAsia="Times New Roman" w:hAnsi="Times New Roman"/>
          <w:color w:val="auto"/>
          <w:sz w:val="24"/>
          <w:szCs w:val="24"/>
          <w:lang w:val="ru-RU" w:eastAsia="bg-BG"/>
        </w:rPr>
        <w:t xml:space="preserve"> стратегически документи (Стратегия Европа 2020, Териториален дневен ред, Конвергентната програма 2014-2017г.</w:t>
      </w:r>
      <w:r w:rsidRPr="00BD7BB1">
        <w:rPr>
          <w:rFonts w:ascii="Times New Roman" w:eastAsia="Times New Roman" w:hAnsi="Times New Roman"/>
          <w:color w:val="auto"/>
          <w:sz w:val="24"/>
          <w:szCs w:val="24"/>
          <w:lang w:val="bg-BG" w:eastAsia="bg-BG"/>
        </w:rPr>
        <w:t>,</w:t>
      </w:r>
      <w:r w:rsidRPr="00BD7BB1">
        <w:rPr>
          <w:rFonts w:ascii="Times New Roman" w:eastAsia="Times New Roman" w:hAnsi="Times New Roman"/>
          <w:color w:val="auto"/>
          <w:sz w:val="24"/>
          <w:szCs w:val="24"/>
          <w:lang w:val="ru-RU" w:eastAsia="bg-BG"/>
        </w:rPr>
        <w:t xml:space="preserve"> Национална програма за реформи на Република България 2014-2017 г., Национална програма за развитие: България 2020, Националната стратегия за регионално развитие 2011-2015 г., Национална стратегия за регионално развитие 2012-2022 г., Национална концепция за пространствено развитие 2013-2025 г. и др.), както и с целите и приоритетите, заложени в структуроопределящите секторни стратегии, програми и планове. </w:t>
      </w:r>
    </w:p>
    <w:p w:rsidR="00F25110" w:rsidRPr="00BD7BB1" w:rsidRDefault="00F25110" w:rsidP="00F25110">
      <w:pPr>
        <w:spacing w:after="0" w:line="360" w:lineRule="auto"/>
        <w:ind w:firstLine="708"/>
        <w:jc w:val="both"/>
        <w:rPr>
          <w:rFonts w:ascii="Times New Roman" w:eastAsia="Times New Roman" w:hAnsi="Times New Roman"/>
          <w:bCs/>
          <w:color w:val="auto"/>
          <w:sz w:val="24"/>
          <w:szCs w:val="24"/>
          <w:lang w:val="ru-RU" w:eastAsia="bg-BG"/>
        </w:rPr>
      </w:pPr>
      <w:r w:rsidRPr="00BD7BB1">
        <w:rPr>
          <w:rFonts w:ascii="Times New Roman" w:eastAsia="Times New Roman" w:hAnsi="Times New Roman"/>
          <w:color w:val="auto"/>
          <w:sz w:val="24"/>
          <w:szCs w:val="24"/>
          <w:lang w:val="bg-BG" w:eastAsia="bg-BG"/>
        </w:rPr>
        <w:t xml:space="preserve">За постигане на съответствие на Регионалния план за развитие със секторните политики, в състава на РКК към РСР на ЮИР, освен представителите на Оперативните програми, </w:t>
      </w:r>
      <w:r w:rsidRPr="00BD7BB1">
        <w:rPr>
          <w:rFonts w:ascii="Times New Roman" w:eastAsia="Times New Roman" w:hAnsi="Times New Roman"/>
          <w:color w:val="auto"/>
          <w:sz w:val="24"/>
          <w:szCs w:val="24"/>
          <w:lang w:val="ru-RU" w:eastAsia="bg-BG"/>
        </w:rPr>
        <w:t xml:space="preserve">присъстват и представители на Програмата за развитие на селските райони, Оперативна програма за развитие на сектор „Рибарство” </w:t>
      </w:r>
      <w:r w:rsidRPr="00BD7BB1">
        <w:rPr>
          <w:rFonts w:ascii="Times New Roman" w:eastAsia="Times New Roman" w:hAnsi="Times New Roman"/>
          <w:bCs/>
          <w:color w:val="auto"/>
          <w:sz w:val="24"/>
          <w:szCs w:val="24"/>
          <w:lang w:val="bg-BG" w:eastAsia="bg-BG"/>
        </w:rPr>
        <w:t xml:space="preserve">и представител на Главна дирекция „Управление на териториалното сътрудничество” към Министерството на регионалното развитие и благоустройството. </w:t>
      </w:r>
      <w:r w:rsidRPr="00BD7BB1">
        <w:rPr>
          <w:rFonts w:ascii="Times New Roman" w:eastAsia="Times New Roman" w:hAnsi="Times New Roman"/>
          <w:bCs/>
          <w:color w:val="auto"/>
          <w:sz w:val="24"/>
          <w:szCs w:val="24"/>
          <w:lang w:val="ru-RU" w:eastAsia="bg-BG"/>
        </w:rPr>
        <w:t>Това подпомага процеса на наблюдение на изпълнението на Регионалния план за развитие като цяло и допринася за постигане на съответствие на плана със секторните политики, планове и програми.</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bg-BG" w:eastAsia="bg-BG"/>
        </w:rPr>
        <w:t>Членовете на съвета в качеството си на представители на РСР на ЮИР, взеха участие в заседанията на тематичните работни групи за разработване на Споразумението за партньорство 2014-2020г., Оперативните програми за периода 2014-2020г., Програмата за трансгранично сътрудничество по ИПП България-Турция (2014-2020г.) Програмата за трансгранично сътрудничество „Черноморски басейн 2014 – 2020“ и др.</w:t>
      </w:r>
    </w:p>
    <w:p w:rsidR="00F25110" w:rsidRPr="00BD7BB1" w:rsidRDefault="00F25110" w:rsidP="00957FF6">
      <w:pPr>
        <w:numPr>
          <w:ilvl w:val="0"/>
          <w:numId w:val="12"/>
        </w:numPr>
        <w:spacing w:after="0" w:line="360" w:lineRule="auto"/>
        <w:ind w:left="709"/>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
          <w:color w:val="auto"/>
          <w:sz w:val="24"/>
          <w:szCs w:val="24"/>
          <w:lang w:val="ru-RU" w:eastAsia="bg-BG"/>
        </w:rPr>
        <w:t>Предприети мерки за прилагане принципа на партньорство</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ru-RU" w:eastAsia="bg-BG"/>
        </w:rPr>
      </w:pPr>
      <w:r w:rsidRPr="00BD7BB1">
        <w:rPr>
          <w:rFonts w:ascii="Times New Roman" w:eastAsia="Times New Roman" w:hAnsi="Times New Roman"/>
          <w:color w:val="auto"/>
          <w:sz w:val="24"/>
          <w:szCs w:val="24"/>
          <w:lang w:val="bg-BG" w:eastAsia="bg-BG"/>
        </w:rPr>
        <w:t xml:space="preserve">Принципът на партньорство е водещ принцип в процеса </w:t>
      </w:r>
      <w:r w:rsidRPr="00BD7BB1">
        <w:rPr>
          <w:rFonts w:ascii="Times New Roman" w:eastAsia="Times New Roman" w:hAnsi="Times New Roman"/>
          <w:color w:val="auto"/>
          <w:sz w:val="24"/>
          <w:szCs w:val="24"/>
          <w:lang w:val="ru-RU" w:eastAsia="bg-BG"/>
        </w:rPr>
        <w:t>на наблюдение на изпълнението на Регионалния план за развитие на ЮИР до 2013г., който продължава да се прилага</w:t>
      </w:r>
      <w:r w:rsidRPr="00BD7BB1">
        <w:rPr>
          <w:rFonts w:ascii="Times New Roman" w:eastAsia="Times New Roman" w:hAnsi="Times New Roman"/>
          <w:color w:val="auto"/>
          <w:sz w:val="24"/>
          <w:szCs w:val="24"/>
          <w:lang w:val="bg-BG" w:eastAsia="bg-BG"/>
        </w:rPr>
        <w:t xml:space="preserve"> и усъвършенства и новия РПР на ЮИР за периода 2014-2020 г., с цел </w:t>
      </w:r>
      <w:r w:rsidRPr="00BD7BB1">
        <w:rPr>
          <w:rFonts w:ascii="Times New Roman" w:eastAsia="Times New Roman" w:hAnsi="Times New Roman"/>
          <w:color w:val="auto"/>
          <w:sz w:val="24"/>
          <w:szCs w:val="24"/>
          <w:lang w:val="ru-RU" w:eastAsia="bg-BG"/>
        </w:rPr>
        <w:t xml:space="preserve">постигането на максимална прозрачност, организирането на дискусии, включването и ползването на експертния потенциал на всички заинтересовани страни.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Основни партньори на РСР ЮИР на регионално равнище са регионални структури на централната власт, местната власт и сдружения на общините, регионални структури на браншови и синдикални организации, университетски и изследователски институции, РИО, представители на НПО за района -  Сдружение „Форум Гражданско участие”- област Бургас и</w:t>
      </w:r>
      <w:r w:rsidRPr="00BD7BB1">
        <w:rPr>
          <w:rFonts w:ascii="Times New Roman" w:eastAsia="Times New Roman" w:hAnsi="Times New Roman"/>
          <w:b/>
          <w:bCs/>
          <w:color w:val="auto"/>
          <w:szCs w:val="22"/>
          <w:lang w:val="bg-BG" w:eastAsia="bg-BG"/>
        </w:rPr>
        <w:t xml:space="preserve"> </w:t>
      </w:r>
      <w:r w:rsidRPr="00BD7BB1">
        <w:rPr>
          <w:rFonts w:ascii="Times New Roman" w:eastAsia="Times New Roman" w:hAnsi="Times New Roman"/>
          <w:bCs/>
          <w:color w:val="auto"/>
          <w:sz w:val="24"/>
          <w:szCs w:val="24"/>
          <w:lang w:val="bg-BG" w:eastAsia="bg-BG"/>
        </w:rPr>
        <w:t>Сдружение „За духовни и социални дейности“</w:t>
      </w:r>
      <w:r w:rsidRPr="00BD7BB1">
        <w:rPr>
          <w:rFonts w:ascii="Times New Roman" w:eastAsia="Times New Roman" w:hAnsi="Times New Roman"/>
          <w:b/>
          <w:bCs/>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 - област Сливен. </w:t>
      </w:r>
      <w:r w:rsidRPr="00BD7BB1">
        <w:rPr>
          <w:rFonts w:ascii="Times New Roman" w:eastAsia="Times New Roman" w:hAnsi="Times New Roman"/>
          <w:bCs/>
          <w:color w:val="auto"/>
          <w:sz w:val="24"/>
          <w:szCs w:val="24"/>
          <w:lang w:val="ru-RU" w:eastAsia="bg-BG"/>
        </w:rPr>
        <w:t xml:space="preserve">Представителите на тези структури </w:t>
      </w:r>
      <w:r w:rsidRPr="00BD7BB1">
        <w:rPr>
          <w:rFonts w:ascii="Times New Roman" w:eastAsia="Times New Roman" w:hAnsi="Times New Roman"/>
          <w:bCs/>
          <w:color w:val="auto"/>
          <w:sz w:val="24"/>
          <w:szCs w:val="24"/>
          <w:lang w:val="bg-BG" w:eastAsia="bg-BG"/>
        </w:rPr>
        <w:t xml:space="preserve">присъстват на заседанията с право на съвещателен глас </w:t>
      </w:r>
      <w:r w:rsidRPr="00BD7BB1">
        <w:rPr>
          <w:rFonts w:ascii="Times New Roman" w:eastAsia="Times New Roman" w:hAnsi="Times New Roman"/>
          <w:bCs/>
          <w:color w:val="auto"/>
          <w:sz w:val="24"/>
          <w:szCs w:val="24"/>
          <w:lang w:val="ru-RU" w:eastAsia="bg-BG"/>
        </w:rPr>
        <w:t xml:space="preserve">във връзка с обсъждане и представяне на стратегически и планови документи за интегрирано регионално и местно развитие за стария и новия програмен период, и </w:t>
      </w:r>
      <w:r w:rsidRPr="00BD7BB1">
        <w:rPr>
          <w:rFonts w:ascii="Times New Roman" w:eastAsia="Times New Roman" w:hAnsi="Times New Roman"/>
          <w:bCs/>
          <w:color w:val="auto"/>
          <w:sz w:val="24"/>
          <w:szCs w:val="24"/>
          <w:lang w:val="bg-BG" w:eastAsia="bg-BG"/>
        </w:rPr>
        <w:t>при обсъждане на ключови за развитието на района секторни политики.</w:t>
      </w:r>
      <w:r w:rsidRPr="00BD7BB1">
        <w:rPr>
          <w:rFonts w:ascii="Times New Roman" w:eastAsia="Times New Roman" w:hAnsi="Times New Roman"/>
          <w:color w:val="auto"/>
          <w:sz w:val="24"/>
          <w:szCs w:val="24"/>
          <w:lang w:val="bg-BG" w:eastAsia="bg-BG"/>
        </w:rPr>
        <w:t xml:space="preserve"> </w:t>
      </w:r>
    </w:p>
    <w:p w:rsidR="00F25110" w:rsidRPr="00BD7BB1" w:rsidRDefault="00F25110" w:rsidP="00F25110">
      <w:pPr>
        <w:spacing w:after="0" w:line="360" w:lineRule="auto"/>
        <w:ind w:firstLine="708"/>
        <w:jc w:val="both"/>
        <w:rPr>
          <w:rFonts w:ascii="Times New Roman" w:eastAsia="Times New Roman" w:hAnsi="Times New Roman"/>
          <w:i/>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 </w:t>
      </w:r>
      <w:r w:rsidRPr="00BD7BB1">
        <w:rPr>
          <w:rFonts w:ascii="Times New Roman" w:eastAsia="Times New Roman" w:hAnsi="Times New Roman"/>
          <w:bCs/>
          <w:color w:val="auto"/>
          <w:sz w:val="24"/>
          <w:szCs w:val="24"/>
          <w:lang w:val="ru-RU" w:eastAsia="bg-BG"/>
        </w:rPr>
        <w:t>При обсъждането на проекта на Оперативна програма „Наука и образование за интелигентен растеж“ 2014-2020г. и темите включени в заседание на РСР през м.март 2014</w:t>
      </w:r>
      <w:r w:rsidR="00AA4A13">
        <w:rPr>
          <w:rFonts w:ascii="Times New Roman" w:eastAsia="Times New Roman" w:hAnsi="Times New Roman"/>
          <w:bCs/>
          <w:color w:val="auto"/>
          <w:sz w:val="24"/>
          <w:szCs w:val="24"/>
          <w:lang w:val="ru-RU" w:eastAsia="bg-BG"/>
        </w:rPr>
        <w:t xml:space="preserve"> </w:t>
      </w:r>
      <w:r w:rsidRPr="00BD7BB1">
        <w:rPr>
          <w:rFonts w:ascii="Times New Roman" w:eastAsia="Times New Roman" w:hAnsi="Times New Roman"/>
          <w:bCs/>
          <w:color w:val="auto"/>
          <w:sz w:val="24"/>
          <w:szCs w:val="24"/>
          <w:lang w:val="ru-RU" w:eastAsia="bg-BG"/>
        </w:rPr>
        <w:t>г. :</w:t>
      </w:r>
      <w:r w:rsidRPr="00BD7BB1">
        <w:rPr>
          <w:rFonts w:ascii="Times New Roman" w:eastAsia="Times New Roman" w:hAnsi="Times New Roman"/>
          <w:color w:val="auto"/>
          <w:sz w:val="24"/>
          <w:szCs w:val="24"/>
          <w:lang w:val="ru-RU"/>
        </w:rPr>
        <w:t xml:space="preserve"> </w:t>
      </w:r>
      <w:r w:rsidRPr="00BD7BB1">
        <w:rPr>
          <w:rFonts w:ascii="Times New Roman" w:eastAsia="Times New Roman" w:hAnsi="Times New Roman"/>
          <w:bCs/>
          <w:i/>
          <w:color w:val="auto"/>
          <w:sz w:val="24"/>
          <w:szCs w:val="24"/>
          <w:lang w:val="ru-RU" w:eastAsia="bg-BG"/>
        </w:rPr>
        <w:t>Очаквания пред професионалното образование и обучение в Югоизточен район</w:t>
      </w:r>
      <w:r w:rsidRPr="00BD7BB1">
        <w:rPr>
          <w:rFonts w:ascii="Times New Roman" w:eastAsia="Times New Roman" w:hAnsi="Times New Roman"/>
          <w:bCs/>
          <w:color w:val="auto"/>
          <w:sz w:val="24"/>
          <w:szCs w:val="24"/>
          <w:lang w:val="ru-RU" w:eastAsia="bg-BG"/>
        </w:rPr>
        <w:t xml:space="preserve"> и </w:t>
      </w:r>
      <w:r w:rsidRPr="00BD7BB1">
        <w:rPr>
          <w:rFonts w:ascii="Times New Roman" w:eastAsia="Times New Roman" w:hAnsi="Times New Roman"/>
          <w:bCs/>
          <w:i/>
          <w:color w:val="auto"/>
          <w:sz w:val="24"/>
          <w:szCs w:val="24"/>
          <w:lang w:val="ru-RU" w:eastAsia="bg-BG"/>
        </w:rPr>
        <w:t xml:space="preserve">Изпълнение на Европейската гаранция за младежта в страната и ЮИР, </w:t>
      </w:r>
      <w:r w:rsidRPr="00BD7BB1">
        <w:rPr>
          <w:rFonts w:ascii="Times New Roman" w:eastAsia="Times New Roman" w:hAnsi="Times New Roman"/>
          <w:bCs/>
          <w:color w:val="auto"/>
          <w:sz w:val="24"/>
          <w:szCs w:val="24"/>
          <w:lang w:val="ru-RU" w:eastAsia="bg-BG"/>
        </w:rPr>
        <w:t>участие взеха представители на академичните среди – университети, регионални инспекторати по образование, както и експерти от Дирекциите „</w:t>
      </w:r>
      <w:r w:rsidRPr="00BD7BB1">
        <w:rPr>
          <w:rFonts w:ascii="Times New Roman" w:eastAsia="Times New Roman" w:hAnsi="Times New Roman"/>
          <w:bCs/>
          <w:color w:val="auto"/>
          <w:sz w:val="24"/>
          <w:szCs w:val="24"/>
          <w:lang w:val="en-GB" w:eastAsia="bg-BG"/>
        </w:rPr>
        <w:t>Регионална служба по заетостта“</w:t>
      </w:r>
      <w:r w:rsidRPr="00BD7BB1">
        <w:rPr>
          <w:rFonts w:ascii="Times New Roman" w:eastAsia="Times New Roman" w:hAnsi="Times New Roman"/>
          <w:bCs/>
          <w:color w:val="auto"/>
          <w:sz w:val="24"/>
          <w:szCs w:val="24"/>
          <w:lang w:val="bg-BG" w:eastAsia="bg-BG"/>
        </w:rPr>
        <w:t xml:space="preserve"> на територията на района.</w:t>
      </w:r>
    </w:p>
    <w:p w:rsidR="00F25110" w:rsidRPr="00BD7BB1" w:rsidRDefault="00F25110" w:rsidP="00F25110">
      <w:pPr>
        <w:spacing w:after="0" w:line="360" w:lineRule="auto"/>
        <w:ind w:firstLine="708"/>
        <w:jc w:val="both"/>
        <w:rPr>
          <w:rFonts w:ascii="Times New Roman" w:eastAsia="Times New Roman" w:hAnsi="Times New Roman"/>
          <w:bCs/>
          <w:color w:val="auto"/>
          <w:sz w:val="24"/>
          <w:szCs w:val="24"/>
          <w:lang w:val="ru-RU" w:eastAsia="bg-BG"/>
        </w:rPr>
      </w:pPr>
      <w:r w:rsidRPr="00BD7BB1">
        <w:rPr>
          <w:rFonts w:ascii="Times New Roman" w:eastAsia="Times New Roman" w:hAnsi="Times New Roman"/>
          <w:bCs/>
          <w:color w:val="auto"/>
          <w:sz w:val="24"/>
          <w:szCs w:val="24"/>
          <w:lang w:val="bg-BG" w:eastAsia="bg-BG"/>
        </w:rPr>
        <w:t>При представяне на Оперативна програма по Фонда за европейско подпомагане на най-нуждаещите се лица 2014 - 2020 г. в заседание през октомври 2014г. участваха представители от Регионалните служби за Социално подпомагане в Югоизт</w:t>
      </w:r>
      <w:r w:rsidR="00D97DA9">
        <w:rPr>
          <w:rFonts w:ascii="Times New Roman" w:eastAsia="Times New Roman" w:hAnsi="Times New Roman"/>
          <w:bCs/>
          <w:color w:val="auto"/>
          <w:sz w:val="24"/>
          <w:szCs w:val="24"/>
          <w:lang w:val="bg-BG" w:eastAsia="bg-BG"/>
        </w:rPr>
        <w:t>о</w:t>
      </w:r>
      <w:r w:rsidRPr="00BD7BB1">
        <w:rPr>
          <w:rFonts w:ascii="Times New Roman" w:eastAsia="Times New Roman" w:hAnsi="Times New Roman"/>
          <w:bCs/>
          <w:color w:val="auto"/>
          <w:sz w:val="24"/>
          <w:szCs w:val="24"/>
          <w:lang w:val="bg-BG" w:eastAsia="bg-BG"/>
        </w:rPr>
        <w:t>чен район.</w:t>
      </w:r>
    </w:p>
    <w:p w:rsidR="00F25110" w:rsidRPr="00BD7BB1" w:rsidRDefault="00F25110" w:rsidP="00F25110">
      <w:pPr>
        <w:spacing w:after="0" w:line="360" w:lineRule="auto"/>
        <w:ind w:firstLine="708"/>
        <w:jc w:val="both"/>
        <w:rPr>
          <w:rFonts w:ascii="Times New Roman" w:eastAsia="Times New Roman" w:hAnsi="Times New Roman"/>
          <w:bCs/>
          <w:color w:val="auto"/>
          <w:sz w:val="24"/>
          <w:szCs w:val="24"/>
          <w:lang w:val="bg-BG" w:eastAsia="bg-BG"/>
        </w:rPr>
      </w:pPr>
      <w:r w:rsidRPr="00BD7BB1">
        <w:rPr>
          <w:rFonts w:ascii="Times New Roman" w:eastAsia="Times New Roman" w:hAnsi="Times New Roman"/>
          <w:bCs/>
          <w:color w:val="auto"/>
          <w:sz w:val="24"/>
          <w:szCs w:val="24"/>
          <w:lang w:val="bg-BG" w:eastAsia="bg-BG"/>
        </w:rPr>
        <w:t>На заседание на РСР на ЮИР през декември 2014 г. Община Карнобат представи  пред членовете на съвета своя  модел за успешна социална политика.</w:t>
      </w:r>
    </w:p>
    <w:p w:rsidR="00F25110" w:rsidRPr="00BD7BB1" w:rsidRDefault="00F25110" w:rsidP="00F25110">
      <w:pPr>
        <w:spacing w:after="0" w:line="360" w:lineRule="auto"/>
        <w:ind w:firstLine="708"/>
        <w:jc w:val="both"/>
        <w:rPr>
          <w:rFonts w:ascii="Times New Roman" w:eastAsia="Times New Roman" w:hAnsi="Times New Roman"/>
          <w:bCs/>
          <w:color w:val="auto"/>
          <w:sz w:val="24"/>
          <w:szCs w:val="24"/>
          <w:lang w:val="ru-RU" w:eastAsia="bg-BG"/>
        </w:rPr>
      </w:pPr>
      <w:r w:rsidRPr="00BD7BB1">
        <w:rPr>
          <w:rFonts w:ascii="Times New Roman" w:eastAsia="Times New Roman" w:hAnsi="Times New Roman"/>
          <w:bCs/>
          <w:color w:val="auto"/>
          <w:sz w:val="24"/>
          <w:szCs w:val="24"/>
          <w:lang w:val="bg-BG" w:eastAsia="bg-BG"/>
        </w:rPr>
        <w:t>С Решение № 3 на Протокол от 05.12.2014г.</w:t>
      </w:r>
      <w:r w:rsidRPr="00BD7BB1">
        <w:rPr>
          <w:rFonts w:ascii="Times New Roman" w:eastAsia="Times New Roman" w:hAnsi="Times New Roman"/>
          <w:color w:val="auto"/>
          <w:sz w:val="24"/>
          <w:szCs w:val="24"/>
          <w:lang w:val="bg-BG" w:eastAsia="bg-BG"/>
        </w:rPr>
        <w:t xml:space="preserve"> </w:t>
      </w:r>
      <w:r w:rsidRPr="00BD7BB1">
        <w:rPr>
          <w:rFonts w:ascii="Times New Roman" w:eastAsia="Times New Roman" w:hAnsi="Times New Roman"/>
          <w:bCs/>
          <w:color w:val="auto"/>
          <w:sz w:val="24"/>
          <w:szCs w:val="24"/>
          <w:lang w:val="bg-BG" w:eastAsia="bg-BG"/>
        </w:rPr>
        <w:t xml:space="preserve">Регионалният съвет за развитие  на </w:t>
      </w:r>
      <w:r w:rsidR="00EB3F56">
        <w:rPr>
          <w:rFonts w:ascii="Times New Roman" w:eastAsia="Times New Roman" w:hAnsi="Times New Roman"/>
          <w:bCs/>
          <w:color w:val="auto"/>
          <w:sz w:val="24"/>
          <w:szCs w:val="24"/>
          <w:lang w:val="bg-BG" w:eastAsia="bg-BG"/>
        </w:rPr>
        <w:t>Ю</w:t>
      </w:r>
      <w:r w:rsidRPr="00BD7BB1">
        <w:rPr>
          <w:rFonts w:ascii="Times New Roman" w:eastAsia="Times New Roman" w:hAnsi="Times New Roman"/>
          <w:bCs/>
          <w:color w:val="auto"/>
          <w:sz w:val="24"/>
          <w:szCs w:val="24"/>
          <w:lang w:val="bg-BG" w:eastAsia="bg-BG"/>
        </w:rPr>
        <w:t>гоизточен район обсъди и одобри последващата оценка на регионалния план за развитие на Югоизточен район  за  периода 2007-2013 г.</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Укрепването на капацитета в сферата на регионалното развитие е стратегическа необходимост за усъвършенстване на политиката за регионално развитие. Подобряването на координацията и партньорството между участниците в регионалното развитие е от особено важно и съществено значение за рационализиране на тяхната съвместна работа.</w:t>
      </w:r>
    </w:p>
    <w:p w:rsidR="00F25110" w:rsidRPr="00BD7BB1" w:rsidRDefault="00F25110" w:rsidP="00F25110">
      <w:pPr>
        <w:spacing w:after="0" w:line="360" w:lineRule="auto"/>
        <w:jc w:val="both"/>
        <w:rPr>
          <w:rFonts w:ascii="Times New Roman" w:eastAsia="Times New Roman" w:hAnsi="Times New Roman"/>
          <w:color w:val="auto"/>
          <w:sz w:val="24"/>
          <w:szCs w:val="24"/>
          <w:lang w:val="bg-BG" w:eastAsia="bg-BG"/>
        </w:rPr>
      </w:pPr>
    </w:p>
    <w:p w:rsidR="00F25110" w:rsidRPr="00BD7BB1" w:rsidRDefault="00F25110" w:rsidP="00957FF6">
      <w:pPr>
        <w:numPr>
          <w:ilvl w:val="0"/>
          <w:numId w:val="10"/>
        </w:numPr>
        <w:spacing w:after="0" w:line="360" w:lineRule="auto"/>
        <w:ind w:left="0" w:firstLine="360"/>
        <w:jc w:val="both"/>
        <w:rPr>
          <w:rFonts w:ascii="Times New Roman" w:eastAsia="Times New Roman" w:hAnsi="Times New Roman"/>
          <w:b/>
          <w:color w:val="auto"/>
          <w:sz w:val="24"/>
          <w:szCs w:val="24"/>
          <w:lang w:val="ru-RU" w:eastAsia="bg-BG"/>
        </w:rPr>
      </w:pPr>
      <w:r w:rsidRPr="00BD7BB1">
        <w:rPr>
          <w:rFonts w:ascii="Times New Roman" w:eastAsia="Times New Roman" w:hAnsi="Times New Roman"/>
          <w:b/>
          <w:color w:val="auto"/>
          <w:sz w:val="24"/>
          <w:szCs w:val="24"/>
          <w:lang w:val="ru-RU" w:eastAsia="bg-BG"/>
        </w:rPr>
        <w:t>Постигнати резултати от извършени тематични оценки или оценки за специфични случаи към края на 2014 г.</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През 2014 г. е изготвена Последващата оценка на Регионалния план за развитие на Югоизточен район 2017-2013г.; Планираните дейности по отношение на оценката, изпълнени от отдел „СПКРРЮИР-Бургас“, съвместно с експертите от ГД СПРРАТУ са :</w:t>
      </w:r>
    </w:p>
    <w:p w:rsidR="00F25110" w:rsidRPr="00BD7BB1" w:rsidRDefault="00F25110" w:rsidP="00957FF6">
      <w:pPr>
        <w:numPr>
          <w:ilvl w:val="0"/>
          <w:numId w:val="20"/>
        </w:numPr>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Организиране и координиране на процеса по привличане представители на ВУЗ, държавните, неправителствени и браншови организации, с цел анкетно проучване за целите на Последващата оценка на  РПР на ЮИР за периода 2007-2013 г.;</w:t>
      </w:r>
      <w:r w:rsidRPr="00BD7BB1">
        <w:rPr>
          <w:rFonts w:ascii="Times New Roman" w:eastAsia="Times New Roman" w:hAnsi="Times New Roman"/>
          <w:bCs/>
          <w:color w:val="auto"/>
          <w:sz w:val="24"/>
          <w:szCs w:val="24"/>
          <w:lang w:val="bg-BG" w:eastAsia="bg-BG"/>
        </w:rPr>
        <w:t xml:space="preserve"> </w:t>
      </w:r>
    </w:p>
    <w:p w:rsidR="00F25110" w:rsidRPr="00BD7BB1" w:rsidRDefault="00F25110" w:rsidP="00957FF6">
      <w:pPr>
        <w:numPr>
          <w:ilvl w:val="0"/>
          <w:numId w:val="20"/>
        </w:numPr>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color w:val="auto"/>
          <w:sz w:val="24"/>
          <w:szCs w:val="24"/>
          <w:lang w:val="bg-BG" w:eastAsia="bg-BG"/>
        </w:rPr>
        <w:t>Изготвяне на становище и отразяване бележки, относно проекта на Последващата оценка на РПР на ЮИР за периода  2007-2013 г.;</w:t>
      </w:r>
      <w:r w:rsidRPr="00BD7BB1">
        <w:rPr>
          <w:rFonts w:ascii="Times New Roman" w:eastAsia="Times New Roman" w:hAnsi="Times New Roman"/>
          <w:bCs/>
          <w:color w:val="auto"/>
          <w:sz w:val="24"/>
          <w:szCs w:val="24"/>
          <w:lang w:val="bg-BG" w:eastAsia="bg-BG"/>
        </w:rPr>
        <w:t xml:space="preserve"> </w:t>
      </w:r>
    </w:p>
    <w:p w:rsidR="00F25110" w:rsidRPr="00BD7BB1" w:rsidRDefault="00F25110" w:rsidP="00957FF6">
      <w:pPr>
        <w:numPr>
          <w:ilvl w:val="0"/>
          <w:numId w:val="20"/>
        </w:numPr>
        <w:spacing w:after="0" w:line="360" w:lineRule="auto"/>
        <w:jc w:val="both"/>
        <w:rPr>
          <w:rFonts w:ascii="Times New Roman" w:eastAsia="Times New Roman" w:hAnsi="Times New Roman"/>
          <w:color w:val="auto"/>
          <w:sz w:val="24"/>
          <w:szCs w:val="24"/>
          <w:lang w:val="bg-BG" w:eastAsia="bg-BG"/>
        </w:rPr>
      </w:pPr>
      <w:r w:rsidRPr="00BD7BB1">
        <w:rPr>
          <w:rFonts w:ascii="Times New Roman" w:eastAsia="Times New Roman" w:hAnsi="Times New Roman"/>
          <w:bCs/>
          <w:color w:val="auto"/>
          <w:sz w:val="24"/>
          <w:szCs w:val="24"/>
          <w:lang w:val="bg-BG" w:eastAsia="bg-BG"/>
        </w:rPr>
        <w:t>Информация за социално - икономическото развитие на ЮИР, базирана на резултатите от  Последващата  оценка на Регионалния план за развитие на Югоизточен район  (2007-2013 г.)</w:t>
      </w:r>
      <w:r w:rsidRPr="00BD7BB1">
        <w:rPr>
          <w:rFonts w:ascii="Times New Roman" w:eastAsia="Times New Roman" w:hAnsi="Times New Roman"/>
          <w:b/>
          <w:color w:val="auto"/>
          <w:sz w:val="24"/>
          <w:szCs w:val="24"/>
          <w:lang w:val="bg-BG" w:eastAsia="bg-BG"/>
        </w:rPr>
        <w:t xml:space="preserve"> </w:t>
      </w:r>
      <w:r w:rsidRPr="00BD7BB1">
        <w:rPr>
          <w:rFonts w:ascii="Times New Roman" w:eastAsia="Times New Roman" w:hAnsi="Times New Roman"/>
          <w:color w:val="auto"/>
          <w:sz w:val="24"/>
          <w:szCs w:val="24"/>
          <w:lang w:val="bg-BG" w:eastAsia="bg-BG"/>
        </w:rPr>
        <w:t xml:space="preserve">;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BD7BB1">
        <w:rPr>
          <w:rFonts w:ascii="Times New Roman" w:eastAsia="Times New Roman" w:hAnsi="Times New Roman"/>
          <w:b/>
          <w:color w:val="auto"/>
          <w:sz w:val="24"/>
          <w:szCs w:val="24"/>
          <w:lang w:val="bg-BG" w:eastAsia="bg-BG"/>
        </w:rPr>
        <w:t>Действията,</w:t>
      </w:r>
      <w:r w:rsidRPr="00BD7BB1">
        <w:rPr>
          <w:rFonts w:ascii="Times New Roman" w:eastAsia="Times New Roman" w:hAnsi="Times New Roman"/>
          <w:color w:val="auto"/>
          <w:sz w:val="24"/>
          <w:szCs w:val="24"/>
          <w:lang w:val="bg-BG" w:eastAsia="bg-BG"/>
        </w:rPr>
        <w:t xml:space="preserve"> касаещи подобряване дейността на Регионалния съвет и осигуряване ефективност и ефикасност при изпълнението на РПР са свързани с представянето и обсъждането на стратегически документи, изготвяне на доклади и др.редица проекти на документи. В хода на проведените четири заседания на РСР на ЮИР през 2014 г. бяха обсъдени следните теми и проекти на документи: </w:t>
      </w:r>
    </w:p>
    <w:p w:rsidR="00F25110" w:rsidRPr="00BD7BB1" w:rsidRDefault="00F25110" w:rsidP="00F25110">
      <w:pPr>
        <w:spacing w:after="0" w:line="360" w:lineRule="auto"/>
        <w:ind w:firstLine="708"/>
        <w:jc w:val="both"/>
        <w:rPr>
          <w:rFonts w:ascii="Times New Roman" w:eastAsia="Times New Roman" w:hAnsi="Times New Roman"/>
          <w:color w:val="auto"/>
          <w:sz w:val="24"/>
          <w:szCs w:val="24"/>
          <w:lang w:val="bg-BG" w:eastAsia="bg-BG"/>
        </w:rPr>
      </w:pPr>
    </w:p>
    <w:p w:rsidR="00F25110" w:rsidRPr="00BD7BB1" w:rsidRDefault="00F25110" w:rsidP="00957FF6">
      <w:pPr>
        <w:numPr>
          <w:ilvl w:val="0"/>
          <w:numId w:val="19"/>
        </w:num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ru-RU" w:eastAsia="bg-BG"/>
        </w:rPr>
        <w:t>Представяне на проекта на Споразумението за партньорство на Република България и степента на подготовка на Оперативните програми за програмния период 2014-2020 г.;</w:t>
      </w:r>
    </w:p>
    <w:p w:rsidR="00F25110" w:rsidRPr="00BD7BB1" w:rsidRDefault="00F25110" w:rsidP="00957FF6">
      <w:pPr>
        <w:numPr>
          <w:ilvl w:val="0"/>
          <w:numId w:val="19"/>
        </w:num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ru-RU" w:eastAsia="bg-BG"/>
        </w:rPr>
        <w:t>Представяне на проекта на Оперативна програма „Наука и образование за интелигентен растеж“ 2014-2020г.;</w:t>
      </w:r>
    </w:p>
    <w:p w:rsidR="00F25110" w:rsidRPr="00BD7BB1" w:rsidRDefault="00F25110" w:rsidP="00957FF6">
      <w:pPr>
        <w:numPr>
          <w:ilvl w:val="0"/>
          <w:numId w:val="19"/>
        </w:num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ru-RU" w:eastAsia="bg-BG"/>
        </w:rPr>
        <w:t>Очаквания пред професионалното образование и обучение в Югоизточен район;</w:t>
      </w:r>
    </w:p>
    <w:p w:rsidR="00F25110" w:rsidRPr="00BD7BB1" w:rsidRDefault="00F25110" w:rsidP="00957FF6">
      <w:pPr>
        <w:numPr>
          <w:ilvl w:val="0"/>
          <w:numId w:val="19"/>
        </w:num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ru-RU" w:eastAsia="bg-BG"/>
        </w:rPr>
        <w:t>Изпълнение на Европейската гаранция за младежта в страната и ЮИР;</w:t>
      </w:r>
    </w:p>
    <w:p w:rsidR="00F25110" w:rsidRPr="00BD7BB1" w:rsidRDefault="00F25110" w:rsidP="00957FF6">
      <w:pPr>
        <w:numPr>
          <w:ilvl w:val="0"/>
          <w:numId w:val="19"/>
        </w:num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ru-RU" w:eastAsia="bg-BG"/>
        </w:rPr>
        <w:t>Представяне на информация за стартиране на третата процедура за присъждане Европейски етикет за иновации и добро управление на местно ниво;</w:t>
      </w:r>
    </w:p>
    <w:p w:rsidR="00F25110" w:rsidRPr="00BD7BB1" w:rsidRDefault="00F25110" w:rsidP="00957FF6">
      <w:pPr>
        <w:numPr>
          <w:ilvl w:val="0"/>
          <w:numId w:val="19"/>
        </w:num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bCs/>
          <w:color w:val="auto"/>
          <w:sz w:val="24"/>
          <w:szCs w:val="24"/>
          <w:lang w:val="bg-BG" w:eastAsia="bg-BG"/>
        </w:rPr>
        <w:t xml:space="preserve">Представяне на информация за хода на операциите  по  Оперативните  програми в </w:t>
      </w:r>
      <w:r w:rsidRPr="00BD7BB1">
        <w:rPr>
          <w:rFonts w:ascii="Times New Roman" w:eastAsia="Times New Roman" w:hAnsi="Times New Roman"/>
          <w:bCs/>
          <w:color w:val="auto"/>
          <w:sz w:val="24"/>
          <w:szCs w:val="24"/>
          <w:lang w:val="ru-RU" w:eastAsia="bg-BG"/>
        </w:rPr>
        <w:t xml:space="preserve"> </w:t>
      </w:r>
      <w:r w:rsidRPr="00BD7BB1">
        <w:rPr>
          <w:rFonts w:ascii="Times New Roman" w:eastAsia="Times New Roman" w:hAnsi="Times New Roman"/>
          <w:bCs/>
          <w:color w:val="auto"/>
          <w:sz w:val="24"/>
          <w:szCs w:val="24"/>
          <w:lang w:val="bg-BG" w:eastAsia="bg-BG"/>
        </w:rPr>
        <w:t>Югоизточен район към м.март, май, октомври 2014 г.;</w:t>
      </w:r>
    </w:p>
    <w:p w:rsidR="00F25110" w:rsidRPr="00BD7BB1" w:rsidRDefault="00F25110" w:rsidP="00957FF6">
      <w:pPr>
        <w:numPr>
          <w:ilvl w:val="0"/>
          <w:numId w:val="19"/>
        </w:num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bg-BG" w:eastAsia="bg-BG"/>
        </w:rPr>
        <w:t>Обсъждане и приемане на проект на Годишна индикативна програма за дейността на Регионалния съвет за развитие на Югоизточен район за 2015г.;</w:t>
      </w:r>
    </w:p>
    <w:p w:rsidR="00F25110" w:rsidRPr="00BD7BB1" w:rsidRDefault="00F25110" w:rsidP="00957FF6">
      <w:pPr>
        <w:numPr>
          <w:ilvl w:val="0"/>
          <w:numId w:val="19"/>
        </w:num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bg-BG" w:eastAsia="bg-BG"/>
        </w:rPr>
        <w:t>Представяне на Оперативна програма по Фонда за европейско подпомагане на най-нуждаещите се лица 2014 - 2020 г.;</w:t>
      </w:r>
    </w:p>
    <w:p w:rsidR="00F25110" w:rsidRPr="00BD7BB1" w:rsidRDefault="00F25110" w:rsidP="00957FF6">
      <w:pPr>
        <w:numPr>
          <w:ilvl w:val="0"/>
          <w:numId w:val="19"/>
        </w:num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bg-BG" w:eastAsia="bg-BG"/>
        </w:rPr>
        <w:t>Актуализиране състава на  РСР на ЮИР и определяне на представителите им в  Комитетите  за  наблюдение  на  Оперативните  програми  за  периода 2014-2020 г.;</w:t>
      </w:r>
    </w:p>
    <w:p w:rsidR="00F25110" w:rsidRPr="00BD7BB1" w:rsidRDefault="00F25110" w:rsidP="00957FF6">
      <w:pPr>
        <w:numPr>
          <w:ilvl w:val="0"/>
          <w:numId w:val="19"/>
        </w:num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bg-BG" w:eastAsia="bg-BG"/>
        </w:rPr>
        <w:t>Представяне,  обсъждане и одобряване на  Последващата оценка на Регионалния план за развитие на Югоизточен район  за периода 2007-2013г.;</w:t>
      </w:r>
    </w:p>
    <w:p w:rsidR="00F25110" w:rsidRPr="00BD7BB1" w:rsidRDefault="00F25110" w:rsidP="00957FF6">
      <w:pPr>
        <w:numPr>
          <w:ilvl w:val="0"/>
          <w:numId w:val="19"/>
        </w:num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bg-BG" w:eastAsia="bg-BG"/>
        </w:rPr>
        <w:t>Представяне на модела за успешна социална политика на Община Карнобат;</w:t>
      </w:r>
    </w:p>
    <w:p w:rsidR="00F25110" w:rsidRPr="00BD7BB1" w:rsidRDefault="00F25110" w:rsidP="00957FF6">
      <w:pPr>
        <w:numPr>
          <w:ilvl w:val="0"/>
          <w:numId w:val="19"/>
        </w:numPr>
        <w:spacing w:after="0" w:line="360" w:lineRule="auto"/>
        <w:jc w:val="both"/>
        <w:rPr>
          <w:rFonts w:ascii="Times New Roman" w:eastAsia="Times New Roman" w:hAnsi="Times New Roman"/>
          <w:b/>
          <w:color w:val="auto"/>
          <w:sz w:val="24"/>
          <w:szCs w:val="24"/>
          <w:lang w:val="bg-BG" w:eastAsia="bg-BG"/>
        </w:rPr>
      </w:pPr>
      <w:r w:rsidRPr="00BD7BB1">
        <w:rPr>
          <w:rFonts w:ascii="Times New Roman" w:eastAsia="Times New Roman" w:hAnsi="Times New Roman"/>
          <w:color w:val="auto"/>
          <w:sz w:val="24"/>
          <w:szCs w:val="24"/>
          <w:lang w:val="bg-BG" w:eastAsia="bg-BG"/>
        </w:rPr>
        <w:t>Представяне на актуализиран социално-икономически анализ на регионалното развитие в България - окончателни резултати по Проект  „Разработване на социално-икономически анализ за нуждите на ОПРР 2014-2020 г.”.</w:t>
      </w:r>
    </w:p>
    <w:p w:rsidR="00F25110" w:rsidRDefault="00F25110" w:rsidP="00F25110">
      <w:pPr>
        <w:spacing w:after="0" w:line="360" w:lineRule="auto"/>
        <w:jc w:val="both"/>
        <w:rPr>
          <w:rFonts w:ascii="Times New Roman" w:eastAsia="Times New Roman" w:hAnsi="Times New Roman"/>
          <w:b/>
          <w:color w:val="FF0000"/>
          <w:sz w:val="24"/>
          <w:szCs w:val="24"/>
          <w:lang w:val="ru-RU" w:eastAsia="bg-BG"/>
        </w:rPr>
      </w:pPr>
    </w:p>
    <w:p w:rsidR="00A91E06" w:rsidRDefault="00A91E06" w:rsidP="00F25110">
      <w:pPr>
        <w:spacing w:after="0" w:line="360" w:lineRule="auto"/>
        <w:jc w:val="both"/>
        <w:rPr>
          <w:rFonts w:ascii="Times New Roman" w:eastAsia="Times New Roman" w:hAnsi="Times New Roman"/>
          <w:b/>
          <w:color w:val="FF0000"/>
          <w:sz w:val="24"/>
          <w:szCs w:val="24"/>
          <w:lang w:val="ru-RU" w:eastAsia="bg-BG"/>
        </w:rPr>
      </w:pPr>
    </w:p>
    <w:p w:rsidR="00A91E06" w:rsidRPr="00F25110" w:rsidRDefault="00A91E06" w:rsidP="00F25110">
      <w:pPr>
        <w:spacing w:after="0" w:line="360" w:lineRule="auto"/>
        <w:jc w:val="both"/>
        <w:rPr>
          <w:rFonts w:ascii="Times New Roman" w:eastAsia="Times New Roman" w:hAnsi="Times New Roman"/>
          <w:b/>
          <w:color w:val="FF0000"/>
          <w:sz w:val="24"/>
          <w:szCs w:val="24"/>
          <w:lang w:val="ru-RU" w:eastAsia="bg-BG"/>
        </w:rPr>
      </w:pPr>
    </w:p>
    <w:p w:rsidR="00F25110" w:rsidRPr="00F25110" w:rsidRDefault="00F25110" w:rsidP="00F25110">
      <w:pPr>
        <w:spacing w:after="0" w:line="360" w:lineRule="auto"/>
        <w:rPr>
          <w:rFonts w:ascii="Times New Roman" w:eastAsia="Times New Roman" w:hAnsi="Times New Roman"/>
          <w:b/>
          <w:color w:val="FF0000"/>
          <w:sz w:val="24"/>
          <w:szCs w:val="24"/>
          <w:lang w:val="bg-BG" w:eastAsia="bg-BG"/>
        </w:rPr>
      </w:pPr>
    </w:p>
    <w:p w:rsidR="00F25110" w:rsidRPr="003A7521" w:rsidRDefault="00F25110" w:rsidP="00F25110">
      <w:pPr>
        <w:spacing w:after="0" w:line="360" w:lineRule="auto"/>
        <w:rPr>
          <w:rFonts w:ascii="Times New Roman" w:eastAsia="Times New Roman" w:hAnsi="Times New Roman"/>
          <w:b/>
          <w:color w:val="9B2D1F" w:themeColor="accent2"/>
          <w:sz w:val="24"/>
          <w:szCs w:val="24"/>
          <w:lang w:val="bg-BG" w:eastAsia="bg-BG"/>
        </w:rPr>
      </w:pPr>
      <w:r w:rsidRPr="003A7521">
        <w:rPr>
          <w:rFonts w:ascii="Times New Roman" w:eastAsia="Times New Roman" w:hAnsi="Times New Roman"/>
          <w:b/>
          <w:color w:val="9B2D1F" w:themeColor="accent2"/>
          <w:sz w:val="24"/>
          <w:szCs w:val="24"/>
          <w:lang w:eastAsia="bg-BG"/>
        </w:rPr>
        <w:t>V</w:t>
      </w:r>
      <w:r w:rsidRPr="003A7521">
        <w:rPr>
          <w:rFonts w:ascii="Times New Roman" w:eastAsia="Times New Roman" w:hAnsi="Times New Roman"/>
          <w:color w:val="9B2D1F" w:themeColor="accent2"/>
          <w:sz w:val="24"/>
          <w:szCs w:val="24"/>
          <w:lang w:val="bg-BG" w:eastAsia="bg-BG"/>
        </w:rPr>
        <w:t xml:space="preserve">. </w:t>
      </w:r>
      <w:r w:rsidRPr="003A7521">
        <w:rPr>
          <w:rFonts w:ascii="Times New Roman" w:eastAsia="Times New Roman" w:hAnsi="Times New Roman"/>
          <w:b/>
          <w:color w:val="9B2D1F" w:themeColor="accent2"/>
          <w:sz w:val="24"/>
          <w:szCs w:val="24"/>
          <w:lang w:val="bg-BG" w:eastAsia="bg-BG"/>
        </w:rPr>
        <w:t xml:space="preserve">ЗАКЛЮЧЕНИЯ И ПРЕДЛОЖЕНИЯ ЗА ПОДОБРЯВАНЕ НА РЕЗУЛТАТИТЕ ОТ НАБЛЮДЕНИЕТО НА РПР НА ЮИР </w:t>
      </w:r>
    </w:p>
    <w:p w:rsidR="00F25110" w:rsidRPr="00F25110" w:rsidRDefault="00F25110" w:rsidP="00F25110">
      <w:pPr>
        <w:spacing w:after="0" w:line="360" w:lineRule="auto"/>
        <w:jc w:val="both"/>
        <w:rPr>
          <w:rFonts w:ascii="Times New Roman" w:eastAsia="Times New Roman" w:hAnsi="Times New Roman"/>
          <w:b/>
          <w:color w:val="auto"/>
          <w:sz w:val="24"/>
          <w:szCs w:val="24"/>
          <w:lang w:val="bg-BG" w:eastAsia="bg-BG"/>
        </w:rPr>
      </w:pPr>
    </w:p>
    <w:p w:rsidR="00F25110" w:rsidRPr="004F3104"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4F3104">
        <w:rPr>
          <w:rFonts w:ascii="Times New Roman" w:eastAsia="Times New Roman" w:hAnsi="Times New Roman"/>
          <w:color w:val="auto"/>
          <w:sz w:val="24"/>
          <w:szCs w:val="24"/>
          <w:lang w:val="bg-BG" w:eastAsia="bg-BG"/>
        </w:rPr>
        <w:t xml:space="preserve">Годишният доклад за наблюдение изпълнението на Регионалния план за развитие на Югоизточен район за 2014 г. е разработен от отдел „Стратегическо планиране и координация на регионалното развитие в Югоизточен район”, Министерство на регионалното развитие и благоустройството, под председателството на област Сливен. Годишният  доклад  отговаря на националната и европейска политика в областта на регионалното развитие. Годишният доклад отчита и поставените акценти в  РПР на  ЮИР  за периода   2014-2020 г. , а именно: възможностите на местните власти, бизнеса и неправителствения сектор за предприемане на целенасочени действия за развитие на района и подобряване качеството на живот на местното население. </w:t>
      </w:r>
      <w:r w:rsidR="003A7521" w:rsidRPr="004F3104">
        <w:rPr>
          <w:rFonts w:ascii="Times New Roman" w:eastAsia="Times New Roman" w:hAnsi="Times New Roman"/>
          <w:color w:val="auto"/>
          <w:sz w:val="24"/>
          <w:szCs w:val="24"/>
          <w:lang w:val="bg-BG" w:eastAsia="bg-BG"/>
        </w:rPr>
        <w:t xml:space="preserve"> </w:t>
      </w:r>
      <w:r w:rsidRPr="004F3104">
        <w:rPr>
          <w:rFonts w:ascii="Times New Roman" w:eastAsia="Times New Roman" w:hAnsi="Times New Roman"/>
          <w:color w:val="auto"/>
          <w:sz w:val="24"/>
          <w:szCs w:val="24"/>
          <w:lang w:val="bg-BG" w:eastAsia="bg-BG"/>
        </w:rPr>
        <w:t xml:space="preserve">Отчетено е участието и приносът на България в Стратегия „Европа 2020” за постигане на по-висока конкурентоспособност на регионалната икономика, преодоляване на вътрешно регионалните различия и ключовите дефицити в социалната и техническата инфраструктурата, развитието на човешкия потенциал и подобряване на околната среда. </w:t>
      </w:r>
    </w:p>
    <w:p w:rsidR="00F25110" w:rsidRPr="004F3104"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4F3104">
        <w:rPr>
          <w:rFonts w:ascii="Times New Roman" w:eastAsia="Times New Roman" w:hAnsi="Times New Roman"/>
          <w:color w:val="auto"/>
          <w:sz w:val="24"/>
          <w:szCs w:val="24"/>
          <w:lang w:val="bg-BG" w:eastAsia="bg-BG"/>
        </w:rPr>
        <w:t>Процесът на наблюдение се извърши със съдействието на  органите на централната власт и техните регионални структури, представителите на Регионалния съвет за развитие в Комитетите по наблюдение изпълнението на Оперативните програми и местните власти,  чрез предоставяне на информация, анализи, отчети и доклади. При наблюдение изпълнението  на плана отчетения напредък в сферата на инфраструктурата, туризма,  икономическата и жизнена среда се извършва посредством  спазване принципа на партньорство, публичност и прозрачност.</w:t>
      </w:r>
    </w:p>
    <w:p w:rsidR="00F25110" w:rsidRPr="004F3104"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4F3104">
        <w:rPr>
          <w:rFonts w:ascii="Times New Roman" w:eastAsia="Times New Roman" w:hAnsi="Times New Roman"/>
          <w:color w:val="auto"/>
          <w:sz w:val="24"/>
          <w:szCs w:val="24"/>
          <w:lang w:val="bg-BG" w:eastAsia="bg-BG"/>
        </w:rPr>
        <w:t xml:space="preserve">Годишният доклад отразява  промените в социално-икономическите условия и политиките за развитие на национално, регионално и местно ниво, както и постигнатия напредък по изпълнението на целите и приоритетите на Регионалния план за развитие въз основа на индикаторите за наблюдение. При анализа са отчетени и специфични индикатори за въздействие. Извършено е наблюдение на седемте стратегически индикатори за мониторинг на интеграцията на глобалните екологични въпроси в процесите на регионалното развитие. С цел осигуряване на ефективност и ефикасност при изпълнението на Регионалния план за развитие на Югоизточен район, Годишният доклад посочва  действията, предприети от Регионалния съвет за развитие на района, както и мерките за наблюдение и създадените механизми за събиране, обработване и анализ на данни. Документът  прави преглед на проблемите, възникнали в процеса на прилагане на Регионалния план за развитие през 2014 година, мерките за преодоляване на тези проблеми, мерките за осигуряване на информация и публичност на действията по изпълнение на плана, както и  предприетите мерки за постигане на необходимото съответствие на плана със секторните политики, планове и програми и прилагане принципа на партньорство. </w:t>
      </w:r>
    </w:p>
    <w:p w:rsidR="00F25110" w:rsidRPr="004F3104"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4F3104">
        <w:rPr>
          <w:rFonts w:ascii="Times New Roman" w:eastAsia="Times New Roman" w:hAnsi="Times New Roman"/>
          <w:color w:val="auto"/>
          <w:sz w:val="24"/>
          <w:szCs w:val="24"/>
          <w:lang w:val="bg-BG" w:eastAsia="bg-BG"/>
        </w:rPr>
        <w:t>Годишният доклад се основава на последни официални данни на Националния статистически институт (НСИ) и сравнителни данни на Евростат за регионите в ЕС. Използвана е и информация от официалните сайтове на Оперативните програми, от единния информационен портал за Структурните фондове на ЕС в България, от членовете на Регионалния координационен комитет на Югоизточен район и от предоставената информация от общините и областите - Бургас, Сливен, Стара Загора и Ямбол. Използвана е информация и от ОПУ на четирите области, В и К, ДП „НКЖИ“, Министерство на културата, Минист</w:t>
      </w:r>
      <w:r w:rsidR="00145DC5">
        <w:rPr>
          <w:rFonts w:ascii="Times New Roman" w:eastAsia="Times New Roman" w:hAnsi="Times New Roman"/>
          <w:color w:val="auto"/>
          <w:sz w:val="24"/>
          <w:szCs w:val="24"/>
          <w:lang w:val="bg-BG" w:eastAsia="bg-BG"/>
        </w:rPr>
        <w:t>ер</w:t>
      </w:r>
      <w:r w:rsidRPr="004F3104">
        <w:rPr>
          <w:rFonts w:ascii="Times New Roman" w:eastAsia="Times New Roman" w:hAnsi="Times New Roman"/>
          <w:color w:val="auto"/>
          <w:sz w:val="24"/>
          <w:szCs w:val="24"/>
          <w:lang w:val="bg-BG" w:eastAsia="bg-BG"/>
        </w:rPr>
        <w:t>ство на туризма, Министерство на младежта и спорта</w:t>
      </w:r>
      <w:r w:rsidR="00145DC5">
        <w:rPr>
          <w:rFonts w:ascii="Times New Roman" w:eastAsia="Times New Roman" w:hAnsi="Times New Roman"/>
          <w:color w:val="auto"/>
          <w:sz w:val="24"/>
          <w:szCs w:val="24"/>
          <w:lang w:val="bg-BG" w:eastAsia="bg-BG"/>
        </w:rPr>
        <w:t>, Институт по океанология-БАН и Р</w:t>
      </w:r>
      <w:r w:rsidRPr="004F3104">
        <w:rPr>
          <w:rFonts w:ascii="Times New Roman" w:eastAsia="Times New Roman" w:hAnsi="Times New Roman"/>
          <w:color w:val="auto"/>
          <w:sz w:val="24"/>
          <w:szCs w:val="24"/>
          <w:lang w:val="bg-BG" w:eastAsia="bg-BG"/>
        </w:rPr>
        <w:t>егионалната служба по заетостта, на територията на Югоизточен район.</w:t>
      </w:r>
    </w:p>
    <w:p w:rsidR="00F25110" w:rsidRPr="00F25110" w:rsidRDefault="00F25110" w:rsidP="00F25110">
      <w:pPr>
        <w:spacing w:after="0" w:line="360" w:lineRule="auto"/>
        <w:ind w:firstLine="708"/>
        <w:jc w:val="both"/>
        <w:rPr>
          <w:rFonts w:ascii="Times New Roman" w:eastAsia="Times New Roman" w:hAnsi="Times New Roman"/>
          <w:color w:val="000000"/>
          <w:sz w:val="24"/>
          <w:szCs w:val="24"/>
          <w:lang w:val="bg-BG" w:eastAsia="bg-BG"/>
        </w:rPr>
      </w:pPr>
      <w:r w:rsidRPr="00F25110">
        <w:rPr>
          <w:rFonts w:ascii="Times New Roman" w:eastAsia="Times New Roman" w:hAnsi="Times New Roman"/>
          <w:color w:val="000000"/>
          <w:sz w:val="24"/>
          <w:szCs w:val="24"/>
          <w:lang w:val="bg-BG" w:eastAsia="bg-BG"/>
        </w:rPr>
        <w:t xml:space="preserve">Напредъкът по изпълнението на </w:t>
      </w:r>
      <w:r w:rsidR="004F3104">
        <w:rPr>
          <w:rFonts w:ascii="Times New Roman" w:eastAsia="Times New Roman" w:hAnsi="Times New Roman"/>
          <w:color w:val="000000"/>
          <w:sz w:val="24"/>
          <w:szCs w:val="24"/>
          <w:lang w:val="bg-BG" w:eastAsia="bg-BG"/>
        </w:rPr>
        <w:t xml:space="preserve">целите и </w:t>
      </w:r>
      <w:r w:rsidRPr="00F25110">
        <w:rPr>
          <w:rFonts w:ascii="Times New Roman" w:eastAsia="Times New Roman" w:hAnsi="Times New Roman"/>
          <w:color w:val="000000"/>
          <w:sz w:val="24"/>
          <w:szCs w:val="24"/>
          <w:lang w:val="bg-BG" w:eastAsia="bg-BG"/>
        </w:rPr>
        <w:t xml:space="preserve">приоритетите на РПР на ЮИР  е </w:t>
      </w:r>
      <w:r w:rsidR="004F3104">
        <w:rPr>
          <w:rFonts w:ascii="Times New Roman" w:eastAsia="Times New Roman" w:hAnsi="Times New Roman"/>
          <w:color w:val="000000"/>
          <w:sz w:val="24"/>
          <w:szCs w:val="24"/>
          <w:lang w:val="bg-BG" w:eastAsia="bg-BG"/>
        </w:rPr>
        <w:t>добър</w:t>
      </w:r>
      <w:r w:rsidRPr="00F25110">
        <w:rPr>
          <w:rFonts w:ascii="Times New Roman" w:eastAsia="Times New Roman" w:hAnsi="Times New Roman"/>
          <w:color w:val="000000"/>
          <w:sz w:val="24"/>
          <w:szCs w:val="24"/>
          <w:lang w:val="bg-BG" w:eastAsia="bg-BG"/>
        </w:rPr>
        <w:t>,  предвид   високата  усвояемост на  европейски средства в района през 201</w:t>
      </w:r>
      <w:r w:rsidR="00365FE1">
        <w:rPr>
          <w:rFonts w:ascii="Times New Roman" w:eastAsia="Times New Roman" w:hAnsi="Times New Roman"/>
          <w:color w:val="000000"/>
          <w:sz w:val="24"/>
          <w:szCs w:val="24"/>
          <w:lang w:val="bg-BG" w:eastAsia="bg-BG"/>
        </w:rPr>
        <w:t xml:space="preserve">4 </w:t>
      </w:r>
      <w:r w:rsidRPr="00F25110">
        <w:rPr>
          <w:rFonts w:ascii="Times New Roman" w:eastAsia="Times New Roman" w:hAnsi="Times New Roman"/>
          <w:color w:val="000000"/>
          <w:sz w:val="24"/>
          <w:szCs w:val="24"/>
          <w:lang w:val="bg-BG" w:eastAsia="bg-BG"/>
        </w:rPr>
        <w:t>г.</w:t>
      </w:r>
      <w:r w:rsidR="00365FE1">
        <w:rPr>
          <w:rFonts w:ascii="Times New Roman" w:eastAsia="Times New Roman" w:hAnsi="Times New Roman"/>
          <w:color w:val="000000"/>
          <w:sz w:val="24"/>
          <w:szCs w:val="24"/>
          <w:lang w:val="bg-BG" w:eastAsia="bg-BG"/>
        </w:rPr>
        <w:t xml:space="preserve"> по действащите програми за периода 2007-2013г.</w:t>
      </w:r>
      <w:r w:rsidRPr="00F25110">
        <w:rPr>
          <w:rFonts w:ascii="Times New Roman" w:eastAsia="Times New Roman" w:hAnsi="Times New Roman"/>
          <w:color w:val="000000"/>
          <w:sz w:val="24"/>
          <w:szCs w:val="24"/>
          <w:lang w:val="bg-BG" w:eastAsia="bg-BG"/>
        </w:rPr>
        <w:t xml:space="preserve"> </w:t>
      </w:r>
      <w:r w:rsidR="00365FE1">
        <w:rPr>
          <w:rFonts w:ascii="Times New Roman" w:eastAsia="Times New Roman" w:hAnsi="Times New Roman"/>
          <w:color w:val="000000"/>
          <w:sz w:val="24"/>
          <w:szCs w:val="24"/>
          <w:lang w:val="bg-BG" w:eastAsia="bg-BG"/>
        </w:rPr>
        <w:t>С</w:t>
      </w:r>
      <w:r w:rsidRPr="00F25110">
        <w:rPr>
          <w:rFonts w:ascii="Times New Roman" w:eastAsia="Times New Roman" w:hAnsi="Times New Roman"/>
          <w:color w:val="000000"/>
          <w:sz w:val="24"/>
          <w:szCs w:val="24"/>
          <w:lang w:val="bg-BG" w:eastAsia="bg-BG"/>
        </w:rPr>
        <w:t xml:space="preserve">равнително добри </w:t>
      </w:r>
      <w:r w:rsidR="00365FE1">
        <w:rPr>
          <w:rFonts w:ascii="Times New Roman" w:eastAsia="Times New Roman" w:hAnsi="Times New Roman"/>
          <w:color w:val="000000"/>
          <w:sz w:val="24"/>
          <w:szCs w:val="24"/>
          <w:lang w:val="bg-BG" w:eastAsia="bg-BG"/>
        </w:rPr>
        <w:t xml:space="preserve">са </w:t>
      </w:r>
      <w:r w:rsidRPr="00F25110">
        <w:rPr>
          <w:rFonts w:ascii="Times New Roman" w:eastAsia="Times New Roman" w:hAnsi="Times New Roman"/>
          <w:color w:val="000000"/>
          <w:sz w:val="24"/>
          <w:szCs w:val="24"/>
          <w:lang w:val="bg-BG" w:eastAsia="bg-BG"/>
        </w:rPr>
        <w:t>социално-икономически показатели, близки до средните  за  страната. По всяка една от целите е констатиран напредък, като по-съществените положителни промени  са свързани с подобряване на  транспортната, техническа</w:t>
      </w:r>
      <w:r w:rsidR="00CD1689">
        <w:rPr>
          <w:rFonts w:ascii="Times New Roman" w:eastAsia="Times New Roman" w:hAnsi="Times New Roman"/>
          <w:color w:val="000000"/>
          <w:sz w:val="24"/>
          <w:szCs w:val="24"/>
          <w:lang w:val="bg-BG" w:eastAsia="bg-BG"/>
        </w:rPr>
        <w:t xml:space="preserve">та, </w:t>
      </w:r>
      <w:r w:rsidRPr="00F25110">
        <w:rPr>
          <w:rFonts w:ascii="Times New Roman" w:eastAsia="Times New Roman" w:hAnsi="Times New Roman"/>
          <w:color w:val="000000"/>
          <w:sz w:val="24"/>
          <w:szCs w:val="24"/>
          <w:lang w:val="bg-BG" w:eastAsia="bg-BG"/>
        </w:rPr>
        <w:t xml:space="preserve">бизнес </w:t>
      </w:r>
      <w:r w:rsidR="00365FE1">
        <w:rPr>
          <w:rFonts w:ascii="Times New Roman" w:eastAsia="Times New Roman" w:hAnsi="Times New Roman"/>
          <w:color w:val="000000"/>
          <w:sz w:val="24"/>
          <w:szCs w:val="24"/>
          <w:lang w:val="bg-BG" w:eastAsia="bg-BG"/>
        </w:rPr>
        <w:t xml:space="preserve">и социална </w:t>
      </w:r>
      <w:r w:rsidRPr="00F25110">
        <w:rPr>
          <w:rFonts w:ascii="Times New Roman" w:eastAsia="Times New Roman" w:hAnsi="Times New Roman"/>
          <w:color w:val="000000"/>
          <w:sz w:val="24"/>
          <w:szCs w:val="24"/>
          <w:lang w:val="bg-BG" w:eastAsia="bg-BG"/>
        </w:rPr>
        <w:t>инфраструктура, подобряване на туристическите атракции, обновление на градската среда, където изпълнението на мерките може да бъде определено като активно.</w:t>
      </w:r>
    </w:p>
    <w:p w:rsidR="00F25110" w:rsidRPr="00F25110"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F25110">
        <w:rPr>
          <w:rFonts w:ascii="Times New Roman" w:eastAsia="Times New Roman" w:hAnsi="Times New Roman"/>
          <w:color w:val="auto"/>
          <w:sz w:val="24"/>
          <w:szCs w:val="24"/>
          <w:lang w:val="bg-BG" w:eastAsia="bg-BG"/>
        </w:rPr>
        <w:t>На основание чл.18, ал.8 от Закона за регионалното развитие и чл.49, т.15 и чл.57 ал.1 и. ал.2  от Правилника за прилагане на ЗРР, Регионалният съвет за разви</w:t>
      </w:r>
      <w:r w:rsidR="00365FE1">
        <w:rPr>
          <w:rFonts w:ascii="Times New Roman" w:eastAsia="Times New Roman" w:hAnsi="Times New Roman"/>
          <w:color w:val="auto"/>
          <w:sz w:val="24"/>
          <w:szCs w:val="24"/>
          <w:lang w:val="bg-BG" w:eastAsia="bg-BG"/>
        </w:rPr>
        <w:t xml:space="preserve">тие на Югоизточен район приема </w:t>
      </w:r>
      <w:r w:rsidRPr="00F25110">
        <w:rPr>
          <w:rFonts w:ascii="Times New Roman" w:eastAsia="Times New Roman" w:hAnsi="Times New Roman"/>
          <w:color w:val="auto"/>
          <w:sz w:val="24"/>
          <w:szCs w:val="24"/>
          <w:lang w:val="bg-BG" w:eastAsia="bg-BG"/>
        </w:rPr>
        <w:t>Годишната индикативна програма (ГИП) за дейността на съвета през 201</w:t>
      </w:r>
      <w:r w:rsidR="00365FE1">
        <w:rPr>
          <w:rFonts w:ascii="Times New Roman" w:eastAsia="Times New Roman" w:hAnsi="Times New Roman"/>
          <w:color w:val="auto"/>
          <w:sz w:val="24"/>
          <w:szCs w:val="24"/>
          <w:lang w:val="bg-BG" w:eastAsia="bg-BG"/>
        </w:rPr>
        <w:t>4</w:t>
      </w:r>
      <w:r w:rsidRPr="00F25110">
        <w:rPr>
          <w:rFonts w:ascii="Times New Roman" w:eastAsia="Times New Roman" w:hAnsi="Times New Roman"/>
          <w:color w:val="auto"/>
          <w:sz w:val="24"/>
          <w:szCs w:val="24"/>
          <w:lang w:val="bg-BG" w:eastAsia="bg-BG"/>
        </w:rPr>
        <w:t xml:space="preserve"> г.  ГИП представлява планов документ, който определя основните дейности, пряко свързани  с функциите на съвета, съгласно нормативната уредба, както и необходимите средства за неговата ефективна и ефикасна работа.  ГИП за 201</w:t>
      </w:r>
      <w:r w:rsidR="00365FE1">
        <w:rPr>
          <w:rFonts w:ascii="Times New Roman" w:eastAsia="Times New Roman" w:hAnsi="Times New Roman"/>
          <w:color w:val="auto"/>
          <w:sz w:val="24"/>
          <w:szCs w:val="24"/>
          <w:lang w:val="bg-BG" w:eastAsia="bg-BG"/>
        </w:rPr>
        <w:t>4</w:t>
      </w:r>
      <w:r w:rsidRPr="00F25110">
        <w:rPr>
          <w:rFonts w:ascii="Times New Roman" w:eastAsia="Times New Roman" w:hAnsi="Times New Roman"/>
          <w:color w:val="auto"/>
          <w:sz w:val="24"/>
          <w:szCs w:val="24"/>
          <w:lang w:val="bg-BG" w:eastAsia="bg-BG"/>
        </w:rPr>
        <w:t xml:space="preserve"> г. е финансово неосигурена. Това бе констатирано и за предходните години.  Липсата на средства за дейността на РСР е основна причина за невъзможността да се планират и реализират мерки, които биха допринесли за  по - ефективно изпълнение на функциите на РСР и за укрепването и развитието му като орган за провеждане на държавната политика за регионално развитие в Югоизточен район. Във връзка засилване ролята на РСР е необходимо да се обезпечи финансово неговата дейност  за организиране и участие в събития за осигуряване публичност и прозрачност на провежданата регионална политика, за провеждане на специализирани проучвания и  др.</w:t>
      </w:r>
    </w:p>
    <w:p w:rsidR="00365FE1" w:rsidRDefault="00F25110" w:rsidP="00F25110">
      <w:pPr>
        <w:spacing w:after="0" w:line="360" w:lineRule="auto"/>
        <w:ind w:firstLine="708"/>
        <w:jc w:val="both"/>
        <w:rPr>
          <w:rFonts w:ascii="Times New Roman" w:eastAsia="Times New Roman" w:hAnsi="Times New Roman"/>
          <w:color w:val="auto"/>
          <w:sz w:val="24"/>
          <w:szCs w:val="24"/>
          <w:lang w:val="bg-BG" w:eastAsia="bg-BG"/>
        </w:rPr>
      </w:pPr>
      <w:r w:rsidRPr="00F25110">
        <w:rPr>
          <w:rFonts w:ascii="Times New Roman" w:eastAsia="Times New Roman" w:hAnsi="Times New Roman"/>
          <w:color w:val="auto"/>
          <w:sz w:val="24"/>
          <w:szCs w:val="24"/>
          <w:lang w:val="bg-BG" w:eastAsia="bg-BG"/>
        </w:rPr>
        <w:t xml:space="preserve">Направеният анализ на изпълнението на РПР на ЮИР за </w:t>
      </w:r>
      <w:r w:rsidR="00365FE1">
        <w:rPr>
          <w:rFonts w:ascii="Times New Roman" w:eastAsia="Times New Roman" w:hAnsi="Times New Roman"/>
          <w:color w:val="auto"/>
          <w:sz w:val="24"/>
          <w:szCs w:val="24"/>
          <w:lang w:val="bg-BG" w:eastAsia="bg-BG"/>
        </w:rPr>
        <w:t>първата</w:t>
      </w:r>
      <w:r w:rsidRPr="00F25110">
        <w:rPr>
          <w:rFonts w:ascii="Times New Roman" w:eastAsia="Times New Roman" w:hAnsi="Times New Roman"/>
          <w:color w:val="auto"/>
          <w:sz w:val="24"/>
          <w:szCs w:val="24"/>
          <w:lang w:val="bg-BG" w:eastAsia="bg-BG"/>
        </w:rPr>
        <w:t xml:space="preserve"> година от периода на действие</w:t>
      </w:r>
      <w:r w:rsidRPr="00F25110">
        <w:rPr>
          <w:rFonts w:ascii="Times New Roman" w:eastAsia="Times New Roman" w:hAnsi="Times New Roman"/>
          <w:color w:val="auto"/>
          <w:sz w:val="24"/>
          <w:szCs w:val="24"/>
          <w:lang w:val="ru-RU" w:eastAsia="bg-BG"/>
        </w:rPr>
        <w:t xml:space="preserve"> </w:t>
      </w:r>
      <w:r w:rsidRPr="00F25110">
        <w:rPr>
          <w:rFonts w:ascii="Times New Roman" w:eastAsia="Times New Roman" w:hAnsi="Times New Roman"/>
          <w:color w:val="auto"/>
          <w:sz w:val="24"/>
          <w:szCs w:val="24"/>
          <w:lang w:val="bg-BG" w:eastAsia="bg-BG"/>
        </w:rPr>
        <w:t xml:space="preserve">на документа показва, че определената в него рамка на политиката за регионално развитие за района  се изпълнява основно чрез инструментите на Оперативните програми, съфинансирани от европейските структурни и Кохезионен фонд, Програмата за развитие на селските райони, Програма за развитие на сектор рибарство, и Програмите за европейско териториално сътрудничество. </w:t>
      </w:r>
    </w:p>
    <w:p w:rsidR="00F25110" w:rsidRPr="00F25110" w:rsidRDefault="00F25110" w:rsidP="00F25110">
      <w:pPr>
        <w:spacing w:after="0" w:line="360" w:lineRule="auto"/>
        <w:ind w:firstLine="708"/>
        <w:jc w:val="both"/>
        <w:rPr>
          <w:rFonts w:ascii="Times New Roman" w:eastAsia="Times New Roman" w:hAnsi="Times New Roman"/>
          <w:color w:val="000000"/>
          <w:sz w:val="24"/>
          <w:szCs w:val="24"/>
          <w:lang w:val="bg-BG" w:eastAsia="bg-BG"/>
        </w:rPr>
      </w:pPr>
      <w:r w:rsidRPr="00F25110">
        <w:rPr>
          <w:rFonts w:ascii="Times New Roman" w:eastAsia="Times New Roman" w:hAnsi="Times New Roman"/>
          <w:color w:val="auto"/>
          <w:sz w:val="24"/>
          <w:szCs w:val="24"/>
          <w:lang w:val="bg-BG" w:eastAsia="bg-BG"/>
        </w:rPr>
        <w:t>За подобряване на резултатите от наблюдението</w:t>
      </w:r>
      <w:r w:rsidR="00F44B87">
        <w:rPr>
          <w:rFonts w:ascii="Times New Roman" w:eastAsia="Times New Roman" w:hAnsi="Times New Roman"/>
          <w:color w:val="auto"/>
          <w:sz w:val="24"/>
          <w:szCs w:val="24"/>
          <w:lang w:val="bg-BG" w:eastAsia="bg-BG"/>
        </w:rPr>
        <w:t xml:space="preserve"> </w:t>
      </w:r>
      <w:r w:rsidRPr="00F25110">
        <w:rPr>
          <w:rFonts w:ascii="Times New Roman" w:eastAsia="Times New Roman" w:hAnsi="Times New Roman"/>
          <w:color w:val="auto"/>
          <w:sz w:val="24"/>
          <w:szCs w:val="24"/>
          <w:lang w:val="bg-BG" w:eastAsia="bg-BG"/>
        </w:rPr>
        <w:t xml:space="preserve">е необходимо обвързване на системата за наблюдение на изпълнението на плановите документи за регионално и местно развитие със системата за наблюдение на изпълнението на оперативните програми, с цел по-точна оценка на въздействието на всяка от програмите върху промените в икономическото, социалното и инфраструктурното развитие на районите и общините в </w:t>
      </w:r>
      <w:r w:rsidRPr="00F25110">
        <w:rPr>
          <w:rFonts w:ascii="Times New Roman" w:eastAsia="Times New Roman" w:hAnsi="Times New Roman"/>
          <w:color w:val="000000"/>
          <w:sz w:val="24"/>
          <w:szCs w:val="24"/>
          <w:lang w:val="bg-BG" w:eastAsia="bg-BG"/>
        </w:rPr>
        <w:t xml:space="preserve">страната. </w:t>
      </w:r>
    </w:p>
    <w:p w:rsidR="00F25110" w:rsidRPr="00F25110" w:rsidRDefault="00365FE1" w:rsidP="00F25110">
      <w:pPr>
        <w:spacing w:after="0" w:line="360" w:lineRule="auto"/>
        <w:ind w:firstLine="708"/>
        <w:jc w:val="both"/>
        <w:rPr>
          <w:rFonts w:ascii="Times New Roman" w:eastAsia="Times New Roman" w:hAnsi="Times New Roman"/>
          <w:color w:val="000000"/>
          <w:sz w:val="24"/>
          <w:szCs w:val="24"/>
          <w:lang w:val="bg-BG" w:eastAsia="bg-BG"/>
        </w:rPr>
      </w:pPr>
      <w:r>
        <w:rPr>
          <w:rFonts w:ascii="Times New Roman" w:eastAsia="Times New Roman" w:hAnsi="Times New Roman"/>
          <w:color w:val="000000"/>
          <w:sz w:val="24"/>
          <w:szCs w:val="24"/>
          <w:lang w:val="bg-BG" w:eastAsia="bg-BG"/>
        </w:rPr>
        <w:t xml:space="preserve">Целите и приоритетите </w:t>
      </w:r>
      <w:r w:rsidR="00F25110" w:rsidRPr="00F25110">
        <w:rPr>
          <w:rFonts w:ascii="Times New Roman" w:eastAsia="Times New Roman" w:hAnsi="Times New Roman"/>
          <w:color w:val="000000"/>
          <w:sz w:val="24"/>
          <w:szCs w:val="24"/>
          <w:lang w:val="bg-BG" w:eastAsia="bg-BG"/>
        </w:rPr>
        <w:t xml:space="preserve">за развитие на </w:t>
      </w:r>
      <w:r>
        <w:rPr>
          <w:rFonts w:ascii="Times New Roman" w:eastAsia="Times New Roman" w:hAnsi="Times New Roman"/>
          <w:color w:val="000000"/>
          <w:sz w:val="24"/>
          <w:szCs w:val="24"/>
          <w:lang w:val="bg-BG" w:eastAsia="bg-BG"/>
        </w:rPr>
        <w:t>Югоизточен район за периода 2014-2020</w:t>
      </w:r>
      <w:r w:rsidR="00F25110" w:rsidRPr="00F25110">
        <w:rPr>
          <w:rFonts w:ascii="Times New Roman" w:eastAsia="Times New Roman" w:hAnsi="Times New Roman"/>
          <w:color w:val="000000"/>
          <w:sz w:val="24"/>
          <w:szCs w:val="24"/>
          <w:lang w:val="bg-BG" w:eastAsia="bg-BG"/>
        </w:rPr>
        <w:t xml:space="preserve">г., по отношение </w:t>
      </w:r>
      <w:r>
        <w:rPr>
          <w:rFonts w:ascii="Times New Roman" w:eastAsia="Times New Roman" w:hAnsi="Times New Roman"/>
          <w:color w:val="000000"/>
          <w:sz w:val="24"/>
          <w:szCs w:val="24"/>
          <w:lang w:val="bg-BG" w:eastAsia="bg-BG"/>
        </w:rPr>
        <w:t xml:space="preserve"> развитието на икономическото, социалното, териториалното сближаване и развитие на ЮИР се изпълняват през първата година на действието на документа, включително чрез изпълнение и на </w:t>
      </w:r>
      <w:r w:rsidR="00F25110" w:rsidRPr="00F25110">
        <w:rPr>
          <w:rFonts w:ascii="Times New Roman" w:eastAsia="Times New Roman" w:hAnsi="Times New Roman"/>
          <w:color w:val="000000"/>
          <w:sz w:val="24"/>
          <w:szCs w:val="24"/>
          <w:lang w:val="bg-BG" w:eastAsia="bg-BG"/>
        </w:rPr>
        <w:t xml:space="preserve"> възможностите за интегрирано  развитие на градовете, опазване българската акватория на Черно море и развитие на морското дело и рибарството. </w:t>
      </w:r>
    </w:p>
    <w:p w:rsidR="00F25110" w:rsidRPr="00F25110" w:rsidRDefault="00F25110" w:rsidP="00F25110">
      <w:pPr>
        <w:spacing w:after="0" w:line="360" w:lineRule="auto"/>
        <w:ind w:firstLine="708"/>
        <w:jc w:val="both"/>
        <w:rPr>
          <w:rFonts w:ascii="Times New Roman" w:eastAsia="Times New Roman" w:hAnsi="Times New Roman"/>
          <w:color w:val="000000"/>
          <w:sz w:val="24"/>
          <w:szCs w:val="24"/>
          <w:lang w:val="bg-BG" w:eastAsia="bg-BG"/>
        </w:rPr>
      </w:pPr>
      <w:r w:rsidRPr="00F25110">
        <w:rPr>
          <w:rFonts w:ascii="Times New Roman" w:eastAsia="Times New Roman" w:hAnsi="Times New Roman"/>
          <w:b/>
          <w:color w:val="000000"/>
          <w:sz w:val="24"/>
          <w:szCs w:val="24"/>
          <w:lang w:val="bg-BG" w:eastAsia="bg-BG"/>
        </w:rPr>
        <w:t>В заключение</w:t>
      </w:r>
      <w:r w:rsidRPr="00F25110">
        <w:rPr>
          <w:rFonts w:ascii="Times New Roman" w:eastAsia="Times New Roman" w:hAnsi="Times New Roman"/>
          <w:color w:val="000000"/>
          <w:sz w:val="24"/>
          <w:szCs w:val="24"/>
          <w:lang w:val="bg-BG" w:eastAsia="bg-BG"/>
        </w:rPr>
        <w:t>, за реализация на целите и приоритетите на Регионалния план за  развитие и преодоляване на вътрешно регионалните различия е необходимо: мобилизиране на потенциала и осигуряване на ефективни управленски правомощия; разширяване функциите на съвета за реално въздействие върху процесите на икономическо и социално развитие в района; финансово осигуряване на Годишните индикативни програми за работата на РСР; осъществяване на междурегионално сътрудничество за обмяна на опит и добри практики и подобряване на регионалната координация между секторни политики, програми и проекти за развитие.</w:t>
      </w:r>
    </w:p>
    <w:p w:rsidR="00F25110" w:rsidRPr="00F25110" w:rsidRDefault="00F25110" w:rsidP="00F25110">
      <w:pPr>
        <w:spacing w:after="0" w:line="360" w:lineRule="auto"/>
        <w:ind w:firstLine="708"/>
        <w:jc w:val="both"/>
        <w:rPr>
          <w:rFonts w:ascii="Times New Roman" w:eastAsia="Times New Roman" w:hAnsi="Times New Roman"/>
          <w:color w:val="000000"/>
          <w:sz w:val="24"/>
          <w:szCs w:val="24"/>
          <w:lang w:val="bg-BG" w:eastAsia="bg-BG"/>
        </w:rPr>
      </w:pPr>
    </w:p>
    <w:p w:rsidR="00F25110" w:rsidRPr="00F25110" w:rsidRDefault="00F25110" w:rsidP="00F25110">
      <w:pPr>
        <w:spacing w:after="0" w:line="360" w:lineRule="auto"/>
        <w:ind w:firstLine="708"/>
        <w:jc w:val="both"/>
        <w:rPr>
          <w:rFonts w:ascii="Times New Roman" w:eastAsia="Times New Roman" w:hAnsi="Times New Roman"/>
          <w:color w:val="000000"/>
          <w:sz w:val="24"/>
          <w:szCs w:val="24"/>
          <w:lang w:val="bg-BG" w:eastAsia="bg-BG"/>
        </w:rPr>
      </w:pPr>
    </w:p>
    <w:p w:rsidR="00F25110" w:rsidRPr="00F25110" w:rsidRDefault="00F25110" w:rsidP="00F25110">
      <w:pPr>
        <w:spacing w:after="0" w:line="360" w:lineRule="auto"/>
        <w:jc w:val="both"/>
        <w:textAlignment w:val="center"/>
        <w:rPr>
          <w:rFonts w:ascii="Times New Roman" w:eastAsia="Times New Roman" w:hAnsi="Times New Roman"/>
          <w:color w:val="FF0000"/>
          <w:sz w:val="24"/>
          <w:szCs w:val="24"/>
          <w:lang w:val="bg-BG" w:eastAsia="bg-BG"/>
        </w:rPr>
      </w:pPr>
    </w:p>
    <w:p w:rsidR="00FD59D7" w:rsidRDefault="00FD59D7" w:rsidP="00F26116">
      <w:pPr>
        <w:pStyle w:val="Subtitle"/>
        <w:jc w:val="left"/>
        <w:rPr>
          <w:rFonts w:ascii="Times New Roman" w:hAnsi="Times New Roman" w:cs="Times New Roman"/>
          <w:lang w:val="bg-BG"/>
        </w:rPr>
      </w:pPr>
    </w:p>
    <w:sectPr w:rsidR="00FD59D7">
      <w:footerReference w:type="even" r:id="rId36"/>
      <w:footerReference w:type="default" r:id="rId37"/>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DBC" w:rsidRDefault="00175DBC">
      <w:pPr>
        <w:spacing w:after="0" w:line="240" w:lineRule="auto"/>
      </w:pPr>
      <w:r>
        <w:separator/>
      </w:r>
    </w:p>
  </w:endnote>
  <w:endnote w:type="continuationSeparator" w:id="0">
    <w:p w:rsidR="00175DBC" w:rsidRDefault="00175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GGothicM">
    <w:altName w:val="MS Gothic"/>
    <w:charset w:val="80"/>
    <w:family w:val="modern"/>
    <w:pitch w:val="fixed"/>
    <w:sig w:usb0="00000000" w:usb1="28C76CF8" w:usb2="00000010" w:usb3="00000000" w:csb0="00020000"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ll Times New Roman">
    <w:altName w:val="Times New Roman"/>
    <w:charset w:val="CC"/>
    <w:family w:val="roman"/>
    <w:pitch w:val="variable"/>
    <w:sig w:usb0="20007A87" w:usb1="80000000" w:usb2="00000008"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MinionPro-Regular">
    <w:panose1 w:val="00000000000000000000"/>
    <w:charset w:val="CC"/>
    <w:family w:val="roman"/>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T3B95o00">
    <w:panose1 w:val="00000000000000000000"/>
    <w:charset w:val="CC"/>
    <w:family w:val="auto"/>
    <w:notTrueType/>
    <w:pitch w:val="default"/>
    <w:sig w:usb0="00000201" w:usb1="00000000" w:usb2="00000000" w:usb3="00000000" w:csb0="00000004" w:csb1="00000000"/>
  </w:font>
  <w:font w:name="HGSoeiPresenceEB">
    <w:altName w:val="MS Mincho"/>
    <w:charset w:val="80"/>
    <w:family w:val="roman"/>
    <w:pitch w:val="fixed"/>
    <w:sig w:usb0="00000000"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CA" w:rsidRDefault="00B733CA">
    <w:pPr>
      <w:pStyle w:val="Footer"/>
    </w:pPr>
    <w:r>
      <w:rPr>
        <w:noProof/>
        <w:lang w:val="bg-BG" w:eastAsia="bg-BG"/>
      </w:rPr>
      <mc:AlternateContent>
        <mc:Choice Requires="wps">
          <w:drawing>
            <wp:anchor distT="0" distB="0" distL="114300" distR="114300" simplePos="0" relativeHeight="251664384" behindDoc="0" locked="0" layoutInCell="0" allowOverlap="1" wp14:anchorId="7050BB70" wp14:editId="6433AB00">
              <wp:simplePos x="0" y="0"/>
              <wp:positionH relativeFrom="rightMargin">
                <wp:align>left</wp:align>
              </wp:positionH>
              <wp:positionV relativeFrom="margin">
                <wp:align>bottom</wp:align>
              </wp:positionV>
              <wp:extent cx="531495" cy="8229600"/>
              <wp:effectExtent l="0" t="0" r="1905"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B733CA" w:rsidRDefault="00175DBC">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B733CA">
                                <w:rPr>
                                  <w:rFonts w:asciiTheme="majorHAnsi" w:eastAsiaTheme="majorEastAsia" w:hAnsiTheme="majorHAnsi" w:cstheme="majorBidi"/>
                                  <w:sz w:val="20"/>
                                  <w:lang w:val="bg-BG"/>
                                </w:rPr>
                                <w:t>ГОДИШЕН ДОКЛАД</w:t>
                              </w:r>
                            </w:sdtContent>
                          </w:sdt>
                          <w:r w:rsidR="00B733CA">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B733CA">
                                <w:rPr>
                                  <w:rFonts w:asciiTheme="majorHAnsi" w:eastAsiaTheme="majorEastAsia" w:hAnsiTheme="majorHAnsi" w:cstheme="majorBidi"/>
                                  <w:sz w:val="20"/>
                                </w:rPr>
                                <w:t xml:space="preserve"> за 2014 г.</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2" o:spid="_x0000_s1028" style="position:absolute;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" o:allowincell="f" filled="f" stroked="f">
              <v:textbox style="layout-flow:vertical;mso-layout-flow-alt:bottom-to-top" inset=",,8.64pt,10.8pt">
                <w:txbxContent>
                  <w:p w:rsidR="00B733CA" w:rsidRDefault="009122C5">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201965352"/>
                        <w:dataBinding w:prefixMappings="xmlns:ns0='http://schemas.openxmlformats.org/package/2006/metadata/core-properties' xmlns:ns1='http://purl.org/dc/elements/1.1/'" w:xpath="/ns0:coreProperties[1]/ns1:title[1]" w:storeItemID="{6C3C8BC8-F283-45AE-878A-BAB7291924A1}"/>
                        <w:text/>
                      </w:sdtPr>
                      <w:sdtEndPr/>
                      <w:sdtContent>
                        <w:r w:rsidR="00B733CA">
                          <w:rPr>
                            <w:rFonts w:asciiTheme="majorHAnsi" w:eastAsiaTheme="majorEastAsia" w:hAnsiTheme="majorHAnsi" w:cstheme="majorBidi"/>
                            <w:sz w:val="20"/>
                            <w:lang w:val="bg-BG"/>
                          </w:rPr>
                          <w:t>ГОДИШЕН ДОКЛАД</w:t>
                        </w:r>
                      </w:sdtContent>
                    </w:sdt>
                    <w:r w:rsidR="00B733CA">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20196536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B733CA">
                          <w:rPr>
                            <w:rFonts w:asciiTheme="majorHAnsi" w:eastAsiaTheme="majorEastAsia" w:hAnsiTheme="majorHAnsi" w:cstheme="majorBidi"/>
                            <w:sz w:val="20"/>
                          </w:rPr>
                          <w:t xml:space="preserve"> за 2014 г.</w:t>
                        </w:r>
                      </w:sdtContent>
                    </w:sdt>
                  </w:p>
                </w:txbxContent>
              </v:textbox>
              <w10:wrap anchorx="margin" anchory="margin"/>
            </v:rect>
          </w:pict>
        </mc:Fallback>
      </mc:AlternateContent>
    </w:r>
    <w:r>
      <w:rPr>
        <w:noProof/>
        <w:lang w:val="bg-BG" w:eastAsia="bg-BG"/>
      </w:rPr>
      <mc:AlternateContent>
        <mc:Choice Requires="wps">
          <w:drawing>
            <wp:anchor distT="0" distB="0" distL="114300" distR="114300" simplePos="0" relativeHeight="251665408" behindDoc="0" locked="0" layoutInCell="0" allowOverlap="1" wp14:anchorId="2D340DD2" wp14:editId="4102FD91">
              <wp:simplePos x="0" y="0"/>
              <wp:positionH relativeFrom="page">
                <wp:align>center</wp:align>
              </wp:positionH>
              <wp:positionV relativeFrom="page">
                <wp:align>center</wp:align>
              </wp:positionV>
              <wp:extent cx="7126605" cy="9434195"/>
              <wp:effectExtent l="9525" t="9525" r="14605" b="114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4"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" o:allowincell="f" filled="f" fillcolor="black" strokeweight="1pt">
              <w10:wrap anchorx="page" anchory="page"/>
            </v:roundrect>
          </w:pict>
        </mc:Fallback>
      </mc:AlternateContent>
    </w:r>
    <w:r>
      <w:rPr>
        <w:noProof/>
        <w:lang w:val="bg-BG" w:eastAsia="bg-BG"/>
      </w:rPr>
      <mc:AlternateContent>
        <mc:Choice Requires="wps">
          <w:drawing>
            <wp:anchor distT="0" distB="0" distL="114300" distR="114300" simplePos="0" relativeHeight="251663360" behindDoc="0" locked="0" layoutInCell="0" allowOverlap="1" wp14:anchorId="2AC67A12" wp14:editId="1B45C894">
              <wp:simplePos x="0" y="0"/>
              <wp:positionH relativeFrom="rightMargin">
                <wp:align>left</wp:align>
              </wp:positionH>
              <wp:positionV relativeFrom="bottomMargin">
                <wp:align>top</wp:align>
              </wp:positionV>
              <wp:extent cx="520700" cy="520700"/>
              <wp:effectExtent l="0" t="0" r="3175" b="3175"/>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B733CA" w:rsidRDefault="00B733CA">
                          <w:pPr>
                            <w:pStyle w:val="NoSpacing"/>
                            <w:jc w:val="center"/>
                            <w:rPr>
                              <w:color w:val="FFFFFF" w:themeColor="background1"/>
                              <w:sz w:val="40"/>
                              <w:szCs w:val="40"/>
                            </w:rPr>
                          </w:pPr>
                          <w:r>
                            <w:fldChar w:fldCharType="begin"/>
                          </w:r>
                          <w:r>
                            <w:instrText xml:space="preserve"> PAGE  \* Arabic  \* MERGEFORMAT </w:instrText>
                          </w:r>
                          <w:r>
                            <w:fldChar w:fldCharType="separate"/>
                          </w:r>
                          <w:r w:rsidR="00D05273" w:rsidRPr="00D05273">
                            <w:rPr>
                              <w:noProof/>
                              <w:color w:val="FFFFFF" w:themeColor="background1"/>
                              <w:sz w:val="40"/>
                              <w:szCs w:val="40"/>
                            </w:rPr>
                            <w:t>100</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9" style="position:absolute;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" o:allowincell="f" fillcolor="#d34817 [3204]" stroked="f">
              <v:textbox inset="0,0,0,0">
                <w:txbxContent>
                  <w:p w:rsidR="00B733CA" w:rsidRDefault="00B733CA">
                    <w:pPr>
                      <w:pStyle w:val="NoSpacing"/>
                      <w:jc w:val="center"/>
                      <w:rPr>
                        <w:color w:val="FFFFFF" w:themeColor="background1"/>
                        <w:sz w:val="40"/>
                        <w:szCs w:val="40"/>
                      </w:rPr>
                    </w:pPr>
                    <w:r>
                      <w:fldChar w:fldCharType="begin"/>
                    </w:r>
                    <w:r>
                      <w:instrText xml:space="preserve"> PAGE  \* Arabic  \* MERGEFORMAT </w:instrText>
                    </w:r>
                    <w:r>
                      <w:fldChar w:fldCharType="separate"/>
                    </w:r>
                    <w:r w:rsidR="00D05273" w:rsidRPr="00D05273">
                      <w:rPr>
                        <w:noProof/>
                        <w:color w:val="FFFFFF" w:themeColor="background1"/>
                        <w:sz w:val="40"/>
                        <w:szCs w:val="40"/>
                      </w:rPr>
                      <w:t>100</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CA" w:rsidRDefault="00B733CA">
    <w:pPr>
      <w:rPr>
        <w:sz w:val="20"/>
      </w:rPr>
    </w:pPr>
    <w:r>
      <w:rPr>
        <w:noProof/>
        <w:sz w:val="10"/>
        <w:szCs w:val="10"/>
        <w:lang w:val="bg-BG" w:eastAsia="bg-BG"/>
      </w:rPr>
      <mc:AlternateContent>
        <mc:Choice Requires="wps">
          <w:drawing>
            <wp:anchor distT="0" distB="0" distL="114300" distR="114300" simplePos="0" relativeHeight="251661312" behindDoc="0" locked="0" layoutInCell="0" allowOverlap="1" wp14:anchorId="5F2C868B" wp14:editId="4A3265DA">
              <wp:simplePos x="0" y="0"/>
              <wp:positionH relativeFrom="leftMargin">
                <wp:align>right</wp:align>
              </wp:positionH>
              <wp:positionV relativeFrom="margin">
                <wp:align>bottom</wp:align>
              </wp:positionV>
              <wp:extent cx="59499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B733CA" w:rsidRDefault="00175DBC">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B733CA">
                                <w:rPr>
                                  <w:rFonts w:asciiTheme="majorHAnsi" w:eastAsiaTheme="majorEastAsia" w:hAnsiTheme="majorHAnsi" w:cstheme="majorBidi"/>
                                  <w:sz w:val="20"/>
                                  <w:lang w:val="bg-BG"/>
                                </w:rPr>
                                <w:t>ГОДИШЕН ДОКЛАД</w:t>
                              </w:r>
                            </w:sdtContent>
                          </w:sdt>
                          <w:r w:rsidR="00B733CA">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B733CA">
                                <w:rPr>
                                  <w:rFonts w:asciiTheme="majorHAnsi" w:eastAsiaTheme="majorEastAsia" w:hAnsiTheme="majorHAnsi" w:cstheme="majorBidi"/>
                                  <w:sz w:val="20"/>
                                </w:rPr>
                                <w:t xml:space="preserve"> за 2014 г.</w:t>
                              </w:r>
                            </w:sdtContent>
                          </w:sdt>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24" o:spid="_x0000_s1030" style="position:absolute;margin-left:-4.35pt;margin-top:0;width:46.85pt;height:9in;z-index:25166131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AY+9nHsAgAAQw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B733CA" w:rsidRDefault="009122C5">
                    <w:pPr>
                      <w:pStyle w:val="NoSpacing"/>
                      <w:rPr>
                        <w:rFonts w:asciiTheme="majorHAnsi" w:eastAsiaTheme="majorEastAsia" w:hAnsiTheme="majorHAnsi" w:cstheme="majorBidi"/>
                        <w:sz w:val="20"/>
                      </w:rPr>
                    </w:pPr>
                    <w:sdt>
                      <w:sdtPr>
                        <w:rPr>
                          <w:rFonts w:asciiTheme="majorHAnsi" w:eastAsiaTheme="majorEastAsia" w:hAnsiTheme="majorHAnsi" w:cstheme="majorBidi"/>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B733CA">
                          <w:rPr>
                            <w:rFonts w:asciiTheme="majorHAnsi" w:eastAsiaTheme="majorEastAsia" w:hAnsiTheme="majorHAnsi" w:cstheme="majorBidi"/>
                            <w:sz w:val="20"/>
                            <w:lang w:val="bg-BG"/>
                          </w:rPr>
                          <w:t>ГОДИШЕН ДОКЛАД</w:t>
                        </w:r>
                      </w:sdtContent>
                    </w:sdt>
                    <w:r w:rsidR="00B733CA">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e"/>
                        <w:id w:val="6238437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B733CA">
                          <w:rPr>
                            <w:rFonts w:asciiTheme="majorHAnsi" w:eastAsiaTheme="majorEastAsia" w:hAnsiTheme="majorHAnsi" w:cstheme="majorBidi"/>
                            <w:sz w:val="20"/>
                          </w:rPr>
                          <w:t xml:space="preserve"> за 2014 г.</w:t>
                        </w:r>
                      </w:sdtContent>
                    </w:sdt>
                  </w:p>
                </w:txbxContent>
              </v:textbox>
              <w10:wrap anchorx="margin" anchory="margin"/>
            </v:rect>
          </w:pict>
        </mc:Fallback>
      </mc:AlternateContent>
    </w:r>
    <w:r>
      <w:rPr>
        <w:noProof/>
        <w:sz w:val="20"/>
        <w:lang w:val="bg-BG" w:eastAsia="bg-BG"/>
      </w:rPr>
      <mc:AlternateContent>
        <mc:Choice Requires="wps">
          <w:drawing>
            <wp:anchor distT="0" distB="0" distL="114300" distR="114300" simplePos="0" relativeHeight="251660288" behindDoc="0" locked="0" layoutInCell="0" allowOverlap="1" wp14:anchorId="0A7A307E" wp14:editId="0CA31284">
              <wp:simplePos x="0" y="0"/>
              <wp:positionH relativeFrom="page">
                <wp:align>center</wp:align>
              </wp:positionH>
              <wp:positionV relativeFrom="page">
                <wp:align>center</wp:align>
              </wp:positionV>
              <wp:extent cx="7126605" cy="9434195"/>
              <wp:effectExtent l="9525" t="9525" r="14605" b="1143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AutoShape 21" o:spid="_x0000_s1026" style="position:absolute;margin-left:0;margin-top:0;width:561.15pt;height:742.85pt;z-index:25166028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DEnyKC6&#10;AgAAvQUAAA4AAAAAAAAAAAAAAAAALgIAAGRycy9lMm9Eb2MueG1sUEsBAi0AFAAGAAgAAAAhANpu&#10;fizeAAAABwEAAA8AAAAAAAAAAAAAAAAAFAUAAGRycy9kb3ducmV2LnhtbFBLBQYAAAAABAAEAPMA&#10;AAAfBgAAAAA=&#10;" o:allowincell="f" filled="f" fillcolor="black" strokeweight="1pt">
              <w10:wrap anchorx="page" anchory="page"/>
            </v:roundrect>
          </w:pict>
        </mc:Fallback>
      </mc:AlternateContent>
    </w:r>
    <w:r>
      <w:rPr>
        <w:noProof/>
        <w:sz w:val="20"/>
        <w:lang w:val="bg-BG" w:eastAsia="bg-BG"/>
      </w:rPr>
      <mc:AlternateContent>
        <mc:Choice Requires="wps">
          <w:drawing>
            <wp:anchor distT="0" distB="0" distL="114300" distR="114300" simplePos="0" relativeHeight="251659264" behindDoc="0" locked="0" layoutInCell="0" allowOverlap="1" wp14:anchorId="670A0307" wp14:editId="062322C6">
              <wp:simplePos x="0" y="0"/>
              <wp:positionH relativeFrom="leftMargin">
                <wp:align>right</wp:align>
              </wp:positionH>
              <wp:positionV relativeFrom="bottomMargin">
                <wp:align>top</wp:align>
              </wp:positionV>
              <wp:extent cx="520700" cy="520700"/>
              <wp:effectExtent l="8890" t="0" r="3810" b="3175"/>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B733CA" w:rsidRDefault="00B733CA">
                          <w:pPr>
                            <w:pStyle w:val="NoSpacing"/>
                            <w:jc w:val="center"/>
                            <w:rPr>
                              <w:color w:val="FFFFFF" w:themeColor="background1"/>
                              <w:sz w:val="40"/>
                              <w:szCs w:val="40"/>
                            </w:rPr>
                          </w:pPr>
                          <w:r>
                            <w:fldChar w:fldCharType="begin"/>
                          </w:r>
                          <w:r>
                            <w:instrText xml:space="preserve"> PAGE  \* Arabic  \* MERGEFORMAT </w:instrText>
                          </w:r>
                          <w:r>
                            <w:fldChar w:fldCharType="separate"/>
                          </w:r>
                          <w:r w:rsidR="00D05273" w:rsidRPr="00D05273">
                            <w:rPr>
                              <w:noProof/>
                              <w:color w:val="FFFFFF" w:themeColor="background1"/>
                              <w:sz w:val="40"/>
                              <w:szCs w:val="40"/>
                            </w:rPr>
                            <w:t>1</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1" style="position:absolute;margin-left:-10.2pt;margin-top:0;width:41pt;height:41pt;z-index:251659264;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" o:allowincell="f" fillcolor="#d34817 [3204]" stroked="f">
              <v:textbox inset="0,0,0,0">
                <w:txbxContent>
                  <w:p w:rsidR="00B733CA" w:rsidRDefault="00B733CA">
                    <w:pPr>
                      <w:pStyle w:val="NoSpacing"/>
                      <w:jc w:val="center"/>
                      <w:rPr>
                        <w:color w:val="FFFFFF" w:themeColor="background1"/>
                        <w:sz w:val="40"/>
                        <w:szCs w:val="40"/>
                      </w:rPr>
                    </w:pPr>
                    <w:r>
                      <w:fldChar w:fldCharType="begin"/>
                    </w:r>
                    <w:r>
                      <w:instrText xml:space="preserve"> PAGE  \* Arabic  \* MERGEFORMAT </w:instrText>
                    </w:r>
                    <w:r>
                      <w:fldChar w:fldCharType="separate"/>
                    </w:r>
                    <w:r w:rsidR="00D05273" w:rsidRPr="00D05273">
                      <w:rPr>
                        <w:noProof/>
                        <w:color w:val="FFFFFF" w:themeColor="background1"/>
                        <w:sz w:val="40"/>
                        <w:szCs w:val="40"/>
                      </w:rPr>
                      <w:t>1</w:t>
                    </w:r>
                    <w:r>
                      <w:rPr>
                        <w:noProof/>
                        <w:color w:val="FFFFFF" w:themeColor="background1"/>
                        <w:sz w:val="40"/>
                        <w:szCs w:val="40"/>
                      </w:rPr>
                      <w:fldChar w:fldCharType="end"/>
                    </w:r>
                  </w:p>
                </w:txbxContent>
              </v:textbox>
              <w10:wrap anchorx="margin" anchory="margin"/>
            </v:oval>
          </w:pict>
        </mc:Fallback>
      </mc:AlternateContent>
    </w:r>
  </w:p>
  <w:p w:rsidR="00B733CA" w:rsidRDefault="00B733CA">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DBC" w:rsidRDefault="00175DBC">
      <w:pPr>
        <w:spacing w:after="0" w:line="240" w:lineRule="auto"/>
      </w:pPr>
      <w:r>
        <w:separator/>
      </w:r>
    </w:p>
  </w:footnote>
  <w:footnote w:type="continuationSeparator" w:id="0">
    <w:p w:rsidR="00175DBC" w:rsidRDefault="00175DBC">
      <w:pPr>
        <w:spacing w:after="0" w:line="240" w:lineRule="auto"/>
      </w:pPr>
      <w:r>
        <w:continuationSeparator/>
      </w:r>
    </w:p>
  </w:footnote>
  <w:footnote w:id="1">
    <w:p w:rsidR="00B733CA" w:rsidRPr="001B761A" w:rsidRDefault="00B733CA" w:rsidP="00F25110">
      <w:pPr>
        <w:pStyle w:val="FootnoteText"/>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themeColor="accent3"/>
      </w:rPr>
    </w:lvl>
  </w:abstractNum>
  <w:abstractNum w:abstractNumId="1">
    <w:nsid w:val="FFFFFF81"/>
    <w:multiLevelType w:val="singleLevel"/>
    <w:tmpl w:val="AD448D46"/>
    <w:lvl w:ilvl="0">
      <w:start w:val="1"/>
      <w:numFmt w:val="bullet"/>
      <w:pStyle w:val="ListBullet4"/>
      <w:lvlText w:val=""/>
      <w:lvlJc w:val="left"/>
      <w:pPr>
        <w:ind w:left="1440" w:hanging="360"/>
      </w:pPr>
      <w:rPr>
        <w:rFonts w:ascii="Symbol" w:hAnsi="Symbol" w:hint="default"/>
        <w:color w:val="A28E6A" w:themeColor="accent3"/>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themeColor="accent1" w:themeTint="9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themeColor="accent1"/>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themeColor="accent1" w:themeShade="BF"/>
      </w:rPr>
    </w:lvl>
  </w:abstractNum>
  <w:abstractNum w:abstractNumId="5">
    <w:nsid w:val="013173A8"/>
    <w:multiLevelType w:val="hybridMultilevel"/>
    <w:tmpl w:val="9834AD8C"/>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nsid w:val="03417C4C"/>
    <w:multiLevelType w:val="hybridMultilevel"/>
    <w:tmpl w:val="CCDE126C"/>
    <w:lvl w:ilvl="0" w:tplc="0409000D">
      <w:start w:val="1"/>
      <w:numFmt w:val="bullet"/>
      <w:lvlText w:val=""/>
      <w:lvlJc w:val="left"/>
      <w:pPr>
        <w:ind w:left="1080" w:hanging="360"/>
      </w:pPr>
      <w:rPr>
        <w:rFonts w:ascii="Wingdings" w:hAnsi="Wingding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
    <w:nsid w:val="039349AB"/>
    <w:multiLevelType w:val="hybridMultilevel"/>
    <w:tmpl w:val="94C4CA8C"/>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nsid w:val="05216EF7"/>
    <w:multiLevelType w:val="hybridMultilevel"/>
    <w:tmpl w:val="94F4CABE"/>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0A360CF"/>
    <w:multiLevelType w:val="hybridMultilevel"/>
    <w:tmpl w:val="A37EC9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E66D6B"/>
    <w:multiLevelType w:val="hybridMultilevel"/>
    <w:tmpl w:val="9856A60A"/>
    <w:lvl w:ilvl="0" w:tplc="0409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1">
    <w:nsid w:val="1151155A"/>
    <w:multiLevelType w:val="hybridMultilevel"/>
    <w:tmpl w:val="B8C628B4"/>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nsid w:val="122F4171"/>
    <w:multiLevelType w:val="hybridMultilevel"/>
    <w:tmpl w:val="882A33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152208"/>
    <w:multiLevelType w:val="multilevel"/>
    <w:tmpl w:val="1DF825A2"/>
    <w:lvl w:ilvl="0">
      <w:start w:val="1"/>
      <w:numFmt w:val="upperRoman"/>
      <w:lvlText w:val="%1."/>
      <w:lvlJc w:val="right"/>
      <w:pPr>
        <w:ind w:left="720" w:hanging="360"/>
      </w:pPr>
    </w:lvl>
    <w:lvl w:ilvl="1">
      <w:start w:val="5"/>
      <w:numFmt w:val="decimal"/>
      <w:isLgl/>
      <w:lvlText w:val="%1.%2."/>
      <w:lvlJc w:val="left"/>
      <w:pPr>
        <w:tabs>
          <w:tab w:val="num" w:pos="720"/>
        </w:tabs>
        <w:ind w:left="720" w:hanging="360"/>
      </w:pPr>
      <w:rPr>
        <w:rFonts w:eastAsia="Calibri" w:hint="default"/>
      </w:rPr>
    </w:lvl>
    <w:lvl w:ilvl="2">
      <w:start w:val="1"/>
      <w:numFmt w:val="decimal"/>
      <w:isLgl/>
      <w:lvlText w:val="%1.%2.%3."/>
      <w:lvlJc w:val="left"/>
      <w:pPr>
        <w:tabs>
          <w:tab w:val="num" w:pos="1080"/>
        </w:tabs>
        <w:ind w:left="1080" w:hanging="720"/>
      </w:pPr>
      <w:rPr>
        <w:rFonts w:eastAsia="Calibri" w:hint="default"/>
      </w:rPr>
    </w:lvl>
    <w:lvl w:ilvl="3">
      <w:start w:val="1"/>
      <w:numFmt w:val="decimal"/>
      <w:isLgl/>
      <w:lvlText w:val="%1.%2.%3.%4."/>
      <w:lvlJc w:val="left"/>
      <w:pPr>
        <w:tabs>
          <w:tab w:val="num" w:pos="1080"/>
        </w:tabs>
        <w:ind w:left="1080" w:hanging="720"/>
      </w:pPr>
      <w:rPr>
        <w:rFonts w:eastAsia="Calibri" w:hint="default"/>
      </w:rPr>
    </w:lvl>
    <w:lvl w:ilvl="4">
      <w:start w:val="1"/>
      <w:numFmt w:val="decimal"/>
      <w:isLgl/>
      <w:lvlText w:val="%1.%2.%3.%4.%5."/>
      <w:lvlJc w:val="left"/>
      <w:pPr>
        <w:tabs>
          <w:tab w:val="num" w:pos="1440"/>
        </w:tabs>
        <w:ind w:left="1440" w:hanging="1080"/>
      </w:pPr>
      <w:rPr>
        <w:rFonts w:eastAsia="Calibri" w:hint="default"/>
      </w:rPr>
    </w:lvl>
    <w:lvl w:ilvl="5">
      <w:start w:val="1"/>
      <w:numFmt w:val="decimal"/>
      <w:isLgl/>
      <w:lvlText w:val="%1.%2.%3.%4.%5.%6."/>
      <w:lvlJc w:val="left"/>
      <w:pPr>
        <w:tabs>
          <w:tab w:val="num" w:pos="1440"/>
        </w:tabs>
        <w:ind w:left="1440" w:hanging="1080"/>
      </w:pPr>
      <w:rPr>
        <w:rFonts w:eastAsia="Calibri" w:hint="default"/>
      </w:rPr>
    </w:lvl>
    <w:lvl w:ilvl="6">
      <w:start w:val="1"/>
      <w:numFmt w:val="decimal"/>
      <w:isLgl/>
      <w:lvlText w:val="%1.%2.%3.%4.%5.%6.%7."/>
      <w:lvlJc w:val="left"/>
      <w:pPr>
        <w:tabs>
          <w:tab w:val="num" w:pos="1800"/>
        </w:tabs>
        <w:ind w:left="1800" w:hanging="1440"/>
      </w:pPr>
      <w:rPr>
        <w:rFonts w:eastAsia="Calibri" w:hint="default"/>
      </w:rPr>
    </w:lvl>
    <w:lvl w:ilvl="7">
      <w:start w:val="1"/>
      <w:numFmt w:val="decimal"/>
      <w:isLgl/>
      <w:lvlText w:val="%1.%2.%3.%4.%5.%6.%7.%8."/>
      <w:lvlJc w:val="left"/>
      <w:pPr>
        <w:tabs>
          <w:tab w:val="num" w:pos="1800"/>
        </w:tabs>
        <w:ind w:left="1800" w:hanging="1440"/>
      </w:pPr>
      <w:rPr>
        <w:rFonts w:eastAsia="Calibri" w:hint="default"/>
      </w:rPr>
    </w:lvl>
    <w:lvl w:ilvl="8">
      <w:start w:val="1"/>
      <w:numFmt w:val="decimal"/>
      <w:isLgl/>
      <w:lvlText w:val="%1.%2.%3.%4.%5.%6.%7.%8.%9."/>
      <w:lvlJc w:val="left"/>
      <w:pPr>
        <w:tabs>
          <w:tab w:val="num" w:pos="2160"/>
        </w:tabs>
        <w:ind w:left="2160" w:hanging="1800"/>
      </w:pPr>
      <w:rPr>
        <w:rFonts w:eastAsia="Calibri" w:hint="default"/>
      </w:rPr>
    </w:lvl>
  </w:abstractNum>
  <w:abstractNum w:abstractNumId="14">
    <w:nsid w:val="15D66978"/>
    <w:multiLevelType w:val="hybridMultilevel"/>
    <w:tmpl w:val="A91E95E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18245D30"/>
    <w:multiLevelType w:val="hybridMultilevel"/>
    <w:tmpl w:val="6676403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19103826"/>
    <w:multiLevelType w:val="hybridMultilevel"/>
    <w:tmpl w:val="9320ADCC"/>
    <w:lvl w:ilvl="0" w:tplc="0409000B">
      <w:start w:val="1"/>
      <w:numFmt w:val="bullet"/>
      <w:lvlText w:val=""/>
      <w:lvlJc w:val="left"/>
      <w:pPr>
        <w:ind w:left="840" w:hanging="360"/>
      </w:pPr>
      <w:rPr>
        <w:rFonts w:ascii="Wingdings" w:hAnsi="Wingdings"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abstractNum w:abstractNumId="17">
    <w:nsid w:val="1B30431A"/>
    <w:multiLevelType w:val="hybridMultilevel"/>
    <w:tmpl w:val="120844D0"/>
    <w:lvl w:ilvl="0" w:tplc="0402000B">
      <w:start w:val="1"/>
      <w:numFmt w:val="bullet"/>
      <w:lvlText w:val=""/>
      <w:lvlJc w:val="left"/>
      <w:pPr>
        <w:ind w:left="984" w:hanging="360"/>
      </w:pPr>
      <w:rPr>
        <w:rFonts w:ascii="Wingdings" w:hAnsi="Wingdings" w:hint="default"/>
      </w:rPr>
    </w:lvl>
    <w:lvl w:ilvl="1" w:tplc="04020003" w:tentative="1">
      <w:start w:val="1"/>
      <w:numFmt w:val="bullet"/>
      <w:lvlText w:val="o"/>
      <w:lvlJc w:val="left"/>
      <w:pPr>
        <w:ind w:left="1704" w:hanging="360"/>
      </w:pPr>
      <w:rPr>
        <w:rFonts w:ascii="Courier New" w:hAnsi="Courier New" w:cs="Courier New" w:hint="default"/>
      </w:rPr>
    </w:lvl>
    <w:lvl w:ilvl="2" w:tplc="04020005" w:tentative="1">
      <w:start w:val="1"/>
      <w:numFmt w:val="bullet"/>
      <w:lvlText w:val=""/>
      <w:lvlJc w:val="left"/>
      <w:pPr>
        <w:ind w:left="2424" w:hanging="360"/>
      </w:pPr>
      <w:rPr>
        <w:rFonts w:ascii="Wingdings" w:hAnsi="Wingdings" w:hint="default"/>
      </w:rPr>
    </w:lvl>
    <w:lvl w:ilvl="3" w:tplc="04020001" w:tentative="1">
      <w:start w:val="1"/>
      <w:numFmt w:val="bullet"/>
      <w:lvlText w:val=""/>
      <w:lvlJc w:val="left"/>
      <w:pPr>
        <w:ind w:left="3144" w:hanging="360"/>
      </w:pPr>
      <w:rPr>
        <w:rFonts w:ascii="Symbol" w:hAnsi="Symbol" w:hint="default"/>
      </w:rPr>
    </w:lvl>
    <w:lvl w:ilvl="4" w:tplc="04020003" w:tentative="1">
      <w:start w:val="1"/>
      <w:numFmt w:val="bullet"/>
      <w:lvlText w:val="o"/>
      <w:lvlJc w:val="left"/>
      <w:pPr>
        <w:ind w:left="3864" w:hanging="360"/>
      </w:pPr>
      <w:rPr>
        <w:rFonts w:ascii="Courier New" w:hAnsi="Courier New" w:cs="Courier New" w:hint="default"/>
      </w:rPr>
    </w:lvl>
    <w:lvl w:ilvl="5" w:tplc="04020005" w:tentative="1">
      <w:start w:val="1"/>
      <w:numFmt w:val="bullet"/>
      <w:lvlText w:val=""/>
      <w:lvlJc w:val="left"/>
      <w:pPr>
        <w:ind w:left="4584" w:hanging="360"/>
      </w:pPr>
      <w:rPr>
        <w:rFonts w:ascii="Wingdings" w:hAnsi="Wingdings" w:hint="default"/>
      </w:rPr>
    </w:lvl>
    <w:lvl w:ilvl="6" w:tplc="04020001" w:tentative="1">
      <w:start w:val="1"/>
      <w:numFmt w:val="bullet"/>
      <w:lvlText w:val=""/>
      <w:lvlJc w:val="left"/>
      <w:pPr>
        <w:ind w:left="5304" w:hanging="360"/>
      </w:pPr>
      <w:rPr>
        <w:rFonts w:ascii="Symbol" w:hAnsi="Symbol" w:hint="default"/>
      </w:rPr>
    </w:lvl>
    <w:lvl w:ilvl="7" w:tplc="04020003" w:tentative="1">
      <w:start w:val="1"/>
      <w:numFmt w:val="bullet"/>
      <w:lvlText w:val="o"/>
      <w:lvlJc w:val="left"/>
      <w:pPr>
        <w:ind w:left="6024" w:hanging="360"/>
      </w:pPr>
      <w:rPr>
        <w:rFonts w:ascii="Courier New" w:hAnsi="Courier New" w:cs="Courier New" w:hint="default"/>
      </w:rPr>
    </w:lvl>
    <w:lvl w:ilvl="8" w:tplc="04020005" w:tentative="1">
      <w:start w:val="1"/>
      <w:numFmt w:val="bullet"/>
      <w:lvlText w:val=""/>
      <w:lvlJc w:val="left"/>
      <w:pPr>
        <w:ind w:left="6744" w:hanging="360"/>
      </w:pPr>
      <w:rPr>
        <w:rFonts w:ascii="Wingdings" w:hAnsi="Wingdings" w:hint="default"/>
      </w:rPr>
    </w:lvl>
  </w:abstractNum>
  <w:abstractNum w:abstractNumId="18">
    <w:nsid w:val="1F203AD9"/>
    <w:multiLevelType w:val="hybridMultilevel"/>
    <w:tmpl w:val="A2EA6D16"/>
    <w:lvl w:ilvl="0" w:tplc="5D96D4B2">
      <w:start w:val="1"/>
      <w:numFmt w:val="bullet"/>
      <w:pStyle w:val="Style2"/>
      <w:lvlText w:val="Ø"/>
      <w:lvlJc w:val="left"/>
      <w:pPr>
        <w:ind w:left="1854" w:hanging="360"/>
      </w:pPr>
      <w:rPr>
        <w:rFonts w:ascii="Symbol" w:hAnsi="Symbol" w:hint="default"/>
      </w:rPr>
    </w:lvl>
    <w:lvl w:ilvl="1" w:tplc="290611BA">
      <w:numFmt w:val="bullet"/>
      <w:lvlText w:val="–"/>
      <w:lvlJc w:val="left"/>
      <w:pPr>
        <w:ind w:left="2574" w:hanging="360"/>
      </w:pPr>
      <w:rPr>
        <w:rFonts w:ascii="Times New Roman" w:eastAsia="Times New Roman" w:hAnsi="Times New Roman" w:cs="Times New Roman"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19">
    <w:nsid w:val="22C22384"/>
    <w:multiLevelType w:val="hybridMultilevel"/>
    <w:tmpl w:val="51FCAE26"/>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
    <w:nsid w:val="22CD39D2"/>
    <w:multiLevelType w:val="hybridMultilevel"/>
    <w:tmpl w:val="BDA4F6B8"/>
    <w:lvl w:ilvl="0" w:tplc="0409000D">
      <w:start w:val="1"/>
      <w:numFmt w:val="bullet"/>
      <w:lvlText w:val=""/>
      <w:lvlJc w:val="left"/>
      <w:pPr>
        <w:ind w:left="433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3094C72"/>
    <w:multiLevelType w:val="hybridMultilevel"/>
    <w:tmpl w:val="C7D49242"/>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8E2837"/>
    <w:multiLevelType w:val="hybridMultilevel"/>
    <w:tmpl w:val="F87E8DC2"/>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nsid w:val="25241F54"/>
    <w:multiLevelType w:val="hybridMultilevel"/>
    <w:tmpl w:val="00BEB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6D59D3"/>
    <w:multiLevelType w:val="hybridMultilevel"/>
    <w:tmpl w:val="72F6C5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7E5C00"/>
    <w:multiLevelType w:val="hybridMultilevel"/>
    <w:tmpl w:val="2208E0FA"/>
    <w:lvl w:ilvl="0" w:tplc="0402000D">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
    <w:nsid w:val="273023BA"/>
    <w:multiLevelType w:val="hybridMultilevel"/>
    <w:tmpl w:val="B7CCBB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B46FD5"/>
    <w:multiLevelType w:val="hybridMultilevel"/>
    <w:tmpl w:val="F2FEB1E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2B1756A6"/>
    <w:multiLevelType w:val="hybridMultilevel"/>
    <w:tmpl w:val="B3E856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C8129E"/>
    <w:multiLevelType w:val="hybridMultilevel"/>
    <w:tmpl w:val="FB54828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F254B05"/>
    <w:multiLevelType w:val="hybridMultilevel"/>
    <w:tmpl w:val="A732C6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31636FC7"/>
    <w:multiLevelType w:val="hybridMultilevel"/>
    <w:tmpl w:val="05E6817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3539116B"/>
    <w:multiLevelType w:val="hybridMultilevel"/>
    <w:tmpl w:val="EC42638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3706277A"/>
    <w:multiLevelType w:val="hybridMultilevel"/>
    <w:tmpl w:val="6BFE5BEA"/>
    <w:lvl w:ilvl="0" w:tplc="0402000B">
      <w:start w:val="1"/>
      <w:numFmt w:val="bullet"/>
      <w:lvlText w:val=""/>
      <w:lvlJc w:val="left"/>
      <w:pPr>
        <w:ind w:left="862" w:hanging="360"/>
      </w:pPr>
      <w:rPr>
        <w:rFonts w:ascii="Wingdings" w:hAnsi="Wingdings" w:hint="default"/>
      </w:rPr>
    </w:lvl>
    <w:lvl w:ilvl="1" w:tplc="04020003" w:tentative="1">
      <w:start w:val="1"/>
      <w:numFmt w:val="bullet"/>
      <w:lvlText w:val="o"/>
      <w:lvlJc w:val="left"/>
      <w:pPr>
        <w:ind w:left="1582" w:hanging="360"/>
      </w:pPr>
      <w:rPr>
        <w:rFonts w:ascii="Courier New" w:hAnsi="Courier New" w:cs="Courier New" w:hint="default"/>
      </w:rPr>
    </w:lvl>
    <w:lvl w:ilvl="2" w:tplc="04020005" w:tentative="1">
      <w:start w:val="1"/>
      <w:numFmt w:val="bullet"/>
      <w:lvlText w:val=""/>
      <w:lvlJc w:val="left"/>
      <w:pPr>
        <w:ind w:left="2302" w:hanging="360"/>
      </w:pPr>
      <w:rPr>
        <w:rFonts w:ascii="Wingdings" w:hAnsi="Wingdings" w:hint="default"/>
      </w:rPr>
    </w:lvl>
    <w:lvl w:ilvl="3" w:tplc="04020001" w:tentative="1">
      <w:start w:val="1"/>
      <w:numFmt w:val="bullet"/>
      <w:lvlText w:val=""/>
      <w:lvlJc w:val="left"/>
      <w:pPr>
        <w:ind w:left="3022" w:hanging="360"/>
      </w:pPr>
      <w:rPr>
        <w:rFonts w:ascii="Symbol" w:hAnsi="Symbol" w:hint="default"/>
      </w:rPr>
    </w:lvl>
    <w:lvl w:ilvl="4" w:tplc="04020003" w:tentative="1">
      <w:start w:val="1"/>
      <w:numFmt w:val="bullet"/>
      <w:lvlText w:val="o"/>
      <w:lvlJc w:val="left"/>
      <w:pPr>
        <w:ind w:left="3742" w:hanging="360"/>
      </w:pPr>
      <w:rPr>
        <w:rFonts w:ascii="Courier New" w:hAnsi="Courier New" w:cs="Courier New" w:hint="default"/>
      </w:rPr>
    </w:lvl>
    <w:lvl w:ilvl="5" w:tplc="04020005" w:tentative="1">
      <w:start w:val="1"/>
      <w:numFmt w:val="bullet"/>
      <w:lvlText w:val=""/>
      <w:lvlJc w:val="left"/>
      <w:pPr>
        <w:ind w:left="4462" w:hanging="360"/>
      </w:pPr>
      <w:rPr>
        <w:rFonts w:ascii="Wingdings" w:hAnsi="Wingdings" w:hint="default"/>
      </w:rPr>
    </w:lvl>
    <w:lvl w:ilvl="6" w:tplc="04020001" w:tentative="1">
      <w:start w:val="1"/>
      <w:numFmt w:val="bullet"/>
      <w:lvlText w:val=""/>
      <w:lvlJc w:val="left"/>
      <w:pPr>
        <w:ind w:left="5182" w:hanging="360"/>
      </w:pPr>
      <w:rPr>
        <w:rFonts w:ascii="Symbol" w:hAnsi="Symbol" w:hint="default"/>
      </w:rPr>
    </w:lvl>
    <w:lvl w:ilvl="7" w:tplc="04020003" w:tentative="1">
      <w:start w:val="1"/>
      <w:numFmt w:val="bullet"/>
      <w:lvlText w:val="o"/>
      <w:lvlJc w:val="left"/>
      <w:pPr>
        <w:ind w:left="5902" w:hanging="360"/>
      </w:pPr>
      <w:rPr>
        <w:rFonts w:ascii="Courier New" w:hAnsi="Courier New" w:cs="Courier New" w:hint="default"/>
      </w:rPr>
    </w:lvl>
    <w:lvl w:ilvl="8" w:tplc="04020005" w:tentative="1">
      <w:start w:val="1"/>
      <w:numFmt w:val="bullet"/>
      <w:lvlText w:val=""/>
      <w:lvlJc w:val="left"/>
      <w:pPr>
        <w:ind w:left="6622" w:hanging="360"/>
      </w:pPr>
      <w:rPr>
        <w:rFonts w:ascii="Wingdings" w:hAnsi="Wingdings" w:hint="default"/>
      </w:rPr>
    </w:lvl>
  </w:abstractNum>
  <w:abstractNum w:abstractNumId="34">
    <w:nsid w:val="37075193"/>
    <w:multiLevelType w:val="hybridMultilevel"/>
    <w:tmpl w:val="54A832D8"/>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5">
    <w:nsid w:val="39D551F1"/>
    <w:multiLevelType w:val="hybridMultilevel"/>
    <w:tmpl w:val="A5A07AC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3A4B1126"/>
    <w:multiLevelType w:val="hybridMultilevel"/>
    <w:tmpl w:val="0A2ECE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B044FD5"/>
    <w:multiLevelType w:val="hybridMultilevel"/>
    <w:tmpl w:val="C7CEAB4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3D6510A3"/>
    <w:multiLevelType w:val="hybridMultilevel"/>
    <w:tmpl w:val="C3C4CC9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3EAF111E"/>
    <w:multiLevelType w:val="hybridMultilevel"/>
    <w:tmpl w:val="24C299FE"/>
    <w:lvl w:ilvl="0" w:tplc="0409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0">
    <w:nsid w:val="3F277CB3"/>
    <w:multiLevelType w:val="hybridMultilevel"/>
    <w:tmpl w:val="E8AA53B8"/>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1">
    <w:nsid w:val="458C4083"/>
    <w:multiLevelType w:val="hybridMultilevel"/>
    <w:tmpl w:val="5E44B6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61A11A6"/>
    <w:multiLevelType w:val="hybridMultilevel"/>
    <w:tmpl w:val="9904C4C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3">
    <w:nsid w:val="476A6118"/>
    <w:multiLevelType w:val="hybridMultilevel"/>
    <w:tmpl w:val="713C7C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2F5D4E"/>
    <w:multiLevelType w:val="hybridMultilevel"/>
    <w:tmpl w:val="6E763D7E"/>
    <w:lvl w:ilvl="0" w:tplc="0409000D">
      <w:start w:val="1"/>
      <w:numFmt w:val="bullet"/>
      <w:lvlText w:val=""/>
      <w:lvlJc w:val="left"/>
      <w:pPr>
        <w:ind w:left="840" w:hanging="360"/>
      </w:pPr>
      <w:rPr>
        <w:rFonts w:ascii="Wingdings" w:hAnsi="Wingdings"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abstractNum w:abstractNumId="45">
    <w:nsid w:val="49E112A4"/>
    <w:multiLevelType w:val="hybridMultilevel"/>
    <w:tmpl w:val="8C4477D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6">
    <w:nsid w:val="544810CD"/>
    <w:multiLevelType w:val="hybridMultilevel"/>
    <w:tmpl w:val="FB18564A"/>
    <w:lvl w:ilvl="0" w:tplc="0402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6C5186E"/>
    <w:multiLevelType w:val="hybridMultilevel"/>
    <w:tmpl w:val="ED86C14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A581CA7"/>
    <w:multiLevelType w:val="hybridMultilevel"/>
    <w:tmpl w:val="AEEAC968"/>
    <w:lvl w:ilvl="0" w:tplc="B95EC4DC">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9">
    <w:nsid w:val="5BC44362"/>
    <w:multiLevelType w:val="hybridMultilevel"/>
    <w:tmpl w:val="82FA19B2"/>
    <w:lvl w:ilvl="0" w:tplc="406E3402">
      <w:start w:val="1"/>
      <w:numFmt w:val="bullet"/>
      <w:lvlText w:val=""/>
      <w:lvlJc w:val="left"/>
      <w:pPr>
        <w:ind w:left="1428" w:hanging="360"/>
      </w:pPr>
      <w:rPr>
        <w:rFonts w:ascii="Wingdings" w:hAnsi="Wingdings" w:hint="default"/>
        <w:color w:val="00000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0">
    <w:nsid w:val="5DE02C42"/>
    <w:multiLevelType w:val="hybridMultilevel"/>
    <w:tmpl w:val="2BA0EAF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nsid w:val="5F7D1902"/>
    <w:multiLevelType w:val="hybridMultilevel"/>
    <w:tmpl w:val="F984FB10"/>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2">
    <w:nsid w:val="63BE4073"/>
    <w:multiLevelType w:val="hybridMultilevel"/>
    <w:tmpl w:val="9CB6780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nsid w:val="63E22B0A"/>
    <w:multiLevelType w:val="hybridMultilevel"/>
    <w:tmpl w:val="D94CE6CC"/>
    <w:lvl w:ilvl="0" w:tplc="0409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54">
    <w:nsid w:val="678C2100"/>
    <w:multiLevelType w:val="hybridMultilevel"/>
    <w:tmpl w:val="7B304FDC"/>
    <w:lvl w:ilvl="0" w:tplc="0409000F">
      <w:start w:val="1"/>
      <w:numFmt w:val="decimal"/>
      <w:lvlText w:val="%1."/>
      <w:lvlJc w:val="left"/>
      <w:pPr>
        <w:ind w:left="654" w:hanging="360"/>
      </w:p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55">
    <w:nsid w:val="6B47417C"/>
    <w:multiLevelType w:val="hybridMultilevel"/>
    <w:tmpl w:val="326CB0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BAB470D"/>
    <w:multiLevelType w:val="hybridMultilevel"/>
    <w:tmpl w:val="597C66E4"/>
    <w:lvl w:ilvl="0" w:tplc="0409000D">
      <w:start w:val="1"/>
      <w:numFmt w:val="bullet"/>
      <w:lvlText w:val=""/>
      <w:lvlJc w:val="left"/>
      <w:pPr>
        <w:ind w:left="360" w:hanging="360"/>
      </w:pPr>
      <w:rPr>
        <w:rFonts w:ascii="Wingdings" w:hAnsi="Wingdings" w:hint="default"/>
        <w:u w:val="none"/>
        <w:lang w:val="ru-RU"/>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CB528D6"/>
    <w:multiLevelType w:val="hybridMultilevel"/>
    <w:tmpl w:val="35EC2EFE"/>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8">
    <w:nsid w:val="6CBE135E"/>
    <w:multiLevelType w:val="hybridMultilevel"/>
    <w:tmpl w:val="C0E498BC"/>
    <w:lvl w:ilvl="0" w:tplc="0409000D">
      <w:start w:val="1"/>
      <w:numFmt w:val="bullet"/>
      <w:lvlText w:val=""/>
      <w:lvlJc w:val="left"/>
      <w:pPr>
        <w:tabs>
          <w:tab w:val="num" w:pos="1353"/>
        </w:tabs>
        <w:ind w:left="1353" w:hanging="360"/>
      </w:pPr>
      <w:rPr>
        <w:rFonts w:ascii="Wingdings" w:hAnsi="Wingdings" w:hint="default"/>
      </w:rPr>
    </w:lvl>
    <w:lvl w:ilvl="1" w:tplc="89FE6528">
      <w:start w:val="1"/>
      <w:numFmt w:val="bullet"/>
      <w:lvlText w:val=""/>
      <w:lvlJc w:val="left"/>
      <w:pPr>
        <w:tabs>
          <w:tab w:val="num" w:pos="2148"/>
        </w:tabs>
        <w:ind w:left="2148" w:hanging="360"/>
      </w:pPr>
      <w:rPr>
        <w:rFonts w:ascii="Symbol" w:hAnsi="Symbol" w:hint="default"/>
        <w:color w:val="auto"/>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59">
    <w:nsid w:val="6DD26B1F"/>
    <w:multiLevelType w:val="hybridMultilevel"/>
    <w:tmpl w:val="7D025272"/>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0">
    <w:nsid w:val="6E284565"/>
    <w:multiLevelType w:val="hybridMultilevel"/>
    <w:tmpl w:val="0EB202B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6F9B52CF"/>
    <w:multiLevelType w:val="hybridMultilevel"/>
    <w:tmpl w:val="441AE960"/>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nsid w:val="797E1949"/>
    <w:multiLevelType w:val="hybridMultilevel"/>
    <w:tmpl w:val="9C38848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A9C7AF7"/>
    <w:multiLevelType w:val="hybridMultilevel"/>
    <w:tmpl w:val="3E406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B472E61"/>
    <w:multiLevelType w:val="hybridMultilevel"/>
    <w:tmpl w:val="20C465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3"/>
  </w:num>
  <w:num w:numId="9">
    <w:abstractNumId w:val="57"/>
  </w:num>
  <w:num w:numId="10">
    <w:abstractNumId w:val="25"/>
  </w:num>
  <w:num w:numId="11">
    <w:abstractNumId w:val="11"/>
  </w:num>
  <w:num w:numId="12">
    <w:abstractNumId w:val="49"/>
  </w:num>
  <w:num w:numId="13">
    <w:abstractNumId w:val="59"/>
  </w:num>
  <w:num w:numId="14">
    <w:abstractNumId w:val="20"/>
  </w:num>
  <w:num w:numId="15">
    <w:abstractNumId w:val="51"/>
  </w:num>
  <w:num w:numId="16">
    <w:abstractNumId w:val="28"/>
  </w:num>
  <w:num w:numId="17">
    <w:abstractNumId w:val="26"/>
  </w:num>
  <w:num w:numId="18">
    <w:abstractNumId w:val="6"/>
  </w:num>
  <w:num w:numId="19">
    <w:abstractNumId w:val="54"/>
  </w:num>
  <w:num w:numId="20">
    <w:abstractNumId w:val="56"/>
  </w:num>
  <w:num w:numId="21">
    <w:abstractNumId w:val="22"/>
  </w:num>
  <w:num w:numId="22">
    <w:abstractNumId w:val="24"/>
  </w:num>
  <w:num w:numId="23">
    <w:abstractNumId w:val="8"/>
  </w:num>
  <w:num w:numId="24">
    <w:abstractNumId w:val="53"/>
  </w:num>
  <w:num w:numId="25">
    <w:abstractNumId w:val="10"/>
  </w:num>
  <w:num w:numId="26">
    <w:abstractNumId w:val="47"/>
  </w:num>
  <w:num w:numId="27">
    <w:abstractNumId w:val="62"/>
  </w:num>
  <w:num w:numId="28">
    <w:abstractNumId w:val="7"/>
  </w:num>
  <w:num w:numId="29">
    <w:abstractNumId w:val="41"/>
  </w:num>
  <w:num w:numId="30">
    <w:abstractNumId w:val="36"/>
  </w:num>
  <w:num w:numId="31">
    <w:abstractNumId w:val="16"/>
  </w:num>
  <w:num w:numId="32">
    <w:abstractNumId w:val="37"/>
  </w:num>
  <w:num w:numId="33">
    <w:abstractNumId w:val="30"/>
  </w:num>
  <w:num w:numId="34">
    <w:abstractNumId w:val="58"/>
  </w:num>
  <w:num w:numId="35">
    <w:abstractNumId w:val="39"/>
  </w:num>
  <w:num w:numId="36">
    <w:abstractNumId w:val="40"/>
  </w:num>
  <w:num w:numId="37">
    <w:abstractNumId w:val="19"/>
  </w:num>
  <w:num w:numId="38">
    <w:abstractNumId w:val="34"/>
  </w:num>
  <w:num w:numId="39">
    <w:abstractNumId w:val="21"/>
  </w:num>
  <w:num w:numId="40">
    <w:abstractNumId w:val="46"/>
  </w:num>
  <w:num w:numId="41">
    <w:abstractNumId w:val="14"/>
  </w:num>
  <w:num w:numId="42">
    <w:abstractNumId w:val="33"/>
  </w:num>
  <w:num w:numId="43">
    <w:abstractNumId w:val="45"/>
  </w:num>
  <w:num w:numId="44">
    <w:abstractNumId w:val="42"/>
  </w:num>
  <w:num w:numId="45">
    <w:abstractNumId w:val="48"/>
  </w:num>
  <w:num w:numId="46">
    <w:abstractNumId w:val="38"/>
  </w:num>
  <w:num w:numId="47">
    <w:abstractNumId w:val="35"/>
  </w:num>
  <w:num w:numId="48">
    <w:abstractNumId w:val="31"/>
  </w:num>
  <w:num w:numId="49">
    <w:abstractNumId w:val="50"/>
  </w:num>
  <w:num w:numId="50">
    <w:abstractNumId w:val="60"/>
  </w:num>
  <w:num w:numId="51">
    <w:abstractNumId w:val="15"/>
  </w:num>
  <w:num w:numId="52">
    <w:abstractNumId w:val="17"/>
  </w:num>
  <w:num w:numId="53">
    <w:abstractNumId w:val="61"/>
  </w:num>
  <w:num w:numId="54">
    <w:abstractNumId w:val="27"/>
  </w:num>
  <w:num w:numId="55">
    <w:abstractNumId w:val="52"/>
  </w:num>
  <w:num w:numId="56">
    <w:abstractNumId w:val="32"/>
  </w:num>
  <w:num w:numId="57">
    <w:abstractNumId w:val="29"/>
  </w:num>
  <w:num w:numId="58">
    <w:abstractNumId w:val="44"/>
  </w:num>
  <w:num w:numId="59">
    <w:abstractNumId w:val="5"/>
  </w:num>
  <w:num w:numId="60">
    <w:abstractNumId w:val="63"/>
  </w:num>
  <w:num w:numId="61">
    <w:abstractNumId w:val="43"/>
  </w:num>
  <w:num w:numId="62">
    <w:abstractNumId w:val="23"/>
  </w:num>
  <w:num w:numId="63">
    <w:abstractNumId w:val="12"/>
  </w:num>
  <w:num w:numId="64">
    <w:abstractNumId w:val="55"/>
  </w:num>
  <w:num w:numId="65">
    <w:abstractNumId w:val="9"/>
  </w:num>
  <w:num w:numId="66">
    <w:abstractNumId w:val="6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4CB"/>
    <w:rsid w:val="00004395"/>
    <w:rsid w:val="00004AF4"/>
    <w:rsid w:val="00005F27"/>
    <w:rsid w:val="00013E44"/>
    <w:rsid w:val="00040295"/>
    <w:rsid w:val="00040D56"/>
    <w:rsid w:val="0005121F"/>
    <w:rsid w:val="000553F2"/>
    <w:rsid w:val="00060A4D"/>
    <w:rsid w:val="00061F4D"/>
    <w:rsid w:val="000640DF"/>
    <w:rsid w:val="00080582"/>
    <w:rsid w:val="00091A38"/>
    <w:rsid w:val="00094346"/>
    <w:rsid w:val="000954A9"/>
    <w:rsid w:val="000966D2"/>
    <w:rsid w:val="000A63B6"/>
    <w:rsid w:val="000C1801"/>
    <w:rsid w:val="000C59D4"/>
    <w:rsid w:val="000F4ED7"/>
    <w:rsid w:val="00101AD6"/>
    <w:rsid w:val="00105F56"/>
    <w:rsid w:val="00115538"/>
    <w:rsid w:val="001223C9"/>
    <w:rsid w:val="0012746D"/>
    <w:rsid w:val="00137BF7"/>
    <w:rsid w:val="00141BD6"/>
    <w:rsid w:val="00142D9E"/>
    <w:rsid w:val="00143580"/>
    <w:rsid w:val="00145DC5"/>
    <w:rsid w:val="00166850"/>
    <w:rsid w:val="00172DEB"/>
    <w:rsid w:val="00175DBC"/>
    <w:rsid w:val="001765A8"/>
    <w:rsid w:val="001849C5"/>
    <w:rsid w:val="00192FAE"/>
    <w:rsid w:val="001A6165"/>
    <w:rsid w:val="001A6DE3"/>
    <w:rsid w:val="001B0F5B"/>
    <w:rsid w:val="001B2DF8"/>
    <w:rsid w:val="001C0CFA"/>
    <w:rsid w:val="001C1426"/>
    <w:rsid w:val="001D6BA2"/>
    <w:rsid w:val="001E0984"/>
    <w:rsid w:val="001E6A23"/>
    <w:rsid w:val="001F0F7F"/>
    <w:rsid w:val="001F4475"/>
    <w:rsid w:val="001F597C"/>
    <w:rsid w:val="002026DE"/>
    <w:rsid w:val="0021416F"/>
    <w:rsid w:val="00214C42"/>
    <w:rsid w:val="00233655"/>
    <w:rsid w:val="002338D6"/>
    <w:rsid w:val="00240F19"/>
    <w:rsid w:val="00245062"/>
    <w:rsid w:val="0024547D"/>
    <w:rsid w:val="00246C6D"/>
    <w:rsid w:val="0025081B"/>
    <w:rsid w:val="0025649E"/>
    <w:rsid w:val="00257D21"/>
    <w:rsid w:val="00263C3C"/>
    <w:rsid w:val="00271BA4"/>
    <w:rsid w:val="00272822"/>
    <w:rsid w:val="002842F1"/>
    <w:rsid w:val="00286311"/>
    <w:rsid w:val="00290071"/>
    <w:rsid w:val="002931BE"/>
    <w:rsid w:val="00293573"/>
    <w:rsid w:val="00294136"/>
    <w:rsid w:val="00295466"/>
    <w:rsid w:val="0029729D"/>
    <w:rsid w:val="002A4DC2"/>
    <w:rsid w:val="002B043B"/>
    <w:rsid w:val="002B12DE"/>
    <w:rsid w:val="002B632C"/>
    <w:rsid w:val="002C60FF"/>
    <w:rsid w:val="002E1F34"/>
    <w:rsid w:val="002E4BAB"/>
    <w:rsid w:val="002E5208"/>
    <w:rsid w:val="00306A60"/>
    <w:rsid w:val="0031049C"/>
    <w:rsid w:val="00310AFC"/>
    <w:rsid w:val="00311BCF"/>
    <w:rsid w:val="003156EA"/>
    <w:rsid w:val="003263FB"/>
    <w:rsid w:val="0032780D"/>
    <w:rsid w:val="00330F11"/>
    <w:rsid w:val="00333112"/>
    <w:rsid w:val="003470AB"/>
    <w:rsid w:val="003506D7"/>
    <w:rsid w:val="00353E81"/>
    <w:rsid w:val="00354786"/>
    <w:rsid w:val="00360ABE"/>
    <w:rsid w:val="00365FE1"/>
    <w:rsid w:val="00380072"/>
    <w:rsid w:val="00384F9A"/>
    <w:rsid w:val="00387369"/>
    <w:rsid w:val="003A7521"/>
    <w:rsid w:val="003B10FB"/>
    <w:rsid w:val="003B4942"/>
    <w:rsid w:val="003C3A95"/>
    <w:rsid w:val="003C3DB0"/>
    <w:rsid w:val="003E1AF8"/>
    <w:rsid w:val="003E5227"/>
    <w:rsid w:val="003E5716"/>
    <w:rsid w:val="003E5B3E"/>
    <w:rsid w:val="003F0FEF"/>
    <w:rsid w:val="003F28E9"/>
    <w:rsid w:val="00406B87"/>
    <w:rsid w:val="0040738C"/>
    <w:rsid w:val="004121A9"/>
    <w:rsid w:val="00412E95"/>
    <w:rsid w:val="004146F0"/>
    <w:rsid w:val="00432B92"/>
    <w:rsid w:val="004334A5"/>
    <w:rsid w:val="00444634"/>
    <w:rsid w:val="00447592"/>
    <w:rsid w:val="00451854"/>
    <w:rsid w:val="00454603"/>
    <w:rsid w:val="00466F49"/>
    <w:rsid w:val="00481734"/>
    <w:rsid w:val="00481BF3"/>
    <w:rsid w:val="00482092"/>
    <w:rsid w:val="004832E7"/>
    <w:rsid w:val="00496102"/>
    <w:rsid w:val="00496A01"/>
    <w:rsid w:val="004A0444"/>
    <w:rsid w:val="004A2CDF"/>
    <w:rsid w:val="004A5502"/>
    <w:rsid w:val="004B079A"/>
    <w:rsid w:val="004B248B"/>
    <w:rsid w:val="004C7F30"/>
    <w:rsid w:val="004D40D7"/>
    <w:rsid w:val="004E5C0F"/>
    <w:rsid w:val="004F3104"/>
    <w:rsid w:val="004F3F76"/>
    <w:rsid w:val="0050396A"/>
    <w:rsid w:val="00507139"/>
    <w:rsid w:val="00510A60"/>
    <w:rsid w:val="00510FFB"/>
    <w:rsid w:val="00514D97"/>
    <w:rsid w:val="00514E27"/>
    <w:rsid w:val="005152D1"/>
    <w:rsid w:val="00515F00"/>
    <w:rsid w:val="005170D0"/>
    <w:rsid w:val="00537460"/>
    <w:rsid w:val="00541840"/>
    <w:rsid w:val="00543DBD"/>
    <w:rsid w:val="0054405F"/>
    <w:rsid w:val="00545385"/>
    <w:rsid w:val="005503C0"/>
    <w:rsid w:val="005568B4"/>
    <w:rsid w:val="00557CCB"/>
    <w:rsid w:val="0056111E"/>
    <w:rsid w:val="00565F5A"/>
    <w:rsid w:val="005800A3"/>
    <w:rsid w:val="00582B6D"/>
    <w:rsid w:val="0058336D"/>
    <w:rsid w:val="00590471"/>
    <w:rsid w:val="005B480D"/>
    <w:rsid w:val="005C1DF1"/>
    <w:rsid w:val="005D0034"/>
    <w:rsid w:val="005D4015"/>
    <w:rsid w:val="005E4027"/>
    <w:rsid w:val="005E437D"/>
    <w:rsid w:val="006272FB"/>
    <w:rsid w:val="00630655"/>
    <w:rsid w:val="00634ED1"/>
    <w:rsid w:val="00635396"/>
    <w:rsid w:val="00652DC4"/>
    <w:rsid w:val="006614F6"/>
    <w:rsid w:val="00663C60"/>
    <w:rsid w:val="00676F70"/>
    <w:rsid w:val="00683FC5"/>
    <w:rsid w:val="00683FC8"/>
    <w:rsid w:val="00684EE0"/>
    <w:rsid w:val="006951A9"/>
    <w:rsid w:val="00696BC4"/>
    <w:rsid w:val="006A3270"/>
    <w:rsid w:val="006A6029"/>
    <w:rsid w:val="006A702A"/>
    <w:rsid w:val="006B06EA"/>
    <w:rsid w:val="006B4D4E"/>
    <w:rsid w:val="006C14E2"/>
    <w:rsid w:val="006C3C17"/>
    <w:rsid w:val="006C7F19"/>
    <w:rsid w:val="006D7043"/>
    <w:rsid w:val="006E4093"/>
    <w:rsid w:val="006E7871"/>
    <w:rsid w:val="006E7BA1"/>
    <w:rsid w:val="006F4EA2"/>
    <w:rsid w:val="0070490F"/>
    <w:rsid w:val="00706425"/>
    <w:rsid w:val="00715A85"/>
    <w:rsid w:val="00715BD6"/>
    <w:rsid w:val="007326E5"/>
    <w:rsid w:val="00734A7C"/>
    <w:rsid w:val="00735741"/>
    <w:rsid w:val="007475F9"/>
    <w:rsid w:val="007548F1"/>
    <w:rsid w:val="00755E49"/>
    <w:rsid w:val="00760EA7"/>
    <w:rsid w:val="00761304"/>
    <w:rsid w:val="00764D50"/>
    <w:rsid w:val="00765337"/>
    <w:rsid w:val="00774C9A"/>
    <w:rsid w:val="007764CE"/>
    <w:rsid w:val="00777026"/>
    <w:rsid w:val="007921A7"/>
    <w:rsid w:val="00796813"/>
    <w:rsid w:val="007A75A4"/>
    <w:rsid w:val="007D1144"/>
    <w:rsid w:val="007D1331"/>
    <w:rsid w:val="007E0A34"/>
    <w:rsid w:val="007E78E1"/>
    <w:rsid w:val="00810DA4"/>
    <w:rsid w:val="0081220E"/>
    <w:rsid w:val="00815D3D"/>
    <w:rsid w:val="0082079D"/>
    <w:rsid w:val="00820CB7"/>
    <w:rsid w:val="00820D22"/>
    <w:rsid w:val="00824BD7"/>
    <w:rsid w:val="00833EAF"/>
    <w:rsid w:val="00840654"/>
    <w:rsid w:val="00844CEF"/>
    <w:rsid w:val="008740D8"/>
    <w:rsid w:val="00876059"/>
    <w:rsid w:val="00876B43"/>
    <w:rsid w:val="008804A2"/>
    <w:rsid w:val="0088780C"/>
    <w:rsid w:val="00897A4D"/>
    <w:rsid w:val="008A2C7B"/>
    <w:rsid w:val="008A2EC5"/>
    <w:rsid w:val="008B02F6"/>
    <w:rsid w:val="008B7EA8"/>
    <w:rsid w:val="008C0C21"/>
    <w:rsid w:val="008D65C9"/>
    <w:rsid w:val="00904EDE"/>
    <w:rsid w:val="009118A9"/>
    <w:rsid w:val="009122C5"/>
    <w:rsid w:val="00915124"/>
    <w:rsid w:val="009219DB"/>
    <w:rsid w:val="009230EB"/>
    <w:rsid w:val="00926D79"/>
    <w:rsid w:val="00927A1F"/>
    <w:rsid w:val="00943770"/>
    <w:rsid w:val="00955B7E"/>
    <w:rsid w:val="00957FF6"/>
    <w:rsid w:val="00966F06"/>
    <w:rsid w:val="0096792A"/>
    <w:rsid w:val="0098446D"/>
    <w:rsid w:val="0098648F"/>
    <w:rsid w:val="00986AF8"/>
    <w:rsid w:val="00991DA6"/>
    <w:rsid w:val="00992151"/>
    <w:rsid w:val="009A039A"/>
    <w:rsid w:val="009A4ADC"/>
    <w:rsid w:val="009B01EB"/>
    <w:rsid w:val="009B13BF"/>
    <w:rsid w:val="009C243E"/>
    <w:rsid w:val="009C4CAB"/>
    <w:rsid w:val="009D016A"/>
    <w:rsid w:val="009D5CAF"/>
    <w:rsid w:val="009D77BD"/>
    <w:rsid w:val="009F3164"/>
    <w:rsid w:val="009F3479"/>
    <w:rsid w:val="009F35C0"/>
    <w:rsid w:val="009F70F2"/>
    <w:rsid w:val="00A03E58"/>
    <w:rsid w:val="00A3402E"/>
    <w:rsid w:val="00A374CB"/>
    <w:rsid w:val="00A409F8"/>
    <w:rsid w:val="00A47E25"/>
    <w:rsid w:val="00A507B5"/>
    <w:rsid w:val="00A50C08"/>
    <w:rsid w:val="00A54FB7"/>
    <w:rsid w:val="00A6496C"/>
    <w:rsid w:val="00A66908"/>
    <w:rsid w:val="00A70C77"/>
    <w:rsid w:val="00A80059"/>
    <w:rsid w:val="00A833E4"/>
    <w:rsid w:val="00A91E06"/>
    <w:rsid w:val="00AA4A13"/>
    <w:rsid w:val="00AA54DF"/>
    <w:rsid w:val="00AA679F"/>
    <w:rsid w:val="00AB1733"/>
    <w:rsid w:val="00AB1901"/>
    <w:rsid w:val="00AB387F"/>
    <w:rsid w:val="00AC3793"/>
    <w:rsid w:val="00B078E5"/>
    <w:rsid w:val="00B1024A"/>
    <w:rsid w:val="00B35F3E"/>
    <w:rsid w:val="00B361AE"/>
    <w:rsid w:val="00B372F9"/>
    <w:rsid w:val="00B45336"/>
    <w:rsid w:val="00B535EF"/>
    <w:rsid w:val="00B6388E"/>
    <w:rsid w:val="00B66A81"/>
    <w:rsid w:val="00B7039E"/>
    <w:rsid w:val="00B733CA"/>
    <w:rsid w:val="00B7511A"/>
    <w:rsid w:val="00B836CB"/>
    <w:rsid w:val="00B840E1"/>
    <w:rsid w:val="00B84A86"/>
    <w:rsid w:val="00B93CA7"/>
    <w:rsid w:val="00B95792"/>
    <w:rsid w:val="00BA09AC"/>
    <w:rsid w:val="00BA33B6"/>
    <w:rsid w:val="00BA6B71"/>
    <w:rsid w:val="00BB2F5B"/>
    <w:rsid w:val="00BB6602"/>
    <w:rsid w:val="00BC0696"/>
    <w:rsid w:val="00BC0CEC"/>
    <w:rsid w:val="00BC28AE"/>
    <w:rsid w:val="00BC30DD"/>
    <w:rsid w:val="00BD1A00"/>
    <w:rsid w:val="00BD242F"/>
    <w:rsid w:val="00BD7BB1"/>
    <w:rsid w:val="00BE2D2C"/>
    <w:rsid w:val="00BE3282"/>
    <w:rsid w:val="00BF21C5"/>
    <w:rsid w:val="00BF2FCE"/>
    <w:rsid w:val="00C01C3D"/>
    <w:rsid w:val="00C144DE"/>
    <w:rsid w:val="00C15E5C"/>
    <w:rsid w:val="00C23F00"/>
    <w:rsid w:val="00C26C16"/>
    <w:rsid w:val="00C41448"/>
    <w:rsid w:val="00C43A89"/>
    <w:rsid w:val="00C43B5B"/>
    <w:rsid w:val="00C45F3F"/>
    <w:rsid w:val="00C520F7"/>
    <w:rsid w:val="00C63716"/>
    <w:rsid w:val="00C730D1"/>
    <w:rsid w:val="00CA228B"/>
    <w:rsid w:val="00CA7612"/>
    <w:rsid w:val="00CC0F82"/>
    <w:rsid w:val="00CC57B1"/>
    <w:rsid w:val="00CD1689"/>
    <w:rsid w:val="00CE7820"/>
    <w:rsid w:val="00CF4DDC"/>
    <w:rsid w:val="00CF709E"/>
    <w:rsid w:val="00CF79E8"/>
    <w:rsid w:val="00D05273"/>
    <w:rsid w:val="00D05C97"/>
    <w:rsid w:val="00D06098"/>
    <w:rsid w:val="00D07D01"/>
    <w:rsid w:val="00D13399"/>
    <w:rsid w:val="00D14E24"/>
    <w:rsid w:val="00D16D26"/>
    <w:rsid w:val="00D2769A"/>
    <w:rsid w:val="00D37E51"/>
    <w:rsid w:val="00D40166"/>
    <w:rsid w:val="00D41E26"/>
    <w:rsid w:val="00D45A27"/>
    <w:rsid w:val="00D509DF"/>
    <w:rsid w:val="00D50F54"/>
    <w:rsid w:val="00D5692A"/>
    <w:rsid w:val="00D62405"/>
    <w:rsid w:val="00D76B34"/>
    <w:rsid w:val="00D922C6"/>
    <w:rsid w:val="00D92FEA"/>
    <w:rsid w:val="00D95DC3"/>
    <w:rsid w:val="00D97DA9"/>
    <w:rsid w:val="00D97E53"/>
    <w:rsid w:val="00DA178D"/>
    <w:rsid w:val="00DB180A"/>
    <w:rsid w:val="00DB1CB3"/>
    <w:rsid w:val="00DC5D97"/>
    <w:rsid w:val="00DD2EDA"/>
    <w:rsid w:val="00DE2413"/>
    <w:rsid w:val="00DE42DE"/>
    <w:rsid w:val="00DE65C9"/>
    <w:rsid w:val="00DF34F3"/>
    <w:rsid w:val="00E041AA"/>
    <w:rsid w:val="00E0440A"/>
    <w:rsid w:val="00E15708"/>
    <w:rsid w:val="00E16E13"/>
    <w:rsid w:val="00E31970"/>
    <w:rsid w:val="00E34A11"/>
    <w:rsid w:val="00E55CF3"/>
    <w:rsid w:val="00E6068B"/>
    <w:rsid w:val="00E8239C"/>
    <w:rsid w:val="00E8474D"/>
    <w:rsid w:val="00E90A69"/>
    <w:rsid w:val="00E962C9"/>
    <w:rsid w:val="00E97562"/>
    <w:rsid w:val="00EA06A5"/>
    <w:rsid w:val="00EB3F56"/>
    <w:rsid w:val="00EB7095"/>
    <w:rsid w:val="00EC39F5"/>
    <w:rsid w:val="00EC4587"/>
    <w:rsid w:val="00EC6304"/>
    <w:rsid w:val="00ED777A"/>
    <w:rsid w:val="00ED7C4B"/>
    <w:rsid w:val="00EE6E19"/>
    <w:rsid w:val="00EF2F67"/>
    <w:rsid w:val="00EF45A7"/>
    <w:rsid w:val="00F03E53"/>
    <w:rsid w:val="00F06BF0"/>
    <w:rsid w:val="00F20BD0"/>
    <w:rsid w:val="00F213A4"/>
    <w:rsid w:val="00F25110"/>
    <w:rsid w:val="00F26116"/>
    <w:rsid w:val="00F27304"/>
    <w:rsid w:val="00F3287C"/>
    <w:rsid w:val="00F334FD"/>
    <w:rsid w:val="00F44B87"/>
    <w:rsid w:val="00F46189"/>
    <w:rsid w:val="00F62805"/>
    <w:rsid w:val="00F6489D"/>
    <w:rsid w:val="00F6578F"/>
    <w:rsid w:val="00F70061"/>
    <w:rsid w:val="00F70F90"/>
    <w:rsid w:val="00F73806"/>
    <w:rsid w:val="00F911B1"/>
    <w:rsid w:val="00F92E8B"/>
    <w:rsid w:val="00F938CA"/>
    <w:rsid w:val="00F94ABD"/>
    <w:rsid w:val="00F96F0A"/>
    <w:rsid w:val="00FA70B8"/>
    <w:rsid w:val="00FC30B3"/>
    <w:rsid w:val="00FD1237"/>
    <w:rsid w:val="00FD59D7"/>
    <w:rsid w:val="00FD6220"/>
    <w:rsid w:val="00FE029D"/>
    <w:rsid w:val="00FE6D52"/>
    <w:rsid w:val="00FF68FA"/>
    <w:rsid w:val="00FF6F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40"/>
    <w:lsdException w:name="Hyperlink" w:uiPriority="0"/>
    <w:lsdException w:name="Strong" w:semiHidden="0" w:uiPriority="22" w:unhideWhenUsed="0" w:qFormat="1"/>
    <w:lsdException w:name="Emphasis" w:semiHidden="0" w:uiPriority="0" w:unhideWhenUsed="0" w:qFormat="1"/>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346"/>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1"/>
      </w:numPr>
      <w:spacing w:after="0"/>
      <w:contextualSpacing/>
    </w:pPr>
  </w:style>
  <w:style w:type="paragraph" w:styleId="ListBullet2">
    <w:name w:val="List Bullet 2"/>
    <w:basedOn w:val="Normal"/>
    <w:uiPriority w:val="36"/>
    <w:unhideWhenUsed/>
    <w:qFormat/>
    <w:pPr>
      <w:numPr>
        <w:numId w:val="2"/>
      </w:numPr>
      <w:spacing w:after="0"/>
    </w:pPr>
  </w:style>
  <w:style w:type="paragraph" w:styleId="ListBullet3">
    <w:name w:val="List Bullet 3"/>
    <w:basedOn w:val="Normal"/>
    <w:uiPriority w:val="36"/>
    <w:unhideWhenUsed/>
    <w:qFormat/>
    <w:pPr>
      <w:numPr>
        <w:numId w:val="3"/>
      </w:numPr>
      <w:spacing w:after="0"/>
    </w:pPr>
  </w:style>
  <w:style w:type="paragraph" w:styleId="ListBullet4">
    <w:name w:val="List Bullet 4"/>
    <w:basedOn w:val="Normal"/>
    <w:uiPriority w:val="36"/>
    <w:unhideWhenUsed/>
    <w:qFormat/>
    <w:pPr>
      <w:numPr>
        <w:numId w:val="4"/>
      </w:numPr>
      <w:spacing w:after="0"/>
    </w:pPr>
  </w:style>
  <w:style w:type="paragraph" w:styleId="ListBullet5">
    <w:name w:val="List Bullet 5"/>
    <w:basedOn w:val="Normal"/>
    <w:uiPriority w:val="36"/>
    <w:unhideWhenUsed/>
    <w:qFormat/>
    <w:pPr>
      <w:numPr>
        <w:numId w:val="5"/>
      </w:numPr>
      <w:spacing w:after="0"/>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customStyle="1" w:styleId="ListParagraphChar">
    <w:name w:val="List Paragraph Char"/>
    <w:link w:val="ListParagraph"/>
    <w:uiPriority w:val="34"/>
    <w:locked/>
    <w:rsid w:val="00F26116"/>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26116"/>
    <w:pPr>
      <w:spacing w:after="0" w:line="240" w:lineRule="auto"/>
      <w:ind w:left="720"/>
      <w:contextualSpacing/>
    </w:pPr>
    <w:rPr>
      <w:rFonts w:ascii="Times New Roman" w:eastAsia="Times New Roman" w:hAnsi="Times New Roman"/>
      <w:color w:val="auto"/>
      <w:sz w:val="24"/>
      <w:szCs w:val="24"/>
    </w:rPr>
  </w:style>
  <w:style w:type="paragraph" w:customStyle="1" w:styleId="title17">
    <w:name w:val="title17"/>
    <w:basedOn w:val="Normal"/>
    <w:rsid w:val="00F26116"/>
    <w:pPr>
      <w:spacing w:before="100" w:beforeAutospacing="1" w:after="100" w:afterAutospacing="1" w:line="240" w:lineRule="auto"/>
      <w:jc w:val="center"/>
    </w:pPr>
    <w:rPr>
      <w:rFonts w:ascii="Times New Roman" w:eastAsia="Times New Roman" w:hAnsi="Times New Roman"/>
      <w:b/>
      <w:bCs/>
      <w:color w:val="auto"/>
      <w:sz w:val="26"/>
      <w:szCs w:val="26"/>
      <w:lang w:val="bg-BG" w:eastAsia="bg-BG"/>
    </w:rPr>
  </w:style>
  <w:style w:type="character" w:customStyle="1" w:styleId="st">
    <w:name w:val="st"/>
    <w:rsid w:val="00E55CF3"/>
  </w:style>
  <w:style w:type="table" w:styleId="MediumList1-Accent1">
    <w:name w:val="Medium List 1 Accent 1"/>
    <w:basedOn w:val="TableNormal"/>
    <w:uiPriority w:val="65"/>
    <w:rsid w:val="00E55CF3"/>
    <w:pPr>
      <w:spacing w:after="0" w:line="240" w:lineRule="auto"/>
    </w:pPr>
    <w:rPr>
      <w:color w:val="000000" w:themeColor="text1"/>
    </w:rPr>
    <w:tblPr>
      <w:tblStyleRowBandSize w:val="1"/>
      <w:tblStyleColBandSize w:val="1"/>
      <w:tblBorders>
        <w:top w:val="single" w:sz="8" w:space="0" w:color="D34817" w:themeColor="accent1"/>
        <w:bottom w:val="single" w:sz="8" w:space="0" w:color="D34817" w:themeColor="accent1"/>
      </w:tblBorders>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styleId="LightShading-Accent1">
    <w:name w:val="Light Shading Accent 1"/>
    <w:basedOn w:val="TableNormal"/>
    <w:uiPriority w:val="60"/>
    <w:rsid w:val="0056111E"/>
    <w:pPr>
      <w:spacing w:after="0"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numbering" w:customStyle="1" w:styleId="NoList1">
    <w:name w:val="No List1"/>
    <w:next w:val="NoList"/>
    <w:semiHidden/>
    <w:unhideWhenUsed/>
    <w:rsid w:val="00F25110"/>
  </w:style>
  <w:style w:type="character" w:customStyle="1" w:styleId="samedocreference1">
    <w:name w:val="samedocreference1"/>
    <w:rsid w:val="00F25110"/>
    <w:rPr>
      <w:i w:val="0"/>
      <w:iCs w:val="0"/>
      <w:color w:val="8B0000"/>
      <w:u w:val="single"/>
    </w:rPr>
  </w:style>
  <w:style w:type="character" w:styleId="Hyperlink">
    <w:name w:val="Hyperlink"/>
    <w:unhideWhenUsed/>
    <w:rsid w:val="00F25110"/>
    <w:rPr>
      <w:color w:val="0000FF"/>
      <w:u w:val="single"/>
    </w:rPr>
  </w:style>
  <w:style w:type="paragraph" w:customStyle="1" w:styleId="Char">
    <w:name w:val="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
    <w:name w:val="Стил"/>
    <w:rsid w:val="00F25110"/>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F25110"/>
    <w:pPr>
      <w:spacing w:before="100" w:beforeAutospacing="1" w:after="100" w:afterAutospacing="1" w:line="240" w:lineRule="auto"/>
    </w:pPr>
    <w:rPr>
      <w:rFonts w:ascii="Times New Roman" w:eastAsia="Times New Roman" w:hAnsi="Times New Roman"/>
      <w:color w:val="auto"/>
      <w:sz w:val="24"/>
      <w:szCs w:val="24"/>
      <w:lang w:val="bg-BG" w:eastAsia="bg-BG"/>
    </w:rPr>
  </w:style>
  <w:style w:type="paragraph" w:customStyle="1" w:styleId="Default">
    <w:name w:val="Default"/>
    <w:rsid w:val="00F25110"/>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F25110"/>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F25110"/>
    <w:pPr>
      <w:spacing w:after="0" w:line="240" w:lineRule="auto"/>
      <w:ind w:right="-108"/>
    </w:pPr>
    <w:rPr>
      <w:rFonts w:ascii="Arial" w:eastAsia="Times New Roman" w:hAnsi="Arial"/>
      <w:color w:val="auto"/>
      <w:sz w:val="24"/>
      <w:szCs w:val="24"/>
      <w:lang w:val="x-none" w:eastAsia="bg-BG"/>
    </w:rPr>
  </w:style>
  <w:style w:type="character" w:customStyle="1" w:styleId="BodyTextChar">
    <w:name w:val="Body Text Char"/>
    <w:basedOn w:val="DefaultParagraphFont"/>
    <w:link w:val="BodyText"/>
    <w:rsid w:val="00F25110"/>
    <w:rPr>
      <w:rFonts w:ascii="Arial" w:eastAsia="Times New Roman" w:hAnsi="Arial" w:cs="Times New Roman"/>
      <w:sz w:val="24"/>
      <w:szCs w:val="24"/>
      <w:lang w:val="x-none" w:eastAsia="bg-BG"/>
    </w:rPr>
  </w:style>
  <w:style w:type="character" w:styleId="PageNumber">
    <w:name w:val="page number"/>
    <w:rsid w:val="00F25110"/>
  </w:style>
  <w:style w:type="paragraph" w:customStyle="1" w:styleId="Char11">
    <w:name w:val="Char1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styleId="FootnoteReference">
    <w:name w:val="footnote reference"/>
    <w:aliases w:val="Footnote,Footnote symbol, Char1 Char Char Char Char,Char1 Char Char Char Char,Appel note de bas de p"/>
    <w:rsid w:val="00F25110"/>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F25110"/>
    <w:pPr>
      <w:suppressAutoHyphens/>
      <w:spacing w:after="0" w:line="240" w:lineRule="auto"/>
      <w:jc w:val="both"/>
    </w:pPr>
    <w:rPr>
      <w:rFonts w:ascii="Times New Roman" w:eastAsia="Times New Roman" w:hAnsi="Times New Roman"/>
      <w:color w:val="auto"/>
      <w:sz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F25110"/>
    <w:rPr>
      <w:rFonts w:ascii="Times New Roman" w:eastAsia="Times New Roman" w:hAnsi="Times New Roman" w:cs="Times New Roman"/>
      <w:sz w:val="20"/>
      <w:szCs w:val="20"/>
      <w:lang w:val="en-GB" w:eastAsia="ar-SA"/>
    </w:rPr>
  </w:style>
  <w:style w:type="character" w:customStyle="1" w:styleId="Heading6Char1">
    <w:name w:val="Heading 6 Char1"/>
    <w:locked/>
    <w:rsid w:val="00F25110"/>
    <w:rPr>
      <w:rFonts w:ascii="Times New Roman" w:eastAsia="Times New Roman" w:hAnsi="Times New Roman"/>
      <w:b/>
      <w:bCs/>
      <w:sz w:val="24"/>
      <w:szCs w:val="24"/>
      <w:lang w:val="en-GB" w:eastAsia="ar-SA"/>
    </w:rPr>
  </w:style>
  <w:style w:type="character" w:customStyle="1" w:styleId="newdocreference3">
    <w:name w:val="newdocreference3"/>
    <w:rsid w:val="00F25110"/>
    <w:rPr>
      <w:i w:val="0"/>
      <w:iCs w:val="0"/>
      <w:color w:val="0000FF"/>
      <w:u w:val="single"/>
    </w:rPr>
  </w:style>
  <w:style w:type="paragraph" w:customStyle="1" w:styleId="Char0">
    <w:name w:val="Char"/>
    <w:aliases w:val="Normal (Web)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customStyle="1" w:styleId="FunotentextarialCharChar">
    <w:name w:val="Fußnotentext arial Char Char"/>
    <w:rsid w:val="00F25110"/>
    <w:rPr>
      <w:kern w:val="24"/>
      <w:lang w:val="bg-BG" w:eastAsia="bg-BG" w:bidi="ar-SA"/>
    </w:rPr>
  </w:style>
  <w:style w:type="paragraph" w:customStyle="1" w:styleId="default0">
    <w:name w:val="default"/>
    <w:basedOn w:val="Normal"/>
    <w:rsid w:val="00F25110"/>
    <w:pPr>
      <w:spacing w:before="100" w:beforeAutospacing="1" w:after="100" w:afterAutospacing="1" w:line="240" w:lineRule="auto"/>
    </w:pPr>
    <w:rPr>
      <w:rFonts w:ascii="Times New Roman" w:eastAsia="Times New Roman" w:hAnsi="Times New Roman"/>
      <w:color w:val="auto"/>
      <w:sz w:val="24"/>
      <w:szCs w:val="24"/>
      <w:lang w:val="bg-BG" w:eastAsia="bg-BG"/>
    </w:rPr>
  </w:style>
  <w:style w:type="character" w:customStyle="1" w:styleId="infolabel1">
    <w:name w:val="infolabel1"/>
    <w:rsid w:val="00F25110"/>
    <w:rPr>
      <w:color w:val="333399"/>
      <w:sz w:val="16"/>
      <w:szCs w:val="16"/>
    </w:rPr>
  </w:style>
  <w:style w:type="paragraph" w:styleId="BodyTextIndent">
    <w:name w:val="Body Text Indent"/>
    <w:basedOn w:val="Normal"/>
    <w:link w:val="BodyTextIndentChar"/>
    <w:unhideWhenUsed/>
    <w:rsid w:val="00F25110"/>
    <w:pPr>
      <w:spacing w:after="120" w:line="240" w:lineRule="auto"/>
      <w:ind w:left="360"/>
    </w:pPr>
    <w:rPr>
      <w:rFonts w:ascii="Times New Roman" w:eastAsia="Times New Roman" w:hAnsi="Times New Roman"/>
      <w:color w:val="auto"/>
      <w:sz w:val="24"/>
      <w:szCs w:val="24"/>
      <w:lang w:val="bg-BG" w:eastAsia="bg-BG"/>
    </w:rPr>
  </w:style>
  <w:style w:type="character" w:customStyle="1" w:styleId="BodyTextIndentChar">
    <w:name w:val="Body Text Indent Char"/>
    <w:basedOn w:val="DefaultParagraphFont"/>
    <w:link w:val="BodyTextIndent"/>
    <w:rsid w:val="00F25110"/>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F25110"/>
    <w:pPr>
      <w:spacing w:after="120" w:line="240" w:lineRule="auto"/>
    </w:pPr>
    <w:rPr>
      <w:rFonts w:ascii="Times New Roman" w:eastAsia="Times New Roman" w:hAnsi="Times New Roman"/>
      <w:color w:val="auto"/>
      <w:sz w:val="16"/>
      <w:szCs w:val="16"/>
      <w:lang w:val="bg-BG" w:eastAsia="bg-BG"/>
    </w:rPr>
  </w:style>
  <w:style w:type="character" w:customStyle="1" w:styleId="BodyText3Char">
    <w:name w:val="Body Text 3 Char"/>
    <w:basedOn w:val="DefaultParagraphFont"/>
    <w:link w:val="BodyText3"/>
    <w:uiPriority w:val="99"/>
    <w:semiHidden/>
    <w:rsid w:val="00F25110"/>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F25110"/>
    <w:pPr>
      <w:spacing w:after="160" w:line="181" w:lineRule="atLeast"/>
    </w:pPr>
    <w:rPr>
      <w:rFonts w:ascii="Palatino Linotype" w:hAnsi="Palatino Linotype"/>
      <w:color w:val="auto"/>
      <w:lang w:val="en-US"/>
    </w:rPr>
  </w:style>
  <w:style w:type="paragraph" w:customStyle="1" w:styleId="Style2">
    <w:name w:val="Style2"/>
    <w:basedOn w:val="Normal"/>
    <w:qFormat/>
    <w:rsid w:val="00F25110"/>
    <w:pPr>
      <w:numPr>
        <w:numId w:val="7"/>
      </w:numPr>
      <w:spacing w:after="0" w:line="360" w:lineRule="auto"/>
      <w:ind w:left="1134" w:hanging="567"/>
      <w:jc w:val="both"/>
    </w:pPr>
    <w:rPr>
      <w:rFonts w:ascii="Times New Roman" w:eastAsia="Times New Roman" w:hAnsi="Times New Roman" w:cs="Calibri"/>
      <w:color w:val="auto"/>
      <w:sz w:val="24"/>
      <w:szCs w:val="24"/>
      <w:lang w:val="bg-BG"/>
    </w:rPr>
  </w:style>
  <w:style w:type="paragraph" w:styleId="BodyText2">
    <w:name w:val="Body Text 2"/>
    <w:basedOn w:val="Normal"/>
    <w:link w:val="BodyText2Char"/>
    <w:rsid w:val="00F25110"/>
    <w:pPr>
      <w:spacing w:after="120" w:line="480" w:lineRule="auto"/>
    </w:pPr>
    <w:rPr>
      <w:rFonts w:ascii="Times New Roman" w:eastAsia="Times New Roman" w:hAnsi="Times New Roman"/>
      <w:color w:val="auto"/>
      <w:sz w:val="24"/>
      <w:szCs w:val="24"/>
      <w:lang w:val="bg-BG" w:eastAsia="bg-BG"/>
    </w:rPr>
  </w:style>
  <w:style w:type="character" w:customStyle="1" w:styleId="BodyText2Char">
    <w:name w:val="Body Text 2 Char"/>
    <w:basedOn w:val="DefaultParagraphFont"/>
    <w:link w:val="BodyText2"/>
    <w:rsid w:val="00F25110"/>
    <w:rPr>
      <w:rFonts w:ascii="Times New Roman" w:eastAsia="Times New Roman" w:hAnsi="Times New Roman" w:cs="Times New Roman"/>
      <w:sz w:val="24"/>
      <w:szCs w:val="24"/>
      <w:lang w:val="bg-BG" w:eastAsia="bg-BG"/>
    </w:rPr>
  </w:style>
  <w:style w:type="paragraph" w:customStyle="1" w:styleId="06Bodytextfirst">
    <w:name w:val="06 Body text first"/>
    <w:rsid w:val="00F25110"/>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F25110"/>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F25110"/>
    <w:pPr>
      <w:spacing w:after="120"/>
      <w:ind w:left="283"/>
    </w:pPr>
    <w:rPr>
      <w:rFonts w:ascii="Calibri" w:eastAsia="Calibri" w:hAnsi="Calibri"/>
      <w:color w:val="auto"/>
      <w:sz w:val="16"/>
      <w:szCs w:val="16"/>
      <w:lang w:val="x-none" w:eastAsia="x-none"/>
    </w:rPr>
  </w:style>
  <w:style w:type="character" w:customStyle="1" w:styleId="BodyTextIndent3Char">
    <w:name w:val="Body Text Indent 3 Char"/>
    <w:basedOn w:val="DefaultParagraphFont"/>
    <w:link w:val="BodyTextIndent3"/>
    <w:rsid w:val="00F25110"/>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F25110"/>
    <w:pPr>
      <w:adjustRightInd w:val="0"/>
      <w:spacing w:line="240" w:lineRule="exact"/>
      <w:jc w:val="both"/>
      <w:textAlignment w:val="baseline"/>
    </w:pPr>
    <w:rPr>
      <w:rFonts w:ascii="Tahoma" w:eastAsia="Times New Roman" w:hAnsi="Tahoma"/>
      <w:color w:val="auto"/>
      <w:sz w:val="20"/>
    </w:rPr>
  </w:style>
  <w:style w:type="paragraph" w:customStyle="1" w:styleId="CharCharCharCharCharChar">
    <w:name w:val="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
    <w:name w:val="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
    <w:name w:val="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Style1">
    <w:name w:val="Style1"/>
    <w:basedOn w:val="Normal"/>
    <w:rsid w:val="00F25110"/>
    <w:pPr>
      <w:suppressAutoHyphens/>
      <w:spacing w:before="120" w:after="0" w:line="240" w:lineRule="auto"/>
      <w:ind w:firstLine="720"/>
      <w:jc w:val="both"/>
    </w:pPr>
    <w:rPr>
      <w:rFonts w:ascii="Times New Roman" w:eastAsia="Times New Roman" w:hAnsi="Times New Roman"/>
      <w:color w:val="000000"/>
      <w:sz w:val="24"/>
      <w:lang w:eastAsia="ar-SA"/>
    </w:rPr>
  </w:style>
  <w:style w:type="paragraph" w:customStyle="1" w:styleId="Char9CharCharCharCharCharChar">
    <w:name w:val="Char9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styleId="HTMLCite">
    <w:name w:val="HTML Cite"/>
    <w:rsid w:val="00F25110"/>
    <w:rPr>
      <w:i/>
      <w:iCs/>
    </w:rPr>
  </w:style>
  <w:style w:type="paragraph" w:customStyle="1" w:styleId="NormalJustified">
    <w:name w:val="Normal+Justified"/>
    <w:basedOn w:val="Normal"/>
    <w:link w:val="NormalJustifiedChar"/>
    <w:rsid w:val="00F25110"/>
    <w:pPr>
      <w:spacing w:after="0" w:line="240" w:lineRule="auto"/>
    </w:pPr>
    <w:rPr>
      <w:rFonts w:ascii="Times New Roman" w:eastAsia="Times New Roman" w:hAnsi="Times New Roman"/>
      <w:color w:val="auto"/>
      <w:sz w:val="24"/>
      <w:szCs w:val="24"/>
      <w:lang w:val="bg-BG" w:eastAsia="bg-BG"/>
    </w:rPr>
  </w:style>
  <w:style w:type="character" w:customStyle="1" w:styleId="NormalJustifiedChar">
    <w:name w:val="Normal+Justified Char"/>
    <w:link w:val="NormalJustified"/>
    <w:rsid w:val="00F25110"/>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0">
    <w:name w:val="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Normal12pt">
    <w:name w:val="Normal + 12 pt"/>
    <w:basedOn w:val="BodyText2"/>
    <w:rsid w:val="00F25110"/>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F25110"/>
    <w:pPr>
      <w:spacing w:after="120" w:line="480" w:lineRule="auto"/>
      <w:ind w:left="283"/>
    </w:pPr>
    <w:rPr>
      <w:rFonts w:ascii="Calibri" w:eastAsia="Calibri" w:hAnsi="Calibri"/>
      <w:color w:val="auto"/>
      <w:sz w:val="20"/>
      <w:lang w:val="x-none" w:eastAsia="x-none"/>
    </w:rPr>
  </w:style>
  <w:style w:type="character" w:customStyle="1" w:styleId="BodyTextIndent2Char">
    <w:name w:val="Body Text Indent 2 Char"/>
    <w:basedOn w:val="DefaultParagraphFont"/>
    <w:link w:val="BodyTextIndent2"/>
    <w:rsid w:val="00F25110"/>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1">
    <w:name w:val="Знак 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mainpageitemsjus">
    <w:name w:val="main_page_items_jus"/>
    <w:basedOn w:val="Normal"/>
    <w:rsid w:val="00F25110"/>
    <w:pPr>
      <w:spacing w:before="100" w:beforeAutospacing="1" w:after="100" w:afterAutospacing="1" w:line="240" w:lineRule="auto"/>
      <w:jc w:val="both"/>
    </w:pPr>
    <w:rPr>
      <w:rFonts w:ascii="Verdana" w:eastAsia="Times New Roman" w:hAnsi="Verdana"/>
      <w:b/>
      <w:bCs/>
      <w:color w:val="000000"/>
      <w:sz w:val="18"/>
      <w:szCs w:val="18"/>
      <w:lang w:val="bg-BG" w:eastAsia="bg-BG"/>
    </w:rPr>
  </w:style>
  <w:style w:type="paragraph" w:customStyle="1" w:styleId="1CharChar1">
    <w:name w:val="Знак Знак1 Char Char Знак Знак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9CharCharCharCharCharChar0">
    <w:name w:val="Char9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customStyle="1" w:styleId="NoSpacingChar">
    <w:name w:val="No Spacing Char"/>
    <w:link w:val="NoSpacing"/>
    <w:uiPriority w:val="1"/>
    <w:rsid w:val="00F25110"/>
    <w:rPr>
      <w:rFonts w:cs="Times New Roman"/>
      <w:color w:val="000000" w:themeColor="text1"/>
      <w:szCs w:val="20"/>
    </w:rPr>
  </w:style>
  <w:style w:type="table" w:customStyle="1" w:styleId="LightShading-Accent11">
    <w:name w:val="Light Shading - Accent 11"/>
    <w:basedOn w:val="TableNormal"/>
    <w:uiPriority w:val="60"/>
    <w:rsid w:val="00F25110"/>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F25110"/>
  </w:style>
  <w:style w:type="paragraph" w:customStyle="1" w:styleId="Style">
    <w:name w:val="Style"/>
    <w:rsid w:val="00F25110"/>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F25110"/>
    <w:pPr>
      <w:spacing w:after="0" w:line="240" w:lineRule="auto"/>
      <w:ind w:left="720" w:firstLine="709"/>
      <w:contextualSpacing/>
      <w:jc w:val="both"/>
    </w:pPr>
    <w:rPr>
      <w:rFonts w:ascii="Times New Roman" w:eastAsia="Calibri" w:hAnsi="Times New Roman"/>
      <w:color w:val="auto"/>
      <w:sz w:val="24"/>
      <w:szCs w:val="22"/>
      <w:lang w:val="bg-BG"/>
    </w:rPr>
  </w:style>
  <w:style w:type="table" w:customStyle="1" w:styleId="LightGrid1">
    <w:name w:val="Light Grid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F25110"/>
    <w:pPr>
      <w:spacing w:before="100" w:after="100" w:line="240" w:lineRule="auto"/>
      <w:ind w:left="200"/>
      <w:jc w:val="center"/>
    </w:pPr>
    <w:rPr>
      <w:rFonts w:ascii="Times New Roman" w:eastAsia="Times New Roman" w:hAnsi="Times New Roman"/>
      <w:b/>
      <w:bCs/>
      <w:color w:val="000000"/>
      <w:sz w:val="28"/>
      <w:szCs w:val="28"/>
      <w:lang w:val="bg-BG" w:eastAsia="bg-BG"/>
    </w:rPr>
  </w:style>
  <w:style w:type="character" w:customStyle="1" w:styleId="apple-converted-space">
    <w:name w:val="apple-converted-space"/>
    <w:basedOn w:val="DefaultParagraphFont"/>
    <w:rsid w:val="00F25110"/>
  </w:style>
  <w:style w:type="character" w:customStyle="1" w:styleId="infolabel">
    <w:name w:val="infolabel"/>
    <w:rsid w:val="00F25110"/>
  </w:style>
  <w:style w:type="paragraph" w:customStyle="1" w:styleId="10Targetspecific">
    <w:name w:val="10 Target specific"/>
    <w:basedOn w:val="Normal"/>
    <w:rsid w:val="00F25110"/>
    <w:pPr>
      <w:spacing w:before="240" w:after="0" w:line="240" w:lineRule="auto"/>
      <w:jc w:val="both"/>
    </w:pPr>
    <w:rPr>
      <w:rFonts w:ascii="Times New Roman" w:eastAsia="Times New Roman" w:hAnsi="Times New Roman"/>
      <w:i/>
      <w:color w:val="auto"/>
      <w:sz w:val="24"/>
      <w:szCs w:val="24"/>
      <w:u w:val="single"/>
      <w:lang w:val="bg-BG"/>
    </w:rPr>
  </w:style>
  <w:style w:type="paragraph" w:customStyle="1" w:styleId="10Miarka">
    <w:name w:val="10 Miarka"/>
    <w:basedOn w:val="Normal"/>
    <w:rsid w:val="00F25110"/>
    <w:pPr>
      <w:spacing w:before="240" w:after="0" w:line="240" w:lineRule="auto"/>
      <w:jc w:val="both"/>
    </w:pPr>
    <w:rPr>
      <w:rFonts w:ascii="Times New Roman" w:eastAsia="Times New Roman" w:hAnsi="Times New Roman"/>
      <w:b/>
      <w:i/>
      <w:color w:val="auto"/>
      <w:sz w:val="24"/>
      <w:szCs w:val="24"/>
      <w:u w:val="single"/>
      <w:lang w:val="bg-BG"/>
    </w:rPr>
  </w:style>
  <w:style w:type="table" w:customStyle="1" w:styleId="TableGrid11">
    <w:name w:val="Table Grid11"/>
    <w:basedOn w:val="TableNormal"/>
    <w:next w:val="TableGrid"/>
    <w:uiPriority w:val="59"/>
    <w:rsid w:val="00F25110"/>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numbering" w:customStyle="1" w:styleId="NoList11">
    <w:name w:val="No List11"/>
    <w:next w:val="NoList"/>
    <w:uiPriority w:val="99"/>
    <w:semiHidden/>
    <w:unhideWhenUsed/>
    <w:rsid w:val="00F25110"/>
  </w:style>
  <w:style w:type="table" w:customStyle="1" w:styleId="TableGrid2">
    <w:name w:val="Table Grid2"/>
    <w:basedOn w:val="TableNormal"/>
    <w:next w:val="TableGrid"/>
    <w:rsid w:val="00F25110"/>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0">
    <w:name w:val="Char Char Char Char Char Char Char Char Char"/>
    <w:basedOn w:val="Normal"/>
    <w:rsid w:val="00F25110"/>
    <w:pPr>
      <w:adjustRightInd w:val="0"/>
      <w:spacing w:line="240" w:lineRule="exact"/>
      <w:jc w:val="both"/>
      <w:textAlignment w:val="baseline"/>
    </w:pPr>
    <w:rPr>
      <w:rFonts w:ascii="Tahoma" w:eastAsia="Times New Roman" w:hAnsi="Tahoma"/>
      <w:color w:val="auto"/>
      <w:sz w:val="20"/>
    </w:rPr>
  </w:style>
  <w:style w:type="paragraph" w:customStyle="1" w:styleId="CharCharCharCharCharChar0">
    <w:name w:val="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0">
    <w:name w:val="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0">
    <w:name w:val="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2CharCharCharCharCharCharCharCharCharChar0">
    <w:name w:val="Char Char Char2 Char Char Char Char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2">
    <w:name w:val="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Char0">
    <w:name w:val="Char Знак Char Char Знак Char Char 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1CharChar10">
    <w:name w:val="Знак Знак1 Char Char Знак Знак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table" w:customStyle="1" w:styleId="LightShading-Accent111">
    <w:name w:val="Light Shading - Accent 111"/>
    <w:basedOn w:val="TableNormal"/>
    <w:uiPriority w:val="60"/>
    <w:rsid w:val="00F25110"/>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F251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40"/>
    <w:lsdException w:name="Hyperlink" w:uiPriority="0"/>
    <w:lsdException w:name="Strong" w:semiHidden="0" w:uiPriority="22" w:unhideWhenUsed="0" w:qFormat="1"/>
    <w:lsdException w:name="Emphasis" w:semiHidden="0" w:uiPriority="0" w:unhideWhenUsed="0" w:qFormat="1"/>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346"/>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9D3511" w:themeColor="accent1" w:themeShade="BF"/>
      <w:spacing w:val="20"/>
      <w:sz w:val="28"/>
      <w:szCs w:val="32"/>
    </w:rPr>
  </w:style>
  <w:style w:type="paragraph" w:styleId="Heading2">
    <w:name w:val="heading 2"/>
    <w:basedOn w:val="Normal"/>
    <w:next w:val="Normal"/>
    <w:link w:val="Heading2Char"/>
    <w:qFormat/>
    <w:pPr>
      <w:spacing w:before="240" w:after="40" w:line="240" w:lineRule="auto"/>
      <w:outlineLvl w:val="1"/>
    </w:pPr>
    <w:rPr>
      <w:rFonts w:asciiTheme="majorHAnsi" w:hAnsiTheme="majorHAnsi"/>
      <w:b/>
      <w:color w:val="9D3511" w:themeColor="accent1" w:themeShade="BF"/>
      <w:spacing w:val="20"/>
      <w:sz w:val="24"/>
      <w:szCs w:val="28"/>
    </w:rPr>
  </w:style>
  <w:style w:type="paragraph" w:styleId="Heading3">
    <w:name w:val="heading 3"/>
    <w:basedOn w:val="Normal"/>
    <w:next w:val="Normal"/>
    <w:link w:val="Heading3Char"/>
    <w:qFormat/>
    <w:pPr>
      <w:spacing w:before="200" w:after="40" w:line="240" w:lineRule="auto"/>
      <w:outlineLvl w:val="2"/>
    </w:pPr>
    <w:rPr>
      <w:rFonts w:asciiTheme="majorHAnsi" w:hAnsiTheme="majorHAnsi"/>
      <w:b/>
      <w:color w:val="D34817"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7B6A4D"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7B6A4D" w:themeColor="accent3" w:themeShade="BF"/>
      <w:spacing w:val="20"/>
      <w:szCs w:val="26"/>
    </w:rPr>
  </w:style>
  <w:style w:type="paragraph" w:styleId="Heading6">
    <w:name w:val="heading 6"/>
    <w:basedOn w:val="Normal"/>
    <w:next w:val="Normal"/>
    <w:link w:val="Heading6Char"/>
    <w:unhideWhenUsed/>
    <w:qFormat/>
    <w:pPr>
      <w:spacing w:before="200" w:after="0"/>
      <w:outlineLvl w:val="5"/>
    </w:pPr>
    <w:rPr>
      <w:rFonts w:asciiTheme="majorHAnsi" w:hAnsiTheme="majorHAnsi"/>
      <w:color w:val="524733" w:themeColor="accent3" w:themeShade="80"/>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24733" w:themeColor="accent3" w:themeShade="80"/>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D34817"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D34817"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9D3511" w:themeColor="accent1" w:themeShade="BF"/>
      <w:spacing w:val="20"/>
      <w:sz w:val="28"/>
      <w:szCs w:val="32"/>
    </w:rPr>
  </w:style>
  <w:style w:type="character" w:customStyle="1" w:styleId="Heading2Char">
    <w:name w:val="Heading 2 Char"/>
    <w:basedOn w:val="DefaultParagraphFont"/>
    <w:link w:val="Heading2"/>
    <w:rPr>
      <w:rFonts w:asciiTheme="majorHAnsi" w:hAnsiTheme="majorHAnsi" w:cs="Times New Roman"/>
      <w:b/>
      <w:color w:val="9D3511" w:themeColor="accent1" w:themeShade="BF"/>
      <w:spacing w:val="20"/>
      <w:sz w:val="24"/>
      <w:szCs w:val="28"/>
    </w:rPr>
  </w:style>
  <w:style w:type="character" w:customStyle="1" w:styleId="Heading3Char">
    <w:name w:val="Heading 3 Char"/>
    <w:basedOn w:val="DefaultParagraphFont"/>
    <w:link w:val="Heading3"/>
    <w:rPr>
      <w:rFonts w:asciiTheme="majorHAnsi" w:hAnsiTheme="majorHAnsi" w:cs="Times New Roman"/>
      <w:b/>
      <w:color w:val="D34817" w:themeColor="accent1"/>
      <w:spacing w:val="20"/>
      <w:sz w:val="24"/>
      <w:szCs w:val="24"/>
    </w:rPr>
  </w:style>
  <w:style w:type="paragraph" w:styleId="Title">
    <w:name w:val="Title"/>
    <w:basedOn w:val="Normal"/>
    <w:link w:val="TitleChar"/>
    <w:uiPriority w:val="10"/>
    <w:qFormat/>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D34817"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000000"/>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732117"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7B6A4D"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7B6A4D"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24733" w:themeColor="accent3" w:themeShade="80"/>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24733" w:themeColor="accent3" w:themeShade="80"/>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D34817"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D34817"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9B2D1F" w:themeColor="accent2"/>
      <w:spacing w:val="2"/>
      <w:w w:val="100"/>
      <w:sz w:val="20"/>
      <w:szCs w:val="20"/>
    </w:rPr>
  </w:style>
  <w:style w:type="paragraph" w:styleId="IntenseQuote">
    <w:name w:val="Intense Quote"/>
    <w:basedOn w:val="Normal"/>
    <w:qFormat/>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IntenseReference">
    <w:name w:val="Intense Reference"/>
    <w:basedOn w:val="DefaultParagraphFont"/>
    <w:uiPriority w:val="32"/>
    <w:qFormat/>
    <w:rPr>
      <w:rFonts w:cs="Times New Roman"/>
      <w:b/>
      <w:color w:val="D34817" w:themeColor="accent1"/>
      <w:sz w:val="22"/>
      <w:szCs w:val="20"/>
      <w:u w:val="single"/>
    </w:rPr>
  </w:style>
  <w:style w:type="paragraph" w:styleId="ListBullet">
    <w:name w:val="List Bullet"/>
    <w:basedOn w:val="Normal"/>
    <w:uiPriority w:val="36"/>
    <w:unhideWhenUsed/>
    <w:qFormat/>
    <w:pPr>
      <w:numPr>
        <w:numId w:val="1"/>
      </w:numPr>
      <w:spacing w:after="0"/>
      <w:contextualSpacing/>
    </w:pPr>
  </w:style>
  <w:style w:type="paragraph" w:styleId="ListBullet2">
    <w:name w:val="List Bullet 2"/>
    <w:basedOn w:val="Normal"/>
    <w:uiPriority w:val="36"/>
    <w:unhideWhenUsed/>
    <w:qFormat/>
    <w:pPr>
      <w:numPr>
        <w:numId w:val="2"/>
      </w:numPr>
      <w:spacing w:after="0"/>
    </w:pPr>
  </w:style>
  <w:style w:type="paragraph" w:styleId="ListBullet3">
    <w:name w:val="List Bullet 3"/>
    <w:basedOn w:val="Normal"/>
    <w:uiPriority w:val="36"/>
    <w:unhideWhenUsed/>
    <w:qFormat/>
    <w:pPr>
      <w:numPr>
        <w:numId w:val="3"/>
      </w:numPr>
      <w:spacing w:after="0"/>
    </w:pPr>
  </w:style>
  <w:style w:type="paragraph" w:styleId="ListBullet4">
    <w:name w:val="List Bullet 4"/>
    <w:basedOn w:val="Normal"/>
    <w:uiPriority w:val="36"/>
    <w:unhideWhenUsed/>
    <w:qFormat/>
    <w:pPr>
      <w:numPr>
        <w:numId w:val="4"/>
      </w:numPr>
      <w:spacing w:after="0"/>
    </w:pPr>
  </w:style>
  <w:style w:type="paragraph" w:styleId="ListBullet5">
    <w:name w:val="List Bullet 5"/>
    <w:basedOn w:val="Normal"/>
    <w:uiPriority w:val="36"/>
    <w:unhideWhenUsed/>
    <w:qFormat/>
    <w:pPr>
      <w:numPr>
        <w:numId w:val="5"/>
      </w:numPr>
      <w:spacing w:after="0"/>
    </w:pPr>
  </w:style>
  <w:style w:type="paragraph" w:styleId="NoSpacing">
    <w:name w:val="No Spacing"/>
    <w:basedOn w:val="Normal"/>
    <w:link w:val="NoSpacingChar"/>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808080" w:themeColor="background1" w:themeShade="80"/>
      <w:sz w:val="24"/>
    </w:rPr>
  </w:style>
  <w:style w:type="character" w:customStyle="1" w:styleId="QuoteChar">
    <w:name w:val="Quote Char"/>
    <w:basedOn w:val="DefaultParagraphFont"/>
    <w:link w:val="Quote"/>
    <w:uiPriority w:val="29"/>
    <w:rPr>
      <w:rFonts w:cs="Times New Roman"/>
      <w:i/>
      <w:color w:val="808080" w:themeColor="background1" w:themeShade="80"/>
      <w:sz w:val="24"/>
      <w:szCs w:val="20"/>
    </w:rPr>
  </w:style>
  <w:style w:type="character" w:styleId="Strong">
    <w:name w:val="Strong"/>
    <w:uiPriority w:val="22"/>
    <w:qFormat/>
    <w:rPr>
      <w:rFonts w:asciiTheme="minorHAnsi" w:hAnsiTheme="minorHAnsi"/>
      <w:b/>
      <w:color w:val="9B2D1F"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pPr>
      <w:tabs>
        <w:tab w:val="right" w:leader="dot" w:pos="8630"/>
      </w:tabs>
      <w:spacing w:after="40" w:line="240" w:lineRule="auto"/>
    </w:pPr>
    <w:rPr>
      <w:smallCaps/>
      <w:noProof/>
      <w:color w:val="9B2D1F" w:themeColor="accent2"/>
    </w:rPr>
  </w:style>
  <w:style w:type="paragraph" w:styleId="TOC2">
    <w:name w:val="toc 2"/>
    <w:basedOn w:val="Normal"/>
    <w:next w:val="Normal"/>
    <w:autoRedefine/>
    <w:uiPriority w:val="99"/>
    <w:semiHidden/>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customStyle="1" w:styleId="ListParagraphChar">
    <w:name w:val="List Paragraph Char"/>
    <w:link w:val="ListParagraph"/>
    <w:uiPriority w:val="34"/>
    <w:locked/>
    <w:rsid w:val="00F26116"/>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26116"/>
    <w:pPr>
      <w:spacing w:after="0" w:line="240" w:lineRule="auto"/>
      <w:ind w:left="720"/>
      <w:contextualSpacing/>
    </w:pPr>
    <w:rPr>
      <w:rFonts w:ascii="Times New Roman" w:eastAsia="Times New Roman" w:hAnsi="Times New Roman"/>
      <w:color w:val="auto"/>
      <w:sz w:val="24"/>
      <w:szCs w:val="24"/>
    </w:rPr>
  </w:style>
  <w:style w:type="paragraph" w:customStyle="1" w:styleId="title17">
    <w:name w:val="title17"/>
    <w:basedOn w:val="Normal"/>
    <w:rsid w:val="00F26116"/>
    <w:pPr>
      <w:spacing w:before="100" w:beforeAutospacing="1" w:after="100" w:afterAutospacing="1" w:line="240" w:lineRule="auto"/>
      <w:jc w:val="center"/>
    </w:pPr>
    <w:rPr>
      <w:rFonts w:ascii="Times New Roman" w:eastAsia="Times New Roman" w:hAnsi="Times New Roman"/>
      <w:b/>
      <w:bCs/>
      <w:color w:val="auto"/>
      <w:sz w:val="26"/>
      <w:szCs w:val="26"/>
      <w:lang w:val="bg-BG" w:eastAsia="bg-BG"/>
    </w:rPr>
  </w:style>
  <w:style w:type="character" w:customStyle="1" w:styleId="st">
    <w:name w:val="st"/>
    <w:rsid w:val="00E55CF3"/>
  </w:style>
  <w:style w:type="table" w:styleId="MediumList1-Accent1">
    <w:name w:val="Medium List 1 Accent 1"/>
    <w:basedOn w:val="TableNormal"/>
    <w:uiPriority w:val="65"/>
    <w:rsid w:val="00E55CF3"/>
    <w:pPr>
      <w:spacing w:after="0" w:line="240" w:lineRule="auto"/>
    </w:pPr>
    <w:rPr>
      <w:color w:val="000000" w:themeColor="text1"/>
    </w:rPr>
    <w:tblPr>
      <w:tblStyleRowBandSize w:val="1"/>
      <w:tblStyleColBandSize w:val="1"/>
      <w:tblBorders>
        <w:top w:val="single" w:sz="8" w:space="0" w:color="D34817" w:themeColor="accent1"/>
        <w:bottom w:val="single" w:sz="8" w:space="0" w:color="D34817" w:themeColor="accent1"/>
      </w:tblBorders>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styleId="LightShading-Accent1">
    <w:name w:val="Light Shading Accent 1"/>
    <w:basedOn w:val="TableNormal"/>
    <w:uiPriority w:val="60"/>
    <w:rsid w:val="0056111E"/>
    <w:pPr>
      <w:spacing w:after="0"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numbering" w:customStyle="1" w:styleId="NoList1">
    <w:name w:val="No List1"/>
    <w:next w:val="NoList"/>
    <w:semiHidden/>
    <w:unhideWhenUsed/>
    <w:rsid w:val="00F25110"/>
  </w:style>
  <w:style w:type="character" w:customStyle="1" w:styleId="samedocreference1">
    <w:name w:val="samedocreference1"/>
    <w:rsid w:val="00F25110"/>
    <w:rPr>
      <w:i w:val="0"/>
      <w:iCs w:val="0"/>
      <w:color w:val="8B0000"/>
      <w:u w:val="single"/>
    </w:rPr>
  </w:style>
  <w:style w:type="character" w:styleId="Hyperlink">
    <w:name w:val="Hyperlink"/>
    <w:unhideWhenUsed/>
    <w:rsid w:val="00F25110"/>
    <w:rPr>
      <w:color w:val="0000FF"/>
      <w:u w:val="single"/>
    </w:rPr>
  </w:style>
  <w:style w:type="paragraph" w:customStyle="1" w:styleId="Char">
    <w:name w:val="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
    <w:name w:val="Стил"/>
    <w:rsid w:val="00F25110"/>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F25110"/>
    <w:pPr>
      <w:spacing w:before="100" w:beforeAutospacing="1" w:after="100" w:afterAutospacing="1" w:line="240" w:lineRule="auto"/>
    </w:pPr>
    <w:rPr>
      <w:rFonts w:ascii="Times New Roman" w:eastAsia="Times New Roman" w:hAnsi="Times New Roman"/>
      <w:color w:val="auto"/>
      <w:sz w:val="24"/>
      <w:szCs w:val="24"/>
      <w:lang w:val="bg-BG" w:eastAsia="bg-BG"/>
    </w:rPr>
  </w:style>
  <w:style w:type="paragraph" w:customStyle="1" w:styleId="Default">
    <w:name w:val="Default"/>
    <w:rsid w:val="00F25110"/>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F25110"/>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F25110"/>
    <w:pPr>
      <w:spacing w:after="0" w:line="240" w:lineRule="auto"/>
      <w:ind w:right="-108"/>
    </w:pPr>
    <w:rPr>
      <w:rFonts w:ascii="Arial" w:eastAsia="Times New Roman" w:hAnsi="Arial"/>
      <w:color w:val="auto"/>
      <w:sz w:val="24"/>
      <w:szCs w:val="24"/>
      <w:lang w:val="x-none" w:eastAsia="bg-BG"/>
    </w:rPr>
  </w:style>
  <w:style w:type="character" w:customStyle="1" w:styleId="BodyTextChar">
    <w:name w:val="Body Text Char"/>
    <w:basedOn w:val="DefaultParagraphFont"/>
    <w:link w:val="BodyText"/>
    <w:rsid w:val="00F25110"/>
    <w:rPr>
      <w:rFonts w:ascii="Arial" w:eastAsia="Times New Roman" w:hAnsi="Arial" w:cs="Times New Roman"/>
      <w:sz w:val="24"/>
      <w:szCs w:val="24"/>
      <w:lang w:val="x-none" w:eastAsia="bg-BG"/>
    </w:rPr>
  </w:style>
  <w:style w:type="character" w:styleId="PageNumber">
    <w:name w:val="page number"/>
    <w:rsid w:val="00F25110"/>
  </w:style>
  <w:style w:type="paragraph" w:customStyle="1" w:styleId="Char11">
    <w:name w:val="Char1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styleId="FootnoteReference">
    <w:name w:val="footnote reference"/>
    <w:aliases w:val="Footnote,Footnote symbol, Char1 Char Char Char Char,Char1 Char Char Char Char,Appel note de bas de p"/>
    <w:rsid w:val="00F25110"/>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F25110"/>
    <w:pPr>
      <w:suppressAutoHyphens/>
      <w:spacing w:after="0" w:line="240" w:lineRule="auto"/>
      <w:jc w:val="both"/>
    </w:pPr>
    <w:rPr>
      <w:rFonts w:ascii="Times New Roman" w:eastAsia="Times New Roman" w:hAnsi="Times New Roman"/>
      <w:color w:val="auto"/>
      <w:sz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F25110"/>
    <w:rPr>
      <w:rFonts w:ascii="Times New Roman" w:eastAsia="Times New Roman" w:hAnsi="Times New Roman" w:cs="Times New Roman"/>
      <w:sz w:val="20"/>
      <w:szCs w:val="20"/>
      <w:lang w:val="en-GB" w:eastAsia="ar-SA"/>
    </w:rPr>
  </w:style>
  <w:style w:type="character" w:customStyle="1" w:styleId="Heading6Char1">
    <w:name w:val="Heading 6 Char1"/>
    <w:locked/>
    <w:rsid w:val="00F25110"/>
    <w:rPr>
      <w:rFonts w:ascii="Times New Roman" w:eastAsia="Times New Roman" w:hAnsi="Times New Roman"/>
      <w:b/>
      <w:bCs/>
      <w:sz w:val="24"/>
      <w:szCs w:val="24"/>
      <w:lang w:val="en-GB" w:eastAsia="ar-SA"/>
    </w:rPr>
  </w:style>
  <w:style w:type="character" w:customStyle="1" w:styleId="newdocreference3">
    <w:name w:val="newdocreference3"/>
    <w:rsid w:val="00F25110"/>
    <w:rPr>
      <w:i w:val="0"/>
      <w:iCs w:val="0"/>
      <w:color w:val="0000FF"/>
      <w:u w:val="single"/>
    </w:rPr>
  </w:style>
  <w:style w:type="paragraph" w:customStyle="1" w:styleId="Char0">
    <w:name w:val="Char"/>
    <w:aliases w:val="Normal (Web)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customStyle="1" w:styleId="FunotentextarialCharChar">
    <w:name w:val="Fußnotentext arial Char Char"/>
    <w:rsid w:val="00F25110"/>
    <w:rPr>
      <w:kern w:val="24"/>
      <w:lang w:val="bg-BG" w:eastAsia="bg-BG" w:bidi="ar-SA"/>
    </w:rPr>
  </w:style>
  <w:style w:type="paragraph" w:customStyle="1" w:styleId="default0">
    <w:name w:val="default"/>
    <w:basedOn w:val="Normal"/>
    <w:rsid w:val="00F25110"/>
    <w:pPr>
      <w:spacing w:before="100" w:beforeAutospacing="1" w:after="100" w:afterAutospacing="1" w:line="240" w:lineRule="auto"/>
    </w:pPr>
    <w:rPr>
      <w:rFonts w:ascii="Times New Roman" w:eastAsia="Times New Roman" w:hAnsi="Times New Roman"/>
      <w:color w:val="auto"/>
      <w:sz w:val="24"/>
      <w:szCs w:val="24"/>
      <w:lang w:val="bg-BG" w:eastAsia="bg-BG"/>
    </w:rPr>
  </w:style>
  <w:style w:type="character" w:customStyle="1" w:styleId="infolabel1">
    <w:name w:val="infolabel1"/>
    <w:rsid w:val="00F25110"/>
    <w:rPr>
      <w:color w:val="333399"/>
      <w:sz w:val="16"/>
      <w:szCs w:val="16"/>
    </w:rPr>
  </w:style>
  <w:style w:type="paragraph" w:styleId="BodyTextIndent">
    <w:name w:val="Body Text Indent"/>
    <w:basedOn w:val="Normal"/>
    <w:link w:val="BodyTextIndentChar"/>
    <w:unhideWhenUsed/>
    <w:rsid w:val="00F25110"/>
    <w:pPr>
      <w:spacing w:after="120" w:line="240" w:lineRule="auto"/>
      <w:ind w:left="360"/>
    </w:pPr>
    <w:rPr>
      <w:rFonts w:ascii="Times New Roman" w:eastAsia="Times New Roman" w:hAnsi="Times New Roman"/>
      <w:color w:val="auto"/>
      <w:sz w:val="24"/>
      <w:szCs w:val="24"/>
      <w:lang w:val="bg-BG" w:eastAsia="bg-BG"/>
    </w:rPr>
  </w:style>
  <w:style w:type="character" w:customStyle="1" w:styleId="BodyTextIndentChar">
    <w:name w:val="Body Text Indent Char"/>
    <w:basedOn w:val="DefaultParagraphFont"/>
    <w:link w:val="BodyTextIndent"/>
    <w:rsid w:val="00F25110"/>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F25110"/>
    <w:pPr>
      <w:spacing w:after="120" w:line="240" w:lineRule="auto"/>
    </w:pPr>
    <w:rPr>
      <w:rFonts w:ascii="Times New Roman" w:eastAsia="Times New Roman" w:hAnsi="Times New Roman"/>
      <w:color w:val="auto"/>
      <w:sz w:val="16"/>
      <w:szCs w:val="16"/>
      <w:lang w:val="bg-BG" w:eastAsia="bg-BG"/>
    </w:rPr>
  </w:style>
  <w:style w:type="character" w:customStyle="1" w:styleId="BodyText3Char">
    <w:name w:val="Body Text 3 Char"/>
    <w:basedOn w:val="DefaultParagraphFont"/>
    <w:link w:val="BodyText3"/>
    <w:uiPriority w:val="99"/>
    <w:semiHidden/>
    <w:rsid w:val="00F25110"/>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F25110"/>
    <w:pPr>
      <w:spacing w:after="160" w:line="181" w:lineRule="atLeast"/>
    </w:pPr>
    <w:rPr>
      <w:rFonts w:ascii="Palatino Linotype" w:hAnsi="Palatino Linotype"/>
      <w:color w:val="auto"/>
      <w:lang w:val="en-US"/>
    </w:rPr>
  </w:style>
  <w:style w:type="paragraph" w:customStyle="1" w:styleId="Style2">
    <w:name w:val="Style2"/>
    <w:basedOn w:val="Normal"/>
    <w:qFormat/>
    <w:rsid w:val="00F25110"/>
    <w:pPr>
      <w:numPr>
        <w:numId w:val="7"/>
      </w:numPr>
      <w:spacing w:after="0" w:line="360" w:lineRule="auto"/>
      <w:ind w:left="1134" w:hanging="567"/>
      <w:jc w:val="both"/>
    </w:pPr>
    <w:rPr>
      <w:rFonts w:ascii="Times New Roman" w:eastAsia="Times New Roman" w:hAnsi="Times New Roman" w:cs="Calibri"/>
      <w:color w:val="auto"/>
      <w:sz w:val="24"/>
      <w:szCs w:val="24"/>
      <w:lang w:val="bg-BG"/>
    </w:rPr>
  </w:style>
  <w:style w:type="paragraph" w:styleId="BodyText2">
    <w:name w:val="Body Text 2"/>
    <w:basedOn w:val="Normal"/>
    <w:link w:val="BodyText2Char"/>
    <w:rsid w:val="00F25110"/>
    <w:pPr>
      <w:spacing w:after="120" w:line="480" w:lineRule="auto"/>
    </w:pPr>
    <w:rPr>
      <w:rFonts w:ascii="Times New Roman" w:eastAsia="Times New Roman" w:hAnsi="Times New Roman"/>
      <w:color w:val="auto"/>
      <w:sz w:val="24"/>
      <w:szCs w:val="24"/>
      <w:lang w:val="bg-BG" w:eastAsia="bg-BG"/>
    </w:rPr>
  </w:style>
  <w:style w:type="character" w:customStyle="1" w:styleId="BodyText2Char">
    <w:name w:val="Body Text 2 Char"/>
    <w:basedOn w:val="DefaultParagraphFont"/>
    <w:link w:val="BodyText2"/>
    <w:rsid w:val="00F25110"/>
    <w:rPr>
      <w:rFonts w:ascii="Times New Roman" w:eastAsia="Times New Roman" w:hAnsi="Times New Roman" w:cs="Times New Roman"/>
      <w:sz w:val="24"/>
      <w:szCs w:val="24"/>
      <w:lang w:val="bg-BG" w:eastAsia="bg-BG"/>
    </w:rPr>
  </w:style>
  <w:style w:type="paragraph" w:customStyle="1" w:styleId="06Bodytextfirst">
    <w:name w:val="06 Body text first"/>
    <w:rsid w:val="00F25110"/>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F25110"/>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F25110"/>
    <w:pPr>
      <w:spacing w:after="120"/>
      <w:ind w:left="283"/>
    </w:pPr>
    <w:rPr>
      <w:rFonts w:ascii="Calibri" w:eastAsia="Calibri" w:hAnsi="Calibri"/>
      <w:color w:val="auto"/>
      <w:sz w:val="16"/>
      <w:szCs w:val="16"/>
      <w:lang w:val="x-none" w:eastAsia="x-none"/>
    </w:rPr>
  </w:style>
  <w:style w:type="character" w:customStyle="1" w:styleId="BodyTextIndent3Char">
    <w:name w:val="Body Text Indent 3 Char"/>
    <w:basedOn w:val="DefaultParagraphFont"/>
    <w:link w:val="BodyTextIndent3"/>
    <w:rsid w:val="00F25110"/>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F25110"/>
    <w:pPr>
      <w:adjustRightInd w:val="0"/>
      <w:spacing w:line="240" w:lineRule="exact"/>
      <w:jc w:val="both"/>
      <w:textAlignment w:val="baseline"/>
    </w:pPr>
    <w:rPr>
      <w:rFonts w:ascii="Tahoma" w:eastAsia="Times New Roman" w:hAnsi="Tahoma"/>
      <w:color w:val="auto"/>
      <w:sz w:val="20"/>
    </w:rPr>
  </w:style>
  <w:style w:type="paragraph" w:customStyle="1" w:styleId="CharCharCharCharCharChar">
    <w:name w:val="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
    <w:name w:val="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
    <w:name w:val="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Style1">
    <w:name w:val="Style1"/>
    <w:basedOn w:val="Normal"/>
    <w:rsid w:val="00F25110"/>
    <w:pPr>
      <w:suppressAutoHyphens/>
      <w:spacing w:before="120" w:after="0" w:line="240" w:lineRule="auto"/>
      <w:ind w:firstLine="720"/>
      <w:jc w:val="both"/>
    </w:pPr>
    <w:rPr>
      <w:rFonts w:ascii="Times New Roman" w:eastAsia="Times New Roman" w:hAnsi="Times New Roman"/>
      <w:color w:val="000000"/>
      <w:sz w:val="24"/>
      <w:lang w:eastAsia="ar-SA"/>
    </w:rPr>
  </w:style>
  <w:style w:type="paragraph" w:customStyle="1" w:styleId="Char9CharCharCharCharCharChar">
    <w:name w:val="Char9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styleId="HTMLCite">
    <w:name w:val="HTML Cite"/>
    <w:rsid w:val="00F25110"/>
    <w:rPr>
      <w:i/>
      <w:iCs/>
    </w:rPr>
  </w:style>
  <w:style w:type="paragraph" w:customStyle="1" w:styleId="NormalJustified">
    <w:name w:val="Normal+Justified"/>
    <w:basedOn w:val="Normal"/>
    <w:link w:val="NormalJustifiedChar"/>
    <w:rsid w:val="00F25110"/>
    <w:pPr>
      <w:spacing w:after="0" w:line="240" w:lineRule="auto"/>
    </w:pPr>
    <w:rPr>
      <w:rFonts w:ascii="Times New Roman" w:eastAsia="Times New Roman" w:hAnsi="Times New Roman"/>
      <w:color w:val="auto"/>
      <w:sz w:val="24"/>
      <w:szCs w:val="24"/>
      <w:lang w:val="bg-BG" w:eastAsia="bg-BG"/>
    </w:rPr>
  </w:style>
  <w:style w:type="character" w:customStyle="1" w:styleId="NormalJustifiedChar">
    <w:name w:val="Normal+Justified Char"/>
    <w:link w:val="NormalJustified"/>
    <w:rsid w:val="00F25110"/>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0">
    <w:name w:val="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Normal12pt">
    <w:name w:val="Normal + 12 pt"/>
    <w:basedOn w:val="BodyText2"/>
    <w:rsid w:val="00F25110"/>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F25110"/>
    <w:pPr>
      <w:spacing w:after="120" w:line="480" w:lineRule="auto"/>
      <w:ind w:left="283"/>
    </w:pPr>
    <w:rPr>
      <w:rFonts w:ascii="Calibri" w:eastAsia="Calibri" w:hAnsi="Calibri"/>
      <w:color w:val="auto"/>
      <w:sz w:val="20"/>
      <w:lang w:val="x-none" w:eastAsia="x-none"/>
    </w:rPr>
  </w:style>
  <w:style w:type="character" w:customStyle="1" w:styleId="BodyTextIndent2Char">
    <w:name w:val="Body Text Indent 2 Char"/>
    <w:basedOn w:val="DefaultParagraphFont"/>
    <w:link w:val="BodyTextIndent2"/>
    <w:rsid w:val="00F25110"/>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1">
    <w:name w:val="Знак 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mainpageitemsjus">
    <w:name w:val="main_page_items_jus"/>
    <w:basedOn w:val="Normal"/>
    <w:rsid w:val="00F25110"/>
    <w:pPr>
      <w:spacing w:before="100" w:beforeAutospacing="1" w:after="100" w:afterAutospacing="1" w:line="240" w:lineRule="auto"/>
      <w:jc w:val="both"/>
    </w:pPr>
    <w:rPr>
      <w:rFonts w:ascii="Verdana" w:eastAsia="Times New Roman" w:hAnsi="Verdana"/>
      <w:b/>
      <w:bCs/>
      <w:color w:val="000000"/>
      <w:sz w:val="18"/>
      <w:szCs w:val="18"/>
      <w:lang w:val="bg-BG" w:eastAsia="bg-BG"/>
    </w:rPr>
  </w:style>
  <w:style w:type="paragraph" w:customStyle="1" w:styleId="1CharChar1">
    <w:name w:val="Знак Знак1 Char Char Знак Знак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9CharCharCharCharCharChar0">
    <w:name w:val="Char9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character" w:customStyle="1" w:styleId="NoSpacingChar">
    <w:name w:val="No Spacing Char"/>
    <w:link w:val="NoSpacing"/>
    <w:uiPriority w:val="1"/>
    <w:rsid w:val="00F25110"/>
    <w:rPr>
      <w:rFonts w:cs="Times New Roman"/>
      <w:color w:val="000000" w:themeColor="text1"/>
      <w:szCs w:val="20"/>
    </w:rPr>
  </w:style>
  <w:style w:type="table" w:customStyle="1" w:styleId="LightShading-Accent11">
    <w:name w:val="Light Shading - Accent 11"/>
    <w:basedOn w:val="TableNormal"/>
    <w:uiPriority w:val="60"/>
    <w:rsid w:val="00F25110"/>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F25110"/>
  </w:style>
  <w:style w:type="paragraph" w:customStyle="1" w:styleId="Style">
    <w:name w:val="Style"/>
    <w:rsid w:val="00F25110"/>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F25110"/>
    <w:pPr>
      <w:spacing w:after="0" w:line="240" w:lineRule="auto"/>
      <w:ind w:left="720" w:firstLine="709"/>
      <w:contextualSpacing/>
      <w:jc w:val="both"/>
    </w:pPr>
    <w:rPr>
      <w:rFonts w:ascii="Times New Roman" w:eastAsia="Calibri" w:hAnsi="Times New Roman"/>
      <w:color w:val="auto"/>
      <w:sz w:val="24"/>
      <w:szCs w:val="22"/>
      <w:lang w:val="bg-BG"/>
    </w:rPr>
  </w:style>
  <w:style w:type="table" w:customStyle="1" w:styleId="LightGrid1">
    <w:name w:val="Light Grid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F25110"/>
    <w:pPr>
      <w:spacing w:before="100" w:after="100" w:line="240" w:lineRule="auto"/>
      <w:ind w:left="200"/>
      <w:jc w:val="center"/>
    </w:pPr>
    <w:rPr>
      <w:rFonts w:ascii="Times New Roman" w:eastAsia="Times New Roman" w:hAnsi="Times New Roman"/>
      <w:b/>
      <w:bCs/>
      <w:color w:val="000000"/>
      <w:sz w:val="28"/>
      <w:szCs w:val="28"/>
      <w:lang w:val="bg-BG" w:eastAsia="bg-BG"/>
    </w:rPr>
  </w:style>
  <w:style w:type="character" w:customStyle="1" w:styleId="apple-converted-space">
    <w:name w:val="apple-converted-space"/>
    <w:basedOn w:val="DefaultParagraphFont"/>
    <w:rsid w:val="00F25110"/>
  </w:style>
  <w:style w:type="character" w:customStyle="1" w:styleId="infolabel">
    <w:name w:val="infolabel"/>
    <w:rsid w:val="00F25110"/>
  </w:style>
  <w:style w:type="paragraph" w:customStyle="1" w:styleId="10Targetspecific">
    <w:name w:val="10 Target specific"/>
    <w:basedOn w:val="Normal"/>
    <w:rsid w:val="00F25110"/>
    <w:pPr>
      <w:spacing w:before="240" w:after="0" w:line="240" w:lineRule="auto"/>
      <w:jc w:val="both"/>
    </w:pPr>
    <w:rPr>
      <w:rFonts w:ascii="Times New Roman" w:eastAsia="Times New Roman" w:hAnsi="Times New Roman"/>
      <w:i/>
      <w:color w:val="auto"/>
      <w:sz w:val="24"/>
      <w:szCs w:val="24"/>
      <w:u w:val="single"/>
      <w:lang w:val="bg-BG"/>
    </w:rPr>
  </w:style>
  <w:style w:type="paragraph" w:customStyle="1" w:styleId="10Miarka">
    <w:name w:val="10 Miarka"/>
    <w:basedOn w:val="Normal"/>
    <w:rsid w:val="00F25110"/>
    <w:pPr>
      <w:spacing w:before="240" w:after="0" w:line="240" w:lineRule="auto"/>
      <w:jc w:val="both"/>
    </w:pPr>
    <w:rPr>
      <w:rFonts w:ascii="Times New Roman" w:eastAsia="Times New Roman" w:hAnsi="Times New Roman"/>
      <w:b/>
      <w:i/>
      <w:color w:val="auto"/>
      <w:sz w:val="24"/>
      <w:szCs w:val="24"/>
      <w:u w:val="single"/>
      <w:lang w:val="bg-BG"/>
    </w:rPr>
  </w:style>
  <w:style w:type="table" w:customStyle="1" w:styleId="TableGrid11">
    <w:name w:val="Table Grid11"/>
    <w:basedOn w:val="TableNormal"/>
    <w:next w:val="TableGrid"/>
    <w:uiPriority w:val="59"/>
    <w:rsid w:val="00F25110"/>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numbering" w:customStyle="1" w:styleId="NoList11">
    <w:name w:val="No List11"/>
    <w:next w:val="NoList"/>
    <w:uiPriority w:val="99"/>
    <w:semiHidden/>
    <w:unhideWhenUsed/>
    <w:rsid w:val="00F25110"/>
  </w:style>
  <w:style w:type="table" w:customStyle="1" w:styleId="TableGrid2">
    <w:name w:val="Table Grid2"/>
    <w:basedOn w:val="TableNormal"/>
    <w:next w:val="TableGrid"/>
    <w:rsid w:val="00F25110"/>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0">
    <w:name w:val="Char Char Char Char Char Char Char Char Char"/>
    <w:basedOn w:val="Normal"/>
    <w:rsid w:val="00F25110"/>
    <w:pPr>
      <w:adjustRightInd w:val="0"/>
      <w:spacing w:line="240" w:lineRule="exact"/>
      <w:jc w:val="both"/>
      <w:textAlignment w:val="baseline"/>
    </w:pPr>
    <w:rPr>
      <w:rFonts w:ascii="Tahoma" w:eastAsia="Times New Roman" w:hAnsi="Tahoma"/>
      <w:color w:val="auto"/>
      <w:sz w:val="20"/>
    </w:rPr>
  </w:style>
  <w:style w:type="paragraph" w:customStyle="1" w:styleId="CharCharCharCharCharChar0">
    <w:name w:val="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0">
    <w:name w:val="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0">
    <w:name w:val="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2CharCharCharCharCharCharCharCharCharChar0">
    <w:name w:val="Char Char Char2 Char Char Char Char Char Char Char Char Char Char"/>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a2">
    <w:name w:val="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CharCharCharCharChar0">
    <w:name w:val="Char Знак Char Char Знак Char Char Знак"/>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paragraph" w:customStyle="1" w:styleId="1CharChar10">
    <w:name w:val="Знак Знак1 Char Char Знак Знак1"/>
    <w:basedOn w:val="Normal"/>
    <w:rsid w:val="00F25110"/>
    <w:pPr>
      <w:tabs>
        <w:tab w:val="left" w:pos="709"/>
      </w:tabs>
      <w:spacing w:after="0" w:line="240" w:lineRule="auto"/>
    </w:pPr>
    <w:rPr>
      <w:rFonts w:ascii="Tahoma" w:eastAsia="Times New Roman" w:hAnsi="Tahoma"/>
      <w:color w:val="auto"/>
      <w:sz w:val="24"/>
      <w:szCs w:val="24"/>
      <w:lang w:val="pl-PL" w:eastAsia="pl-PL"/>
    </w:rPr>
  </w:style>
  <w:style w:type="table" w:customStyle="1" w:styleId="LightShading-Accent111">
    <w:name w:val="Light Shading - Accent 111"/>
    <w:basedOn w:val="TableNormal"/>
    <w:uiPriority w:val="60"/>
    <w:rsid w:val="00F25110"/>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F25110"/>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F25110"/>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F25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79411">
      <w:bodyDiv w:val="1"/>
      <w:marLeft w:val="0"/>
      <w:marRight w:val="0"/>
      <w:marTop w:val="0"/>
      <w:marBottom w:val="0"/>
      <w:divBdr>
        <w:top w:val="none" w:sz="0" w:space="0" w:color="auto"/>
        <w:left w:val="none" w:sz="0" w:space="0" w:color="auto"/>
        <w:bottom w:val="none" w:sz="0" w:space="0" w:color="auto"/>
        <w:right w:val="none" w:sz="0" w:space="0" w:color="auto"/>
      </w:divBdr>
    </w:div>
    <w:div w:id="1375160347">
      <w:bodyDiv w:val="1"/>
      <w:marLeft w:val="0"/>
      <w:marRight w:val="0"/>
      <w:marTop w:val="0"/>
      <w:marBottom w:val="0"/>
      <w:divBdr>
        <w:top w:val="none" w:sz="0" w:space="0" w:color="auto"/>
        <w:left w:val="none" w:sz="0" w:space="0" w:color="auto"/>
        <w:bottom w:val="none" w:sz="0" w:space="0" w:color="auto"/>
        <w:right w:val="none" w:sz="0" w:space="0" w:color="auto"/>
      </w:divBdr>
    </w:div>
    <w:div w:id="157994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chart" Target="charts/chart5.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image" Target="media/image16.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3.xml"/><Relationship Id="rId22" Type="http://schemas.openxmlformats.org/officeDocument/2006/relationships/image" Target="media/image7.emf"/><Relationship Id="rId27" Type="http://schemas.openxmlformats.org/officeDocument/2006/relationships/chart" Target="charts/chart6.xml"/><Relationship Id="rId30" Type="http://schemas.openxmlformats.org/officeDocument/2006/relationships/chart" Target="charts/chart7.xml"/><Relationship Id="rId35"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rveniakovaM\AppData\Roaming\Microsoft\Templates\Equity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CherveniakovaM\Desktop\GD%20za%202014\&#1053;&#1057;&#1048;\&#1075;&#1088;&#1072;&#1092;&#1080;&#1082;&#1080;.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rgbClr val="EEECE1"/>
        </a:solidFill>
        <a:effectLst>
          <a:outerShdw blurRad="50800" dist="50800" dir="5400000" algn="ctr" rotWithShape="0">
            <a:schemeClr val="accent1">
              <a:lumMod val="20000"/>
              <a:lumOff val="80000"/>
            </a:schemeClr>
          </a:outerShdw>
        </a:effectLst>
      </c:spPr>
    </c:sideWall>
    <c:backWall>
      <c:thickness val="0"/>
      <c:spPr>
        <a:solidFill>
          <a:sysClr val="window" lastClr="FFFFFF"/>
        </a:solidFill>
        <a:effectLst>
          <a:outerShdw blurRad="50800" dist="50800" dir="5400000" algn="ctr" rotWithShape="0">
            <a:schemeClr val="accent1">
              <a:lumMod val="20000"/>
              <a:lumOff val="80000"/>
            </a:schemeClr>
          </a:outerShdw>
        </a:effectLst>
      </c:spPr>
    </c:backWall>
    <c:plotArea>
      <c:layout>
        <c:manualLayout>
          <c:layoutTarget val="inner"/>
          <c:xMode val="edge"/>
          <c:yMode val="edge"/>
          <c:x val="9.9880155848394617E-2"/>
          <c:y val="2.6859681712321195E-2"/>
          <c:w val="0.90009709075174249"/>
          <c:h val="0.66374596181867462"/>
        </c:manualLayout>
      </c:layout>
      <c:bar3DChart>
        <c:barDir val="col"/>
        <c:grouping val="clustered"/>
        <c:varyColors val="0"/>
        <c:ser>
          <c:idx val="0"/>
          <c:order val="0"/>
          <c:tx>
            <c:strRef>
              <c:f>Лист1!$C$13</c:f>
              <c:strCache>
                <c:ptCount val="1"/>
                <c:pt idx="0">
                  <c:v>2007</c:v>
                </c:pt>
              </c:strCache>
            </c:strRef>
          </c:tx>
          <c:spPr>
            <a:solidFill>
              <a:srgbClr val="A570B4"/>
            </a:solidFill>
          </c:spPr>
          <c:invertIfNegative val="0"/>
          <c:cat>
            <c:strRef>
              <c:f>Лист1!$D$12:$J$12</c:f>
              <c:strCache>
                <c:ptCount val="7"/>
                <c:pt idx="0">
                  <c:v>България</c:v>
                </c:pt>
                <c:pt idx="1">
                  <c:v>ЮИР</c:v>
                </c:pt>
                <c:pt idx="2">
                  <c:v>СЗР</c:v>
                </c:pt>
                <c:pt idx="3">
                  <c:v>СЦР</c:v>
                </c:pt>
                <c:pt idx="4">
                  <c:v>СИР</c:v>
                </c:pt>
                <c:pt idx="5">
                  <c:v>ЮЗР</c:v>
                </c:pt>
                <c:pt idx="6">
                  <c:v>ЮЦР</c:v>
                </c:pt>
              </c:strCache>
            </c:strRef>
          </c:cat>
          <c:val>
            <c:numRef>
              <c:f>Лист1!$D$13:$J$13</c:f>
              <c:numCache>
                <c:formatCode>#,##0</c:formatCode>
                <c:ptCount val="7"/>
                <c:pt idx="0">
                  <c:v>8141</c:v>
                </c:pt>
                <c:pt idx="1">
                  <c:v>6619</c:v>
                </c:pt>
                <c:pt idx="2" formatCode="General">
                  <c:v>5451</c:v>
                </c:pt>
                <c:pt idx="3" formatCode="General">
                  <c:v>5749</c:v>
                </c:pt>
                <c:pt idx="4" formatCode="General">
                  <c:v>6977</c:v>
                </c:pt>
                <c:pt idx="5" formatCode="General">
                  <c:v>13432</c:v>
                </c:pt>
                <c:pt idx="6" formatCode="General">
                  <c:v>5843</c:v>
                </c:pt>
              </c:numCache>
            </c:numRef>
          </c:val>
        </c:ser>
        <c:ser>
          <c:idx val="1"/>
          <c:order val="1"/>
          <c:tx>
            <c:strRef>
              <c:f>Лист1!$C$14</c:f>
              <c:strCache>
                <c:ptCount val="1"/>
                <c:pt idx="0">
                  <c:v>2008</c:v>
                </c:pt>
              </c:strCache>
            </c:strRef>
          </c:tx>
          <c:spPr>
            <a:solidFill>
              <a:srgbClr val="FFFF66"/>
            </a:solidFill>
          </c:spPr>
          <c:invertIfNegative val="0"/>
          <c:cat>
            <c:strRef>
              <c:f>Лист1!$D$12:$J$12</c:f>
              <c:strCache>
                <c:ptCount val="7"/>
                <c:pt idx="0">
                  <c:v>България</c:v>
                </c:pt>
                <c:pt idx="1">
                  <c:v>ЮИР</c:v>
                </c:pt>
                <c:pt idx="2">
                  <c:v>СЗР</c:v>
                </c:pt>
                <c:pt idx="3">
                  <c:v>СЦР</c:v>
                </c:pt>
                <c:pt idx="4">
                  <c:v>СИР</c:v>
                </c:pt>
                <c:pt idx="5">
                  <c:v>ЮЗР</c:v>
                </c:pt>
                <c:pt idx="6">
                  <c:v>ЮЦР</c:v>
                </c:pt>
              </c:strCache>
            </c:strRef>
          </c:cat>
          <c:val>
            <c:numRef>
              <c:f>Лист1!$D$14:$J$14</c:f>
              <c:numCache>
                <c:formatCode>#,##0</c:formatCode>
                <c:ptCount val="7"/>
                <c:pt idx="0">
                  <c:v>9351</c:v>
                </c:pt>
                <c:pt idx="1">
                  <c:v>7711</c:v>
                </c:pt>
                <c:pt idx="2" formatCode="General">
                  <c:v>6083</c:v>
                </c:pt>
                <c:pt idx="3" formatCode="General">
                  <c:v>6441</c:v>
                </c:pt>
                <c:pt idx="4" formatCode="General">
                  <c:v>8084</c:v>
                </c:pt>
                <c:pt idx="5" formatCode="General">
                  <c:v>15591</c:v>
                </c:pt>
                <c:pt idx="6" formatCode="General">
                  <c:v>6513</c:v>
                </c:pt>
              </c:numCache>
            </c:numRef>
          </c:val>
        </c:ser>
        <c:ser>
          <c:idx val="2"/>
          <c:order val="2"/>
          <c:tx>
            <c:strRef>
              <c:f>Лист1!$C$15</c:f>
              <c:strCache>
                <c:ptCount val="1"/>
                <c:pt idx="0">
                  <c:v>2009</c:v>
                </c:pt>
              </c:strCache>
            </c:strRef>
          </c:tx>
          <c:spPr>
            <a:solidFill>
              <a:srgbClr val="FD8D95"/>
            </a:solidFill>
          </c:spPr>
          <c:invertIfNegative val="0"/>
          <c:cat>
            <c:strRef>
              <c:f>Лист1!$D$12:$J$12</c:f>
              <c:strCache>
                <c:ptCount val="7"/>
                <c:pt idx="0">
                  <c:v>България</c:v>
                </c:pt>
                <c:pt idx="1">
                  <c:v>ЮИР</c:v>
                </c:pt>
                <c:pt idx="2">
                  <c:v>СЗР</c:v>
                </c:pt>
                <c:pt idx="3">
                  <c:v>СЦР</c:v>
                </c:pt>
                <c:pt idx="4">
                  <c:v>СИР</c:v>
                </c:pt>
                <c:pt idx="5">
                  <c:v>ЮЗР</c:v>
                </c:pt>
                <c:pt idx="6">
                  <c:v>ЮЦР</c:v>
                </c:pt>
              </c:strCache>
            </c:strRef>
          </c:cat>
          <c:val>
            <c:numRef>
              <c:f>Лист1!$D$15:$J$15</c:f>
              <c:numCache>
                <c:formatCode>General</c:formatCode>
                <c:ptCount val="7"/>
                <c:pt idx="0" formatCode="#,##0">
                  <c:v>9303</c:v>
                </c:pt>
                <c:pt idx="1">
                  <c:v>7719</c:v>
                </c:pt>
                <c:pt idx="2">
                  <c:v>5853</c:v>
                </c:pt>
                <c:pt idx="3">
                  <c:v>6284</c:v>
                </c:pt>
                <c:pt idx="4">
                  <c:v>7634</c:v>
                </c:pt>
                <c:pt idx="5">
                  <c:v>15745</c:v>
                </c:pt>
                <c:pt idx="6">
                  <c:v>6511</c:v>
                </c:pt>
              </c:numCache>
            </c:numRef>
          </c:val>
        </c:ser>
        <c:ser>
          <c:idx val="3"/>
          <c:order val="3"/>
          <c:tx>
            <c:strRef>
              <c:f>Лист1!$C$16</c:f>
              <c:strCache>
                <c:ptCount val="1"/>
                <c:pt idx="0">
                  <c:v>2010</c:v>
                </c:pt>
              </c:strCache>
            </c:strRef>
          </c:tx>
          <c:spPr>
            <a:solidFill>
              <a:srgbClr val="C0504D"/>
            </a:solidFill>
          </c:spPr>
          <c:invertIfNegative val="0"/>
          <c:cat>
            <c:strRef>
              <c:f>Лист1!$D$12:$J$12</c:f>
              <c:strCache>
                <c:ptCount val="7"/>
                <c:pt idx="0">
                  <c:v>България</c:v>
                </c:pt>
                <c:pt idx="1">
                  <c:v>ЮИР</c:v>
                </c:pt>
                <c:pt idx="2">
                  <c:v>СЗР</c:v>
                </c:pt>
                <c:pt idx="3">
                  <c:v>СЦР</c:v>
                </c:pt>
                <c:pt idx="4">
                  <c:v>СИР</c:v>
                </c:pt>
                <c:pt idx="5">
                  <c:v>ЮЗР</c:v>
                </c:pt>
                <c:pt idx="6">
                  <c:v>ЮЦР</c:v>
                </c:pt>
              </c:strCache>
            </c:strRef>
          </c:cat>
          <c:val>
            <c:numRef>
              <c:f>Лист1!$D$16:$J$16</c:f>
              <c:numCache>
                <c:formatCode>General</c:formatCode>
                <c:ptCount val="7"/>
                <c:pt idx="0" formatCode="#,##0">
                  <c:v>9544</c:v>
                </c:pt>
                <c:pt idx="1">
                  <c:v>7869</c:v>
                </c:pt>
                <c:pt idx="2">
                  <c:v>5818</c:v>
                </c:pt>
                <c:pt idx="3">
                  <c:v>6205</c:v>
                </c:pt>
                <c:pt idx="4">
                  <c:v>7736</c:v>
                </c:pt>
                <c:pt idx="5">
                  <c:v>16346</c:v>
                </c:pt>
                <c:pt idx="6">
                  <c:v>6674</c:v>
                </c:pt>
              </c:numCache>
            </c:numRef>
          </c:val>
        </c:ser>
        <c:ser>
          <c:idx val="4"/>
          <c:order val="4"/>
          <c:tx>
            <c:strRef>
              <c:f>Лист1!$C$17</c:f>
              <c:strCache>
                <c:ptCount val="1"/>
                <c:pt idx="0">
                  <c:v>2011</c:v>
                </c:pt>
              </c:strCache>
            </c:strRef>
          </c:tx>
          <c:spPr>
            <a:solidFill>
              <a:srgbClr val="4BACC6">
                <a:lumMod val="60000"/>
                <a:lumOff val="40000"/>
              </a:srgbClr>
            </a:solidFill>
          </c:spPr>
          <c:invertIfNegative val="0"/>
          <c:cat>
            <c:strRef>
              <c:f>Лист1!$D$12:$J$12</c:f>
              <c:strCache>
                <c:ptCount val="7"/>
                <c:pt idx="0">
                  <c:v>България</c:v>
                </c:pt>
                <c:pt idx="1">
                  <c:v>ЮИР</c:v>
                </c:pt>
                <c:pt idx="2">
                  <c:v>СЗР</c:v>
                </c:pt>
                <c:pt idx="3">
                  <c:v>СЦР</c:v>
                </c:pt>
                <c:pt idx="4">
                  <c:v>СИР</c:v>
                </c:pt>
                <c:pt idx="5">
                  <c:v>ЮЗР</c:v>
                </c:pt>
                <c:pt idx="6">
                  <c:v>ЮЦР</c:v>
                </c:pt>
              </c:strCache>
            </c:strRef>
          </c:cat>
          <c:val>
            <c:numRef>
              <c:f>Лист1!$D$17:$J$17</c:f>
              <c:numCache>
                <c:formatCode>General</c:formatCode>
                <c:ptCount val="7"/>
                <c:pt idx="0" formatCode="#,##0">
                  <c:v>10674</c:v>
                </c:pt>
                <c:pt idx="1">
                  <c:v>8583</c:v>
                </c:pt>
                <c:pt idx="2">
                  <c:v>6714</c:v>
                </c:pt>
                <c:pt idx="3">
                  <c:v>7219</c:v>
                </c:pt>
                <c:pt idx="4">
                  <c:v>8660</c:v>
                </c:pt>
                <c:pt idx="5">
                  <c:v>17807</c:v>
                </c:pt>
                <c:pt idx="6">
                  <c:v>7473</c:v>
                </c:pt>
              </c:numCache>
            </c:numRef>
          </c:val>
        </c:ser>
        <c:ser>
          <c:idx val="5"/>
          <c:order val="5"/>
          <c:tx>
            <c:strRef>
              <c:f>Лист1!$C$18</c:f>
              <c:strCache>
                <c:ptCount val="1"/>
                <c:pt idx="0">
                  <c:v>2012</c:v>
                </c:pt>
              </c:strCache>
            </c:strRef>
          </c:tx>
          <c:spPr>
            <a:solidFill>
              <a:schemeClr val="accent3"/>
            </a:solidFill>
            <a:effectLst/>
          </c:spPr>
          <c:invertIfNegative val="0"/>
          <c:cat>
            <c:strRef>
              <c:f>Лист1!$D$12:$J$12</c:f>
              <c:strCache>
                <c:ptCount val="7"/>
                <c:pt idx="0">
                  <c:v>България</c:v>
                </c:pt>
                <c:pt idx="1">
                  <c:v>ЮИР</c:v>
                </c:pt>
                <c:pt idx="2">
                  <c:v>СЗР</c:v>
                </c:pt>
                <c:pt idx="3">
                  <c:v>СЦР</c:v>
                </c:pt>
                <c:pt idx="4">
                  <c:v>СИР</c:v>
                </c:pt>
                <c:pt idx="5">
                  <c:v>ЮЗР</c:v>
                </c:pt>
                <c:pt idx="6">
                  <c:v>ЮЦР</c:v>
                </c:pt>
              </c:strCache>
            </c:strRef>
          </c:cat>
          <c:val>
            <c:numRef>
              <c:f>Лист1!$D$18:$J$18</c:f>
              <c:numCache>
                <c:formatCode>General</c:formatCode>
                <c:ptCount val="7"/>
                <c:pt idx="0" formatCode="#,##0">
                  <c:v>10956</c:v>
                </c:pt>
                <c:pt idx="1">
                  <c:v>9140</c:v>
                </c:pt>
                <c:pt idx="2">
                  <c:v>6816</c:v>
                </c:pt>
                <c:pt idx="3">
                  <c:v>7548</c:v>
                </c:pt>
                <c:pt idx="4">
                  <c:v>9077</c:v>
                </c:pt>
                <c:pt idx="5">
                  <c:v>17887</c:v>
                </c:pt>
                <c:pt idx="6">
                  <c:v>7761</c:v>
                </c:pt>
              </c:numCache>
            </c:numRef>
          </c:val>
        </c:ser>
        <c:dLbls>
          <c:showLegendKey val="0"/>
          <c:showVal val="0"/>
          <c:showCatName val="0"/>
          <c:showSerName val="0"/>
          <c:showPercent val="0"/>
          <c:showBubbleSize val="0"/>
        </c:dLbls>
        <c:gapWidth val="150"/>
        <c:shape val="cylinder"/>
        <c:axId val="157421568"/>
        <c:axId val="157423104"/>
        <c:axId val="0"/>
      </c:bar3DChart>
      <c:catAx>
        <c:axId val="157421568"/>
        <c:scaling>
          <c:orientation val="minMax"/>
        </c:scaling>
        <c:delete val="0"/>
        <c:axPos val="b"/>
        <c:numFmt formatCode="General" sourceLinked="1"/>
        <c:majorTickMark val="none"/>
        <c:minorTickMark val="none"/>
        <c:tickLblPos val="nextTo"/>
        <c:txPr>
          <a:bodyPr rot="0" vert="horz"/>
          <a:lstStyle/>
          <a:p>
            <a:pPr>
              <a:defRPr sz="1001" b="0" i="0" u="none" strike="noStrike" baseline="0">
                <a:solidFill>
                  <a:srgbClr val="000000"/>
                </a:solidFill>
                <a:latin typeface="Calibri"/>
                <a:ea typeface="Calibri"/>
                <a:cs typeface="Calibri"/>
              </a:defRPr>
            </a:pPr>
            <a:endParaRPr lang="bg-BG"/>
          </a:p>
        </c:txPr>
        <c:crossAx val="157423104"/>
        <c:crosses val="autoZero"/>
        <c:auto val="1"/>
        <c:lblAlgn val="ctr"/>
        <c:lblOffset val="100"/>
        <c:noMultiLvlLbl val="0"/>
      </c:catAx>
      <c:valAx>
        <c:axId val="157423104"/>
        <c:scaling>
          <c:orientation val="minMax"/>
        </c:scaling>
        <c:delete val="0"/>
        <c:axPos val="l"/>
        <c:majorGridlines>
          <c:spPr>
            <a:ln>
              <a:solidFill>
                <a:srgbClr val="4F81BD">
                  <a:lumMod val="20000"/>
                  <a:lumOff val="80000"/>
                </a:srgbClr>
              </a:solidFill>
            </a:ln>
            <a:effectLst>
              <a:outerShdw blurRad="50800" dist="50800" dir="5400000" algn="ctr" rotWithShape="0">
                <a:schemeClr val="accent6">
                  <a:lumMod val="40000"/>
                  <a:lumOff val="60000"/>
                </a:schemeClr>
              </a:outerShdw>
            </a:effectLst>
          </c:spPr>
        </c:majorGridlines>
        <c:numFmt formatCode="#,##0" sourceLinked="1"/>
        <c:majorTickMark val="none"/>
        <c:minorTickMark val="none"/>
        <c:tickLblPos val="nextTo"/>
        <c:txPr>
          <a:bodyPr rot="0" vert="horz"/>
          <a:lstStyle/>
          <a:p>
            <a:pPr>
              <a:defRPr sz="1001" b="0" i="0" u="none" strike="noStrike" baseline="0">
                <a:solidFill>
                  <a:srgbClr val="000000"/>
                </a:solidFill>
                <a:latin typeface="Calibri"/>
                <a:ea typeface="Calibri"/>
                <a:cs typeface="Calibri"/>
              </a:defRPr>
            </a:pPr>
            <a:endParaRPr lang="bg-BG"/>
          </a:p>
        </c:txPr>
        <c:crossAx val="157421568"/>
        <c:crosses val="autoZero"/>
        <c:crossBetween val="between"/>
      </c:valAx>
      <c:dTable>
        <c:showHorzBorder val="1"/>
        <c:showVertBorder val="1"/>
        <c:showOutline val="1"/>
        <c:showKeys val="1"/>
        <c:spPr>
          <a:effectLst>
            <a:glow rad="63500">
              <a:srgbClr val="4F81BD">
                <a:lumMod val="20000"/>
                <a:lumOff val="80000"/>
                <a:alpha val="40000"/>
              </a:srgbClr>
            </a:glow>
            <a:outerShdw blurRad="50800" dist="50800" dir="5400000" algn="ctr" rotWithShape="0">
              <a:srgbClr val="4BACC6">
                <a:lumMod val="20000"/>
                <a:lumOff val="80000"/>
              </a:srgbClr>
            </a:outerShdw>
          </a:effectLst>
        </c:spPr>
        <c:txPr>
          <a:bodyPr/>
          <a:lstStyle/>
          <a:p>
            <a:pPr rtl="0">
              <a:defRPr sz="951" b="0" i="0" u="none" strike="noStrike" baseline="0">
                <a:solidFill>
                  <a:srgbClr val="000000"/>
                </a:solidFill>
                <a:latin typeface="Calibri"/>
                <a:ea typeface="Calibri"/>
                <a:cs typeface="Calibri"/>
              </a:defRPr>
            </a:pPr>
            <a:endParaRPr lang="bg-BG"/>
          </a:p>
        </c:txPr>
      </c:dTable>
      <c:spPr>
        <a:noFill/>
        <a:ln w="25426">
          <a:noFill/>
        </a:ln>
      </c:spPr>
    </c:plotArea>
    <c:plotVisOnly val="1"/>
    <c:dispBlanksAs val="gap"/>
    <c:showDLblsOverMax val="0"/>
  </c:chart>
  <c:spPr>
    <a:effectLst>
      <a:glow rad="63500">
        <a:schemeClr val="accent5">
          <a:lumMod val="20000"/>
          <a:lumOff val="80000"/>
          <a:alpha val="40000"/>
        </a:schemeClr>
      </a:glow>
    </a:effectLst>
  </c:spPr>
  <c:txPr>
    <a:bodyPr/>
    <a:lstStyle/>
    <a:p>
      <a:pPr>
        <a:defRPr sz="1001"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stacked"/>
        <c:varyColors val="0"/>
        <c:ser>
          <c:idx val="0"/>
          <c:order val="0"/>
          <c:tx>
            <c:strRef>
              <c:f>Лист1!$G$17</c:f>
              <c:strCache>
                <c:ptCount val="1"/>
                <c:pt idx="0">
                  <c:v>Аграрен</c:v>
                </c:pt>
              </c:strCache>
            </c:strRef>
          </c:tx>
          <c:spPr>
            <a:solidFill>
              <a:srgbClr val="7030A0"/>
            </a:solidFill>
          </c:spPr>
          <c:invertIfNegative val="0"/>
          <c:cat>
            <c:strRef>
              <c:f>Лист1!$H$16:$L$16</c:f>
              <c:strCache>
                <c:ptCount val="5"/>
                <c:pt idx="0">
                  <c:v>ЮИР</c:v>
                </c:pt>
                <c:pt idx="1">
                  <c:v>Бургас</c:v>
                </c:pt>
                <c:pt idx="2">
                  <c:v>Стара Загора</c:v>
                </c:pt>
                <c:pt idx="3">
                  <c:v>Сливен</c:v>
                </c:pt>
                <c:pt idx="4">
                  <c:v>Ямбол</c:v>
                </c:pt>
              </c:strCache>
            </c:strRef>
          </c:cat>
          <c:val>
            <c:numRef>
              <c:f>Лист1!$H$17:$L$17</c:f>
              <c:numCache>
                <c:formatCode>General</c:formatCode>
                <c:ptCount val="5"/>
                <c:pt idx="0">
                  <c:v>535</c:v>
                </c:pt>
                <c:pt idx="1">
                  <c:v>178</c:v>
                </c:pt>
                <c:pt idx="2">
                  <c:v>135</c:v>
                </c:pt>
                <c:pt idx="3">
                  <c:v>111</c:v>
                </c:pt>
                <c:pt idx="4">
                  <c:v>111</c:v>
                </c:pt>
              </c:numCache>
            </c:numRef>
          </c:val>
        </c:ser>
        <c:ser>
          <c:idx val="1"/>
          <c:order val="1"/>
          <c:tx>
            <c:strRef>
              <c:f>Лист1!$G$18</c:f>
              <c:strCache>
                <c:ptCount val="1"/>
                <c:pt idx="0">
                  <c:v>Индустрия</c:v>
                </c:pt>
              </c:strCache>
            </c:strRef>
          </c:tx>
          <c:spPr>
            <a:solidFill>
              <a:srgbClr val="FFFF00"/>
            </a:solidFill>
          </c:spPr>
          <c:invertIfNegative val="0"/>
          <c:cat>
            <c:strRef>
              <c:f>Лист1!$H$16:$L$16</c:f>
              <c:strCache>
                <c:ptCount val="5"/>
                <c:pt idx="0">
                  <c:v>ЮИР</c:v>
                </c:pt>
                <c:pt idx="1">
                  <c:v>Бургас</c:v>
                </c:pt>
                <c:pt idx="2">
                  <c:v>Стара Загора</c:v>
                </c:pt>
                <c:pt idx="3">
                  <c:v>Сливен</c:v>
                </c:pt>
                <c:pt idx="4">
                  <c:v>Ямбол</c:v>
                </c:pt>
              </c:strCache>
            </c:strRef>
          </c:cat>
          <c:val>
            <c:numRef>
              <c:f>Лист1!$H$18:$L$18</c:f>
              <c:numCache>
                <c:formatCode>#,##0</c:formatCode>
                <c:ptCount val="5"/>
                <c:pt idx="0">
                  <c:v>3678</c:v>
                </c:pt>
                <c:pt idx="1">
                  <c:v>1053</c:v>
                </c:pt>
                <c:pt idx="2">
                  <c:v>2004</c:v>
                </c:pt>
                <c:pt idx="3">
                  <c:v>330</c:v>
                </c:pt>
                <c:pt idx="4">
                  <c:v>290</c:v>
                </c:pt>
              </c:numCache>
            </c:numRef>
          </c:val>
        </c:ser>
        <c:ser>
          <c:idx val="2"/>
          <c:order val="2"/>
          <c:tx>
            <c:strRef>
              <c:f>Лист1!$G$19</c:f>
              <c:strCache>
                <c:ptCount val="1"/>
                <c:pt idx="0">
                  <c:v>Услуги</c:v>
                </c:pt>
              </c:strCache>
            </c:strRef>
          </c:tx>
          <c:spPr>
            <a:solidFill>
              <a:srgbClr val="FF0000"/>
            </a:solidFill>
          </c:spPr>
          <c:invertIfNegative val="0"/>
          <c:cat>
            <c:strRef>
              <c:f>Лист1!$H$16:$L$16</c:f>
              <c:strCache>
                <c:ptCount val="5"/>
                <c:pt idx="0">
                  <c:v>ЮИР</c:v>
                </c:pt>
                <c:pt idx="1">
                  <c:v>Бургас</c:v>
                </c:pt>
                <c:pt idx="2">
                  <c:v>Стара Загора</c:v>
                </c:pt>
                <c:pt idx="3">
                  <c:v>Сливен</c:v>
                </c:pt>
                <c:pt idx="4">
                  <c:v>Ямбол</c:v>
                </c:pt>
              </c:strCache>
            </c:strRef>
          </c:cat>
          <c:val>
            <c:numRef>
              <c:f>Лист1!$H$19:$L$19</c:f>
              <c:numCache>
                <c:formatCode>#,##0</c:formatCode>
                <c:ptCount val="5"/>
                <c:pt idx="0">
                  <c:v>4206</c:v>
                </c:pt>
                <c:pt idx="1">
                  <c:v>2110</c:v>
                </c:pt>
                <c:pt idx="2">
                  <c:v>1187</c:v>
                </c:pt>
                <c:pt idx="3" formatCode="General">
                  <c:v>537</c:v>
                </c:pt>
                <c:pt idx="4">
                  <c:v>371</c:v>
                </c:pt>
              </c:numCache>
            </c:numRef>
          </c:val>
        </c:ser>
        <c:dLbls>
          <c:showLegendKey val="0"/>
          <c:showVal val="0"/>
          <c:showCatName val="0"/>
          <c:showSerName val="0"/>
          <c:showPercent val="0"/>
          <c:showBubbleSize val="0"/>
        </c:dLbls>
        <c:gapWidth val="95"/>
        <c:gapDepth val="95"/>
        <c:shape val="cylinder"/>
        <c:axId val="39682432"/>
        <c:axId val="39683968"/>
        <c:axId val="0"/>
      </c:bar3DChart>
      <c:catAx>
        <c:axId val="39682432"/>
        <c:scaling>
          <c:orientation val="minMax"/>
        </c:scaling>
        <c:delete val="0"/>
        <c:axPos val="l"/>
        <c:numFmt formatCode="General" sourceLinked="1"/>
        <c:majorTickMark val="none"/>
        <c:minorTickMark val="none"/>
        <c:tickLblPos val="nextTo"/>
        <c:txPr>
          <a:bodyPr rot="0" vert="horz"/>
          <a:lstStyle/>
          <a:p>
            <a:pPr>
              <a:defRPr sz="876" b="0" i="0" u="none" strike="noStrike" baseline="0">
                <a:solidFill>
                  <a:srgbClr val="000000"/>
                </a:solidFill>
                <a:latin typeface="Calibri"/>
                <a:ea typeface="Calibri"/>
                <a:cs typeface="Calibri"/>
              </a:defRPr>
            </a:pPr>
            <a:endParaRPr lang="bg-BG"/>
          </a:p>
        </c:txPr>
        <c:crossAx val="39683968"/>
        <c:crosses val="autoZero"/>
        <c:auto val="1"/>
        <c:lblAlgn val="ctr"/>
        <c:lblOffset val="100"/>
        <c:noMultiLvlLbl val="0"/>
      </c:catAx>
      <c:valAx>
        <c:axId val="39683968"/>
        <c:scaling>
          <c:orientation val="minMax"/>
        </c:scaling>
        <c:delete val="0"/>
        <c:axPos val="b"/>
        <c:majorGridlines/>
        <c:numFmt formatCode="General" sourceLinked="1"/>
        <c:majorTickMark val="none"/>
        <c:minorTickMark val="none"/>
        <c:tickLblPos val="nextTo"/>
        <c:txPr>
          <a:bodyPr rot="0" vert="horz"/>
          <a:lstStyle/>
          <a:p>
            <a:pPr>
              <a:defRPr sz="876" b="0" i="0" u="none" strike="noStrike" baseline="0">
                <a:solidFill>
                  <a:srgbClr val="000000"/>
                </a:solidFill>
                <a:latin typeface="Calibri"/>
                <a:ea typeface="Calibri"/>
                <a:cs typeface="Calibri"/>
              </a:defRPr>
            </a:pPr>
            <a:endParaRPr lang="bg-BG"/>
          </a:p>
        </c:txPr>
        <c:crossAx val="39682432"/>
        <c:crosses val="autoZero"/>
        <c:crossBetween val="between"/>
      </c:valAx>
      <c:dTable>
        <c:showHorzBorder val="1"/>
        <c:showVertBorder val="1"/>
        <c:showOutline val="1"/>
        <c:showKeys val="1"/>
        <c:txPr>
          <a:bodyPr/>
          <a:lstStyle/>
          <a:p>
            <a:pPr rtl="0">
              <a:defRPr sz="876" b="0" i="0" u="none" strike="noStrike" baseline="0">
                <a:solidFill>
                  <a:srgbClr val="000000"/>
                </a:solidFill>
                <a:latin typeface="Calibri"/>
                <a:ea typeface="Calibri"/>
                <a:cs typeface="Calibri"/>
              </a:defRPr>
            </a:pPr>
            <a:endParaRPr lang="bg-BG"/>
          </a:p>
        </c:txPr>
      </c:dTable>
      <c:spPr>
        <a:solidFill>
          <a:sysClr val="window" lastClr="FFFFFF"/>
        </a:solidFill>
        <a:ln w="22265">
          <a:noFill/>
        </a:ln>
      </c:spPr>
    </c:plotArea>
    <c:plotVisOnly val="1"/>
    <c:dispBlanksAs val="gap"/>
    <c:showDLblsOverMax val="0"/>
  </c:chart>
  <c:spPr>
    <a:ln>
      <a:solidFill>
        <a:sysClr val="window" lastClr="FFFFFF">
          <a:lumMod val="50000"/>
        </a:sysClr>
      </a:solidFill>
    </a:ln>
  </c:spPr>
  <c:txPr>
    <a:bodyPr/>
    <a:lstStyle/>
    <a:p>
      <a:pPr>
        <a:defRPr sz="876"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59"/>
      <c:depthPercent val="100"/>
      <c:rAngAx val="1"/>
    </c:view3D>
    <c:floor>
      <c:thickness val="0"/>
    </c:floor>
    <c:sideWall>
      <c:thickness val="0"/>
      <c:spPr>
        <a:gradFill flip="none" rotWithShape="1">
          <a:gsLst>
            <a:gs pos="0">
              <a:schemeClr val="bg1"/>
            </a:gs>
            <a:gs pos="89000">
              <a:schemeClr val="accent2">
                <a:lumMod val="20000"/>
                <a:lumOff val="80000"/>
              </a:schemeClr>
            </a:gs>
            <a:gs pos="100000">
              <a:schemeClr val="accent1">
                <a:tint val="23500"/>
                <a:satMod val="160000"/>
              </a:schemeClr>
            </a:gs>
          </a:gsLst>
          <a:lin ang="5400000" scaled="0"/>
          <a:tileRect/>
        </a:gradFill>
        <a:ln>
          <a:solidFill>
            <a:srgbClr val="D797C9"/>
          </a:solidFill>
        </a:ln>
        <a:effectLst>
          <a:innerShdw blurRad="63500" dist="50800" dir="13500000">
            <a:prstClr val="black">
              <a:alpha val="50000"/>
            </a:prstClr>
          </a:innerShdw>
        </a:effectLst>
        <a:scene3d>
          <a:camera prst="orthographicFront"/>
          <a:lightRig rig="threePt" dir="t"/>
        </a:scene3d>
        <a:sp3d>
          <a:bevelT w="165100" prst="coolSlant"/>
        </a:sp3d>
      </c:spPr>
    </c:sideWall>
    <c:backWall>
      <c:thickness val="0"/>
      <c:spPr>
        <a:gradFill flip="none" rotWithShape="1">
          <a:gsLst>
            <a:gs pos="0">
              <a:schemeClr val="bg1"/>
            </a:gs>
            <a:gs pos="89000">
              <a:schemeClr val="accent2">
                <a:lumMod val="20000"/>
                <a:lumOff val="80000"/>
              </a:schemeClr>
            </a:gs>
            <a:gs pos="100000">
              <a:schemeClr val="accent1">
                <a:tint val="23500"/>
                <a:satMod val="160000"/>
              </a:schemeClr>
            </a:gs>
          </a:gsLst>
          <a:lin ang="5400000" scaled="0"/>
          <a:tileRect/>
        </a:gradFill>
        <a:ln>
          <a:solidFill>
            <a:srgbClr val="D797C9"/>
          </a:solidFill>
        </a:ln>
        <a:effectLst>
          <a:innerShdw blurRad="63500" dist="50800" dir="13500000">
            <a:prstClr val="black">
              <a:alpha val="50000"/>
            </a:prstClr>
          </a:innerShdw>
        </a:effectLst>
        <a:scene3d>
          <a:camera prst="orthographicFront"/>
          <a:lightRig rig="threePt" dir="t"/>
        </a:scene3d>
        <a:sp3d>
          <a:bevelT w="165100" prst="coolSlant"/>
        </a:sp3d>
      </c:spPr>
    </c:backWall>
    <c:plotArea>
      <c:layout>
        <c:manualLayout>
          <c:layoutTarget val="inner"/>
          <c:xMode val="edge"/>
          <c:yMode val="edge"/>
          <c:x val="0.13910819561623891"/>
          <c:y val="4.2557017000789767E-2"/>
          <c:w val="0.86089180438376189"/>
          <c:h val="0.71092060644716926"/>
        </c:manualLayout>
      </c:layout>
      <c:bar3DChart>
        <c:barDir val="col"/>
        <c:grouping val="clustered"/>
        <c:varyColors val="0"/>
        <c:ser>
          <c:idx val="0"/>
          <c:order val="0"/>
          <c:tx>
            <c:strRef>
              <c:f>Лист1!$C$34</c:f>
              <c:strCache>
                <c:ptCount val="1"/>
                <c:pt idx="0">
                  <c:v>2010</c:v>
                </c:pt>
              </c:strCache>
            </c:strRef>
          </c:tx>
          <c:spPr>
            <a:solidFill>
              <a:srgbClr val="FF7C80"/>
            </a:solidFill>
          </c:spPr>
          <c:invertIfNegative val="0"/>
          <c:cat>
            <c:strRef>
              <c:f>Лист1!$B$35:$B$40</c:f>
              <c:strCache>
                <c:ptCount val="6"/>
                <c:pt idx="0">
                  <c:v>СЗР</c:v>
                </c:pt>
                <c:pt idx="1">
                  <c:v>СЦР</c:v>
                </c:pt>
                <c:pt idx="2">
                  <c:v>СИР</c:v>
                </c:pt>
                <c:pt idx="3">
                  <c:v>ЮИР</c:v>
                </c:pt>
                <c:pt idx="4">
                  <c:v>ЮЗР</c:v>
                </c:pt>
                <c:pt idx="5">
                  <c:v>ЮЦР</c:v>
                </c:pt>
              </c:strCache>
            </c:strRef>
          </c:cat>
          <c:val>
            <c:numRef>
              <c:f>Лист1!$C$35:$C$40</c:f>
              <c:numCache>
                <c:formatCode>General</c:formatCode>
                <c:ptCount val="6"/>
                <c:pt idx="0">
                  <c:v>11401870</c:v>
                </c:pt>
                <c:pt idx="1">
                  <c:v>18232107</c:v>
                </c:pt>
                <c:pt idx="2">
                  <c:v>189455740</c:v>
                </c:pt>
                <c:pt idx="3">
                  <c:v>238087669</c:v>
                </c:pt>
                <c:pt idx="4">
                  <c:v>140697706</c:v>
                </c:pt>
                <c:pt idx="5">
                  <c:v>55861783</c:v>
                </c:pt>
              </c:numCache>
            </c:numRef>
          </c:val>
        </c:ser>
        <c:ser>
          <c:idx val="1"/>
          <c:order val="1"/>
          <c:tx>
            <c:strRef>
              <c:f>Лист1!$D$34</c:f>
              <c:strCache>
                <c:ptCount val="1"/>
                <c:pt idx="0">
                  <c:v>2011</c:v>
                </c:pt>
              </c:strCache>
            </c:strRef>
          </c:tx>
          <c:spPr>
            <a:solidFill>
              <a:srgbClr val="92D050"/>
            </a:solidFill>
          </c:spPr>
          <c:invertIfNegative val="0"/>
          <c:cat>
            <c:strRef>
              <c:f>Лист1!$B$35:$B$40</c:f>
              <c:strCache>
                <c:ptCount val="6"/>
                <c:pt idx="0">
                  <c:v>СЗР</c:v>
                </c:pt>
                <c:pt idx="1">
                  <c:v>СЦР</c:v>
                </c:pt>
                <c:pt idx="2">
                  <c:v>СИР</c:v>
                </c:pt>
                <c:pt idx="3">
                  <c:v>ЮИР</c:v>
                </c:pt>
                <c:pt idx="4">
                  <c:v>ЮЗР</c:v>
                </c:pt>
                <c:pt idx="5">
                  <c:v>ЮЦР</c:v>
                </c:pt>
              </c:strCache>
            </c:strRef>
          </c:cat>
          <c:val>
            <c:numRef>
              <c:f>Лист1!$D$35:$D$40</c:f>
              <c:numCache>
                <c:formatCode>General</c:formatCode>
                <c:ptCount val="6"/>
                <c:pt idx="0">
                  <c:v>15671159</c:v>
                </c:pt>
                <c:pt idx="1">
                  <c:v>22738942</c:v>
                </c:pt>
                <c:pt idx="2">
                  <c:v>222955601</c:v>
                </c:pt>
                <c:pt idx="3">
                  <c:v>266263822</c:v>
                </c:pt>
                <c:pt idx="4">
                  <c:v>141890617</c:v>
                </c:pt>
                <c:pt idx="5">
                  <c:v>63533282</c:v>
                </c:pt>
              </c:numCache>
            </c:numRef>
          </c:val>
        </c:ser>
        <c:ser>
          <c:idx val="2"/>
          <c:order val="2"/>
          <c:tx>
            <c:strRef>
              <c:f>Лист1!$E$34</c:f>
              <c:strCache>
                <c:ptCount val="1"/>
                <c:pt idx="0">
                  <c:v>2012</c:v>
                </c:pt>
              </c:strCache>
            </c:strRef>
          </c:tx>
          <c:spPr>
            <a:solidFill>
              <a:srgbClr val="CA71D1"/>
            </a:solidFill>
          </c:spPr>
          <c:invertIfNegative val="0"/>
          <c:cat>
            <c:strRef>
              <c:f>Лист1!$B$35:$B$40</c:f>
              <c:strCache>
                <c:ptCount val="6"/>
                <c:pt idx="0">
                  <c:v>СЗР</c:v>
                </c:pt>
                <c:pt idx="1">
                  <c:v>СЦР</c:v>
                </c:pt>
                <c:pt idx="2">
                  <c:v>СИР</c:v>
                </c:pt>
                <c:pt idx="3">
                  <c:v>ЮИР</c:v>
                </c:pt>
                <c:pt idx="4">
                  <c:v>ЮЗР</c:v>
                </c:pt>
                <c:pt idx="5">
                  <c:v>ЮЦР</c:v>
                </c:pt>
              </c:strCache>
            </c:strRef>
          </c:cat>
          <c:val>
            <c:numRef>
              <c:f>Лист1!$E$35:$E$40</c:f>
              <c:numCache>
                <c:formatCode>General</c:formatCode>
                <c:ptCount val="6"/>
                <c:pt idx="0">
                  <c:v>17298253</c:v>
                </c:pt>
                <c:pt idx="1">
                  <c:v>24787980</c:v>
                </c:pt>
                <c:pt idx="2">
                  <c:v>248967819</c:v>
                </c:pt>
                <c:pt idx="3">
                  <c:v>315504729</c:v>
                </c:pt>
                <c:pt idx="4">
                  <c:v>155109545</c:v>
                </c:pt>
                <c:pt idx="5">
                  <c:v>74541961</c:v>
                </c:pt>
              </c:numCache>
            </c:numRef>
          </c:val>
        </c:ser>
        <c:ser>
          <c:idx val="3"/>
          <c:order val="3"/>
          <c:tx>
            <c:strRef>
              <c:f>Лист1!$F$34</c:f>
              <c:strCache>
                <c:ptCount val="1"/>
                <c:pt idx="0">
                  <c:v>2013</c:v>
                </c:pt>
              </c:strCache>
            </c:strRef>
          </c:tx>
          <c:spPr>
            <a:solidFill>
              <a:schemeClr val="accent5">
                <a:lumMod val="60000"/>
                <a:lumOff val="40000"/>
              </a:schemeClr>
            </a:solidFill>
          </c:spPr>
          <c:invertIfNegative val="0"/>
          <c:cat>
            <c:strRef>
              <c:f>Лист1!$B$35:$B$40</c:f>
              <c:strCache>
                <c:ptCount val="6"/>
                <c:pt idx="0">
                  <c:v>СЗР</c:v>
                </c:pt>
                <c:pt idx="1">
                  <c:v>СЦР</c:v>
                </c:pt>
                <c:pt idx="2">
                  <c:v>СИР</c:v>
                </c:pt>
                <c:pt idx="3">
                  <c:v>ЮИР</c:v>
                </c:pt>
                <c:pt idx="4">
                  <c:v>ЮЗР</c:v>
                </c:pt>
                <c:pt idx="5">
                  <c:v>ЮЦР</c:v>
                </c:pt>
              </c:strCache>
            </c:strRef>
          </c:cat>
          <c:val>
            <c:numRef>
              <c:f>Лист1!$F$35:$F$40</c:f>
              <c:numCache>
                <c:formatCode>General</c:formatCode>
                <c:ptCount val="6"/>
                <c:pt idx="0">
                  <c:v>17465965</c:v>
                </c:pt>
                <c:pt idx="1">
                  <c:v>23905578</c:v>
                </c:pt>
                <c:pt idx="2">
                  <c:v>267999136</c:v>
                </c:pt>
                <c:pt idx="3">
                  <c:v>356594395</c:v>
                </c:pt>
                <c:pt idx="4">
                  <c:v>164670516</c:v>
                </c:pt>
                <c:pt idx="5">
                  <c:v>75670003</c:v>
                </c:pt>
              </c:numCache>
            </c:numRef>
          </c:val>
        </c:ser>
        <c:ser>
          <c:idx val="4"/>
          <c:order val="4"/>
          <c:tx>
            <c:strRef>
              <c:f>Лист1!$G$34</c:f>
              <c:strCache>
                <c:ptCount val="1"/>
                <c:pt idx="0">
                  <c:v>2014</c:v>
                </c:pt>
              </c:strCache>
            </c:strRef>
          </c:tx>
          <c:spPr>
            <a:solidFill>
              <a:srgbClr val="F79646">
                <a:lumMod val="60000"/>
                <a:lumOff val="40000"/>
              </a:srgbClr>
            </a:solidFill>
          </c:spPr>
          <c:invertIfNegative val="0"/>
          <c:cat>
            <c:strRef>
              <c:f>Лист1!$B$35:$B$40</c:f>
              <c:strCache>
                <c:ptCount val="6"/>
                <c:pt idx="0">
                  <c:v>СЗР</c:v>
                </c:pt>
                <c:pt idx="1">
                  <c:v>СЦР</c:v>
                </c:pt>
                <c:pt idx="2">
                  <c:v>СИР</c:v>
                </c:pt>
                <c:pt idx="3">
                  <c:v>ЮИР</c:v>
                </c:pt>
                <c:pt idx="4">
                  <c:v>ЮЗР</c:v>
                </c:pt>
                <c:pt idx="5">
                  <c:v>ЮЦР</c:v>
                </c:pt>
              </c:strCache>
            </c:strRef>
          </c:cat>
          <c:val>
            <c:numRef>
              <c:f>Лист1!$G$35:$G$40</c:f>
              <c:numCache>
                <c:formatCode>General</c:formatCode>
                <c:ptCount val="6"/>
                <c:pt idx="0">
                  <c:v>17119082</c:v>
                </c:pt>
                <c:pt idx="1">
                  <c:v>24555762</c:v>
                </c:pt>
                <c:pt idx="2">
                  <c:v>315326038</c:v>
                </c:pt>
                <c:pt idx="3">
                  <c:v>368565576</c:v>
                </c:pt>
                <c:pt idx="4">
                  <c:v>184657472</c:v>
                </c:pt>
                <c:pt idx="5">
                  <c:v>88120888</c:v>
                </c:pt>
              </c:numCache>
            </c:numRef>
          </c:val>
        </c:ser>
        <c:dLbls>
          <c:showLegendKey val="0"/>
          <c:showVal val="0"/>
          <c:showCatName val="0"/>
          <c:showSerName val="0"/>
          <c:showPercent val="0"/>
          <c:showBubbleSize val="0"/>
        </c:dLbls>
        <c:gapWidth val="150"/>
        <c:shape val="cylinder"/>
        <c:axId val="157243648"/>
        <c:axId val="157245440"/>
        <c:axId val="0"/>
      </c:bar3DChart>
      <c:catAx>
        <c:axId val="15724364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157245440"/>
        <c:crosses val="autoZero"/>
        <c:auto val="1"/>
        <c:lblAlgn val="ctr"/>
        <c:lblOffset val="100"/>
        <c:noMultiLvlLbl val="0"/>
      </c:catAx>
      <c:valAx>
        <c:axId val="157245440"/>
        <c:scaling>
          <c:orientation val="minMax"/>
        </c:scaling>
        <c:delete val="0"/>
        <c:axPos val="r"/>
        <c:majorGridlines>
          <c:spPr>
            <a:ln w="0">
              <a:solidFill>
                <a:schemeClr val="bg1">
                  <a:lumMod val="75000"/>
                </a:schemeClr>
              </a:solidFill>
            </a:ln>
            <a:effectLst>
              <a:innerShdw blurRad="63500" dist="50800" dir="13500000">
                <a:schemeClr val="tx2">
                  <a:lumMod val="60000"/>
                  <a:lumOff val="40000"/>
                  <a:alpha val="28000"/>
                </a:schemeClr>
              </a:innerShdw>
            </a:effectLst>
          </c:spPr>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157243648"/>
        <c:crosses val="max"/>
        <c:crossBetween val="between"/>
      </c:valAx>
      <c:dTable>
        <c:showHorzBorder val="1"/>
        <c:showVertBorder val="1"/>
        <c:showOutline val="1"/>
        <c:showKeys val="1"/>
        <c:spPr>
          <a:effectLst>
            <a:outerShdw blurRad="50800" dist="38100" dir="18900000" algn="bl" rotWithShape="0">
              <a:srgbClr val="D797C9">
                <a:alpha val="40000"/>
              </a:srgbClr>
            </a:outerShdw>
          </a:effectLst>
        </c:spPr>
        <c:txPr>
          <a:bodyPr/>
          <a:lstStyle/>
          <a:p>
            <a:pPr rtl="0">
              <a:defRPr sz="900" b="0" i="0" u="none" strike="noStrike" baseline="0">
                <a:solidFill>
                  <a:srgbClr val="000000"/>
                </a:solidFill>
                <a:latin typeface="Calibri"/>
                <a:ea typeface="Calibri"/>
                <a:cs typeface="Calibri"/>
              </a:defRPr>
            </a:pPr>
            <a:endParaRPr lang="bg-BG"/>
          </a:p>
        </c:txPr>
      </c:dTable>
      <c:spPr>
        <a:noFill/>
        <a:ln w="25400">
          <a:noFill/>
        </a:ln>
      </c:spPr>
    </c:plotArea>
    <c:plotVisOnly val="1"/>
    <c:dispBlanksAs val="gap"/>
    <c:showDLblsOverMax val="0"/>
  </c:chart>
  <c:spPr>
    <a:scene3d>
      <a:camera prst="orthographicFront"/>
      <a:lightRig rig="threePt" dir="t"/>
    </a:scene3d>
    <a:sp3d>
      <a:bevelT/>
      <a:bevelB/>
    </a:sp3d>
  </c:spPr>
  <c:txPr>
    <a:bodyPr/>
    <a:lstStyle/>
    <a:p>
      <a:pPr>
        <a:defRPr sz="100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Sheet1!$B$9</c:f>
              <c:strCache>
                <c:ptCount val="1"/>
                <c:pt idx="0">
                  <c:v>2013 г. </c:v>
                </c:pt>
              </c:strCache>
            </c:strRef>
          </c:tx>
          <c:invertIfNegative val="0"/>
          <c:cat>
            <c:strRef>
              <c:f>Sheet1!$A$10:$A$13</c:f>
              <c:strCache>
                <c:ptCount val="4"/>
                <c:pt idx="0">
                  <c:v>Бургас</c:v>
                </c:pt>
                <c:pt idx="1">
                  <c:v>Сливен</c:v>
                </c:pt>
                <c:pt idx="2">
                  <c:v>Стара Загора</c:v>
                </c:pt>
                <c:pt idx="3">
                  <c:v>Ямбол</c:v>
                </c:pt>
              </c:strCache>
            </c:strRef>
          </c:cat>
          <c:val>
            <c:numRef>
              <c:f>Sheet1!$B$10:$B$13</c:f>
              <c:numCache>
                <c:formatCode>General</c:formatCode>
                <c:ptCount val="4"/>
                <c:pt idx="0">
                  <c:v>414485</c:v>
                </c:pt>
                <c:pt idx="1">
                  <c:v>193925</c:v>
                </c:pt>
                <c:pt idx="2">
                  <c:v>328104</c:v>
                </c:pt>
                <c:pt idx="3">
                  <c:v>127176</c:v>
                </c:pt>
              </c:numCache>
            </c:numRef>
          </c:val>
        </c:ser>
        <c:ser>
          <c:idx val="1"/>
          <c:order val="1"/>
          <c:tx>
            <c:strRef>
              <c:f>Sheet1!$C$9</c:f>
              <c:strCache>
                <c:ptCount val="1"/>
                <c:pt idx="0">
                  <c:v>2014 г. </c:v>
                </c:pt>
              </c:strCache>
            </c:strRef>
          </c:tx>
          <c:invertIfNegative val="0"/>
          <c:cat>
            <c:strRef>
              <c:f>Sheet1!$A$10:$A$13</c:f>
              <c:strCache>
                <c:ptCount val="4"/>
                <c:pt idx="0">
                  <c:v>Бургас</c:v>
                </c:pt>
                <c:pt idx="1">
                  <c:v>Сливен</c:v>
                </c:pt>
                <c:pt idx="2">
                  <c:v>Стара Загора</c:v>
                </c:pt>
                <c:pt idx="3">
                  <c:v>Ямбол</c:v>
                </c:pt>
              </c:strCache>
            </c:strRef>
          </c:cat>
          <c:val>
            <c:numRef>
              <c:f>Sheet1!$C$10:$C$13</c:f>
              <c:numCache>
                <c:formatCode>General</c:formatCode>
                <c:ptCount val="4"/>
                <c:pt idx="0">
                  <c:v>414184</c:v>
                </c:pt>
                <c:pt idx="1">
                  <c:v>192644</c:v>
                </c:pt>
                <c:pt idx="2">
                  <c:v>325963</c:v>
                </c:pt>
                <c:pt idx="3">
                  <c:v>125724</c:v>
                </c:pt>
              </c:numCache>
            </c:numRef>
          </c:val>
        </c:ser>
        <c:dLbls>
          <c:showLegendKey val="0"/>
          <c:showVal val="0"/>
          <c:showCatName val="0"/>
          <c:showSerName val="0"/>
          <c:showPercent val="0"/>
          <c:showBubbleSize val="0"/>
        </c:dLbls>
        <c:gapWidth val="150"/>
        <c:axId val="156841472"/>
        <c:axId val="156843008"/>
      </c:barChart>
      <c:catAx>
        <c:axId val="156841472"/>
        <c:scaling>
          <c:orientation val="minMax"/>
        </c:scaling>
        <c:delete val="0"/>
        <c:axPos val="b"/>
        <c:numFmt formatCode="General" sourceLinked="1"/>
        <c:majorTickMark val="out"/>
        <c:minorTickMark val="none"/>
        <c:tickLblPos val="nextTo"/>
        <c:crossAx val="156843008"/>
        <c:crosses val="autoZero"/>
        <c:auto val="1"/>
        <c:lblAlgn val="ctr"/>
        <c:lblOffset val="100"/>
        <c:noMultiLvlLbl val="0"/>
      </c:catAx>
      <c:valAx>
        <c:axId val="156843008"/>
        <c:scaling>
          <c:orientation val="minMax"/>
        </c:scaling>
        <c:delete val="0"/>
        <c:axPos val="l"/>
        <c:majorGridlines/>
        <c:numFmt formatCode="General" sourceLinked="1"/>
        <c:majorTickMark val="out"/>
        <c:minorTickMark val="none"/>
        <c:tickLblPos val="nextTo"/>
        <c:crossAx val="156841472"/>
        <c:crosses val="autoZero"/>
        <c:crossBetween val="between"/>
      </c:valAx>
    </c:plotArea>
    <c:legend>
      <c:legendPos val="r"/>
      <c:layout>
        <c:manualLayout>
          <c:xMode val="edge"/>
          <c:yMode val="edge"/>
          <c:x val="0.84559884559884557"/>
          <c:y val="0.38080495356037153"/>
          <c:w val="0.13564213564213565"/>
          <c:h val="0.2198142414860681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Sheet9!$L$17</c:f>
              <c:strCache>
                <c:ptCount val="1"/>
                <c:pt idx="0">
                  <c:v>2014 г. </c:v>
                </c:pt>
              </c:strCache>
            </c:strRef>
          </c:tx>
          <c:invertIfNegative val="0"/>
          <c:cat>
            <c:strRef>
              <c:f>Sheet9!$K$18:$K$23</c:f>
              <c:strCache>
                <c:ptCount val="6"/>
                <c:pt idx="0">
                  <c:v>СЗР</c:v>
                </c:pt>
                <c:pt idx="1">
                  <c:v>СЦР</c:v>
                </c:pt>
                <c:pt idx="2">
                  <c:v>СИР</c:v>
                </c:pt>
                <c:pt idx="3">
                  <c:v>ЮИР</c:v>
                </c:pt>
                <c:pt idx="4">
                  <c:v>ЮЗР</c:v>
                </c:pt>
                <c:pt idx="5">
                  <c:v>ЮЦР</c:v>
                </c:pt>
              </c:strCache>
            </c:strRef>
          </c:cat>
          <c:val>
            <c:numRef>
              <c:f>Sheet9!$L$18:$L$23</c:f>
              <c:numCache>
                <c:formatCode>0.0</c:formatCode>
                <c:ptCount val="6"/>
                <c:pt idx="0">
                  <c:v>46.4</c:v>
                </c:pt>
                <c:pt idx="1">
                  <c:v>48.5</c:v>
                </c:pt>
                <c:pt idx="2">
                  <c:v>56.3</c:v>
                </c:pt>
                <c:pt idx="3">
                  <c:v>55.4</c:v>
                </c:pt>
                <c:pt idx="4">
                  <c:v>95.9</c:v>
                </c:pt>
                <c:pt idx="5">
                  <c:v>82</c:v>
                </c:pt>
              </c:numCache>
            </c:numRef>
          </c:val>
        </c:ser>
        <c:ser>
          <c:idx val="1"/>
          <c:order val="1"/>
          <c:tx>
            <c:strRef>
              <c:f>Sheet9!$M$17</c:f>
              <c:strCache>
                <c:ptCount val="1"/>
                <c:pt idx="0">
                  <c:v>2013 г. </c:v>
                </c:pt>
              </c:strCache>
            </c:strRef>
          </c:tx>
          <c:invertIfNegative val="0"/>
          <c:cat>
            <c:strRef>
              <c:f>Sheet9!$K$18:$K$23</c:f>
              <c:strCache>
                <c:ptCount val="6"/>
                <c:pt idx="0">
                  <c:v>СЗР</c:v>
                </c:pt>
                <c:pt idx="1">
                  <c:v>СЦР</c:v>
                </c:pt>
                <c:pt idx="2">
                  <c:v>СИР</c:v>
                </c:pt>
                <c:pt idx="3">
                  <c:v>ЮИР</c:v>
                </c:pt>
                <c:pt idx="4">
                  <c:v>ЮЗР</c:v>
                </c:pt>
                <c:pt idx="5">
                  <c:v>ЮЦР</c:v>
                </c:pt>
              </c:strCache>
            </c:strRef>
          </c:cat>
          <c:val>
            <c:numRef>
              <c:f>Sheet9!$M$18:$M$23</c:f>
              <c:numCache>
                <c:formatCode>0.0</c:formatCode>
                <c:ptCount val="6"/>
                <c:pt idx="0">
                  <c:v>45.9</c:v>
                </c:pt>
                <c:pt idx="1">
                  <c:v>56.5</c:v>
                </c:pt>
                <c:pt idx="2">
                  <c:v>74.3</c:v>
                </c:pt>
                <c:pt idx="3">
                  <c:v>61</c:v>
                </c:pt>
                <c:pt idx="4">
                  <c:v>104.8</c:v>
                </c:pt>
                <c:pt idx="5">
                  <c:v>90.7</c:v>
                </c:pt>
              </c:numCache>
            </c:numRef>
          </c:val>
        </c:ser>
        <c:dLbls>
          <c:showLegendKey val="0"/>
          <c:showVal val="0"/>
          <c:showCatName val="0"/>
          <c:showSerName val="0"/>
          <c:showPercent val="0"/>
          <c:showBubbleSize val="0"/>
        </c:dLbls>
        <c:gapWidth val="150"/>
        <c:axId val="157458432"/>
        <c:axId val="157459968"/>
      </c:barChart>
      <c:catAx>
        <c:axId val="157458432"/>
        <c:scaling>
          <c:orientation val="minMax"/>
        </c:scaling>
        <c:delete val="0"/>
        <c:axPos val="l"/>
        <c:numFmt formatCode="General" sourceLinked="1"/>
        <c:majorTickMark val="none"/>
        <c:minorTickMark val="none"/>
        <c:tickLblPos val="nextTo"/>
        <c:crossAx val="157459968"/>
        <c:crosses val="autoZero"/>
        <c:auto val="1"/>
        <c:lblAlgn val="ctr"/>
        <c:lblOffset val="100"/>
        <c:noMultiLvlLbl val="0"/>
      </c:catAx>
      <c:valAx>
        <c:axId val="157459968"/>
        <c:scaling>
          <c:orientation val="minMax"/>
        </c:scaling>
        <c:delete val="0"/>
        <c:axPos val="b"/>
        <c:majorGridlines/>
        <c:numFmt formatCode="0.0" sourceLinked="1"/>
        <c:majorTickMark val="none"/>
        <c:minorTickMark val="none"/>
        <c:tickLblPos val="nextTo"/>
        <c:crossAx val="15745843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847363975696809"/>
          <c:y val="0"/>
          <c:w val="0.76088280458718593"/>
          <c:h val="0.57969408996289262"/>
        </c:manualLayout>
      </c:layout>
      <c:barChart>
        <c:barDir val="bar"/>
        <c:grouping val="clustered"/>
        <c:varyColors val="0"/>
        <c:ser>
          <c:idx val="0"/>
          <c:order val="0"/>
          <c:tx>
            <c:strRef>
              <c:f>Sheet9!$P$19</c:f>
              <c:strCache>
                <c:ptCount val="1"/>
                <c:pt idx="0">
                  <c:v>2014 г.</c:v>
                </c:pt>
              </c:strCache>
            </c:strRef>
          </c:tx>
          <c:invertIfNegative val="0"/>
          <c:cat>
            <c:strRef>
              <c:f>Sheet9!$O$20:$O$23</c:f>
              <c:strCache>
                <c:ptCount val="4"/>
                <c:pt idx="0">
                  <c:v>Бургас</c:v>
                </c:pt>
                <c:pt idx="1">
                  <c:v>Сливен</c:v>
                </c:pt>
                <c:pt idx="2">
                  <c:v>Стара Загора</c:v>
                </c:pt>
                <c:pt idx="3">
                  <c:v>Ямбол</c:v>
                </c:pt>
              </c:strCache>
            </c:strRef>
          </c:cat>
          <c:val>
            <c:numRef>
              <c:f>Sheet9!$P$20:$P$23</c:f>
              <c:numCache>
                <c:formatCode>General</c:formatCode>
                <c:ptCount val="4"/>
                <c:pt idx="0">
                  <c:v>21.1</c:v>
                </c:pt>
                <c:pt idx="1">
                  <c:v>10.4</c:v>
                </c:pt>
                <c:pt idx="2">
                  <c:v>15.3</c:v>
                </c:pt>
                <c:pt idx="3">
                  <c:v>8.5</c:v>
                </c:pt>
              </c:numCache>
            </c:numRef>
          </c:val>
        </c:ser>
        <c:ser>
          <c:idx val="1"/>
          <c:order val="1"/>
          <c:tx>
            <c:strRef>
              <c:f>Sheet9!$Q$19</c:f>
              <c:strCache>
                <c:ptCount val="1"/>
                <c:pt idx="0">
                  <c:v>2013 г. </c:v>
                </c:pt>
              </c:strCache>
            </c:strRef>
          </c:tx>
          <c:invertIfNegative val="0"/>
          <c:cat>
            <c:strRef>
              <c:f>Sheet9!$O$20:$O$23</c:f>
              <c:strCache>
                <c:ptCount val="4"/>
                <c:pt idx="0">
                  <c:v>Бургас</c:v>
                </c:pt>
                <c:pt idx="1">
                  <c:v>Сливен</c:v>
                </c:pt>
                <c:pt idx="2">
                  <c:v>Стара Загора</c:v>
                </c:pt>
                <c:pt idx="3">
                  <c:v>Ямбол</c:v>
                </c:pt>
              </c:strCache>
            </c:strRef>
          </c:cat>
          <c:val>
            <c:numRef>
              <c:f>Sheet9!$Q$20:$Q$23</c:f>
              <c:numCache>
                <c:formatCode>0.0</c:formatCode>
                <c:ptCount val="4"/>
                <c:pt idx="0">
                  <c:v>24.4</c:v>
                </c:pt>
                <c:pt idx="1">
                  <c:v>12.4</c:v>
                </c:pt>
                <c:pt idx="2">
                  <c:v>14.8</c:v>
                </c:pt>
                <c:pt idx="3">
                  <c:v>9.6999999999999993</c:v>
                </c:pt>
              </c:numCache>
            </c:numRef>
          </c:val>
        </c:ser>
        <c:dLbls>
          <c:showLegendKey val="0"/>
          <c:showVal val="0"/>
          <c:showCatName val="0"/>
          <c:showSerName val="0"/>
          <c:showPercent val="0"/>
          <c:showBubbleSize val="0"/>
        </c:dLbls>
        <c:gapWidth val="150"/>
        <c:axId val="156830720"/>
        <c:axId val="157520640"/>
      </c:barChart>
      <c:catAx>
        <c:axId val="156830720"/>
        <c:scaling>
          <c:orientation val="minMax"/>
        </c:scaling>
        <c:delete val="0"/>
        <c:axPos val="l"/>
        <c:numFmt formatCode="General" sourceLinked="1"/>
        <c:majorTickMark val="none"/>
        <c:minorTickMark val="none"/>
        <c:tickLblPos val="nextTo"/>
        <c:crossAx val="157520640"/>
        <c:crosses val="autoZero"/>
        <c:auto val="1"/>
        <c:lblAlgn val="ctr"/>
        <c:lblOffset val="100"/>
        <c:noMultiLvlLbl val="0"/>
      </c:catAx>
      <c:valAx>
        <c:axId val="157520640"/>
        <c:scaling>
          <c:orientation val="minMax"/>
        </c:scaling>
        <c:delete val="0"/>
        <c:axPos val="b"/>
        <c:majorGridlines/>
        <c:numFmt formatCode="General" sourceLinked="1"/>
        <c:majorTickMark val="none"/>
        <c:minorTickMark val="none"/>
        <c:tickLblPos val="nextTo"/>
        <c:crossAx val="1568307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Sheet4!$J$12</c:f>
              <c:strCache>
                <c:ptCount val="1"/>
                <c:pt idx="0">
                  <c:v>ЮИР</c:v>
                </c:pt>
              </c:strCache>
            </c:strRef>
          </c:tx>
          <c:marker>
            <c:symbol val="none"/>
          </c:marker>
          <c:cat>
            <c:numRef>
              <c:f>Sheet4!$I$13:$I$19</c:f>
              <c:numCache>
                <c:formatCode>General</c:formatCode>
                <c:ptCount val="7"/>
                <c:pt idx="0">
                  <c:v>2008</c:v>
                </c:pt>
                <c:pt idx="1">
                  <c:v>2009</c:v>
                </c:pt>
                <c:pt idx="2">
                  <c:v>2010</c:v>
                </c:pt>
                <c:pt idx="3">
                  <c:v>2011</c:v>
                </c:pt>
                <c:pt idx="4">
                  <c:v>2012</c:v>
                </c:pt>
                <c:pt idx="5">
                  <c:v>2013</c:v>
                </c:pt>
                <c:pt idx="6">
                  <c:v>2014</c:v>
                </c:pt>
              </c:numCache>
            </c:numRef>
          </c:cat>
          <c:val>
            <c:numRef>
              <c:f>Sheet4!$J$13:$J$19</c:f>
              <c:numCache>
                <c:formatCode>General</c:formatCode>
                <c:ptCount val="7"/>
                <c:pt idx="0">
                  <c:v>69.5</c:v>
                </c:pt>
                <c:pt idx="1">
                  <c:v>67.900000000000006</c:v>
                </c:pt>
                <c:pt idx="2" formatCode="0.0">
                  <c:v>65.400000000000006</c:v>
                </c:pt>
                <c:pt idx="3">
                  <c:v>62</c:v>
                </c:pt>
                <c:pt idx="4">
                  <c:v>62.4</c:v>
                </c:pt>
                <c:pt idx="5">
                  <c:v>61.6</c:v>
                </c:pt>
                <c:pt idx="6">
                  <c:v>62.2</c:v>
                </c:pt>
              </c:numCache>
            </c:numRef>
          </c:val>
          <c:smooth val="0"/>
        </c:ser>
        <c:ser>
          <c:idx val="1"/>
          <c:order val="1"/>
          <c:tx>
            <c:strRef>
              <c:f>Sheet4!$K$12</c:f>
              <c:strCache>
                <c:ptCount val="1"/>
                <c:pt idx="0">
                  <c:v>България</c:v>
                </c:pt>
              </c:strCache>
            </c:strRef>
          </c:tx>
          <c:marker>
            <c:symbol val="none"/>
          </c:marker>
          <c:cat>
            <c:numRef>
              <c:f>Sheet4!$I$13:$I$19</c:f>
              <c:numCache>
                <c:formatCode>General</c:formatCode>
                <c:ptCount val="7"/>
                <c:pt idx="0">
                  <c:v>2008</c:v>
                </c:pt>
                <c:pt idx="1">
                  <c:v>2009</c:v>
                </c:pt>
                <c:pt idx="2">
                  <c:v>2010</c:v>
                </c:pt>
                <c:pt idx="3">
                  <c:v>2011</c:v>
                </c:pt>
                <c:pt idx="4">
                  <c:v>2012</c:v>
                </c:pt>
                <c:pt idx="5">
                  <c:v>2013</c:v>
                </c:pt>
                <c:pt idx="6">
                  <c:v>2014</c:v>
                </c:pt>
              </c:numCache>
            </c:numRef>
          </c:cat>
          <c:val>
            <c:numRef>
              <c:f>Sheet4!$K$13:$K$19</c:f>
              <c:numCache>
                <c:formatCode>General</c:formatCode>
                <c:ptCount val="7"/>
                <c:pt idx="0">
                  <c:v>70.7</c:v>
                </c:pt>
                <c:pt idx="1">
                  <c:v>68.8</c:v>
                </c:pt>
                <c:pt idx="2">
                  <c:v>64.900000000000006</c:v>
                </c:pt>
                <c:pt idx="3">
                  <c:v>62.9</c:v>
                </c:pt>
                <c:pt idx="4">
                  <c:v>63</c:v>
                </c:pt>
                <c:pt idx="5">
                  <c:v>63.5</c:v>
                </c:pt>
                <c:pt idx="6">
                  <c:v>65.099999999999994</c:v>
                </c:pt>
              </c:numCache>
            </c:numRef>
          </c:val>
          <c:smooth val="0"/>
        </c:ser>
        <c:dLbls>
          <c:showLegendKey val="0"/>
          <c:showVal val="0"/>
          <c:showCatName val="0"/>
          <c:showSerName val="0"/>
          <c:showPercent val="0"/>
          <c:showBubbleSize val="0"/>
        </c:dLbls>
        <c:marker val="1"/>
        <c:smooth val="0"/>
        <c:axId val="189823232"/>
        <c:axId val="189825024"/>
      </c:lineChart>
      <c:catAx>
        <c:axId val="189823232"/>
        <c:scaling>
          <c:orientation val="minMax"/>
        </c:scaling>
        <c:delete val="0"/>
        <c:axPos val="b"/>
        <c:numFmt formatCode="General" sourceLinked="1"/>
        <c:majorTickMark val="out"/>
        <c:minorTickMark val="none"/>
        <c:tickLblPos val="nextTo"/>
        <c:crossAx val="189825024"/>
        <c:crosses val="autoZero"/>
        <c:auto val="1"/>
        <c:lblAlgn val="ctr"/>
        <c:lblOffset val="100"/>
        <c:noMultiLvlLbl val="0"/>
      </c:catAx>
      <c:valAx>
        <c:axId val="189825024"/>
        <c:scaling>
          <c:orientation val="minMax"/>
        </c:scaling>
        <c:delete val="0"/>
        <c:axPos val="l"/>
        <c:majorGridlines/>
        <c:numFmt formatCode="General" sourceLinked="1"/>
        <c:majorTickMark val="out"/>
        <c:minorTickMark val="none"/>
        <c:tickLblPos val="nextTo"/>
        <c:crossAx val="189823232"/>
        <c:crosses val="autoZero"/>
        <c:crossBetween val="between"/>
      </c:valAx>
    </c:plotArea>
    <c:legend>
      <c:legendPos val="r"/>
      <c:overlay val="0"/>
    </c:legend>
    <c:plotVisOnly val="1"/>
    <c:dispBlanksAs val="gap"/>
    <c:showDLblsOverMax val="0"/>
  </c:chart>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за 2014 г.</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4EA158-6381-4403-B672-7654AF6C664C}">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43F5D969-CE5D-4936-B7A5-2DD1267E7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0</TotalTime>
  <Pages>102</Pages>
  <Words>47976</Words>
  <Characters>273465</Characters>
  <Application>Microsoft Office Word</Application>
  <DocSecurity>0</DocSecurity>
  <Lines>2278</Lines>
  <Paragraphs>641</Paragraphs>
  <ScaleCrop>false</ScaleCrop>
  <HeadingPairs>
    <vt:vector size="2" baseType="variant">
      <vt:variant>
        <vt:lpstr>Title</vt:lpstr>
      </vt:variant>
      <vt:variant>
        <vt:i4>1</vt:i4>
      </vt:variant>
    </vt:vector>
  </HeadingPairs>
  <TitlesOfParts>
    <vt:vector size="1" baseType="lpstr">
      <vt:lpstr>ГОДИШЕН ДОКЛАД</vt:lpstr>
    </vt:vector>
  </TitlesOfParts>
  <Company>министерство на регионалното развитие и благоуствойството</Company>
  <LinksUpToDate>false</LinksUpToDate>
  <CharactersWithSpaces>320800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dc:title>
  <dc:subject>за наблюдение изпълнението на  Регионалния план за развитие на Югоизточен район за 2014 г.</dc:subject>
  <dc:creator>Mariela Cherveniakova</dc:creator>
  <cp:lastModifiedBy>Mariela Cherveniakova</cp:lastModifiedBy>
  <cp:revision>2</cp:revision>
  <cp:lastPrinted>2015-06-16T06:27:00Z</cp:lastPrinted>
  <dcterms:created xsi:type="dcterms:W3CDTF">2015-06-19T12:23:00Z</dcterms:created>
  <dcterms:modified xsi:type="dcterms:W3CDTF">2015-06-19T12:23:00Z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