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EB3" w:rsidRDefault="00B07D03">
      <w:pPr>
        <w:pStyle w:val="Pagedecouverture"/>
        <w:rPr>
          <w:lang w:val="en-US"/>
        </w:rPr>
      </w:pPr>
      <w:r>
        <w:t xml:space="preserve">  </w:t>
      </w:r>
    </w:p>
    <w:p w:rsidR="00A85EB3" w:rsidRDefault="00A85EB3">
      <w:pPr>
        <w:jc w:val="center"/>
        <w:rPr>
          <w:b/>
          <w:bCs/>
          <w:color w:val="000000"/>
          <w:szCs w:val="24"/>
          <w:lang w:val="en-US"/>
        </w:rPr>
      </w:pPr>
    </w:p>
    <w:p w:rsidR="00A85EB3" w:rsidRDefault="00A85EB3">
      <w:pPr>
        <w:jc w:val="center"/>
        <w:rPr>
          <w:b/>
          <w:bCs/>
          <w:color w:val="000000"/>
          <w:szCs w:val="24"/>
          <w:lang w:val="en-US"/>
        </w:rPr>
      </w:pPr>
    </w:p>
    <w:p w:rsidR="00A85EB3" w:rsidRDefault="00A85EB3">
      <w:pPr>
        <w:jc w:val="center"/>
        <w:rPr>
          <w:b/>
          <w:bCs/>
          <w:color w:val="000000"/>
          <w:szCs w:val="24"/>
          <w:lang w:val="en-US"/>
        </w:rPr>
      </w:pPr>
    </w:p>
    <w:p w:rsidR="00A85EB3" w:rsidRDefault="00A85EB3">
      <w:pPr>
        <w:jc w:val="center"/>
        <w:rPr>
          <w:b/>
          <w:bCs/>
          <w:color w:val="000000"/>
          <w:szCs w:val="24"/>
          <w:lang w:val="en-US"/>
        </w:rPr>
      </w:pPr>
    </w:p>
    <w:p w:rsidR="00A85EB3" w:rsidRDefault="00A85EB3">
      <w:pPr>
        <w:jc w:val="center"/>
        <w:rPr>
          <w:b/>
          <w:bCs/>
          <w:color w:val="000000"/>
          <w:szCs w:val="24"/>
          <w:lang w:val="en-US"/>
        </w:rPr>
      </w:pPr>
    </w:p>
    <w:p w:rsidR="00A85EB3" w:rsidRDefault="00A85EB3">
      <w:pPr>
        <w:jc w:val="center"/>
        <w:rPr>
          <w:b/>
          <w:bCs/>
          <w:color w:val="000000"/>
          <w:szCs w:val="24"/>
          <w:lang w:val="en-US"/>
        </w:rPr>
      </w:pPr>
    </w:p>
    <w:p w:rsidR="00A85EB3" w:rsidRDefault="00A85EB3">
      <w:pPr>
        <w:jc w:val="center"/>
        <w:rPr>
          <w:b/>
          <w:bCs/>
          <w:color w:val="000000"/>
          <w:szCs w:val="24"/>
          <w:lang w:val="en-US"/>
        </w:rPr>
      </w:pPr>
    </w:p>
    <w:p w:rsidR="00A85EB3" w:rsidRDefault="00A85EB3">
      <w:pPr>
        <w:jc w:val="center"/>
        <w:rPr>
          <w:b/>
          <w:bCs/>
          <w:color w:val="000000"/>
          <w:szCs w:val="24"/>
          <w:lang w:val="en-US"/>
        </w:rPr>
      </w:pPr>
    </w:p>
    <w:p w:rsidR="00A85EB3" w:rsidRDefault="00A85EB3">
      <w:pPr>
        <w:jc w:val="center"/>
        <w:rPr>
          <w:b/>
          <w:bCs/>
          <w:color w:val="000000"/>
          <w:szCs w:val="24"/>
          <w:lang w:val="en-US"/>
        </w:rPr>
      </w:pPr>
    </w:p>
    <w:p w:rsidR="00A85EB3" w:rsidRDefault="00A85EB3">
      <w:pPr>
        <w:jc w:val="center"/>
        <w:rPr>
          <w:b/>
          <w:bCs/>
          <w:color w:val="000000"/>
          <w:szCs w:val="24"/>
          <w:lang w:val="en-US"/>
        </w:rPr>
      </w:pPr>
    </w:p>
    <w:p w:rsidR="00A85EB3" w:rsidRDefault="00B07D03">
      <w:pPr>
        <w:spacing w:before="0" w:after="0"/>
        <w:jc w:val="center"/>
        <w:rPr>
          <w:rFonts w:eastAsia="Times New Roman"/>
          <w:b/>
          <w:color w:val="000066"/>
          <w:sz w:val="60"/>
          <w:szCs w:val="24"/>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eastAsia="Times New Roman"/>
          <w:b/>
          <w:color w:val="000066"/>
          <w:sz w:val="60"/>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България – Турция</w:t>
      </w:r>
    </w:p>
    <w:p w:rsidR="00A85EB3" w:rsidRDefault="00B07D03">
      <w:pPr>
        <w:spacing w:before="0" w:after="0"/>
        <w:jc w:val="center"/>
        <w:rPr>
          <w:rFonts w:eastAsia="Times New Roman"/>
          <w:b/>
          <w:color w:val="000066"/>
          <w:sz w:val="60"/>
          <w:szCs w:val="24"/>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eastAsia="Times New Roman"/>
          <w:b/>
          <w:color w:val="000066"/>
          <w:sz w:val="60"/>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Програма за трансгранично сътрудничество по ИПП 2014 – 2020 г.</w:t>
      </w:r>
    </w:p>
    <w:p w:rsidR="00A85EB3" w:rsidRDefault="00A85EB3">
      <w:pPr>
        <w:spacing w:before="0" w:after="0"/>
        <w:jc w:val="center"/>
        <w:rPr>
          <w:rFonts w:eastAsia="Times New Roman"/>
          <w:b/>
          <w:color w:val="000066"/>
          <w:sz w:val="60"/>
          <w:szCs w:val="24"/>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A85EB3" w:rsidRDefault="00B07D03">
      <w:pPr>
        <w:spacing w:before="0" w:after="0"/>
        <w:jc w:val="center"/>
        <w:rPr>
          <w:rFonts w:eastAsia="Times New Roman"/>
          <w:b/>
          <w:color w:val="000066"/>
          <w:sz w:val="36"/>
          <w:szCs w:val="3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eastAsia="Times New Roman"/>
          <w:b/>
          <w:color w:val="000066"/>
          <w:sz w:val="36"/>
          <w:szCs w:val="3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Окончателен проект на Програмата</w:t>
      </w:r>
    </w:p>
    <w:p w:rsidR="00A85EB3" w:rsidRDefault="00A85EB3">
      <w:pPr>
        <w:spacing w:before="0" w:after="0"/>
        <w:jc w:val="center"/>
        <w:rPr>
          <w:rFonts w:eastAsia="Times New Roman"/>
          <w:b/>
          <w:color w:val="000066"/>
          <w:sz w:val="20"/>
          <w:szCs w:val="24"/>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A85EB3" w:rsidRDefault="004822A7">
      <w:pPr>
        <w:spacing w:before="0" w:after="0"/>
        <w:jc w:val="center"/>
        <w:rPr>
          <w:rFonts w:eastAsia="Times New Roman"/>
          <w:b/>
          <w:color w:val="000066"/>
          <w:sz w:val="20"/>
          <w:szCs w:val="24"/>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eastAsia="Times New Roman"/>
          <w:b/>
          <w:color w:val="000066"/>
          <w:sz w:val="20"/>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септември </w:t>
      </w:r>
      <w:r w:rsidR="00B07D03">
        <w:rPr>
          <w:rFonts w:eastAsia="Times New Roman"/>
          <w:b/>
          <w:color w:val="000066"/>
          <w:sz w:val="20"/>
          <w:szCs w:val="24"/>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2014 г.</w:t>
      </w:r>
    </w:p>
    <w:p w:rsidR="00A85EB3" w:rsidRDefault="00A85EB3">
      <w:pPr>
        <w:jc w:val="center"/>
        <w:rPr>
          <w:b/>
          <w:lang w:val="en-US"/>
        </w:rPr>
      </w:pPr>
    </w:p>
    <w:p w:rsidR="00A85EB3" w:rsidRDefault="00B07D03">
      <w:pPr>
        <w:spacing w:before="0" w:after="0"/>
        <w:jc w:val="left"/>
        <w:rPr>
          <w:b/>
          <w:lang w:val="en-US"/>
        </w:rPr>
      </w:pPr>
      <w:r>
        <w:br w:type="page"/>
      </w:r>
    </w:p>
    <w:p w:rsidR="00A85EB3" w:rsidRDefault="00A85EB3">
      <w:pPr>
        <w:spacing w:before="0" w:after="0"/>
        <w:jc w:val="left"/>
        <w:rPr>
          <w:b/>
          <w:lang w:val="en-US"/>
        </w:rPr>
      </w:pPr>
    </w:p>
    <w:sdt>
      <w:sdtPr>
        <w:rPr>
          <w:b w:val="0"/>
          <w:sz w:val="24"/>
        </w:rPr>
        <w:id w:val="-1354181739"/>
        <w:docPartObj>
          <w:docPartGallery w:val="Table of Contents"/>
          <w:docPartUnique/>
        </w:docPartObj>
      </w:sdtPr>
      <w:sdtEndPr>
        <w:rPr>
          <w:bCs/>
          <w:noProof/>
        </w:rPr>
      </w:sdtEndPr>
      <w:sdtContent>
        <w:p w:rsidR="00A85EB3" w:rsidRDefault="00B07D03">
          <w:pPr>
            <w:pStyle w:val="TOCHeading"/>
            <w:rPr>
              <w:rFonts w:ascii="Times New Roman Bold" w:hAnsi="Times New Roman Bold"/>
              <w:spacing w:val="20"/>
            </w:rPr>
          </w:pPr>
          <w:r>
            <w:rPr>
              <w:rFonts w:ascii="Times New Roman Bold" w:hAnsi="Times New Roman Bold"/>
              <w:spacing w:val="20"/>
            </w:rPr>
            <w:t>Съдържание</w:t>
          </w:r>
        </w:p>
        <w:p w:rsidR="00EE7C3F" w:rsidRPr="00717930" w:rsidRDefault="00B07D03">
          <w:pPr>
            <w:pStyle w:val="TOC1"/>
            <w:tabs>
              <w:tab w:val="left" w:pos="1300"/>
            </w:tabs>
            <w:rPr>
              <w:rFonts w:asciiTheme="minorHAnsi" w:eastAsiaTheme="minorEastAsia" w:hAnsiTheme="minorHAnsi" w:cstheme="minorBidi"/>
              <w:b/>
              <w:noProof/>
              <w:sz w:val="22"/>
              <w:szCs w:val="22"/>
              <w:lang w:eastAsia="bg-BG" w:bidi="ar-SA"/>
            </w:rPr>
          </w:pPr>
          <w:r>
            <w:fldChar w:fldCharType="begin"/>
          </w:r>
          <w:r>
            <w:instrText xml:space="preserve"> TOC \o "1-3" \h \z \u </w:instrText>
          </w:r>
          <w:r>
            <w:fldChar w:fldCharType="separate"/>
          </w:r>
          <w:hyperlink w:anchor="_Toc408234885" w:history="1">
            <w:r w:rsidR="00EE7C3F" w:rsidRPr="00717930">
              <w:rPr>
                <w:rStyle w:val="Hyperlink"/>
                <w:b/>
                <w:noProof/>
              </w:rPr>
              <w:t>РАЗДЕЛ 1</w:t>
            </w:r>
            <w:r w:rsidR="00EE7C3F" w:rsidRPr="00717930">
              <w:rPr>
                <w:rFonts w:asciiTheme="minorHAnsi" w:eastAsiaTheme="minorEastAsia" w:hAnsiTheme="minorHAnsi" w:cstheme="minorBidi"/>
                <w:b/>
                <w:noProof/>
                <w:sz w:val="22"/>
                <w:szCs w:val="22"/>
                <w:lang w:eastAsia="bg-BG" w:bidi="ar-SA"/>
              </w:rPr>
              <w:tab/>
            </w:r>
            <w:r w:rsidR="00EE7C3F" w:rsidRPr="00717930">
              <w:rPr>
                <w:rStyle w:val="Hyperlink"/>
                <w:b/>
                <w:noProof/>
              </w:rPr>
              <w:t>Стратегия за приноса на Програмата за сътрудничество за избраните тематични приоритети и съответно Споразумение за партньорство и стратегически документ(и) на страните</w:t>
            </w:r>
            <w:r w:rsidR="00EE7C3F" w:rsidRPr="00717930">
              <w:rPr>
                <w:b/>
                <w:noProof/>
                <w:webHidden/>
              </w:rPr>
              <w:tab/>
            </w:r>
            <w:r w:rsidR="00EE7C3F" w:rsidRPr="00717930">
              <w:rPr>
                <w:b/>
                <w:noProof/>
                <w:webHidden/>
              </w:rPr>
              <w:fldChar w:fldCharType="begin"/>
            </w:r>
            <w:r w:rsidR="00EE7C3F" w:rsidRPr="00717930">
              <w:rPr>
                <w:b/>
                <w:noProof/>
                <w:webHidden/>
              </w:rPr>
              <w:instrText xml:space="preserve"> PAGEREF _Toc408234885 \h </w:instrText>
            </w:r>
            <w:r w:rsidR="00EE7C3F" w:rsidRPr="00717930">
              <w:rPr>
                <w:b/>
                <w:noProof/>
                <w:webHidden/>
              </w:rPr>
            </w:r>
            <w:r w:rsidR="00EE7C3F" w:rsidRPr="00717930">
              <w:rPr>
                <w:b/>
                <w:noProof/>
                <w:webHidden/>
              </w:rPr>
              <w:fldChar w:fldCharType="separate"/>
            </w:r>
            <w:r w:rsidR="00A628D6">
              <w:rPr>
                <w:b/>
                <w:noProof/>
                <w:webHidden/>
              </w:rPr>
              <w:t>4</w:t>
            </w:r>
            <w:r w:rsidR="00EE7C3F" w:rsidRPr="00717930">
              <w:rPr>
                <w:b/>
                <w:noProof/>
                <w:webHidden/>
              </w:rPr>
              <w:fldChar w:fldCharType="end"/>
            </w:r>
          </w:hyperlink>
        </w:p>
        <w:p w:rsidR="00EE7C3F" w:rsidRDefault="00F81407">
          <w:pPr>
            <w:pStyle w:val="TOC2"/>
            <w:rPr>
              <w:rFonts w:asciiTheme="minorHAnsi" w:eastAsiaTheme="minorEastAsia" w:hAnsiTheme="minorHAnsi" w:cstheme="minorBidi"/>
              <w:noProof/>
              <w:sz w:val="22"/>
              <w:szCs w:val="22"/>
              <w:lang w:eastAsia="bg-BG" w:bidi="ar-SA"/>
            </w:rPr>
          </w:pPr>
          <w:hyperlink w:anchor="_Toc408234886" w:history="1">
            <w:r w:rsidR="00EE7C3F" w:rsidRPr="00F825A6">
              <w:rPr>
                <w:rStyle w:val="Hyperlink"/>
                <w:noProof/>
                <w:lang w:eastAsia="fr-BE"/>
              </w:rPr>
              <w:t>1.1</w:t>
            </w:r>
            <w:r w:rsidR="00EE7C3F">
              <w:rPr>
                <w:rFonts w:asciiTheme="minorHAnsi" w:eastAsiaTheme="minorEastAsia" w:hAnsiTheme="minorHAnsi" w:cstheme="minorBidi"/>
                <w:noProof/>
                <w:sz w:val="22"/>
                <w:szCs w:val="22"/>
                <w:lang w:eastAsia="bg-BG" w:bidi="ar-SA"/>
              </w:rPr>
              <w:tab/>
            </w:r>
            <w:r w:rsidR="00EE7C3F" w:rsidRPr="00F825A6">
              <w:rPr>
                <w:rStyle w:val="Hyperlink"/>
                <w:noProof/>
                <w:lang w:eastAsia="fr-BE"/>
              </w:rPr>
              <w:t>Стратегия за приноса на Програмата за сътрудничество за избраните тематични приоритети и съответно Споразумение за партньорство и стратегически документ(и) на страните</w:t>
            </w:r>
            <w:r w:rsidR="00EE7C3F">
              <w:rPr>
                <w:noProof/>
                <w:webHidden/>
              </w:rPr>
              <w:tab/>
            </w:r>
            <w:r w:rsidR="00EE7C3F">
              <w:rPr>
                <w:noProof/>
                <w:webHidden/>
              </w:rPr>
              <w:fldChar w:fldCharType="begin"/>
            </w:r>
            <w:r w:rsidR="00EE7C3F">
              <w:rPr>
                <w:noProof/>
                <w:webHidden/>
              </w:rPr>
              <w:instrText xml:space="preserve"> PAGEREF _Toc408234886 \h </w:instrText>
            </w:r>
            <w:r w:rsidR="00EE7C3F">
              <w:rPr>
                <w:noProof/>
                <w:webHidden/>
              </w:rPr>
            </w:r>
            <w:r w:rsidR="00EE7C3F">
              <w:rPr>
                <w:noProof/>
                <w:webHidden/>
              </w:rPr>
              <w:fldChar w:fldCharType="separate"/>
            </w:r>
            <w:r w:rsidR="00A628D6">
              <w:rPr>
                <w:noProof/>
                <w:webHidden/>
              </w:rPr>
              <w:t>4</w:t>
            </w:r>
            <w:r w:rsidR="00EE7C3F">
              <w:rPr>
                <w:noProof/>
                <w:webHidden/>
              </w:rPr>
              <w:fldChar w:fldCharType="end"/>
            </w:r>
          </w:hyperlink>
        </w:p>
        <w:p w:rsidR="00EE7C3F" w:rsidRDefault="00F81407">
          <w:pPr>
            <w:pStyle w:val="TOC3"/>
            <w:rPr>
              <w:rFonts w:asciiTheme="minorHAnsi" w:eastAsiaTheme="minorEastAsia" w:hAnsiTheme="minorHAnsi" w:cstheme="minorBidi"/>
              <w:noProof/>
              <w:sz w:val="22"/>
              <w:szCs w:val="22"/>
              <w:lang w:eastAsia="bg-BG" w:bidi="ar-SA"/>
            </w:rPr>
          </w:pPr>
          <w:hyperlink w:anchor="_Toc408234887" w:history="1">
            <w:r w:rsidR="00EE7C3F" w:rsidRPr="00F825A6">
              <w:rPr>
                <w:rStyle w:val="Hyperlink"/>
                <w:noProof/>
                <w:lang w:val="en-US" w:eastAsia="fr-BE"/>
              </w:rPr>
              <w:t>1.1.1.</w:t>
            </w:r>
            <w:r w:rsidR="00EE7C3F">
              <w:rPr>
                <w:rFonts w:asciiTheme="minorHAnsi" w:eastAsiaTheme="minorEastAsia" w:hAnsiTheme="minorHAnsi" w:cstheme="minorBidi"/>
                <w:noProof/>
                <w:sz w:val="22"/>
                <w:szCs w:val="22"/>
                <w:lang w:eastAsia="bg-BG" w:bidi="ar-SA"/>
              </w:rPr>
              <w:tab/>
            </w:r>
            <w:r w:rsidR="00EE7C3F" w:rsidRPr="00F825A6">
              <w:rPr>
                <w:rStyle w:val="Hyperlink"/>
                <w:noProof/>
                <w:lang w:eastAsia="fr-BE"/>
              </w:rPr>
              <w:t>Описание на стратегията на програмата за сътрудничество за принос за избраните тематични приоритети и съответното Споразумение за партньорство и стратегически документ(и) на страните</w:t>
            </w:r>
            <w:r w:rsidR="00EE7C3F">
              <w:rPr>
                <w:noProof/>
                <w:webHidden/>
              </w:rPr>
              <w:tab/>
            </w:r>
            <w:r w:rsidR="00EE7C3F">
              <w:rPr>
                <w:noProof/>
                <w:webHidden/>
              </w:rPr>
              <w:fldChar w:fldCharType="begin"/>
            </w:r>
            <w:r w:rsidR="00EE7C3F">
              <w:rPr>
                <w:noProof/>
                <w:webHidden/>
              </w:rPr>
              <w:instrText xml:space="preserve"> PAGEREF _Toc408234887 \h </w:instrText>
            </w:r>
            <w:r w:rsidR="00EE7C3F">
              <w:rPr>
                <w:noProof/>
                <w:webHidden/>
              </w:rPr>
            </w:r>
            <w:r w:rsidR="00EE7C3F">
              <w:rPr>
                <w:noProof/>
                <w:webHidden/>
              </w:rPr>
              <w:fldChar w:fldCharType="separate"/>
            </w:r>
            <w:r w:rsidR="00A628D6">
              <w:rPr>
                <w:noProof/>
                <w:webHidden/>
              </w:rPr>
              <w:t>4</w:t>
            </w:r>
            <w:r w:rsidR="00EE7C3F">
              <w:rPr>
                <w:noProof/>
                <w:webHidden/>
              </w:rPr>
              <w:fldChar w:fldCharType="end"/>
            </w:r>
          </w:hyperlink>
        </w:p>
        <w:p w:rsidR="00EE7C3F" w:rsidRDefault="00F81407">
          <w:pPr>
            <w:pStyle w:val="TOC3"/>
            <w:rPr>
              <w:rFonts w:asciiTheme="minorHAnsi" w:eastAsiaTheme="minorEastAsia" w:hAnsiTheme="minorHAnsi" w:cstheme="minorBidi"/>
              <w:noProof/>
              <w:sz w:val="22"/>
              <w:szCs w:val="22"/>
              <w:lang w:eastAsia="bg-BG" w:bidi="ar-SA"/>
            </w:rPr>
          </w:pPr>
          <w:hyperlink w:anchor="_Toc408234888" w:history="1">
            <w:r w:rsidR="00EE7C3F" w:rsidRPr="00F825A6">
              <w:rPr>
                <w:rStyle w:val="Hyperlink"/>
                <w:noProof/>
                <w:lang w:val="en-US" w:eastAsia="fr-BE"/>
              </w:rPr>
              <w:t>1.1.2.</w:t>
            </w:r>
            <w:r w:rsidR="00EE7C3F">
              <w:rPr>
                <w:rFonts w:asciiTheme="minorHAnsi" w:eastAsiaTheme="minorEastAsia" w:hAnsiTheme="minorHAnsi" w:cstheme="minorBidi"/>
                <w:noProof/>
                <w:sz w:val="22"/>
                <w:szCs w:val="22"/>
                <w:lang w:eastAsia="bg-BG" w:bidi="ar-SA"/>
              </w:rPr>
              <w:tab/>
            </w:r>
            <w:r w:rsidR="00EE7C3F" w:rsidRPr="00F825A6">
              <w:rPr>
                <w:rStyle w:val="Hyperlink"/>
                <w:noProof/>
                <w:lang w:eastAsia="fr-BE"/>
              </w:rPr>
              <w:t>Обосновка на избора на тематични приоритети въз основа на анализ на потребностите в територията на програмата като цяло и на стратегията, избрана в отговор на тези потребности, и като се отчитат, когато е уместно, липсващите звена в трансграничната инфраструктура, като се вземат предвид резултатите от предварителната оценка</w:t>
            </w:r>
            <w:r w:rsidR="00EE7C3F">
              <w:rPr>
                <w:noProof/>
                <w:webHidden/>
              </w:rPr>
              <w:tab/>
            </w:r>
            <w:r w:rsidR="00EE7C3F">
              <w:rPr>
                <w:noProof/>
                <w:webHidden/>
              </w:rPr>
              <w:fldChar w:fldCharType="begin"/>
            </w:r>
            <w:r w:rsidR="00EE7C3F">
              <w:rPr>
                <w:noProof/>
                <w:webHidden/>
              </w:rPr>
              <w:instrText xml:space="preserve"> PAGEREF _Toc408234888 \h </w:instrText>
            </w:r>
            <w:r w:rsidR="00EE7C3F">
              <w:rPr>
                <w:noProof/>
                <w:webHidden/>
              </w:rPr>
            </w:r>
            <w:r w:rsidR="00EE7C3F">
              <w:rPr>
                <w:noProof/>
                <w:webHidden/>
              </w:rPr>
              <w:fldChar w:fldCharType="separate"/>
            </w:r>
            <w:r w:rsidR="00A628D6">
              <w:rPr>
                <w:noProof/>
                <w:webHidden/>
              </w:rPr>
              <w:t>28</w:t>
            </w:r>
            <w:r w:rsidR="00EE7C3F">
              <w:rPr>
                <w:noProof/>
                <w:webHidden/>
              </w:rPr>
              <w:fldChar w:fldCharType="end"/>
            </w:r>
          </w:hyperlink>
        </w:p>
        <w:p w:rsidR="00EE7C3F" w:rsidRDefault="00F81407">
          <w:pPr>
            <w:pStyle w:val="TOC2"/>
            <w:rPr>
              <w:rFonts w:asciiTheme="minorHAnsi" w:eastAsiaTheme="minorEastAsia" w:hAnsiTheme="minorHAnsi" w:cstheme="minorBidi"/>
              <w:noProof/>
              <w:sz w:val="22"/>
              <w:szCs w:val="22"/>
              <w:lang w:eastAsia="bg-BG" w:bidi="ar-SA"/>
            </w:rPr>
          </w:pPr>
          <w:hyperlink w:anchor="_Toc408234889" w:history="1">
            <w:r w:rsidR="00EE7C3F" w:rsidRPr="00F825A6">
              <w:rPr>
                <w:rStyle w:val="Hyperlink"/>
                <w:noProof/>
                <w:lang w:eastAsia="fr-BE"/>
              </w:rPr>
              <w:t>1.2</w:t>
            </w:r>
            <w:r w:rsidR="00EE7C3F">
              <w:rPr>
                <w:rFonts w:asciiTheme="minorHAnsi" w:eastAsiaTheme="minorEastAsia" w:hAnsiTheme="minorHAnsi" w:cstheme="minorBidi"/>
                <w:noProof/>
                <w:sz w:val="22"/>
                <w:szCs w:val="22"/>
                <w:lang w:eastAsia="bg-BG" w:bidi="ar-SA"/>
              </w:rPr>
              <w:tab/>
            </w:r>
            <w:r w:rsidR="00EE7C3F" w:rsidRPr="00F825A6">
              <w:rPr>
                <w:rStyle w:val="Hyperlink"/>
                <w:noProof/>
                <w:lang w:eastAsia="fr-BE"/>
              </w:rPr>
              <w:t>Обосновка на отпусканите финансови средства</w:t>
            </w:r>
            <w:r w:rsidR="00EE7C3F">
              <w:rPr>
                <w:noProof/>
                <w:webHidden/>
              </w:rPr>
              <w:tab/>
            </w:r>
            <w:r w:rsidR="00EE7C3F">
              <w:rPr>
                <w:noProof/>
                <w:webHidden/>
              </w:rPr>
              <w:fldChar w:fldCharType="begin"/>
            </w:r>
            <w:r w:rsidR="00EE7C3F">
              <w:rPr>
                <w:noProof/>
                <w:webHidden/>
              </w:rPr>
              <w:instrText xml:space="preserve"> PAGEREF _Toc408234889 \h </w:instrText>
            </w:r>
            <w:r w:rsidR="00EE7C3F">
              <w:rPr>
                <w:noProof/>
                <w:webHidden/>
              </w:rPr>
            </w:r>
            <w:r w:rsidR="00EE7C3F">
              <w:rPr>
                <w:noProof/>
                <w:webHidden/>
              </w:rPr>
              <w:fldChar w:fldCharType="separate"/>
            </w:r>
            <w:r w:rsidR="00A628D6">
              <w:rPr>
                <w:noProof/>
                <w:webHidden/>
              </w:rPr>
              <w:t>30</w:t>
            </w:r>
            <w:r w:rsidR="00EE7C3F">
              <w:rPr>
                <w:noProof/>
                <w:webHidden/>
              </w:rPr>
              <w:fldChar w:fldCharType="end"/>
            </w:r>
          </w:hyperlink>
        </w:p>
        <w:p w:rsidR="00EE7C3F" w:rsidRPr="00717930" w:rsidRDefault="00F81407">
          <w:pPr>
            <w:pStyle w:val="TOC1"/>
            <w:tabs>
              <w:tab w:val="left" w:pos="1360"/>
            </w:tabs>
            <w:rPr>
              <w:rFonts w:asciiTheme="minorHAnsi" w:eastAsiaTheme="minorEastAsia" w:hAnsiTheme="minorHAnsi" w:cstheme="minorBidi"/>
              <w:b/>
              <w:noProof/>
              <w:sz w:val="22"/>
              <w:szCs w:val="22"/>
              <w:lang w:eastAsia="bg-BG" w:bidi="ar-SA"/>
            </w:rPr>
          </w:pPr>
          <w:hyperlink w:anchor="_Toc408234890" w:history="1">
            <w:r w:rsidR="00EE7C3F" w:rsidRPr="00717930">
              <w:rPr>
                <w:rStyle w:val="Hyperlink"/>
                <w:b/>
                <w:noProof/>
              </w:rPr>
              <w:t>РАЗДЕЛ 2.</w:t>
            </w:r>
            <w:r w:rsidR="00EE7C3F" w:rsidRPr="00717930">
              <w:rPr>
                <w:rFonts w:asciiTheme="minorHAnsi" w:eastAsiaTheme="minorEastAsia" w:hAnsiTheme="minorHAnsi" w:cstheme="minorBidi"/>
                <w:b/>
                <w:noProof/>
                <w:sz w:val="22"/>
                <w:szCs w:val="22"/>
                <w:lang w:eastAsia="bg-BG" w:bidi="ar-SA"/>
              </w:rPr>
              <w:tab/>
            </w:r>
            <w:r w:rsidR="00EE7C3F" w:rsidRPr="00717930">
              <w:rPr>
                <w:rStyle w:val="Hyperlink"/>
                <w:b/>
                <w:noProof/>
              </w:rPr>
              <w:t>Приоритетни оси</w:t>
            </w:r>
            <w:r w:rsidR="00EE7C3F" w:rsidRPr="00717930">
              <w:rPr>
                <w:b/>
                <w:noProof/>
                <w:webHidden/>
              </w:rPr>
              <w:tab/>
            </w:r>
            <w:r w:rsidR="00EE7C3F" w:rsidRPr="00717930">
              <w:rPr>
                <w:b/>
                <w:noProof/>
                <w:webHidden/>
              </w:rPr>
              <w:fldChar w:fldCharType="begin"/>
            </w:r>
            <w:r w:rsidR="00EE7C3F" w:rsidRPr="00717930">
              <w:rPr>
                <w:b/>
                <w:noProof/>
                <w:webHidden/>
              </w:rPr>
              <w:instrText xml:space="preserve"> PAGEREF _Toc408234890 \h </w:instrText>
            </w:r>
            <w:r w:rsidR="00EE7C3F" w:rsidRPr="00717930">
              <w:rPr>
                <w:b/>
                <w:noProof/>
                <w:webHidden/>
              </w:rPr>
            </w:r>
            <w:r w:rsidR="00EE7C3F" w:rsidRPr="00717930">
              <w:rPr>
                <w:b/>
                <w:noProof/>
                <w:webHidden/>
              </w:rPr>
              <w:fldChar w:fldCharType="separate"/>
            </w:r>
            <w:r w:rsidR="00A628D6">
              <w:rPr>
                <w:b/>
                <w:noProof/>
                <w:webHidden/>
              </w:rPr>
              <w:t>32</w:t>
            </w:r>
            <w:r w:rsidR="00EE7C3F" w:rsidRPr="00717930">
              <w:rPr>
                <w:b/>
                <w:noProof/>
                <w:webHidden/>
              </w:rPr>
              <w:fldChar w:fldCharType="end"/>
            </w:r>
          </w:hyperlink>
        </w:p>
        <w:p w:rsidR="00EE7C3F" w:rsidRDefault="00F81407">
          <w:pPr>
            <w:pStyle w:val="TOC2"/>
            <w:tabs>
              <w:tab w:val="left" w:pos="1383"/>
            </w:tabs>
            <w:rPr>
              <w:rFonts w:asciiTheme="minorHAnsi" w:eastAsiaTheme="minorEastAsia" w:hAnsiTheme="minorHAnsi" w:cstheme="minorBidi"/>
              <w:noProof/>
              <w:sz w:val="22"/>
              <w:szCs w:val="22"/>
              <w:lang w:eastAsia="bg-BG" w:bidi="ar-SA"/>
            </w:rPr>
          </w:pPr>
          <w:hyperlink w:anchor="_Toc408234891" w:history="1">
            <w:r w:rsidR="00EE7C3F" w:rsidRPr="00F825A6">
              <w:rPr>
                <w:rStyle w:val="Hyperlink"/>
                <w:noProof/>
              </w:rPr>
              <w:t xml:space="preserve">2.1. </w:t>
            </w:r>
            <w:r w:rsidR="002F71D4">
              <w:rPr>
                <w:rFonts w:asciiTheme="minorHAnsi" w:eastAsiaTheme="minorEastAsia" w:hAnsiTheme="minorHAnsi" w:cstheme="minorBidi"/>
                <w:noProof/>
                <w:sz w:val="22"/>
                <w:szCs w:val="22"/>
                <w:lang w:eastAsia="bg-BG" w:bidi="ar-SA"/>
              </w:rPr>
              <w:tab/>
            </w:r>
            <w:r w:rsidR="00EE7C3F" w:rsidRPr="00F825A6">
              <w:rPr>
                <w:rStyle w:val="Hyperlink"/>
                <w:noProof/>
              </w:rPr>
              <w:t>Описание на приоритетните оси</w:t>
            </w:r>
            <w:r w:rsidR="00EE7C3F">
              <w:rPr>
                <w:noProof/>
                <w:webHidden/>
              </w:rPr>
              <w:tab/>
            </w:r>
            <w:r w:rsidR="00EE7C3F">
              <w:rPr>
                <w:noProof/>
                <w:webHidden/>
              </w:rPr>
              <w:fldChar w:fldCharType="begin"/>
            </w:r>
            <w:r w:rsidR="00EE7C3F">
              <w:rPr>
                <w:noProof/>
                <w:webHidden/>
              </w:rPr>
              <w:instrText xml:space="preserve"> PAGEREF _Toc408234891 \h </w:instrText>
            </w:r>
            <w:r w:rsidR="00EE7C3F">
              <w:rPr>
                <w:noProof/>
                <w:webHidden/>
              </w:rPr>
            </w:r>
            <w:r w:rsidR="00EE7C3F">
              <w:rPr>
                <w:noProof/>
                <w:webHidden/>
              </w:rPr>
              <w:fldChar w:fldCharType="separate"/>
            </w:r>
            <w:r w:rsidR="00A628D6">
              <w:rPr>
                <w:noProof/>
                <w:webHidden/>
              </w:rPr>
              <w:t>32</w:t>
            </w:r>
            <w:r w:rsidR="00EE7C3F">
              <w:rPr>
                <w:noProof/>
                <w:webHidden/>
              </w:rPr>
              <w:fldChar w:fldCharType="end"/>
            </w:r>
          </w:hyperlink>
        </w:p>
        <w:p w:rsidR="00EE7C3F" w:rsidRPr="00717930" w:rsidRDefault="00F81407">
          <w:pPr>
            <w:pStyle w:val="TOC3"/>
            <w:rPr>
              <w:rFonts w:asciiTheme="minorHAnsi" w:eastAsiaTheme="minorEastAsia" w:hAnsiTheme="minorHAnsi" w:cstheme="minorBidi"/>
              <w:noProof/>
              <w:sz w:val="22"/>
              <w:szCs w:val="22"/>
              <w:lang w:eastAsia="bg-BG" w:bidi="ar-SA"/>
            </w:rPr>
          </w:pPr>
          <w:hyperlink w:anchor="_Toc408234892" w:history="1">
            <w:r w:rsidR="00EE7C3F" w:rsidRPr="00717930">
              <w:rPr>
                <w:rStyle w:val="Hyperlink"/>
                <w:noProof/>
              </w:rPr>
              <w:t>2.1.1</w:t>
            </w:r>
            <w:r w:rsidR="002F71D4">
              <w:rPr>
                <w:rStyle w:val="Hyperlink"/>
                <w:noProof/>
              </w:rPr>
              <w:tab/>
            </w:r>
            <w:r w:rsidR="00EE7C3F" w:rsidRPr="00717930">
              <w:rPr>
                <w:rStyle w:val="Hyperlink"/>
                <w:noProof/>
              </w:rPr>
              <w:t>Приоритетна ос 1</w:t>
            </w:r>
            <w:r w:rsidR="00EE7C3F" w:rsidRPr="00717930">
              <w:rPr>
                <w:noProof/>
                <w:webHidden/>
              </w:rPr>
              <w:tab/>
            </w:r>
            <w:r w:rsidR="00EE7C3F" w:rsidRPr="00717930">
              <w:rPr>
                <w:noProof/>
                <w:webHidden/>
              </w:rPr>
              <w:fldChar w:fldCharType="begin"/>
            </w:r>
            <w:r w:rsidR="00EE7C3F" w:rsidRPr="00717930">
              <w:rPr>
                <w:noProof/>
                <w:webHidden/>
              </w:rPr>
              <w:instrText xml:space="preserve"> PAGEREF _Toc408234892 \h </w:instrText>
            </w:r>
            <w:r w:rsidR="00EE7C3F" w:rsidRPr="00717930">
              <w:rPr>
                <w:noProof/>
                <w:webHidden/>
              </w:rPr>
            </w:r>
            <w:r w:rsidR="00EE7C3F" w:rsidRPr="00717930">
              <w:rPr>
                <w:noProof/>
                <w:webHidden/>
              </w:rPr>
              <w:fldChar w:fldCharType="separate"/>
            </w:r>
            <w:r w:rsidR="00A628D6">
              <w:rPr>
                <w:noProof/>
                <w:webHidden/>
              </w:rPr>
              <w:t>32</w:t>
            </w:r>
            <w:r w:rsidR="00EE7C3F" w:rsidRPr="00717930">
              <w:rPr>
                <w:noProof/>
                <w:webHidden/>
              </w:rPr>
              <w:fldChar w:fldCharType="end"/>
            </w:r>
          </w:hyperlink>
        </w:p>
        <w:p w:rsidR="00EE7C3F" w:rsidRPr="00717930" w:rsidRDefault="00F81407">
          <w:pPr>
            <w:pStyle w:val="TOC3"/>
            <w:rPr>
              <w:rFonts w:asciiTheme="minorHAnsi" w:eastAsiaTheme="minorEastAsia" w:hAnsiTheme="minorHAnsi" w:cstheme="minorBidi"/>
              <w:noProof/>
              <w:sz w:val="22"/>
              <w:szCs w:val="22"/>
              <w:lang w:eastAsia="bg-BG" w:bidi="ar-SA"/>
            </w:rPr>
          </w:pPr>
          <w:hyperlink w:anchor="_Toc408234893" w:history="1">
            <w:r w:rsidR="00EE7C3F" w:rsidRPr="00717930">
              <w:rPr>
                <w:rStyle w:val="Hyperlink"/>
                <w:noProof/>
              </w:rPr>
              <w:t xml:space="preserve">2.1.2 </w:t>
            </w:r>
            <w:r w:rsidR="002F71D4">
              <w:rPr>
                <w:rStyle w:val="Hyperlink"/>
                <w:noProof/>
              </w:rPr>
              <w:tab/>
            </w:r>
            <w:r w:rsidR="00EE7C3F" w:rsidRPr="00717930">
              <w:rPr>
                <w:rStyle w:val="Hyperlink"/>
                <w:noProof/>
              </w:rPr>
              <w:t>Фонд, база за изчисление на подкрепата от ЕС и обосновка на избора на базата за изчисление</w:t>
            </w:r>
            <w:r w:rsidR="00EE7C3F" w:rsidRPr="00717930">
              <w:rPr>
                <w:noProof/>
                <w:webHidden/>
              </w:rPr>
              <w:tab/>
            </w:r>
            <w:r w:rsidR="00EE7C3F" w:rsidRPr="00717930">
              <w:rPr>
                <w:noProof/>
                <w:webHidden/>
              </w:rPr>
              <w:fldChar w:fldCharType="begin"/>
            </w:r>
            <w:r w:rsidR="00EE7C3F" w:rsidRPr="00717930">
              <w:rPr>
                <w:noProof/>
                <w:webHidden/>
              </w:rPr>
              <w:instrText xml:space="preserve"> PAGEREF _Toc408234893 \h </w:instrText>
            </w:r>
            <w:r w:rsidR="00EE7C3F" w:rsidRPr="00717930">
              <w:rPr>
                <w:noProof/>
                <w:webHidden/>
              </w:rPr>
            </w:r>
            <w:r w:rsidR="00EE7C3F" w:rsidRPr="00717930">
              <w:rPr>
                <w:noProof/>
                <w:webHidden/>
              </w:rPr>
              <w:fldChar w:fldCharType="separate"/>
            </w:r>
            <w:r w:rsidR="00A628D6">
              <w:rPr>
                <w:noProof/>
                <w:webHidden/>
              </w:rPr>
              <w:t>32</w:t>
            </w:r>
            <w:r w:rsidR="00EE7C3F" w:rsidRPr="00717930">
              <w:rPr>
                <w:noProof/>
                <w:webHidden/>
              </w:rPr>
              <w:fldChar w:fldCharType="end"/>
            </w:r>
          </w:hyperlink>
        </w:p>
        <w:p w:rsidR="00EE7C3F" w:rsidRPr="00717930" w:rsidRDefault="00F81407">
          <w:pPr>
            <w:pStyle w:val="TOC3"/>
            <w:rPr>
              <w:rFonts w:asciiTheme="minorHAnsi" w:eastAsiaTheme="minorEastAsia" w:hAnsiTheme="minorHAnsi" w:cstheme="minorBidi"/>
              <w:noProof/>
              <w:sz w:val="22"/>
              <w:szCs w:val="22"/>
              <w:lang w:eastAsia="bg-BG" w:bidi="ar-SA"/>
            </w:rPr>
          </w:pPr>
          <w:hyperlink w:anchor="_Toc408234894" w:history="1">
            <w:r w:rsidR="00EE7C3F" w:rsidRPr="00717930">
              <w:rPr>
                <w:rStyle w:val="Hyperlink"/>
                <w:noProof/>
              </w:rPr>
              <w:t>2.1.3.</w:t>
            </w:r>
            <w:r w:rsidR="002F71D4">
              <w:rPr>
                <w:rStyle w:val="Hyperlink"/>
                <w:noProof/>
              </w:rPr>
              <w:tab/>
            </w:r>
            <w:r w:rsidR="00104E5E">
              <w:rPr>
                <w:rStyle w:val="Hyperlink"/>
                <w:noProof/>
              </w:rPr>
              <w:t>Специфични</w:t>
            </w:r>
            <w:r w:rsidR="00EE7C3F" w:rsidRPr="00717930">
              <w:rPr>
                <w:rStyle w:val="Hyperlink"/>
                <w:noProof/>
              </w:rPr>
              <w:t xml:space="preserve"> цели на тематичния приоритет и очаквани резултати</w:t>
            </w:r>
            <w:r w:rsidR="00EE7C3F" w:rsidRPr="00717930">
              <w:rPr>
                <w:noProof/>
                <w:webHidden/>
              </w:rPr>
              <w:tab/>
            </w:r>
            <w:r w:rsidR="00EE7C3F" w:rsidRPr="00717930">
              <w:rPr>
                <w:noProof/>
                <w:webHidden/>
              </w:rPr>
              <w:fldChar w:fldCharType="begin"/>
            </w:r>
            <w:r w:rsidR="00EE7C3F" w:rsidRPr="00717930">
              <w:rPr>
                <w:noProof/>
                <w:webHidden/>
              </w:rPr>
              <w:instrText xml:space="preserve"> PAGEREF _Toc408234894 \h </w:instrText>
            </w:r>
            <w:r w:rsidR="00EE7C3F" w:rsidRPr="00717930">
              <w:rPr>
                <w:noProof/>
                <w:webHidden/>
              </w:rPr>
            </w:r>
            <w:r w:rsidR="00EE7C3F" w:rsidRPr="00717930">
              <w:rPr>
                <w:noProof/>
                <w:webHidden/>
              </w:rPr>
              <w:fldChar w:fldCharType="separate"/>
            </w:r>
            <w:r w:rsidR="00A628D6">
              <w:rPr>
                <w:noProof/>
                <w:webHidden/>
              </w:rPr>
              <w:t>33</w:t>
            </w:r>
            <w:r w:rsidR="00EE7C3F" w:rsidRPr="00717930">
              <w:rPr>
                <w:noProof/>
                <w:webHidden/>
              </w:rPr>
              <w:fldChar w:fldCharType="end"/>
            </w:r>
          </w:hyperlink>
        </w:p>
        <w:p w:rsidR="00EE7C3F" w:rsidRPr="00717930" w:rsidRDefault="00F81407">
          <w:pPr>
            <w:pStyle w:val="TOC3"/>
            <w:rPr>
              <w:rFonts w:asciiTheme="minorHAnsi" w:eastAsiaTheme="minorEastAsia" w:hAnsiTheme="minorHAnsi" w:cstheme="minorBidi"/>
              <w:noProof/>
              <w:sz w:val="22"/>
              <w:szCs w:val="22"/>
              <w:lang w:eastAsia="bg-BG" w:bidi="ar-SA"/>
            </w:rPr>
          </w:pPr>
          <w:hyperlink w:anchor="_Toc408234895" w:history="1">
            <w:r w:rsidR="00EE7C3F" w:rsidRPr="00717930">
              <w:rPr>
                <w:rStyle w:val="Hyperlink"/>
                <w:noProof/>
              </w:rPr>
              <w:t>2.1.4.</w:t>
            </w:r>
            <w:r w:rsidR="002F71D4">
              <w:rPr>
                <w:rStyle w:val="Hyperlink"/>
                <w:noProof/>
              </w:rPr>
              <w:tab/>
            </w:r>
            <w:r w:rsidR="00EE7C3F" w:rsidRPr="00717930">
              <w:rPr>
                <w:rStyle w:val="Hyperlink"/>
                <w:noProof/>
              </w:rPr>
              <w:t>Елементи на други тематични приоритети, добавени към приоритетната ос</w:t>
            </w:r>
            <w:r w:rsidR="00EE7C3F" w:rsidRPr="00717930">
              <w:rPr>
                <w:noProof/>
                <w:webHidden/>
              </w:rPr>
              <w:tab/>
            </w:r>
            <w:r w:rsidR="00EE7C3F" w:rsidRPr="00717930">
              <w:rPr>
                <w:noProof/>
                <w:webHidden/>
              </w:rPr>
              <w:fldChar w:fldCharType="begin"/>
            </w:r>
            <w:r w:rsidR="00EE7C3F" w:rsidRPr="00717930">
              <w:rPr>
                <w:noProof/>
                <w:webHidden/>
              </w:rPr>
              <w:instrText xml:space="preserve"> PAGEREF _Toc408234895 \h </w:instrText>
            </w:r>
            <w:r w:rsidR="00EE7C3F" w:rsidRPr="00717930">
              <w:rPr>
                <w:noProof/>
                <w:webHidden/>
              </w:rPr>
            </w:r>
            <w:r w:rsidR="00EE7C3F" w:rsidRPr="00717930">
              <w:rPr>
                <w:noProof/>
                <w:webHidden/>
              </w:rPr>
              <w:fldChar w:fldCharType="separate"/>
            </w:r>
            <w:r w:rsidR="00A628D6">
              <w:rPr>
                <w:noProof/>
                <w:webHidden/>
              </w:rPr>
              <w:t>36</w:t>
            </w:r>
            <w:r w:rsidR="00EE7C3F" w:rsidRPr="00717930">
              <w:rPr>
                <w:noProof/>
                <w:webHidden/>
              </w:rPr>
              <w:fldChar w:fldCharType="end"/>
            </w:r>
          </w:hyperlink>
        </w:p>
        <w:p w:rsidR="00EE7C3F" w:rsidRPr="00717930" w:rsidRDefault="00F81407">
          <w:pPr>
            <w:pStyle w:val="TOC3"/>
            <w:rPr>
              <w:rFonts w:asciiTheme="minorHAnsi" w:eastAsiaTheme="minorEastAsia" w:hAnsiTheme="minorHAnsi" w:cstheme="minorBidi"/>
              <w:noProof/>
              <w:sz w:val="22"/>
              <w:szCs w:val="22"/>
              <w:lang w:eastAsia="bg-BG" w:bidi="ar-SA"/>
            </w:rPr>
          </w:pPr>
          <w:hyperlink w:anchor="_Toc408234896" w:history="1">
            <w:r w:rsidR="00EE7C3F" w:rsidRPr="00717930">
              <w:rPr>
                <w:rStyle w:val="Hyperlink"/>
                <w:noProof/>
              </w:rPr>
              <w:t xml:space="preserve">2.1.5. </w:t>
            </w:r>
            <w:r w:rsidR="002F71D4">
              <w:rPr>
                <w:rStyle w:val="Hyperlink"/>
                <w:noProof/>
              </w:rPr>
              <w:tab/>
            </w:r>
            <w:r w:rsidR="00EE7C3F" w:rsidRPr="00717930">
              <w:rPr>
                <w:rStyle w:val="Hyperlink"/>
                <w:noProof/>
              </w:rPr>
              <w:t>Дейности, които ще бъдат подкрепяни по тематичния приоритет</w:t>
            </w:r>
            <w:r w:rsidR="00EE7C3F" w:rsidRPr="00717930">
              <w:rPr>
                <w:noProof/>
                <w:webHidden/>
              </w:rPr>
              <w:tab/>
            </w:r>
            <w:r w:rsidR="00EE7C3F" w:rsidRPr="00717930">
              <w:rPr>
                <w:noProof/>
                <w:webHidden/>
              </w:rPr>
              <w:fldChar w:fldCharType="begin"/>
            </w:r>
            <w:r w:rsidR="00EE7C3F" w:rsidRPr="00717930">
              <w:rPr>
                <w:noProof/>
                <w:webHidden/>
              </w:rPr>
              <w:instrText xml:space="preserve"> PAGEREF _Toc408234896 \h </w:instrText>
            </w:r>
            <w:r w:rsidR="00EE7C3F" w:rsidRPr="00717930">
              <w:rPr>
                <w:noProof/>
                <w:webHidden/>
              </w:rPr>
            </w:r>
            <w:r w:rsidR="00EE7C3F" w:rsidRPr="00717930">
              <w:rPr>
                <w:noProof/>
                <w:webHidden/>
              </w:rPr>
              <w:fldChar w:fldCharType="separate"/>
            </w:r>
            <w:r w:rsidR="00A628D6">
              <w:rPr>
                <w:noProof/>
                <w:webHidden/>
              </w:rPr>
              <w:t>36</w:t>
            </w:r>
            <w:r w:rsidR="00EE7C3F" w:rsidRPr="00717930">
              <w:rPr>
                <w:noProof/>
                <w:webHidden/>
              </w:rPr>
              <w:fldChar w:fldCharType="end"/>
            </w:r>
          </w:hyperlink>
        </w:p>
        <w:p w:rsidR="00EE7C3F" w:rsidRPr="00717930" w:rsidRDefault="00F81407">
          <w:pPr>
            <w:pStyle w:val="TOC3"/>
            <w:rPr>
              <w:rFonts w:asciiTheme="minorHAnsi" w:eastAsiaTheme="minorEastAsia" w:hAnsiTheme="minorHAnsi" w:cstheme="minorBidi"/>
              <w:noProof/>
              <w:sz w:val="22"/>
              <w:szCs w:val="22"/>
              <w:lang w:eastAsia="bg-BG" w:bidi="ar-SA"/>
            </w:rPr>
          </w:pPr>
          <w:hyperlink w:anchor="_Toc408234897" w:history="1">
            <w:r w:rsidR="00EE7C3F" w:rsidRPr="00717930">
              <w:rPr>
                <w:rStyle w:val="Hyperlink"/>
                <w:noProof/>
              </w:rPr>
              <w:t xml:space="preserve">2.1.6 </w:t>
            </w:r>
            <w:r w:rsidR="002F71D4">
              <w:rPr>
                <w:rStyle w:val="Hyperlink"/>
                <w:noProof/>
              </w:rPr>
              <w:tab/>
            </w:r>
            <w:r w:rsidR="00EE7C3F" w:rsidRPr="00717930">
              <w:rPr>
                <w:rStyle w:val="Hyperlink"/>
                <w:noProof/>
              </w:rPr>
              <w:t>Общи показатели и показатели за конкретната програма</w:t>
            </w:r>
            <w:r w:rsidR="00EE7C3F" w:rsidRPr="00717930">
              <w:rPr>
                <w:noProof/>
                <w:webHidden/>
              </w:rPr>
              <w:tab/>
            </w:r>
            <w:r w:rsidR="00EE7C3F" w:rsidRPr="00717930">
              <w:rPr>
                <w:noProof/>
                <w:webHidden/>
              </w:rPr>
              <w:fldChar w:fldCharType="begin"/>
            </w:r>
            <w:r w:rsidR="00EE7C3F" w:rsidRPr="00717930">
              <w:rPr>
                <w:noProof/>
                <w:webHidden/>
              </w:rPr>
              <w:instrText xml:space="preserve"> PAGEREF _Toc408234897 \h </w:instrText>
            </w:r>
            <w:r w:rsidR="00EE7C3F" w:rsidRPr="00717930">
              <w:rPr>
                <w:noProof/>
                <w:webHidden/>
              </w:rPr>
            </w:r>
            <w:r w:rsidR="00EE7C3F" w:rsidRPr="00717930">
              <w:rPr>
                <w:noProof/>
                <w:webHidden/>
              </w:rPr>
              <w:fldChar w:fldCharType="separate"/>
            </w:r>
            <w:r w:rsidR="00A628D6">
              <w:rPr>
                <w:noProof/>
                <w:webHidden/>
              </w:rPr>
              <w:t>41</w:t>
            </w:r>
            <w:r w:rsidR="00EE7C3F" w:rsidRPr="00717930">
              <w:rPr>
                <w:noProof/>
                <w:webHidden/>
              </w:rPr>
              <w:fldChar w:fldCharType="end"/>
            </w:r>
          </w:hyperlink>
        </w:p>
        <w:p w:rsidR="00EE7C3F" w:rsidRPr="00717930" w:rsidRDefault="00F81407">
          <w:pPr>
            <w:pStyle w:val="TOC3"/>
            <w:rPr>
              <w:rFonts w:asciiTheme="minorHAnsi" w:eastAsiaTheme="minorEastAsia" w:hAnsiTheme="minorHAnsi" w:cstheme="minorBidi"/>
              <w:noProof/>
              <w:sz w:val="22"/>
              <w:szCs w:val="22"/>
              <w:lang w:eastAsia="bg-BG" w:bidi="ar-SA"/>
            </w:rPr>
          </w:pPr>
          <w:hyperlink w:anchor="_Toc408234898" w:history="1">
            <w:r w:rsidR="00EE7C3F" w:rsidRPr="00717930">
              <w:rPr>
                <w:rStyle w:val="Hyperlink"/>
                <w:noProof/>
              </w:rPr>
              <w:t>2.1.7.</w:t>
            </w:r>
            <w:r w:rsidR="002F71D4">
              <w:rPr>
                <w:rStyle w:val="Hyperlink"/>
                <w:noProof/>
              </w:rPr>
              <w:tab/>
            </w:r>
            <w:r w:rsidR="00EE7C3F" w:rsidRPr="00717930">
              <w:rPr>
                <w:rStyle w:val="Hyperlink"/>
                <w:noProof/>
              </w:rPr>
              <w:t>Категории на интервенциите</w:t>
            </w:r>
            <w:r w:rsidR="00EE7C3F" w:rsidRPr="00717930">
              <w:rPr>
                <w:noProof/>
                <w:webHidden/>
              </w:rPr>
              <w:tab/>
            </w:r>
            <w:r w:rsidR="00EE7C3F" w:rsidRPr="00717930">
              <w:rPr>
                <w:noProof/>
                <w:webHidden/>
              </w:rPr>
              <w:fldChar w:fldCharType="begin"/>
            </w:r>
            <w:r w:rsidR="00EE7C3F" w:rsidRPr="00717930">
              <w:rPr>
                <w:noProof/>
                <w:webHidden/>
              </w:rPr>
              <w:instrText xml:space="preserve"> PAGEREF _Toc408234898 \h </w:instrText>
            </w:r>
            <w:r w:rsidR="00EE7C3F" w:rsidRPr="00717930">
              <w:rPr>
                <w:noProof/>
                <w:webHidden/>
              </w:rPr>
            </w:r>
            <w:r w:rsidR="00EE7C3F" w:rsidRPr="00717930">
              <w:rPr>
                <w:noProof/>
                <w:webHidden/>
              </w:rPr>
              <w:fldChar w:fldCharType="separate"/>
            </w:r>
            <w:r w:rsidR="00A628D6">
              <w:rPr>
                <w:noProof/>
                <w:webHidden/>
              </w:rPr>
              <w:t>43</w:t>
            </w:r>
            <w:r w:rsidR="00EE7C3F" w:rsidRPr="00717930">
              <w:rPr>
                <w:noProof/>
                <w:webHidden/>
              </w:rPr>
              <w:fldChar w:fldCharType="end"/>
            </w:r>
          </w:hyperlink>
        </w:p>
        <w:p w:rsidR="00EE7C3F" w:rsidRPr="00717930" w:rsidRDefault="00F81407">
          <w:pPr>
            <w:pStyle w:val="TOC3"/>
            <w:rPr>
              <w:rFonts w:asciiTheme="minorHAnsi" w:eastAsiaTheme="minorEastAsia" w:hAnsiTheme="minorHAnsi" w:cstheme="minorBidi"/>
              <w:noProof/>
              <w:sz w:val="22"/>
              <w:szCs w:val="22"/>
              <w:lang w:eastAsia="bg-BG" w:bidi="ar-SA"/>
            </w:rPr>
          </w:pPr>
          <w:hyperlink w:anchor="_Toc408234899" w:history="1">
            <w:r w:rsidR="00EE7C3F" w:rsidRPr="00717930">
              <w:rPr>
                <w:rStyle w:val="Hyperlink"/>
                <w:noProof/>
              </w:rPr>
              <w:t xml:space="preserve">2.1.8. </w:t>
            </w:r>
            <w:r w:rsidR="002F71D4">
              <w:rPr>
                <w:rStyle w:val="Hyperlink"/>
                <w:noProof/>
              </w:rPr>
              <w:tab/>
            </w:r>
            <w:r w:rsidR="00EE7C3F" w:rsidRPr="00717930">
              <w:rPr>
                <w:rStyle w:val="Hyperlink"/>
                <w:noProof/>
              </w:rPr>
              <w:t>Кратко изложение на планираното използване на техническа помощ, включително, когато е необходимо, мерки за укрепване на административния капацитет на органите, участващи в управлението и контрола на програмите и бенефициентите, и, когато е необходимо, действия за повишаване на административния капацитет на съответните партньори за участие в изпълнението на програми</w:t>
            </w:r>
            <w:r w:rsidR="00EE7C3F" w:rsidRPr="00717930">
              <w:rPr>
                <w:noProof/>
                <w:webHidden/>
              </w:rPr>
              <w:tab/>
            </w:r>
            <w:r w:rsidR="00EE7C3F" w:rsidRPr="00717930">
              <w:rPr>
                <w:noProof/>
                <w:webHidden/>
              </w:rPr>
              <w:fldChar w:fldCharType="begin"/>
            </w:r>
            <w:r w:rsidR="00EE7C3F" w:rsidRPr="00717930">
              <w:rPr>
                <w:noProof/>
                <w:webHidden/>
              </w:rPr>
              <w:instrText xml:space="preserve"> PAGEREF _Toc408234899 \h </w:instrText>
            </w:r>
            <w:r w:rsidR="00EE7C3F" w:rsidRPr="00717930">
              <w:rPr>
                <w:noProof/>
                <w:webHidden/>
              </w:rPr>
            </w:r>
            <w:r w:rsidR="00EE7C3F" w:rsidRPr="00717930">
              <w:rPr>
                <w:noProof/>
                <w:webHidden/>
              </w:rPr>
              <w:fldChar w:fldCharType="separate"/>
            </w:r>
            <w:r w:rsidR="00A628D6">
              <w:rPr>
                <w:noProof/>
                <w:webHidden/>
              </w:rPr>
              <w:t>44</w:t>
            </w:r>
            <w:r w:rsidR="00EE7C3F" w:rsidRPr="00717930">
              <w:rPr>
                <w:noProof/>
                <w:webHidden/>
              </w:rPr>
              <w:fldChar w:fldCharType="end"/>
            </w:r>
          </w:hyperlink>
        </w:p>
        <w:p w:rsidR="00EE7C3F" w:rsidRPr="00717930" w:rsidRDefault="00F81407">
          <w:pPr>
            <w:pStyle w:val="TOC3"/>
            <w:rPr>
              <w:rFonts w:asciiTheme="minorHAnsi" w:eastAsiaTheme="minorEastAsia" w:hAnsiTheme="minorHAnsi" w:cstheme="minorBidi"/>
              <w:noProof/>
              <w:sz w:val="22"/>
              <w:szCs w:val="22"/>
              <w:lang w:eastAsia="bg-BG" w:bidi="ar-SA"/>
            </w:rPr>
          </w:pPr>
          <w:hyperlink w:anchor="_Toc408234900" w:history="1">
            <w:r w:rsidR="00EE7C3F" w:rsidRPr="00717930">
              <w:rPr>
                <w:rStyle w:val="Hyperlink"/>
                <w:noProof/>
              </w:rPr>
              <w:t>2.2.1</w:t>
            </w:r>
            <w:r w:rsidR="002F71D4">
              <w:rPr>
                <w:rStyle w:val="Hyperlink"/>
                <w:noProof/>
              </w:rPr>
              <w:tab/>
            </w:r>
            <w:r w:rsidR="00EE7C3F" w:rsidRPr="00717930">
              <w:rPr>
                <w:rStyle w:val="Hyperlink"/>
                <w:noProof/>
              </w:rPr>
              <w:t>Приоритетна ос 2</w:t>
            </w:r>
            <w:r w:rsidR="00EE7C3F" w:rsidRPr="00717930">
              <w:rPr>
                <w:noProof/>
                <w:webHidden/>
              </w:rPr>
              <w:tab/>
            </w:r>
            <w:r w:rsidR="00EE7C3F" w:rsidRPr="00717930">
              <w:rPr>
                <w:noProof/>
                <w:webHidden/>
              </w:rPr>
              <w:fldChar w:fldCharType="begin"/>
            </w:r>
            <w:r w:rsidR="00EE7C3F" w:rsidRPr="00717930">
              <w:rPr>
                <w:noProof/>
                <w:webHidden/>
              </w:rPr>
              <w:instrText xml:space="preserve"> PAGEREF _Toc408234900 \h </w:instrText>
            </w:r>
            <w:r w:rsidR="00EE7C3F" w:rsidRPr="00717930">
              <w:rPr>
                <w:noProof/>
                <w:webHidden/>
              </w:rPr>
            </w:r>
            <w:r w:rsidR="00EE7C3F" w:rsidRPr="00717930">
              <w:rPr>
                <w:noProof/>
                <w:webHidden/>
              </w:rPr>
              <w:fldChar w:fldCharType="separate"/>
            </w:r>
            <w:r w:rsidR="00A628D6">
              <w:rPr>
                <w:noProof/>
                <w:webHidden/>
              </w:rPr>
              <w:t>44</w:t>
            </w:r>
            <w:r w:rsidR="00EE7C3F" w:rsidRPr="00717930">
              <w:rPr>
                <w:noProof/>
                <w:webHidden/>
              </w:rPr>
              <w:fldChar w:fldCharType="end"/>
            </w:r>
          </w:hyperlink>
        </w:p>
        <w:p w:rsidR="00EE7C3F" w:rsidRPr="00717930" w:rsidRDefault="00F81407">
          <w:pPr>
            <w:pStyle w:val="TOC3"/>
            <w:rPr>
              <w:rFonts w:asciiTheme="minorHAnsi" w:eastAsiaTheme="minorEastAsia" w:hAnsiTheme="minorHAnsi" w:cstheme="minorBidi"/>
              <w:noProof/>
              <w:sz w:val="22"/>
              <w:szCs w:val="22"/>
              <w:lang w:eastAsia="bg-BG" w:bidi="ar-SA"/>
            </w:rPr>
          </w:pPr>
          <w:hyperlink w:anchor="_Toc408234901" w:history="1">
            <w:r w:rsidR="00EE7C3F" w:rsidRPr="00717930">
              <w:rPr>
                <w:rStyle w:val="Hyperlink"/>
                <w:noProof/>
              </w:rPr>
              <w:t>2.2.2</w:t>
            </w:r>
            <w:r w:rsidR="002F71D4">
              <w:rPr>
                <w:rStyle w:val="Hyperlink"/>
                <w:noProof/>
              </w:rPr>
              <w:tab/>
            </w:r>
            <w:r w:rsidR="00EE7C3F" w:rsidRPr="00717930">
              <w:rPr>
                <w:rStyle w:val="Hyperlink"/>
                <w:noProof/>
              </w:rPr>
              <w:t>Фонд, база за изчисление на подкрепата от ЕС и обосновка на избора на базата за изчисление</w:t>
            </w:r>
            <w:r w:rsidR="00EE7C3F" w:rsidRPr="00717930">
              <w:rPr>
                <w:noProof/>
                <w:webHidden/>
              </w:rPr>
              <w:tab/>
            </w:r>
            <w:r w:rsidR="00EE7C3F" w:rsidRPr="00717930">
              <w:rPr>
                <w:noProof/>
                <w:webHidden/>
              </w:rPr>
              <w:fldChar w:fldCharType="begin"/>
            </w:r>
            <w:r w:rsidR="00EE7C3F" w:rsidRPr="00717930">
              <w:rPr>
                <w:noProof/>
                <w:webHidden/>
              </w:rPr>
              <w:instrText xml:space="preserve"> PAGEREF _Toc408234901 \h </w:instrText>
            </w:r>
            <w:r w:rsidR="00EE7C3F" w:rsidRPr="00717930">
              <w:rPr>
                <w:noProof/>
                <w:webHidden/>
              </w:rPr>
            </w:r>
            <w:r w:rsidR="00EE7C3F" w:rsidRPr="00717930">
              <w:rPr>
                <w:noProof/>
                <w:webHidden/>
              </w:rPr>
              <w:fldChar w:fldCharType="separate"/>
            </w:r>
            <w:r w:rsidR="00A628D6">
              <w:rPr>
                <w:noProof/>
                <w:webHidden/>
              </w:rPr>
              <w:t>45</w:t>
            </w:r>
            <w:r w:rsidR="00EE7C3F" w:rsidRPr="00717930">
              <w:rPr>
                <w:noProof/>
                <w:webHidden/>
              </w:rPr>
              <w:fldChar w:fldCharType="end"/>
            </w:r>
          </w:hyperlink>
        </w:p>
        <w:p w:rsidR="00EE7C3F" w:rsidRPr="00717930" w:rsidRDefault="00F81407">
          <w:pPr>
            <w:pStyle w:val="TOC3"/>
            <w:rPr>
              <w:rFonts w:asciiTheme="minorHAnsi" w:eastAsiaTheme="minorEastAsia" w:hAnsiTheme="minorHAnsi" w:cstheme="minorBidi"/>
              <w:noProof/>
              <w:sz w:val="22"/>
              <w:szCs w:val="22"/>
              <w:lang w:eastAsia="bg-BG" w:bidi="ar-SA"/>
            </w:rPr>
          </w:pPr>
          <w:hyperlink w:anchor="_Toc408234902" w:history="1">
            <w:r w:rsidR="00EE7C3F" w:rsidRPr="00717930">
              <w:rPr>
                <w:rStyle w:val="Hyperlink"/>
                <w:noProof/>
              </w:rPr>
              <w:t xml:space="preserve">2.2.3. </w:t>
            </w:r>
            <w:r w:rsidR="002F71D4">
              <w:rPr>
                <w:rStyle w:val="Hyperlink"/>
                <w:noProof/>
              </w:rPr>
              <w:tab/>
            </w:r>
            <w:r w:rsidR="00104E5E">
              <w:rPr>
                <w:rStyle w:val="Hyperlink"/>
                <w:noProof/>
              </w:rPr>
              <w:t>Специфични</w:t>
            </w:r>
            <w:r w:rsidR="00EE7C3F" w:rsidRPr="00717930">
              <w:rPr>
                <w:rStyle w:val="Hyperlink"/>
                <w:noProof/>
              </w:rPr>
              <w:t xml:space="preserve"> цели на тематичния приоритет и очаквани резултати</w:t>
            </w:r>
            <w:r w:rsidR="00EE7C3F" w:rsidRPr="00717930">
              <w:rPr>
                <w:noProof/>
                <w:webHidden/>
              </w:rPr>
              <w:tab/>
            </w:r>
            <w:r w:rsidR="00EE7C3F" w:rsidRPr="00717930">
              <w:rPr>
                <w:noProof/>
                <w:webHidden/>
              </w:rPr>
              <w:fldChar w:fldCharType="begin"/>
            </w:r>
            <w:r w:rsidR="00EE7C3F" w:rsidRPr="00717930">
              <w:rPr>
                <w:noProof/>
                <w:webHidden/>
              </w:rPr>
              <w:instrText xml:space="preserve"> PAGEREF _Toc408234902 \h </w:instrText>
            </w:r>
            <w:r w:rsidR="00EE7C3F" w:rsidRPr="00717930">
              <w:rPr>
                <w:noProof/>
                <w:webHidden/>
              </w:rPr>
            </w:r>
            <w:r w:rsidR="00EE7C3F" w:rsidRPr="00717930">
              <w:rPr>
                <w:noProof/>
                <w:webHidden/>
              </w:rPr>
              <w:fldChar w:fldCharType="separate"/>
            </w:r>
            <w:r w:rsidR="00A628D6">
              <w:rPr>
                <w:noProof/>
                <w:webHidden/>
              </w:rPr>
              <w:t>46</w:t>
            </w:r>
            <w:r w:rsidR="00EE7C3F" w:rsidRPr="00717930">
              <w:rPr>
                <w:noProof/>
                <w:webHidden/>
              </w:rPr>
              <w:fldChar w:fldCharType="end"/>
            </w:r>
          </w:hyperlink>
        </w:p>
        <w:p w:rsidR="00EE7C3F" w:rsidRPr="00717930" w:rsidRDefault="00F81407">
          <w:pPr>
            <w:pStyle w:val="TOC3"/>
            <w:rPr>
              <w:rFonts w:asciiTheme="minorHAnsi" w:eastAsiaTheme="minorEastAsia" w:hAnsiTheme="minorHAnsi" w:cstheme="minorBidi"/>
              <w:noProof/>
              <w:sz w:val="22"/>
              <w:szCs w:val="22"/>
              <w:lang w:eastAsia="bg-BG" w:bidi="ar-SA"/>
            </w:rPr>
          </w:pPr>
          <w:hyperlink w:anchor="_Toc408234903" w:history="1">
            <w:r w:rsidR="00EE7C3F" w:rsidRPr="00717930">
              <w:rPr>
                <w:rStyle w:val="Hyperlink"/>
                <w:noProof/>
              </w:rPr>
              <w:t xml:space="preserve">2.2.4. </w:t>
            </w:r>
            <w:r w:rsidR="002F71D4">
              <w:rPr>
                <w:rStyle w:val="Hyperlink"/>
                <w:noProof/>
              </w:rPr>
              <w:tab/>
            </w:r>
            <w:r w:rsidR="00EE7C3F" w:rsidRPr="00717930">
              <w:rPr>
                <w:rStyle w:val="Hyperlink"/>
                <w:noProof/>
              </w:rPr>
              <w:t>Елементи на други тематични приоритети, добавени към приоритетната ос</w:t>
            </w:r>
            <w:r w:rsidR="00EE7C3F" w:rsidRPr="00717930">
              <w:rPr>
                <w:noProof/>
                <w:webHidden/>
              </w:rPr>
              <w:tab/>
            </w:r>
            <w:r w:rsidR="00EE7C3F" w:rsidRPr="00717930">
              <w:rPr>
                <w:noProof/>
                <w:webHidden/>
              </w:rPr>
              <w:fldChar w:fldCharType="begin"/>
            </w:r>
            <w:r w:rsidR="00EE7C3F" w:rsidRPr="00717930">
              <w:rPr>
                <w:noProof/>
                <w:webHidden/>
              </w:rPr>
              <w:instrText xml:space="preserve"> PAGEREF _Toc408234903 \h </w:instrText>
            </w:r>
            <w:r w:rsidR="00EE7C3F" w:rsidRPr="00717930">
              <w:rPr>
                <w:noProof/>
                <w:webHidden/>
              </w:rPr>
            </w:r>
            <w:r w:rsidR="00EE7C3F" w:rsidRPr="00717930">
              <w:rPr>
                <w:noProof/>
                <w:webHidden/>
              </w:rPr>
              <w:fldChar w:fldCharType="separate"/>
            </w:r>
            <w:r w:rsidR="00A628D6">
              <w:rPr>
                <w:noProof/>
                <w:webHidden/>
              </w:rPr>
              <w:t>50</w:t>
            </w:r>
            <w:r w:rsidR="00EE7C3F" w:rsidRPr="00717930">
              <w:rPr>
                <w:noProof/>
                <w:webHidden/>
              </w:rPr>
              <w:fldChar w:fldCharType="end"/>
            </w:r>
          </w:hyperlink>
        </w:p>
        <w:p w:rsidR="00EE7C3F" w:rsidRPr="00717930" w:rsidRDefault="00F81407">
          <w:pPr>
            <w:pStyle w:val="TOC3"/>
            <w:rPr>
              <w:rFonts w:asciiTheme="minorHAnsi" w:eastAsiaTheme="minorEastAsia" w:hAnsiTheme="minorHAnsi" w:cstheme="minorBidi"/>
              <w:noProof/>
              <w:sz w:val="22"/>
              <w:szCs w:val="22"/>
              <w:lang w:eastAsia="bg-BG" w:bidi="ar-SA"/>
            </w:rPr>
          </w:pPr>
          <w:hyperlink w:anchor="_Toc408234904" w:history="1">
            <w:r w:rsidR="00EE7C3F" w:rsidRPr="00717930">
              <w:rPr>
                <w:rStyle w:val="Hyperlink"/>
                <w:noProof/>
              </w:rPr>
              <w:t xml:space="preserve">2.2.5. </w:t>
            </w:r>
            <w:r w:rsidR="002F71D4">
              <w:rPr>
                <w:rStyle w:val="Hyperlink"/>
                <w:noProof/>
              </w:rPr>
              <w:tab/>
            </w:r>
            <w:r w:rsidR="00EE7C3F" w:rsidRPr="00717930">
              <w:rPr>
                <w:rStyle w:val="Hyperlink"/>
                <w:noProof/>
              </w:rPr>
              <w:t>Дейности, които ще бъдат подкрепяни по тематичния приоритет</w:t>
            </w:r>
            <w:r w:rsidR="00EE7C3F" w:rsidRPr="00717930">
              <w:rPr>
                <w:noProof/>
                <w:webHidden/>
              </w:rPr>
              <w:tab/>
            </w:r>
            <w:r w:rsidR="00EE7C3F" w:rsidRPr="00717930">
              <w:rPr>
                <w:noProof/>
                <w:webHidden/>
              </w:rPr>
              <w:fldChar w:fldCharType="begin"/>
            </w:r>
            <w:r w:rsidR="00EE7C3F" w:rsidRPr="00717930">
              <w:rPr>
                <w:noProof/>
                <w:webHidden/>
              </w:rPr>
              <w:instrText xml:space="preserve"> PAGEREF _Toc408234904 \h </w:instrText>
            </w:r>
            <w:r w:rsidR="00EE7C3F" w:rsidRPr="00717930">
              <w:rPr>
                <w:noProof/>
                <w:webHidden/>
              </w:rPr>
            </w:r>
            <w:r w:rsidR="00EE7C3F" w:rsidRPr="00717930">
              <w:rPr>
                <w:noProof/>
                <w:webHidden/>
              </w:rPr>
              <w:fldChar w:fldCharType="separate"/>
            </w:r>
            <w:r w:rsidR="00A628D6">
              <w:rPr>
                <w:noProof/>
                <w:webHidden/>
              </w:rPr>
              <w:t>50</w:t>
            </w:r>
            <w:r w:rsidR="00EE7C3F" w:rsidRPr="00717930">
              <w:rPr>
                <w:noProof/>
                <w:webHidden/>
              </w:rPr>
              <w:fldChar w:fldCharType="end"/>
            </w:r>
          </w:hyperlink>
        </w:p>
        <w:p w:rsidR="00EE7C3F" w:rsidRPr="00717930" w:rsidRDefault="00F81407">
          <w:pPr>
            <w:pStyle w:val="TOC3"/>
            <w:rPr>
              <w:rFonts w:asciiTheme="minorHAnsi" w:eastAsiaTheme="minorEastAsia" w:hAnsiTheme="minorHAnsi" w:cstheme="minorBidi"/>
              <w:noProof/>
              <w:sz w:val="22"/>
              <w:szCs w:val="22"/>
              <w:lang w:eastAsia="bg-BG" w:bidi="ar-SA"/>
            </w:rPr>
          </w:pPr>
          <w:hyperlink w:anchor="_Toc408234905" w:history="1">
            <w:r w:rsidR="00EE7C3F" w:rsidRPr="00717930">
              <w:rPr>
                <w:rStyle w:val="Hyperlink"/>
                <w:noProof/>
              </w:rPr>
              <w:t xml:space="preserve">2.2.6 </w:t>
            </w:r>
            <w:r w:rsidR="002F71D4">
              <w:rPr>
                <w:rStyle w:val="Hyperlink"/>
                <w:noProof/>
              </w:rPr>
              <w:tab/>
            </w:r>
            <w:r w:rsidR="00EE7C3F" w:rsidRPr="00717930">
              <w:rPr>
                <w:rStyle w:val="Hyperlink"/>
                <w:noProof/>
              </w:rPr>
              <w:t>Общи показатели и показатели за конкретната програма</w:t>
            </w:r>
            <w:r w:rsidR="00EE7C3F" w:rsidRPr="00717930">
              <w:rPr>
                <w:noProof/>
                <w:webHidden/>
              </w:rPr>
              <w:tab/>
            </w:r>
            <w:r w:rsidR="00EE7C3F" w:rsidRPr="00717930">
              <w:rPr>
                <w:noProof/>
                <w:webHidden/>
              </w:rPr>
              <w:fldChar w:fldCharType="begin"/>
            </w:r>
            <w:r w:rsidR="00EE7C3F" w:rsidRPr="00717930">
              <w:rPr>
                <w:noProof/>
                <w:webHidden/>
              </w:rPr>
              <w:instrText xml:space="preserve"> PAGEREF _Toc408234905 \h </w:instrText>
            </w:r>
            <w:r w:rsidR="00EE7C3F" w:rsidRPr="00717930">
              <w:rPr>
                <w:noProof/>
                <w:webHidden/>
              </w:rPr>
            </w:r>
            <w:r w:rsidR="00EE7C3F" w:rsidRPr="00717930">
              <w:rPr>
                <w:noProof/>
                <w:webHidden/>
              </w:rPr>
              <w:fldChar w:fldCharType="separate"/>
            </w:r>
            <w:r w:rsidR="00A628D6">
              <w:rPr>
                <w:noProof/>
                <w:webHidden/>
              </w:rPr>
              <w:t>56</w:t>
            </w:r>
            <w:r w:rsidR="00EE7C3F" w:rsidRPr="00717930">
              <w:rPr>
                <w:noProof/>
                <w:webHidden/>
              </w:rPr>
              <w:fldChar w:fldCharType="end"/>
            </w:r>
          </w:hyperlink>
        </w:p>
        <w:p w:rsidR="00EE7C3F" w:rsidRPr="00717930" w:rsidRDefault="00F81407">
          <w:pPr>
            <w:pStyle w:val="TOC3"/>
            <w:rPr>
              <w:rFonts w:asciiTheme="minorHAnsi" w:eastAsiaTheme="minorEastAsia" w:hAnsiTheme="minorHAnsi" w:cstheme="minorBidi"/>
              <w:noProof/>
              <w:sz w:val="22"/>
              <w:szCs w:val="22"/>
              <w:lang w:eastAsia="bg-BG" w:bidi="ar-SA"/>
            </w:rPr>
          </w:pPr>
          <w:hyperlink w:anchor="_Toc408234906" w:history="1">
            <w:r w:rsidR="00EE7C3F" w:rsidRPr="00717930">
              <w:rPr>
                <w:rStyle w:val="Hyperlink"/>
                <w:noProof/>
              </w:rPr>
              <w:t xml:space="preserve">2.2.7. </w:t>
            </w:r>
            <w:r w:rsidR="002F71D4">
              <w:rPr>
                <w:rStyle w:val="Hyperlink"/>
                <w:noProof/>
              </w:rPr>
              <w:tab/>
            </w:r>
            <w:r w:rsidR="00EE7C3F" w:rsidRPr="00717930">
              <w:rPr>
                <w:rStyle w:val="Hyperlink"/>
                <w:noProof/>
              </w:rPr>
              <w:t>Категории на интервенциите</w:t>
            </w:r>
            <w:r w:rsidR="00EE7C3F" w:rsidRPr="00717930">
              <w:rPr>
                <w:noProof/>
                <w:webHidden/>
              </w:rPr>
              <w:tab/>
            </w:r>
            <w:r w:rsidR="00EE7C3F" w:rsidRPr="00717930">
              <w:rPr>
                <w:noProof/>
                <w:webHidden/>
              </w:rPr>
              <w:fldChar w:fldCharType="begin"/>
            </w:r>
            <w:r w:rsidR="00EE7C3F" w:rsidRPr="00717930">
              <w:rPr>
                <w:noProof/>
                <w:webHidden/>
              </w:rPr>
              <w:instrText xml:space="preserve"> PAGEREF _Toc408234906 \h </w:instrText>
            </w:r>
            <w:r w:rsidR="00EE7C3F" w:rsidRPr="00717930">
              <w:rPr>
                <w:noProof/>
                <w:webHidden/>
              </w:rPr>
            </w:r>
            <w:r w:rsidR="00EE7C3F" w:rsidRPr="00717930">
              <w:rPr>
                <w:noProof/>
                <w:webHidden/>
              </w:rPr>
              <w:fldChar w:fldCharType="separate"/>
            </w:r>
            <w:r w:rsidR="00A628D6">
              <w:rPr>
                <w:noProof/>
                <w:webHidden/>
              </w:rPr>
              <w:t>58</w:t>
            </w:r>
            <w:r w:rsidR="00EE7C3F" w:rsidRPr="00717930">
              <w:rPr>
                <w:noProof/>
                <w:webHidden/>
              </w:rPr>
              <w:fldChar w:fldCharType="end"/>
            </w:r>
          </w:hyperlink>
        </w:p>
        <w:p w:rsidR="00EE7C3F" w:rsidRPr="00717930" w:rsidRDefault="00F81407">
          <w:pPr>
            <w:pStyle w:val="TOC3"/>
            <w:rPr>
              <w:rFonts w:asciiTheme="minorHAnsi" w:eastAsiaTheme="minorEastAsia" w:hAnsiTheme="minorHAnsi" w:cstheme="minorBidi"/>
              <w:noProof/>
              <w:sz w:val="22"/>
              <w:szCs w:val="22"/>
              <w:lang w:eastAsia="bg-BG" w:bidi="ar-SA"/>
            </w:rPr>
          </w:pPr>
          <w:hyperlink w:anchor="_Toc408234907" w:history="1">
            <w:r w:rsidR="00EE7C3F" w:rsidRPr="00717930">
              <w:rPr>
                <w:rStyle w:val="Hyperlink"/>
                <w:noProof/>
              </w:rPr>
              <w:t xml:space="preserve">2.2.8. </w:t>
            </w:r>
            <w:r w:rsidR="002F71D4">
              <w:rPr>
                <w:rStyle w:val="Hyperlink"/>
                <w:noProof/>
              </w:rPr>
              <w:tab/>
            </w:r>
            <w:r w:rsidR="00EE7C3F" w:rsidRPr="00717930">
              <w:rPr>
                <w:rStyle w:val="Hyperlink"/>
                <w:noProof/>
              </w:rPr>
              <w:t>Кратко изложение на планираното използване на техническа помощ, включително, когато е необходимо, мерки за укрепване на административния капацитет на органите, участващи в управлението и контрола на програмите и бенефициентите, и, когато е необходимо, действия за повишаване на административния капацитет на съответните партньори за участие в изпълнението на програми</w:t>
            </w:r>
            <w:r w:rsidR="00EE7C3F" w:rsidRPr="00717930">
              <w:rPr>
                <w:noProof/>
                <w:webHidden/>
              </w:rPr>
              <w:tab/>
            </w:r>
            <w:r w:rsidR="00EE7C3F" w:rsidRPr="00717930">
              <w:rPr>
                <w:noProof/>
                <w:webHidden/>
              </w:rPr>
              <w:fldChar w:fldCharType="begin"/>
            </w:r>
            <w:r w:rsidR="00EE7C3F" w:rsidRPr="00717930">
              <w:rPr>
                <w:noProof/>
                <w:webHidden/>
              </w:rPr>
              <w:instrText xml:space="preserve"> PAGEREF _Toc408234907 \h </w:instrText>
            </w:r>
            <w:r w:rsidR="00EE7C3F" w:rsidRPr="00717930">
              <w:rPr>
                <w:noProof/>
                <w:webHidden/>
              </w:rPr>
            </w:r>
            <w:r w:rsidR="00EE7C3F" w:rsidRPr="00717930">
              <w:rPr>
                <w:noProof/>
                <w:webHidden/>
              </w:rPr>
              <w:fldChar w:fldCharType="separate"/>
            </w:r>
            <w:r w:rsidR="00A628D6">
              <w:rPr>
                <w:noProof/>
                <w:webHidden/>
              </w:rPr>
              <w:t>59</w:t>
            </w:r>
            <w:r w:rsidR="00EE7C3F" w:rsidRPr="00717930">
              <w:rPr>
                <w:noProof/>
                <w:webHidden/>
              </w:rPr>
              <w:fldChar w:fldCharType="end"/>
            </w:r>
          </w:hyperlink>
        </w:p>
        <w:p w:rsidR="00EE7C3F" w:rsidRPr="00717930" w:rsidRDefault="00F81407">
          <w:pPr>
            <w:pStyle w:val="TOC2"/>
            <w:tabs>
              <w:tab w:val="left" w:pos="1263"/>
            </w:tabs>
            <w:rPr>
              <w:rFonts w:asciiTheme="minorHAnsi" w:eastAsiaTheme="minorEastAsia" w:hAnsiTheme="minorHAnsi" w:cstheme="minorBidi"/>
              <w:noProof/>
              <w:sz w:val="22"/>
              <w:szCs w:val="22"/>
              <w:lang w:eastAsia="bg-BG" w:bidi="ar-SA"/>
            </w:rPr>
          </w:pPr>
          <w:hyperlink w:anchor="_Toc408234908" w:history="1">
            <w:r w:rsidR="00EE7C3F" w:rsidRPr="00717930">
              <w:rPr>
                <w:rStyle w:val="Hyperlink"/>
                <w:noProof/>
              </w:rPr>
              <w:t>2.3</w:t>
            </w:r>
            <w:r w:rsidR="00EE7C3F" w:rsidRPr="00717930">
              <w:rPr>
                <w:rFonts w:asciiTheme="minorHAnsi" w:eastAsiaTheme="minorEastAsia" w:hAnsiTheme="minorHAnsi" w:cstheme="minorBidi"/>
                <w:noProof/>
                <w:sz w:val="22"/>
                <w:szCs w:val="22"/>
                <w:lang w:eastAsia="bg-BG" w:bidi="ar-SA"/>
              </w:rPr>
              <w:tab/>
            </w:r>
            <w:r w:rsidR="00EE7C3F" w:rsidRPr="00717930">
              <w:rPr>
                <w:rStyle w:val="Hyperlink"/>
                <w:noProof/>
              </w:rPr>
              <w:t>Описание на приоритетната ос за техническа помощ</w:t>
            </w:r>
            <w:r w:rsidR="00EE7C3F" w:rsidRPr="00717930">
              <w:rPr>
                <w:noProof/>
                <w:webHidden/>
              </w:rPr>
              <w:tab/>
            </w:r>
            <w:r w:rsidR="00EE7C3F" w:rsidRPr="00717930">
              <w:rPr>
                <w:noProof/>
                <w:webHidden/>
              </w:rPr>
              <w:fldChar w:fldCharType="begin"/>
            </w:r>
            <w:r w:rsidR="00EE7C3F" w:rsidRPr="00717930">
              <w:rPr>
                <w:noProof/>
                <w:webHidden/>
              </w:rPr>
              <w:instrText xml:space="preserve"> PAGEREF _Toc408234908 \h </w:instrText>
            </w:r>
            <w:r w:rsidR="00EE7C3F" w:rsidRPr="00717930">
              <w:rPr>
                <w:noProof/>
                <w:webHidden/>
              </w:rPr>
            </w:r>
            <w:r w:rsidR="00EE7C3F" w:rsidRPr="00717930">
              <w:rPr>
                <w:noProof/>
                <w:webHidden/>
              </w:rPr>
              <w:fldChar w:fldCharType="separate"/>
            </w:r>
            <w:r w:rsidR="00A628D6">
              <w:rPr>
                <w:noProof/>
                <w:webHidden/>
              </w:rPr>
              <w:t>60</w:t>
            </w:r>
            <w:r w:rsidR="00EE7C3F" w:rsidRPr="00717930">
              <w:rPr>
                <w:noProof/>
                <w:webHidden/>
              </w:rPr>
              <w:fldChar w:fldCharType="end"/>
            </w:r>
          </w:hyperlink>
        </w:p>
        <w:p w:rsidR="00EE7C3F" w:rsidRPr="00717930" w:rsidRDefault="00F81407">
          <w:pPr>
            <w:pStyle w:val="TOC3"/>
            <w:rPr>
              <w:rFonts w:asciiTheme="minorHAnsi" w:eastAsiaTheme="minorEastAsia" w:hAnsiTheme="minorHAnsi" w:cstheme="minorBidi"/>
              <w:noProof/>
              <w:sz w:val="22"/>
              <w:szCs w:val="22"/>
              <w:lang w:eastAsia="bg-BG" w:bidi="ar-SA"/>
            </w:rPr>
          </w:pPr>
          <w:hyperlink w:anchor="_Toc408234909" w:history="1">
            <w:r w:rsidR="00EE7C3F" w:rsidRPr="00717930">
              <w:rPr>
                <w:rStyle w:val="Hyperlink"/>
                <w:noProof/>
              </w:rPr>
              <w:t xml:space="preserve">2.3.1 </w:t>
            </w:r>
            <w:r w:rsidR="002F71D4">
              <w:rPr>
                <w:rStyle w:val="Hyperlink"/>
                <w:noProof/>
              </w:rPr>
              <w:tab/>
            </w:r>
            <w:r w:rsidR="00EE7C3F" w:rsidRPr="00717930">
              <w:rPr>
                <w:rStyle w:val="Hyperlink"/>
                <w:noProof/>
              </w:rPr>
              <w:t>Приоритетна ос</w:t>
            </w:r>
            <w:r w:rsidR="00EE7C3F" w:rsidRPr="00717930">
              <w:rPr>
                <w:noProof/>
                <w:webHidden/>
              </w:rPr>
              <w:tab/>
            </w:r>
            <w:r w:rsidR="00EE7C3F" w:rsidRPr="00717930">
              <w:rPr>
                <w:noProof/>
                <w:webHidden/>
              </w:rPr>
              <w:fldChar w:fldCharType="begin"/>
            </w:r>
            <w:r w:rsidR="00EE7C3F" w:rsidRPr="00717930">
              <w:rPr>
                <w:noProof/>
                <w:webHidden/>
              </w:rPr>
              <w:instrText xml:space="preserve"> PAGEREF _Toc408234909 \h </w:instrText>
            </w:r>
            <w:r w:rsidR="00EE7C3F" w:rsidRPr="00717930">
              <w:rPr>
                <w:noProof/>
                <w:webHidden/>
              </w:rPr>
            </w:r>
            <w:r w:rsidR="00EE7C3F" w:rsidRPr="00717930">
              <w:rPr>
                <w:noProof/>
                <w:webHidden/>
              </w:rPr>
              <w:fldChar w:fldCharType="separate"/>
            </w:r>
            <w:r w:rsidR="00A628D6">
              <w:rPr>
                <w:noProof/>
                <w:webHidden/>
              </w:rPr>
              <w:t>60</w:t>
            </w:r>
            <w:r w:rsidR="00EE7C3F" w:rsidRPr="00717930">
              <w:rPr>
                <w:noProof/>
                <w:webHidden/>
              </w:rPr>
              <w:fldChar w:fldCharType="end"/>
            </w:r>
          </w:hyperlink>
        </w:p>
        <w:p w:rsidR="00EE7C3F" w:rsidRPr="00717930" w:rsidRDefault="00F81407">
          <w:pPr>
            <w:pStyle w:val="TOC3"/>
            <w:rPr>
              <w:rFonts w:asciiTheme="minorHAnsi" w:eastAsiaTheme="minorEastAsia" w:hAnsiTheme="minorHAnsi" w:cstheme="minorBidi"/>
              <w:noProof/>
              <w:sz w:val="22"/>
              <w:szCs w:val="22"/>
              <w:lang w:eastAsia="bg-BG" w:bidi="ar-SA"/>
            </w:rPr>
          </w:pPr>
          <w:hyperlink w:anchor="_Toc408234910" w:history="1">
            <w:r w:rsidR="00EE7C3F" w:rsidRPr="00717930">
              <w:rPr>
                <w:rStyle w:val="Hyperlink"/>
                <w:noProof/>
              </w:rPr>
              <w:t xml:space="preserve">2.3.2 </w:t>
            </w:r>
            <w:r w:rsidR="002F71D4">
              <w:rPr>
                <w:rStyle w:val="Hyperlink"/>
                <w:noProof/>
              </w:rPr>
              <w:tab/>
            </w:r>
            <w:r w:rsidR="00EE7C3F" w:rsidRPr="00717930">
              <w:rPr>
                <w:rStyle w:val="Hyperlink"/>
                <w:noProof/>
              </w:rPr>
              <w:t>Фонд и база за изчисление на подкрепата от ЕС</w:t>
            </w:r>
            <w:r w:rsidR="00EE7C3F" w:rsidRPr="00717930">
              <w:rPr>
                <w:noProof/>
                <w:webHidden/>
              </w:rPr>
              <w:tab/>
            </w:r>
            <w:r w:rsidR="00EE7C3F" w:rsidRPr="00717930">
              <w:rPr>
                <w:noProof/>
                <w:webHidden/>
              </w:rPr>
              <w:fldChar w:fldCharType="begin"/>
            </w:r>
            <w:r w:rsidR="00EE7C3F" w:rsidRPr="00717930">
              <w:rPr>
                <w:noProof/>
                <w:webHidden/>
              </w:rPr>
              <w:instrText xml:space="preserve"> PAGEREF _Toc408234910 \h </w:instrText>
            </w:r>
            <w:r w:rsidR="00EE7C3F" w:rsidRPr="00717930">
              <w:rPr>
                <w:noProof/>
                <w:webHidden/>
              </w:rPr>
            </w:r>
            <w:r w:rsidR="00EE7C3F" w:rsidRPr="00717930">
              <w:rPr>
                <w:noProof/>
                <w:webHidden/>
              </w:rPr>
              <w:fldChar w:fldCharType="separate"/>
            </w:r>
            <w:r w:rsidR="00A628D6">
              <w:rPr>
                <w:noProof/>
                <w:webHidden/>
              </w:rPr>
              <w:t>60</w:t>
            </w:r>
            <w:r w:rsidR="00EE7C3F" w:rsidRPr="00717930">
              <w:rPr>
                <w:noProof/>
                <w:webHidden/>
              </w:rPr>
              <w:fldChar w:fldCharType="end"/>
            </w:r>
          </w:hyperlink>
        </w:p>
        <w:p w:rsidR="00EE7C3F" w:rsidRPr="00717930" w:rsidRDefault="00F81407">
          <w:pPr>
            <w:pStyle w:val="TOC3"/>
            <w:rPr>
              <w:rFonts w:asciiTheme="minorHAnsi" w:eastAsiaTheme="minorEastAsia" w:hAnsiTheme="minorHAnsi" w:cstheme="minorBidi"/>
              <w:noProof/>
              <w:sz w:val="22"/>
              <w:szCs w:val="22"/>
              <w:lang w:eastAsia="bg-BG" w:bidi="ar-SA"/>
            </w:rPr>
          </w:pPr>
          <w:hyperlink w:anchor="_Toc408234911" w:history="1">
            <w:r w:rsidR="00EE7C3F" w:rsidRPr="00717930">
              <w:rPr>
                <w:rStyle w:val="Hyperlink"/>
                <w:noProof/>
              </w:rPr>
              <w:t xml:space="preserve">2.3.3. </w:t>
            </w:r>
            <w:r w:rsidR="002F71D4">
              <w:rPr>
                <w:rStyle w:val="Hyperlink"/>
                <w:noProof/>
              </w:rPr>
              <w:tab/>
            </w:r>
            <w:r w:rsidR="00FE3BC4">
              <w:rPr>
                <w:rStyle w:val="Hyperlink"/>
                <w:noProof/>
              </w:rPr>
              <w:t>Специфични</w:t>
            </w:r>
            <w:r w:rsidR="00EE7C3F" w:rsidRPr="00717930">
              <w:rPr>
                <w:rStyle w:val="Hyperlink"/>
                <w:noProof/>
              </w:rPr>
              <w:t xml:space="preserve"> цели на приоритетната ос и очаквани резултати</w:t>
            </w:r>
            <w:r w:rsidR="00EE7C3F" w:rsidRPr="00717930">
              <w:rPr>
                <w:noProof/>
                <w:webHidden/>
              </w:rPr>
              <w:tab/>
            </w:r>
            <w:r w:rsidR="00EE7C3F" w:rsidRPr="00717930">
              <w:rPr>
                <w:noProof/>
                <w:webHidden/>
              </w:rPr>
              <w:fldChar w:fldCharType="begin"/>
            </w:r>
            <w:r w:rsidR="00EE7C3F" w:rsidRPr="00717930">
              <w:rPr>
                <w:noProof/>
                <w:webHidden/>
              </w:rPr>
              <w:instrText xml:space="preserve"> PAGEREF _Toc408234911 \h </w:instrText>
            </w:r>
            <w:r w:rsidR="00EE7C3F" w:rsidRPr="00717930">
              <w:rPr>
                <w:noProof/>
                <w:webHidden/>
              </w:rPr>
            </w:r>
            <w:r w:rsidR="00EE7C3F" w:rsidRPr="00717930">
              <w:rPr>
                <w:noProof/>
                <w:webHidden/>
              </w:rPr>
              <w:fldChar w:fldCharType="separate"/>
            </w:r>
            <w:r w:rsidR="00A628D6">
              <w:rPr>
                <w:noProof/>
                <w:webHidden/>
              </w:rPr>
              <w:t>60</w:t>
            </w:r>
            <w:r w:rsidR="00EE7C3F" w:rsidRPr="00717930">
              <w:rPr>
                <w:noProof/>
                <w:webHidden/>
              </w:rPr>
              <w:fldChar w:fldCharType="end"/>
            </w:r>
          </w:hyperlink>
        </w:p>
        <w:p w:rsidR="00EE7C3F" w:rsidRPr="00717930" w:rsidRDefault="00F81407">
          <w:pPr>
            <w:pStyle w:val="TOC3"/>
            <w:rPr>
              <w:rFonts w:asciiTheme="minorHAnsi" w:eastAsiaTheme="minorEastAsia" w:hAnsiTheme="minorHAnsi" w:cstheme="minorBidi"/>
              <w:noProof/>
              <w:sz w:val="22"/>
              <w:szCs w:val="22"/>
              <w:lang w:eastAsia="bg-BG" w:bidi="ar-SA"/>
            </w:rPr>
          </w:pPr>
          <w:hyperlink w:anchor="_Toc408234912" w:history="1">
            <w:r w:rsidR="00EE7C3F" w:rsidRPr="00717930">
              <w:rPr>
                <w:rStyle w:val="Hyperlink"/>
                <w:noProof/>
              </w:rPr>
              <w:t xml:space="preserve">2.3.4. </w:t>
            </w:r>
            <w:r w:rsidR="002F71D4">
              <w:rPr>
                <w:rStyle w:val="Hyperlink"/>
                <w:noProof/>
              </w:rPr>
              <w:tab/>
            </w:r>
            <w:r w:rsidR="00EE7C3F" w:rsidRPr="00717930">
              <w:rPr>
                <w:rStyle w:val="Hyperlink"/>
                <w:noProof/>
              </w:rPr>
              <w:t>Дейности, които ще бъдат подпомогнати, и очакваният им принос за изпълнение на програмата</w:t>
            </w:r>
            <w:r w:rsidR="00EE7C3F" w:rsidRPr="00717930">
              <w:rPr>
                <w:noProof/>
                <w:webHidden/>
              </w:rPr>
              <w:tab/>
            </w:r>
            <w:r w:rsidR="00EE7C3F" w:rsidRPr="00717930">
              <w:rPr>
                <w:noProof/>
                <w:webHidden/>
              </w:rPr>
              <w:fldChar w:fldCharType="begin"/>
            </w:r>
            <w:r w:rsidR="00EE7C3F" w:rsidRPr="00717930">
              <w:rPr>
                <w:noProof/>
                <w:webHidden/>
              </w:rPr>
              <w:instrText xml:space="preserve"> PAGEREF _Toc408234912 \h </w:instrText>
            </w:r>
            <w:r w:rsidR="00EE7C3F" w:rsidRPr="00717930">
              <w:rPr>
                <w:noProof/>
                <w:webHidden/>
              </w:rPr>
            </w:r>
            <w:r w:rsidR="00EE7C3F" w:rsidRPr="00717930">
              <w:rPr>
                <w:noProof/>
                <w:webHidden/>
              </w:rPr>
              <w:fldChar w:fldCharType="separate"/>
            </w:r>
            <w:r w:rsidR="00A628D6">
              <w:rPr>
                <w:noProof/>
                <w:webHidden/>
              </w:rPr>
              <w:t>61</w:t>
            </w:r>
            <w:r w:rsidR="00EE7C3F" w:rsidRPr="00717930">
              <w:rPr>
                <w:noProof/>
                <w:webHidden/>
              </w:rPr>
              <w:fldChar w:fldCharType="end"/>
            </w:r>
          </w:hyperlink>
        </w:p>
        <w:p w:rsidR="00EE7C3F" w:rsidRPr="00717930" w:rsidRDefault="00F81407">
          <w:pPr>
            <w:pStyle w:val="TOC3"/>
            <w:rPr>
              <w:rFonts w:asciiTheme="minorHAnsi" w:eastAsiaTheme="minorEastAsia" w:hAnsiTheme="minorHAnsi" w:cstheme="minorBidi"/>
              <w:noProof/>
              <w:sz w:val="22"/>
              <w:szCs w:val="22"/>
              <w:lang w:eastAsia="bg-BG" w:bidi="ar-SA"/>
            </w:rPr>
          </w:pPr>
          <w:hyperlink w:anchor="_Toc408234913" w:history="1">
            <w:r w:rsidR="00EE7C3F" w:rsidRPr="00717930">
              <w:rPr>
                <w:rStyle w:val="Hyperlink"/>
                <w:noProof/>
              </w:rPr>
              <w:t xml:space="preserve">2.3.5. </w:t>
            </w:r>
            <w:r w:rsidR="002F71D4">
              <w:rPr>
                <w:rStyle w:val="Hyperlink"/>
                <w:noProof/>
              </w:rPr>
              <w:tab/>
            </w:r>
            <w:r w:rsidR="00EE7C3F" w:rsidRPr="00717930">
              <w:rPr>
                <w:rStyle w:val="Hyperlink"/>
                <w:noProof/>
              </w:rPr>
              <w:t>Показатели за конкретната програма</w:t>
            </w:r>
            <w:r w:rsidR="00EE7C3F" w:rsidRPr="00717930">
              <w:rPr>
                <w:noProof/>
                <w:webHidden/>
              </w:rPr>
              <w:tab/>
            </w:r>
            <w:r w:rsidR="00EE7C3F" w:rsidRPr="00717930">
              <w:rPr>
                <w:noProof/>
                <w:webHidden/>
              </w:rPr>
              <w:fldChar w:fldCharType="begin"/>
            </w:r>
            <w:r w:rsidR="00EE7C3F" w:rsidRPr="00717930">
              <w:rPr>
                <w:noProof/>
                <w:webHidden/>
              </w:rPr>
              <w:instrText xml:space="preserve"> PAGEREF _Toc408234913 \h </w:instrText>
            </w:r>
            <w:r w:rsidR="00EE7C3F" w:rsidRPr="00717930">
              <w:rPr>
                <w:noProof/>
                <w:webHidden/>
              </w:rPr>
            </w:r>
            <w:r w:rsidR="00EE7C3F" w:rsidRPr="00717930">
              <w:rPr>
                <w:noProof/>
                <w:webHidden/>
              </w:rPr>
              <w:fldChar w:fldCharType="separate"/>
            </w:r>
            <w:r w:rsidR="00A628D6">
              <w:rPr>
                <w:noProof/>
                <w:webHidden/>
              </w:rPr>
              <w:t>63</w:t>
            </w:r>
            <w:r w:rsidR="00EE7C3F" w:rsidRPr="00717930">
              <w:rPr>
                <w:noProof/>
                <w:webHidden/>
              </w:rPr>
              <w:fldChar w:fldCharType="end"/>
            </w:r>
          </w:hyperlink>
        </w:p>
        <w:p w:rsidR="00EE7C3F" w:rsidRPr="00717930" w:rsidRDefault="00F81407">
          <w:pPr>
            <w:pStyle w:val="TOC3"/>
            <w:rPr>
              <w:rFonts w:asciiTheme="minorHAnsi" w:eastAsiaTheme="minorEastAsia" w:hAnsiTheme="minorHAnsi" w:cstheme="minorBidi"/>
              <w:noProof/>
              <w:sz w:val="22"/>
              <w:szCs w:val="22"/>
              <w:lang w:eastAsia="bg-BG" w:bidi="ar-SA"/>
            </w:rPr>
          </w:pPr>
          <w:hyperlink w:anchor="_Toc408234914" w:history="1">
            <w:r w:rsidR="00EE7C3F" w:rsidRPr="00717930">
              <w:rPr>
                <w:rStyle w:val="Hyperlink"/>
                <w:noProof/>
              </w:rPr>
              <w:t xml:space="preserve">2.3.6. </w:t>
            </w:r>
            <w:r w:rsidR="002F71D4">
              <w:rPr>
                <w:rStyle w:val="Hyperlink"/>
                <w:noProof/>
              </w:rPr>
              <w:tab/>
            </w:r>
            <w:r w:rsidR="00EE7C3F" w:rsidRPr="00717930">
              <w:rPr>
                <w:rStyle w:val="Hyperlink"/>
                <w:noProof/>
              </w:rPr>
              <w:t>Категории на интервенциите</w:t>
            </w:r>
            <w:r w:rsidR="00EE7C3F" w:rsidRPr="00717930">
              <w:rPr>
                <w:noProof/>
                <w:webHidden/>
              </w:rPr>
              <w:tab/>
            </w:r>
            <w:r w:rsidR="00EE7C3F" w:rsidRPr="00717930">
              <w:rPr>
                <w:noProof/>
                <w:webHidden/>
              </w:rPr>
              <w:fldChar w:fldCharType="begin"/>
            </w:r>
            <w:r w:rsidR="00EE7C3F" w:rsidRPr="00717930">
              <w:rPr>
                <w:noProof/>
                <w:webHidden/>
              </w:rPr>
              <w:instrText xml:space="preserve"> PAGEREF _Toc408234914 \h </w:instrText>
            </w:r>
            <w:r w:rsidR="00EE7C3F" w:rsidRPr="00717930">
              <w:rPr>
                <w:noProof/>
                <w:webHidden/>
              </w:rPr>
            </w:r>
            <w:r w:rsidR="00EE7C3F" w:rsidRPr="00717930">
              <w:rPr>
                <w:noProof/>
                <w:webHidden/>
              </w:rPr>
              <w:fldChar w:fldCharType="separate"/>
            </w:r>
            <w:r w:rsidR="00A628D6">
              <w:rPr>
                <w:noProof/>
                <w:webHidden/>
              </w:rPr>
              <w:t>64</w:t>
            </w:r>
            <w:r w:rsidR="00EE7C3F" w:rsidRPr="00717930">
              <w:rPr>
                <w:noProof/>
                <w:webHidden/>
              </w:rPr>
              <w:fldChar w:fldCharType="end"/>
            </w:r>
          </w:hyperlink>
        </w:p>
        <w:p w:rsidR="00EE7C3F" w:rsidRDefault="00F81407">
          <w:pPr>
            <w:pStyle w:val="TOC2"/>
            <w:rPr>
              <w:rFonts w:asciiTheme="minorHAnsi" w:eastAsiaTheme="minorEastAsia" w:hAnsiTheme="minorHAnsi" w:cstheme="minorBidi"/>
              <w:noProof/>
              <w:sz w:val="22"/>
              <w:szCs w:val="22"/>
              <w:lang w:eastAsia="bg-BG" w:bidi="ar-SA"/>
            </w:rPr>
          </w:pPr>
          <w:hyperlink w:anchor="_Toc408234915" w:history="1">
            <w:r w:rsidR="00EE7C3F" w:rsidRPr="00F825A6">
              <w:rPr>
                <w:rStyle w:val="Hyperlink"/>
                <w:noProof/>
              </w:rPr>
              <w:t xml:space="preserve">2.4 </w:t>
            </w:r>
            <w:r w:rsidR="002F71D4">
              <w:rPr>
                <w:rStyle w:val="Hyperlink"/>
                <w:noProof/>
              </w:rPr>
              <w:tab/>
            </w:r>
            <w:r w:rsidR="00EE7C3F" w:rsidRPr="00F825A6">
              <w:rPr>
                <w:rStyle w:val="Hyperlink"/>
                <w:noProof/>
              </w:rPr>
              <w:t>Обзорна таблица за показателите по приоритетни оси и тематични приоритети</w:t>
            </w:r>
            <w:r w:rsidR="00EE7C3F">
              <w:rPr>
                <w:noProof/>
                <w:webHidden/>
              </w:rPr>
              <w:tab/>
            </w:r>
            <w:r w:rsidR="00EE7C3F">
              <w:rPr>
                <w:noProof/>
                <w:webHidden/>
              </w:rPr>
              <w:fldChar w:fldCharType="begin"/>
            </w:r>
            <w:r w:rsidR="00EE7C3F">
              <w:rPr>
                <w:noProof/>
                <w:webHidden/>
              </w:rPr>
              <w:instrText xml:space="preserve"> PAGEREF _Toc408234915 \h </w:instrText>
            </w:r>
            <w:r w:rsidR="00EE7C3F">
              <w:rPr>
                <w:noProof/>
                <w:webHidden/>
              </w:rPr>
            </w:r>
            <w:r w:rsidR="00EE7C3F">
              <w:rPr>
                <w:noProof/>
                <w:webHidden/>
              </w:rPr>
              <w:fldChar w:fldCharType="separate"/>
            </w:r>
            <w:r w:rsidR="00A628D6">
              <w:rPr>
                <w:noProof/>
                <w:webHidden/>
              </w:rPr>
              <w:t>65</w:t>
            </w:r>
            <w:r w:rsidR="00EE7C3F">
              <w:rPr>
                <w:noProof/>
                <w:webHidden/>
              </w:rPr>
              <w:fldChar w:fldCharType="end"/>
            </w:r>
          </w:hyperlink>
        </w:p>
        <w:p w:rsidR="00EE7C3F" w:rsidRPr="00717930" w:rsidRDefault="00F81407">
          <w:pPr>
            <w:pStyle w:val="TOC1"/>
            <w:tabs>
              <w:tab w:val="left" w:pos="1360"/>
            </w:tabs>
            <w:rPr>
              <w:rFonts w:asciiTheme="minorHAnsi" w:eastAsiaTheme="minorEastAsia" w:hAnsiTheme="minorHAnsi" w:cstheme="minorBidi"/>
              <w:b/>
              <w:noProof/>
              <w:sz w:val="22"/>
              <w:szCs w:val="22"/>
              <w:lang w:eastAsia="bg-BG" w:bidi="ar-SA"/>
            </w:rPr>
          </w:pPr>
          <w:hyperlink w:anchor="_Toc408234916" w:history="1">
            <w:r w:rsidR="00EE7C3F" w:rsidRPr="00717930">
              <w:rPr>
                <w:rStyle w:val="Hyperlink"/>
                <w:b/>
                <w:noProof/>
              </w:rPr>
              <w:t>РАЗДЕЛ 3.</w:t>
            </w:r>
            <w:r w:rsidR="00EE7C3F" w:rsidRPr="00717930">
              <w:rPr>
                <w:rFonts w:asciiTheme="minorHAnsi" w:eastAsiaTheme="minorEastAsia" w:hAnsiTheme="minorHAnsi" w:cstheme="minorBidi"/>
                <w:b/>
                <w:noProof/>
                <w:sz w:val="22"/>
                <w:szCs w:val="22"/>
                <w:lang w:eastAsia="bg-BG" w:bidi="ar-SA"/>
              </w:rPr>
              <w:tab/>
            </w:r>
            <w:r w:rsidR="00EE7C3F" w:rsidRPr="00717930">
              <w:rPr>
                <w:rStyle w:val="Hyperlink"/>
                <w:b/>
                <w:noProof/>
              </w:rPr>
              <w:t>План за финансиране</w:t>
            </w:r>
            <w:r w:rsidR="00EE7C3F" w:rsidRPr="00717930">
              <w:rPr>
                <w:b/>
                <w:noProof/>
                <w:webHidden/>
              </w:rPr>
              <w:tab/>
            </w:r>
            <w:r w:rsidR="00EE7C3F" w:rsidRPr="00717930">
              <w:rPr>
                <w:b/>
                <w:noProof/>
                <w:webHidden/>
              </w:rPr>
              <w:fldChar w:fldCharType="begin"/>
            </w:r>
            <w:r w:rsidR="00EE7C3F" w:rsidRPr="00717930">
              <w:rPr>
                <w:b/>
                <w:noProof/>
                <w:webHidden/>
              </w:rPr>
              <w:instrText xml:space="preserve"> PAGEREF _Toc408234916 \h </w:instrText>
            </w:r>
            <w:r w:rsidR="00EE7C3F" w:rsidRPr="00717930">
              <w:rPr>
                <w:b/>
                <w:noProof/>
                <w:webHidden/>
              </w:rPr>
            </w:r>
            <w:r w:rsidR="00EE7C3F" w:rsidRPr="00717930">
              <w:rPr>
                <w:b/>
                <w:noProof/>
                <w:webHidden/>
              </w:rPr>
              <w:fldChar w:fldCharType="separate"/>
            </w:r>
            <w:r w:rsidR="00A628D6">
              <w:rPr>
                <w:b/>
                <w:noProof/>
                <w:webHidden/>
              </w:rPr>
              <w:t>67</w:t>
            </w:r>
            <w:r w:rsidR="00EE7C3F" w:rsidRPr="00717930">
              <w:rPr>
                <w:b/>
                <w:noProof/>
                <w:webHidden/>
              </w:rPr>
              <w:fldChar w:fldCharType="end"/>
            </w:r>
          </w:hyperlink>
        </w:p>
        <w:p w:rsidR="00EE7C3F" w:rsidRDefault="00F81407">
          <w:pPr>
            <w:pStyle w:val="TOC2"/>
            <w:rPr>
              <w:rFonts w:asciiTheme="minorHAnsi" w:eastAsiaTheme="minorEastAsia" w:hAnsiTheme="minorHAnsi" w:cstheme="minorBidi"/>
              <w:noProof/>
              <w:sz w:val="22"/>
              <w:szCs w:val="22"/>
              <w:lang w:eastAsia="bg-BG" w:bidi="ar-SA"/>
            </w:rPr>
          </w:pPr>
          <w:hyperlink w:anchor="_Toc408234917" w:history="1">
            <w:r w:rsidR="00EE7C3F" w:rsidRPr="00F825A6">
              <w:rPr>
                <w:rStyle w:val="Hyperlink"/>
                <w:rFonts w:eastAsia="Arial Unicode MS"/>
                <w:noProof/>
              </w:rPr>
              <w:t xml:space="preserve">3.1 </w:t>
            </w:r>
            <w:r w:rsidR="002F71D4">
              <w:rPr>
                <w:rStyle w:val="Hyperlink"/>
                <w:rFonts w:eastAsia="Arial Unicode MS"/>
                <w:noProof/>
              </w:rPr>
              <w:tab/>
            </w:r>
            <w:r w:rsidR="00EE7C3F" w:rsidRPr="00F825A6">
              <w:rPr>
                <w:rStyle w:val="Hyperlink"/>
                <w:rFonts w:eastAsia="Arial Unicode MS"/>
                <w:noProof/>
              </w:rPr>
              <w:t>Предвидени финансови средства от ИПП (в евро)</w:t>
            </w:r>
            <w:r w:rsidR="00EE7C3F">
              <w:rPr>
                <w:noProof/>
                <w:webHidden/>
              </w:rPr>
              <w:tab/>
            </w:r>
            <w:r w:rsidR="00EE7C3F">
              <w:rPr>
                <w:noProof/>
                <w:webHidden/>
              </w:rPr>
              <w:fldChar w:fldCharType="begin"/>
            </w:r>
            <w:r w:rsidR="00EE7C3F">
              <w:rPr>
                <w:noProof/>
                <w:webHidden/>
              </w:rPr>
              <w:instrText xml:space="preserve"> PAGEREF _Toc408234917 \h </w:instrText>
            </w:r>
            <w:r w:rsidR="00EE7C3F">
              <w:rPr>
                <w:noProof/>
                <w:webHidden/>
              </w:rPr>
            </w:r>
            <w:r w:rsidR="00EE7C3F">
              <w:rPr>
                <w:noProof/>
                <w:webHidden/>
              </w:rPr>
              <w:fldChar w:fldCharType="separate"/>
            </w:r>
            <w:r w:rsidR="00A628D6">
              <w:rPr>
                <w:noProof/>
                <w:webHidden/>
              </w:rPr>
              <w:t>67</w:t>
            </w:r>
            <w:r w:rsidR="00EE7C3F">
              <w:rPr>
                <w:noProof/>
                <w:webHidden/>
              </w:rPr>
              <w:fldChar w:fldCharType="end"/>
            </w:r>
          </w:hyperlink>
        </w:p>
        <w:p w:rsidR="00EE7C3F" w:rsidRPr="00717930" w:rsidRDefault="00F81407">
          <w:pPr>
            <w:pStyle w:val="TOC3"/>
            <w:rPr>
              <w:rFonts w:asciiTheme="minorHAnsi" w:eastAsiaTheme="minorEastAsia" w:hAnsiTheme="minorHAnsi" w:cstheme="minorBidi"/>
              <w:noProof/>
              <w:sz w:val="22"/>
              <w:szCs w:val="22"/>
              <w:lang w:eastAsia="bg-BG" w:bidi="ar-SA"/>
            </w:rPr>
          </w:pPr>
          <w:hyperlink w:anchor="_Toc408234918" w:history="1">
            <w:r w:rsidR="00EE7C3F" w:rsidRPr="00717930">
              <w:rPr>
                <w:rStyle w:val="Hyperlink"/>
                <w:rFonts w:eastAsia="Arial Unicode MS"/>
                <w:noProof/>
                <w:lang w:eastAsia="ar-SA"/>
              </w:rPr>
              <w:t xml:space="preserve">3.2.1 </w:t>
            </w:r>
            <w:r w:rsidR="002F71D4">
              <w:rPr>
                <w:rStyle w:val="Hyperlink"/>
                <w:rFonts w:eastAsia="Arial Unicode MS"/>
                <w:noProof/>
                <w:lang w:eastAsia="ar-SA"/>
              </w:rPr>
              <w:tab/>
            </w:r>
            <w:r w:rsidR="00EE7C3F" w:rsidRPr="00717930">
              <w:rPr>
                <w:rStyle w:val="Hyperlink"/>
                <w:rFonts w:eastAsia="Arial Unicode MS"/>
                <w:noProof/>
                <w:lang w:eastAsia="ar-SA"/>
              </w:rPr>
              <w:t>Общо предвидени финансови средства от ИПП и национално съфинансиране (в евро)</w:t>
            </w:r>
            <w:r w:rsidR="00EE7C3F" w:rsidRPr="00717930">
              <w:rPr>
                <w:noProof/>
                <w:webHidden/>
              </w:rPr>
              <w:tab/>
            </w:r>
            <w:r w:rsidR="00EE7C3F" w:rsidRPr="00717930">
              <w:rPr>
                <w:noProof/>
                <w:webHidden/>
              </w:rPr>
              <w:fldChar w:fldCharType="begin"/>
            </w:r>
            <w:r w:rsidR="00EE7C3F" w:rsidRPr="00717930">
              <w:rPr>
                <w:noProof/>
                <w:webHidden/>
              </w:rPr>
              <w:instrText xml:space="preserve"> PAGEREF _Toc408234918 \h </w:instrText>
            </w:r>
            <w:r w:rsidR="00EE7C3F" w:rsidRPr="00717930">
              <w:rPr>
                <w:noProof/>
                <w:webHidden/>
              </w:rPr>
            </w:r>
            <w:r w:rsidR="00EE7C3F" w:rsidRPr="00717930">
              <w:rPr>
                <w:noProof/>
                <w:webHidden/>
              </w:rPr>
              <w:fldChar w:fldCharType="separate"/>
            </w:r>
            <w:r w:rsidR="00A628D6">
              <w:rPr>
                <w:noProof/>
                <w:webHidden/>
              </w:rPr>
              <w:t>68</w:t>
            </w:r>
            <w:r w:rsidR="00EE7C3F" w:rsidRPr="00717930">
              <w:rPr>
                <w:noProof/>
                <w:webHidden/>
              </w:rPr>
              <w:fldChar w:fldCharType="end"/>
            </w:r>
          </w:hyperlink>
        </w:p>
        <w:p w:rsidR="00EE7C3F" w:rsidRPr="00717930" w:rsidRDefault="00F81407">
          <w:pPr>
            <w:pStyle w:val="TOC3"/>
            <w:rPr>
              <w:rFonts w:asciiTheme="minorHAnsi" w:eastAsiaTheme="minorEastAsia" w:hAnsiTheme="minorHAnsi" w:cstheme="minorBidi"/>
              <w:noProof/>
              <w:sz w:val="22"/>
              <w:szCs w:val="22"/>
              <w:lang w:eastAsia="bg-BG" w:bidi="ar-SA"/>
            </w:rPr>
          </w:pPr>
          <w:hyperlink w:anchor="_Toc408234919" w:history="1">
            <w:r w:rsidR="00EE7C3F" w:rsidRPr="00717930">
              <w:rPr>
                <w:rStyle w:val="Hyperlink"/>
                <w:noProof/>
              </w:rPr>
              <w:t>3.2.2</w:t>
            </w:r>
            <w:r w:rsidR="00EE7C3F" w:rsidRPr="00717930">
              <w:rPr>
                <w:rFonts w:asciiTheme="minorHAnsi" w:eastAsiaTheme="minorEastAsia" w:hAnsiTheme="minorHAnsi" w:cstheme="minorBidi"/>
                <w:noProof/>
                <w:sz w:val="22"/>
                <w:szCs w:val="22"/>
                <w:lang w:eastAsia="bg-BG" w:bidi="ar-SA"/>
              </w:rPr>
              <w:tab/>
            </w:r>
            <w:r w:rsidR="00EE7C3F" w:rsidRPr="00717930">
              <w:rPr>
                <w:rStyle w:val="Hyperlink"/>
                <w:noProof/>
              </w:rPr>
              <w:t>Разбивка по приоритетни оси и тематични приоритети</w:t>
            </w:r>
            <w:r w:rsidR="00EE7C3F" w:rsidRPr="00717930">
              <w:rPr>
                <w:noProof/>
                <w:webHidden/>
              </w:rPr>
              <w:tab/>
            </w:r>
            <w:r w:rsidR="00EE7C3F" w:rsidRPr="00717930">
              <w:rPr>
                <w:noProof/>
                <w:webHidden/>
              </w:rPr>
              <w:fldChar w:fldCharType="begin"/>
            </w:r>
            <w:r w:rsidR="00EE7C3F" w:rsidRPr="00717930">
              <w:rPr>
                <w:noProof/>
                <w:webHidden/>
              </w:rPr>
              <w:instrText xml:space="preserve"> PAGEREF _Toc408234919 \h </w:instrText>
            </w:r>
            <w:r w:rsidR="00EE7C3F" w:rsidRPr="00717930">
              <w:rPr>
                <w:noProof/>
                <w:webHidden/>
              </w:rPr>
            </w:r>
            <w:r w:rsidR="00EE7C3F" w:rsidRPr="00717930">
              <w:rPr>
                <w:noProof/>
                <w:webHidden/>
              </w:rPr>
              <w:fldChar w:fldCharType="separate"/>
            </w:r>
            <w:r w:rsidR="00A628D6">
              <w:rPr>
                <w:noProof/>
                <w:webHidden/>
              </w:rPr>
              <w:t>69</w:t>
            </w:r>
            <w:r w:rsidR="00EE7C3F" w:rsidRPr="00717930">
              <w:rPr>
                <w:noProof/>
                <w:webHidden/>
              </w:rPr>
              <w:fldChar w:fldCharType="end"/>
            </w:r>
          </w:hyperlink>
        </w:p>
        <w:p w:rsidR="00EE7C3F" w:rsidRPr="00717930" w:rsidRDefault="00F81407">
          <w:pPr>
            <w:pStyle w:val="TOC1"/>
            <w:tabs>
              <w:tab w:val="left" w:pos="1300"/>
            </w:tabs>
            <w:rPr>
              <w:rFonts w:asciiTheme="minorHAnsi" w:eastAsiaTheme="minorEastAsia" w:hAnsiTheme="minorHAnsi" w:cstheme="minorBidi"/>
              <w:b/>
              <w:noProof/>
              <w:sz w:val="22"/>
              <w:szCs w:val="22"/>
              <w:lang w:eastAsia="bg-BG" w:bidi="ar-SA"/>
            </w:rPr>
          </w:pPr>
          <w:hyperlink w:anchor="_Toc408234920" w:history="1">
            <w:r w:rsidR="00EE7C3F" w:rsidRPr="00717930">
              <w:rPr>
                <w:rStyle w:val="Hyperlink"/>
                <w:b/>
                <w:noProof/>
                <w:u w:val="none"/>
              </w:rPr>
              <w:t>РАЗДЕЛ 4</w:t>
            </w:r>
            <w:r w:rsidR="00EE7C3F" w:rsidRPr="00717930">
              <w:rPr>
                <w:rFonts w:asciiTheme="minorHAnsi" w:eastAsiaTheme="minorEastAsia" w:hAnsiTheme="minorHAnsi" w:cstheme="minorBidi"/>
                <w:b/>
                <w:noProof/>
                <w:sz w:val="22"/>
                <w:szCs w:val="22"/>
                <w:lang w:eastAsia="bg-BG" w:bidi="ar-SA"/>
              </w:rPr>
              <w:tab/>
            </w:r>
            <w:r w:rsidR="00EE7C3F" w:rsidRPr="00717930">
              <w:rPr>
                <w:rStyle w:val="Hyperlink"/>
                <w:b/>
                <w:noProof/>
                <w:u w:val="none"/>
              </w:rPr>
              <w:t>Интегриран подход към териториалното развитие (ако е уместно)</w:t>
            </w:r>
            <w:r w:rsidR="00EE7C3F" w:rsidRPr="00717930">
              <w:rPr>
                <w:b/>
                <w:noProof/>
                <w:webHidden/>
              </w:rPr>
              <w:tab/>
            </w:r>
            <w:r w:rsidR="00EE7C3F" w:rsidRPr="00717930">
              <w:rPr>
                <w:b/>
                <w:noProof/>
                <w:webHidden/>
              </w:rPr>
              <w:fldChar w:fldCharType="begin"/>
            </w:r>
            <w:r w:rsidR="00EE7C3F" w:rsidRPr="00717930">
              <w:rPr>
                <w:b/>
                <w:noProof/>
                <w:webHidden/>
              </w:rPr>
              <w:instrText xml:space="preserve"> PAGEREF _Toc408234920 \h </w:instrText>
            </w:r>
            <w:r w:rsidR="00EE7C3F" w:rsidRPr="00717930">
              <w:rPr>
                <w:b/>
                <w:noProof/>
                <w:webHidden/>
              </w:rPr>
            </w:r>
            <w:r w:rsidR="00EE7C3F" w:rsidRPr="00717930">
              <w:rPr>
                <w:b/>
                <w:noProof/>
                <w:webHidden/>
              </w:rPr>
              <w:fldChar w:fldCharType="separate"/>
            </w:r>
            <w:r w:rsidR="00A628D6">
              <w:rPr>
                <w:b/>
                <w:noProof/>
                <w:webHidden/>
              </w:rPr>
              <w:t>69</w:t>
            </w:r>
            <w:r w:rsidR="00EE7C3F" w:rsidRPr="00717930">
              <w:rPr>
                <w:b/>
                <w:noProof/>
                <w:webHidden/>
              </w:rPr>
              <w:fldChar w:fldCharType="end"/>
            </w:r>
          </w:hyperlink>
        </w:p>
        <w:p w:rsidR="00EE7C3F" w:rsidRDefault="00F81407">
          <w:pPr>
            <w:pStyle w:val="TOC2"/>
            <w:rPr>
              <w:rFonts w:asciiTheme="minorHAnsi" w:eastAsiaTheme="minorEastAsia" w:hAnsiTheme="minorHAnsi" w:cstheme="minorBidi"/>
              <w:noProof/>
              <w:sz w:val="22"/>
              <w:szCs w:val="22"/>
              <w:lang w:eastAsia="bg-BG" w:bidi="ar-SA"/>
            </w:rPr>
          </w:pPr>
          <w:hyperlink w:anchor="_Toc408234921" w:history="1">
            <w:r w:rsidR="00EE7C3F" w:rsidRPr="00F825A6">
              <w:rPr>
                <w:rStyle w:val="Hyperlink"/>
                <w:noProof/>
              </w:rPr>
              <w:t xml:space="preserve">4.1 </w:t>
            </w:r>
            <w:r w:rsidR="002F71D4">
              <w:rPr>
                <w:rStyle w:val="Hyperlink"/>
                <w:noProof/>
              </w:rPr>
              <w:tab/>
            </w:r>
            <w:r w:rsidR="00EE7C3F" w:rsidRPr="00F825A6">
              <w:rPr>
                <w:rStyle w:val="Hyperlink"/>
                <w:noProof/>
              </w:rPr>
              <w:t>Водено от общностите местно развитие</w:t>
            </w:r>
            <w:r w:rsidR="00EE7C3F">
              <w:rPr>
                <w:noProof/>
                <w:webHidden/>
              </w:rPr>
              <w:tab/>
            </w:r>
            <w:r w:rsidR="00EE7C3F">
              <w:rPr>
                <w:noProof/>
                <w:webHidden/>
              </w:rPr>
              <w:fldChar w:fldCharType="begin"/>
            </w:r>
            <w:r w:rsidR="00EE7C3F">
              <w:rPr>
                <w:noProof/>
                <w:webHidden/>
              </w:rPr>
              <w:instrText xml:space="preserve"> PAGEREF _Toc408234921 \h </w:instrText>
            </w:r>
            <w:r w:rsidR="00EE7C3F">
              <w:rPr>
                <w:noProof/>
                <w:webHidden/>
              </w:rPr>
            </w:r>
            <w:r w:rsidR="00EE7C3F">
              <w:rPr>
                <w:noProof/>
                <w:webHidden/>
              </w:rPr>
              <w:fldChar w:fldCharType="separate"/>
            </w:r>
            <w:r w:rsidR="00A628D6">
              <w:rPr>
                <w:noProof/>
                <w:webHidden/>
              </w:rPr>
              <w:t>69</w:t>
            </w:r>
            <w:r w:rsidR="00EE7C3F">
              <w:rPr>
                <w:noProof/>
                <w:webHidden/>
              </w:rPr>
              <w:fldChar w:fldCharType="end"/>
            </w:r>
          </w:hyperlink>
        </w:p>
        <w:p w:rsidR="00EE7C3F" w:rsidRDefault="00F81407">
          <w:pPr>
            <w:pStyle w:val="TOC2"/>
            <w:rPr>
              <w:rFonts w:asciiTheme="minorHAnsi" w:eastAsiaTheme="minorEastAsia" w:hAnsiTheme="minorHAnsi" w:cstheme="minorBidi"/>
              <w:noProof/>
              <w:sz w:val="22"/>
              <w:szCs w:val="22"/>
              <w:lang w:eastAsia="bg-BG" w:bidi="ar-SA"/>
            </w:rPr>
          </w:pPr>
          <w:hyperlink w:anchor="_Toc408234922" w:history="1">
            <w:r w:rsidR="00EE7C3F" w:rsidRPr="00F825A6">
              <w:rPr>
                <w:rStyle w:val="Hyperlink"/>
                <w:noProof/>
              </w:rPr>
              <w:t>4.3</w:t>
            </w:r>
            <w:r w:rsidR="00EE7C3F">
              <w:rPr>
                <w:rFonts w:asciiTheme="minorHAnsi" w:eastAsiaTheme="minorEastAsia" w:hAnsiTheme="minorHAnsi" w:cstheme="minorBidi"/>
                <w:noProof/>
                <w:sz w:val="22"/>
                <w:szCs w:val="22"/>
                <w:lang w:eastAsia="bg-BG" w:bidi="ar-SA"/>
              </w:rPr>
              <w:tab/>
            </w:r>
            <w:r w:rsidR="00EE7C3F" w:rsidRPr="00F825A6">
              <w:rPr>
                <w:rStyle w:val="Hyperlink"/>
                <w:noProof/>
              </w:rPr>
              <w:t>Интегрирани териториални инвестиции (ИТИ)</w:t>
            </w:r>
            <w:r w:rsidR="00EE7C3F">
              <w:rPr>
                <w:noProof/>
                <w:webHidden/>
              </w:rPr>
              <w:tab/>
            </w:r>
            <w:r w:rsidR="00EE7C3F">
              <w:rPr>
                <w:noProof/>
                <w:webHidden/>
              </w:rPr>
              <w:fldChar w:fldCharType="begin"/>
            </w:r>
            <w:r w:rsidR="00EE7C3F">
              <w:rPr>
                <w:noProof/>
                <w:webHidden/>
              </w:rPr>
              <w:instrText xml:space="preserve"> PAGEREF _Toc408234922 \h </w:instrText>
            </w:r>
            <w:r w:rsidR="00EE7C3F">
              <w:rPr>
                <w:noProof/>
                <w:webHidden/>
              </w:rPr>
            </w:r>
            <w:r w:rsidR="00EE7C3F">
              <w:rPr>
                <w:noProof/>
                <w:webHidden/>
              </w:rPr>
              <w:fldChar w:fldCharType="separate"/>
            </w:r>
            <w:r w:rsidR="00A628D6">
              <w:rPr>
                <w:noProof/>
                <w:webHidden/>
              </w:rPr>
              <w:t>69</w:t>
            </w:r>
            <w:r w:rsidR="00EE7C3F">
              <w:rPr>
                <w:noProof/>
                <w:webHidden/>
              </w:rPr>
              <w:fldChar w:fldCharType="end"/>
            </w:r>
          </w:hyperlink>
        </w:p>
        <w:p w:rsidR="00EE7C3F" w:rsidRDefault="00F81407">
          <w:pPr>
            <w:pStyle w:val="TOC2"/>
            <w:rPr>
              <w:rFonts w:asciiTheme="minorHAnsi" w:eastAsiaTheme="minorEastAsia" w:hAnsiTheme="minorHAnsi" w:cstheme="minorBidi"/>
              <w:noProof/>
              <w:sz w:val="22"/>
              <w:szCs w:val="22"/>
              <w:lang w:eastAsia="bg-BG" w:bidi="ar-SA"/>
            </w:rPr>
          </w:pPr>
          <w:hyperlink w:anchor="_Toc408234923" w:history="1">
            <w:r w:rsidR="00EE7C3F" w:rsidRPr="00F825A6">
              <w:rPr>
                <w:rStyle w:val="Hyperlink"/>
                <w:noProof/>
              </w:rPr>
              <w:t>4.4</w:t>
            </w:r>
            <w:r w:rsidR="00EE7C3F">
              <w:rPr>
                <w:rFonts w:asciiTheme="minorHAnsi" w:eastAsiaTheme="minorEastAsia" w:hAnsiTheme="minorHAnsi" w:cstheme="minorBidi"/>
                <w:noProof/>
                <w:sz w:val="22"/>
                <w:szCs w:val="22"/>
                <w:lang w:eastAsia="bg-BG" w:bidi="ar-SA"/>
              </w:rPr>
              <w:tab/>
            </w:r>
            <w:r w:rsidR="00EE7C3F" w:rsidRPr="00F825A6">
              <w:rPr>
                <w:rStyle w:val="Hyperlink"/>
                <w:noProof/>
              </w:rPr>
              <w:t>Принос на планираните дейности за макрорегионалните стратегии и стратегиите за морските басейни, като се отчитат нуждите на програмния район, така както са определени от съответните държави–партньори, и като се вземат под внимание, когато е приложимо, стратегически важните проекти, определени в тези стратегии (където е уместно)</w:t>
            </w:r>
            <w:r w:rsidR="00EE7C3F">
              <w:rPr>
                <w:noProof/>
                <w:webHidden/>
              </w:rPr>
              <w:tab/>
            </w:r>
            <w:r w:rsidR="00EE7C3F">
              <w:rPr>
                <w:noProof/>
                <w:webHidden/>
              </w:rPr>
              <w:fldChar w:fldCharType="begin"/>
            </w:r>
            <w:r w:rsidR="00EE7C3F">
              <w:rPr>
                <w:noProof/>
                <w:webHidden/>
              </w:rPr>
              <w:instrText xml:space="preserve"> PAGEREF _Toc408234923 \h </w:instrText>
            </w:r>
            <w:r w:rsidR="00EE7C3F">
              <w:rPr>
                <w:noProof/>
                <w:webHidden/>
              </w:rPr>
            </w:r>
            <w:r w:rsidR="00EE7C3F">
              <w:rPr>
                <w:noProof/>
                <w:webHidden/>
              </w:rPr>
              <w:fldChar w:fldCharType="separate"/>
            </w:r>
            <w:r w:rsidR="00A628D6">
              <w:rPr>
                <w:noProof/>
                <w:webHidden/>
              </w:rPr>
              <w:t>70</w:t>
            </w:r>
            <w:r w:rsidR="00EE7C3F">
              <w:rPr>
                <w:noProof/>
                <w:webHidden/>
              </w:rPr>
              <w:fldChar w:fldCharType="end"/>
            </w:r>
          </w:hyperlink>
        </w:p>
        <w:p w:rsidR="00EE7C3F" w:rsidRPr="00717930" w:rsidRDefault="00F81407">
          <w:pPr>
            <w:pStyle w:val="TOC1"/>
            <w:rPr>
              <w:rFonts w:asciiTheme="minorHAnsi" w:eastAsiaTheme="minorEastAsia" w:hAnsiTheme="minorHAnsi" w:cstheme="minorBidi"/>
              <w:b/>
              <w:noProof/>
              <w:sz w:val="22"/>
              <w:szCs w:val="22"/>
              <w:lang w:eastAsia="bg-BG" w:bidi="ar-SA"/>
            </w:rPr>
          </w:pPr>
          <w:hyperlink w:anchor="_Toc408234924" w:history="1">
            <w:r w:rsidR="00EE7C3F" w:rsidRPr="00717930">
              <w:rPr>
                <w:rStyle w:val="Hyperlink"/>
                <w:b/>
                <w:noProof/>
              </w:rPr>
              <w:t>Раздел 5 Разпоредби по прилагането на програмата за сътрудничество</w:t>
            </w:r>
            <w:r w:rsidR="00EE7C3F" w:rsidRPr="00717930">
              <w:rPr>
                <w:b/>
                <w:noProof/>
                <w:webHidden/>
              </w:rPr>
              <w:tab/>
            </w:r>
            <w:r w:rsidR="00EE7C3F" w:rsidRPr="00717930">
              <w:rPr>
                <w:b/>
                <w:noProof/>
                <w:webHidden/>
              </w:rPr>
              <w:fldChar w:fldCharType="begin"/>
            </w:r>
            <w:r w:rsidR="00EE7C3F" w:rsidRPr="00717930">
              <w:rPr>
                <w:b/>
                <w:noProof/>
                <w:webHidden/>
              </w:rPr>
              <w:instrText xml:space="preserve"> PAGEREF _Toc408234924 \h </w:instrText>
            </w:r>
            <w:r w:rsidR="00EE7C3F" w:rsidRPr="00717930">
              <w:rPr>
                <w:b/>
                <w:noProof/>
                <w:webHidden/>
              </w:rPr>
            </w:r>
            <w:r w:rsidR="00EE7C3F" w:rsidRPr="00717930">
              <w:rPr>
                <w:b/>
                <w:noProof/>
                <w:webHidden/>
              </w:rPr>
              <w:fldChar w:fldCharType="separate"/>
            </w:r>
            <w:r w:rsidR="00A628D6">
              <w:rPr>
                <w:b/>
                <w:noProof/>
                <w:webHidden/>
              </w:rPr>
              <w:t>73</w:t>
            </w:r>
            <w:r w:rsidR="00EE7C3F" w:rsidRPr="00717930">
              <w:rPr>
                <w:b/>
                <w:noProof/>
                <w:webHidden/>
              </w:rPr>
              <w:fldChar w:fldCharType="end"/>
            </w:r>
          </w:hyperlink>
        </w:p>
        <w:p w:rsidR="00EE7C3F" w:rsidRDefault="00F81407">
          <w:pPr>
            <w:pStyle w:val="TOC2"/>
            <w:rPr>
              <w:rFonts w:asciiTheme="minorHAnsi" w:eastAsiaTheme="minorEastAsia" w:hAnsiTheme="minorHAnsi" w:cstheme="minorBidi"/>
              <w:noProof/>
              <w:sz w:val="22"/>
              <w:szCs w:val="22"/>
              <w:lang w:eastAsia="bg-BG" w:bidi="ar-SA"/>
            </w:rPr>
          </w:pPr>
          <w:hyperlink w:anchor="_Toc408234925" w:history="1">
            <w:r w:rsidR="00EE7C3F" w:rsidRPr="00F825A6">
              <w:rPr>
                <w:rStyle w:val="Hyperlink"/>
                <w:noProof/>
              </w:rPr>
              <w:t>5.1</w:t>
            </w:r>
            <w:r w:rsidR="00EE7C3F">
              <w:rPr>
                <w:rFonts w:asciiTheme="minorHAnsi" w:eastAsiaTheme="minorEastAsia" w:hAnsiTheme="minorHAnsi" w:cstheme="minorBidi"/>
                <w:noProof/>
                <w:sz w:val="22"/>
                <w:szCs w:val="22"/>
                <w:lang w:eastAsia="bg-BG" w:bidi="ar-SA"/>
              </w:rPr>
              <w:tab/>
            </w:r>
            <w:r w:rsidR="00EE7C3F" w:rsidRPr="00F825A6">
              <w:rPr>
                <w:rStyle w:val="Hyperlink"/>
                <w:noProof/>
              </w:rPr>
              <w:t>Съответни власти и органи</w:t>
            </w:r>
            <w:r w:rsidR="00EE7C3F">
              <w:rPr>
                <w:noProof/>
                <w:webHidden/>
              </w:rPr>
              <w:tab/>
            </w:r>
            <w:r w:rsidR="00EE7C3F">
              <w:rPr>
                <w:noProof/>
                <w:webHidden/>
              </w:rPr>
              <w:fldChar w:fldCharType="begin"/>
            </w:r>
            <w:r w:rsidR="00EE7C3F">
              <w:rPr>
                <w:noProof/>
                <w:webHidden/>
              </w:rPr>
              <w:instrText xml:space="preserve"> PAGEREF _Toc408234925 \h </w:instrText>
            </w:r>
            <w:r w:rsidR="00EE7C3F">
              <w:rPr>
                <w:noProof/>
                <w:webHidden/>
              </w:rPr>
            </w:r>
            <w:r w:rsidR="00EE7C3F">
              <w:rPr>
                <w:noProof/>
                <w:webHidden/>
              </w:rPr>
              <w:fldChar w:fldCharType="separate"/>
            </w:r>
            <w:r w:rsidR="00A628D6">
              <w:rPr>
                <w:noProof/>
                <w:webHidden/>
              </w:rPr>
              <w:t>73</w:t>
            </w:r>
            <w:r w:rsidR="00EE7C3F">
              <w:rPr>
                <w:noProof/>
                <w:webHidden/>
              </w:rPr>
              <w:fldChar w:fldCharType="end"/>
            </w:r>
          </w:hyperlink>
        </w:p>
        <w:p w:rsidR="00EE7C3F" w:rsidRDefault="00F81407">
          <w:pPr>
            <w:pStyle w:val="TOC2"/>
            <w:rPr>
              <w:rFonts w:asciiTheme="minorHAnsi" w:eastAsiaTheme="minorEastAsia" w:hAnsiTheme="minorHAnsi" w:cstheme="minorBidi"/>
              <w:noProof/>
              <w:sz w:val="22"/>
              <w:szCs w:val="22"/>
              <w:lang w:eastAsia="bg-BG" w:bidi="ar-SA"/>
            </w:rPr>
          </w:pPr>
          <w:hyperlink w:anchor="_Toc408234926" w:history="1">
            <w:r w:rsidR="00EE7C3F" w:rsidRPr="00F825A6">
              <w:rPr>
                <w:rStyle w:val="Hyperlink"/>
                <w:noProof/>
              </w:rPr>
              <w:t xml:space="preserve">5.2 </w:t>
            </w:r>
            <w:r w:rsidR="002F71D4">
              <w:rPr>
                <w:rStyle w:val="Hyperlink"/>
                <w:noProof/>
              </w:rPr>
              <w:tab/>
            </w:r>
            <w:r w:rsidR="00EE7C3F" w:rsidRPr="00F825A6">
              <w:rPr>
                <w:rStyle w:val="Hyperlink"/>
                <w:noProof/>
              </w:rPr>
              <w:t>Съвместен комитет за наблюдение</w:t>
            </w:r>
            <w:r w:rsidR="00EE7C3F">
              <w:rPr>
                <w:noProof/>
                <w:webHidden/>
              </w:rPr>
              <w:tab/>
            </w:r>
            <w:r w:rsidR="00EE7C3F">
              <w:rPr>
                <w:noProof/>
                <w:webHidden/>
              </w:rPr>
              <w:fldChar w:fldCharType="begin"/>
            </w:r>
            <w:r w:rsidR="00EE7C3F">
              <w:rPr>
                <w:noProof/>
                <w:webHidden/>
              </w:rPr>
              <w:instrText xml:space="preserve"> PAGEREF _Toc408234926 \h </w:instrText>
            </w:r>
            <w:r w:rsidR="00EE7C3F">
              <w:rPr>
                <w:noProof/>
                <w:webHidden/>
              </w:rPr>
            </w:r>
            <w:r w:rsidR="00EE7C3F">
              <w:rPr>
                <w:noProof/>
                <w:webHidden/>
              </w:rPr>
              <w:fldChar w:fldCharType="separate"/>
            </w:r>
            <w:r w:rsidR="00A628D6">
              <w:rPr>
                <w:noProof/>
                <w:webHidden/>
              </w:rPr>
              <w:t>74</w:t>
            </w:r>
            <w:r w:rsidR="00EE7C3F">
              <w:rPr>
                <w:noProof/>
                <w:webHidden/>
              </w:rPr>
              <w:fldChar w:fldCharType="end"/>
            </w:r>
          </w:hyperlink>
        </w:p>
        <w:p w:rsidR="00EE7C3F" w:rsidRDefault="00F81407">
          <w:pPr>
            <w:pStyle w:val="TOC2"/>
            <w:rPr>
              <w:rFonts w:asciiTheme="minorHAnsi" w:eastAsiaTheme="minorEastAsia" w:hAnsiTheme="minorHAnsi" w:cstheme="minorBidi"/>
              <w:noProof/>
              <w:sz w:val="22"/>
              <w:szCs w:val="22"/>
              <w:lang w:eastAsia="bg-BG" w:bidi="ar-SA"/>
            </w:rPr>
          </w:pPr>
          <w:hyperlink w:anchor="_Toc408234927" w:history="1">
            <w:r w:rsidR="00EE7C3F" w:rsidRPr="00F825A6">
              <w:rPr>
                <w:rStyle w:val="Hyperlink"/>
                <w:noProof/>
              </w:rPr>
              <w:t>5.3</w:t>
            </w:r>
            <w:r w:rsidR="00EE7C3F">
              <w:rPr>
                <w:rFonts w:asciiTheme="minorHAnsi" w:eastAsiaTheme="minorEastAsia" w:hAnsiTheme="minorHAnsi" w:cstheme="minorBidi"/>
                <w:noProof/>
                <w:sz w:val="22"/>
                <w:szCs w:val="22"/>
                <w:lang w:eastAsia="bg-BG" w:bidi="ar-SA"/>
              </w:rPr>
              <w:tab/>
            </w:r>
            <w:r w:rsidR="00EE7C3F" w:rsidRPr="00F825A6">
              <w:rPr>
                <w:rStyle w:val="Hyperlink"/>
                <w:noProof/>
              </w:rPr>
              <w:t>Процедура за сформиране на Съвместния секретариат</w:t>
            </w:r>
            <w:r w:rsidR="00EE7C3F">
              <w:rPr>
                <w:noProof/>
                <w:webHidden/>
              </w:rPr>
              <w:tab/>
            </w:r>
            <w:r w:rsidR="00EE7C3F">
              <w:rPr>
                <w:noProof/>
                <w:webHidden/>
              </w:rPr>
              <w:fldChar w:fldCharType="begin"/>
            </w:r>
            <w:r w:rsidR="00EE7C3F">
              <w:rPr>
                <w:noProof/>
                <w:webHidden/>
              </w:rPr>
              <w:instrText xml:space="preserve"> PAGEREF _Toc408234927 \h </w:instrText>
            </w:r>
            <w:r w:rsidR="00EE7C3F">
              <w:rPr>
                <w:noProof/>
                <w:webHidden/>
              </w:rPr>
            </w:r>
            <w:r w:rsidR="00EE7C3F">
              <w:rPr>
                <w:noProof/>
                <w:webHidden/>
              </w:rPr>
              <w:fldChar w:fldCharType="separate"/>
            </w:r>
            <w:r w:rsidR="00A628D6">
              <w:rPr>
                <w:noProof/>
                <w:webHidden/>
              </w:rPr>
              <w:t>75</w:t>
            </w:r>
            <w:r w:rsidR="00EE7C3F">
              <w:rPr>
                <w:noProof/>
                <w:webHidden/>
              </w:rPr>
              <w:fldChar w:fldCharType="end"/>
            </w:r>
          </w:hyperlink>
        </w:p>
        <w:p w:rsidR="00EE7C3F" w:rsidRDefault="00F81407">
          <w:pPr>
            <w:pStyle w:val="TOC2"/>
            <w:rPr>
              <w:rFonts w:asciiTheme="minorHAnsi" w:eastAsiaTheme="minorEastAsia" w:hAnsiTheme="minorHAnsi" w:cstheme="minorBidi"/>
              <w:noProof/>
              <w:sz w:val="22"/>
              <w:szCs w:val="22"/>
              <w:lang w:eastAsia="bg-BG" w:bidi="ar-SA"/>
            </w:rPr>
          </w:pPr>
          <w:hyperlink w:anchor="_Toc408234928" w:history="1">
            <w:r w:rsidR="00EE7C3F" w:rsidRPr="00F825A6">
              <w:rPr>
                <w:rStyle w:val="Hyperlink"/>
                <w:noProof/>
              </w:rPr>
              <w:t>5.4</w:t>
            </w:r>
            <w:r w:rsidR="00EE7C3F">
              <w:rPr>
                <w:rFonts w:asciiTheme="minorHAnsi" w:eastAsiaTheme="minorEastAsia" w:hAnsiTheme="minorHAnsi" w:cstheme="minorBidi"/>
                <w:noProof/>
                <w:sz w:val="22"/>
                <w:szCs w:val="22"/>
                <w:lang w:eastAsia="bg-BG" w:bidi="ar-SA"/>
              </w:rPr>
              <w:tab/>
            </w:r>
            <w:r w:rsidR="00EE7C3F" w:rsidRPr="00F825A6">
              <w:rPr>
                <w:rStyle w:val="Hyperlink"/>
                <w:noProof/>
              </w:rPr>
              <w:t>Обобщено описание на организацията по управлението и контрола</w:t>
            </w:r>
            <w:r w:rsidR="00EE7C3F">
              <w:rPr>
                <w:noProof/>
                <w:webHidden/>
              </w:rPr>
              <w:tab/>
            </w:r>
            <w:r w:rsidR="00EE7C3F">
              <w:rPr>
                <w:noProof/>
                <w:webHidden/>
              </w:rPr>
              <w:fldChar w:fldCharType="begin"/>
            </w:r>
            <w:r w:rsidR="00EE7C3F">
              <w:rPr>
                <w:noProof/>
                <w:webHidden/>
              </w:rPr>
              <w:instrText xml:space="preserve"> PAGEREF _Toc408234928 \h </w:instrText>
            </w:r>
            <w:r w:rsidR="00EE7C3F">
              <w:rPr>
                <w:noProof/>
                <w:webHidden/>
              </w:rPr>
            </w:r>
            <w:r w:rsidR="00EE7C3F">
              <w:rPr>
                <w:noProof/>
                <w:webHidden/>
              </w:rPr>
              <w:fldChar w:fldCharType="separate"/>
            </w:r>
            <w:r w:rsidR="00A628D6">
              <w:rPr>
                <w:noProof/>
                <w:webHidden/>
              </w:rPr>
              <w:t>76</w:t>
            </w:r>
            <w:r w:rsidR="00EE7C3F">
              <w:rPr>
                <w:noProof/>
                <w:webHidden/>
              </w:rPr>
              <w:fldChar w:fldCharType="end"/>
            </w:r>
          </w:hyperlink>
        </w:p>
        <w:p w:rsidR="00EE7C3F" w:rsidRDefault="00F81407">
          <w:pPr>
            <w:pStyle w:val="TOC2"/>
            <w:rPr>
              <w:rFonts w:asciiTheme="minorHAnsi" w:eastAsiaTheme="minorEastAsia" w:hAnsiTheme="minorHAnsi" w:cstheme="minorBidi"/>
              <w:noProof/>
              <w:sz w:val="22"/>
              <w:szCs w:val="22"/>
              <w:lang w:eastAsia="bg-BG" w:bidi="ar-SA"/>
            </w:rPr>
          </w:pPr>
          <w:hyperlink w:anchor="_Toc408234929" w:history="1">
            <w:r w:rsidR="00EE7C3F" w:rsidRPr="00F825A6">
              <w:rPr>
                <w:rStyle w:val="Hyperlink"/>
                <w:noProof/>
              </w:rPr>
              <w:t>5.5</w:t>
            </w:r>
            <w:r w:rsidR="00EE7C3F">
              <w:rPr>
                <w:rFonts w:asciiTheme="minorHAnsi" w:eastAsiaTheme="minorEastAsia" w:hAnsiTheme="minorHAnsi" w:cstheme="minorBidi"/>
                <w:noProof/>
                <w:sz w:val="22"/>
                <w:szCs w:val="22"/>
                <w:lang w:eastAsia="bg-BG" w:bidi="ar-SA"/>
              </w:rPr>
              <w:tab/>
            </w:r>
            <w:r w:rsidR="00EE7C3F" w:rsidRPr="00F825A6">
              <w:rPr>
                <w:rStyle w:val="Hyperlink"/>
                <w:noProof/>
              </w:rPr>
              <w:t>Разпределение на задълженията сред държавите–партньори в случай на финансови корекции, наложени от управляващия орган или Комисията</w:t>
            </w:r>
            <w:r w:rsidR="00EE7C3F">
              <w:rPr>
                <w:noProof/>
                <w:webHidden/>
              </w:rPr>
              <w:tab/>
            </w:r>
            <w:r w:rsidR="00EE7C3F">
              <w:rPr>
                <w:noProof/>
                <w:webHidden/>
              </w:rPr>
              <w:fldChar w:fldCharType="begin"/>
            </w:r>
            <w:r w:rsidR="00EE7C3F">
              <w:rPr>
                <w:noProof/>
                <w:webHidden/>
              </w:rPr>
              <w:instrText xml:space="preserve"> PAGEREF _Toc408234929 \h </w:instrText>
            </w:r>
            <w:r w:rsidR="00EE7C3F">
              <w:rPr>
                <w:noProof/>
                <w:webHidden/>
              </w:rPr>
            </w:r>
            <w:r w:rsidR="00EE7C3F">
              <w:rPr>
                <w:noProof/>
                <w:webHidden/>
              </w:rPr>
              <w:fldChar w:fldCharType="separate"/>
            </w:r>
            <w:r w:rsidR="00A628D6">
              <w:rPr>
                <w:noProof/>
                <w:webHidden/>
              </w:rPr>
              <w:t>92</w:t>
            </w:r>
            <w:r w:rsidR="00EE7C3F">
              <w:rPr>
                <w:noProof/>
                <w:webHidden/>
              </w:rPr>
              <w:fldChar w:fldCharType="end"/>
            </w:r>
          </w:hyperlink>
        </w:p>
        <w:p w:rsidR="00EE7C3F" w:rsidRDefault="00F81407">
          <w:pPr>
            <w:pStyle w:val="TOC2"/>
            <w:rPr>
              <w:rFonts w:asciiTheme="minorHAnsi" w:eastAsiaTheme="minorEastAsia" w:hAnsiTheme="minorHAnsi" w:cstheme="minorBidi"/>
              <w:noProof/>
              <w:sz w:val="22"/>
              <w:szCs w:val="22"/>
              <w:lang w:eastAsia="bg-BG" w:bidi="ar-SA"/>
            </w:rPr>
          </w:pPr>
          <w:hyperlink w:anchor="_Toc408234930" w:history="1">
            <w:r w:rsidR="00EE7C3F" w:rsidRPr="00F825A6">
              <w:rPr>
                <w:rStyle w:val="Hyperlink"/>
                <w:noProof/>
              </w:rPr>
              <w:t xml:space="preserve">5.6 </w:t>
            </w:r>
            <w:r w:rsidR="00EE7C3F">
              <w:rPr>
                <w:rFonts w:asciiTheme="minorHAnsi" w:eastAsiaTheme="minorEastAsia" w:hAnsiTheme="minorHAnsi" w:cstheme="minorBidi"/>
                <w:noProof/>
                <w:sz w:val="22"/>
                <w:szCs w:val="22"/>
                <w:lang w:eastAsia="bg-BG" w:bidi="ar-SA"/>
              </w:rPr>
              <w:tab/>
            </w:r>
            <w:r w:rsidR="00EE7C3F" w:rsidRPr="00F825A6">
              <w:rPr>
                <w:rStyle w:val="Hyperlink"/>
                <w:noProof/>
              </w:rPr>
              <w:t>Използване на еврото</w:t>
            </w:r>
            <w:r w:rsidR="00EE7C3F">
              <w:rPr>
                <w:noProof/>
                <w:webHidden/>
              </w:rPr>
              <w:tab/>
            </w:r>
            <w:r w:rsidR="00EE7C3F">
              <w:rPr>
                <w:noProof/>
                <w:webHidden/>
              </w:rPr>
              <w:fldChar w:fldCharType="begin"/>
            </w:r>
            <w:r w:rsidR="00EE7C3F">
              <w:rPr>
                <w:noProof/>
                <w:webHidden/>
              </w:rPr>
              <w:instrText xml:space="preserve"> PAGEREF _Toc408234930 \h </w:instrText>
            </w:r>
            <w:r w:rsidR="00EE7C3F">
              <w:rPr>
                <w:noProof/>
                <w:webHidden/>
              </w:rPr>
            </w:r>
            <w:r w:rsidR="00EE7C3F">
              <w:rPr>
                <w:noProof/>
                <w:webHidden/>
              </w:rPr>
              <w:fldChar w:fldCharType="separate"/>
            </w:r>
            <w:r w:rsidR="00A628D6">
              <w:rPr>
                <w:noProof/>
                <w:webHidden/>
              </w:rPr>
              <w:t>93</w:t>
            </w:r>
            <w:r w:rsidR="00EE7C3F">
              <w:rPr>
                <w:noProof/>
                <w:webHidden/>
              </w:rPr>
              <w:fldChar w:fldCharType="end"/>
            </w:r>
          </w:hyperlink>
        </w:p>
        <w:p w:rsidR="00EE7C3F" w:rsidRDefault="00F81407">
          <w:pPr>
            <w:pStyle w:val="TOC2"/>
            <w:rPr>
              <w:rFonts w:asciiTheme="minorHAnsi" w:eastAsiaTheme="minorEastAsia" w:hAnsiTheme="minorHAnsi" w:cstheme="minorBidi"/>
              <w:noProof/>
              <w:sz w:val="22"/>
              <w:szCs w:val="22"/>
              <w:lang w:eastAsia="bg-BG" w:bidi="ar-SA"/>
            </w:rPr>
          </w:pPr>
          <w:hyperlink w:anchor="_Toc408234931" w:history="1">
            <w:r w:rsidR="00EE7C3F" w:rsidRPr="00F825A6">
              <w:rPr>
                <w:rStyle w:val="Hyperlink"/>
                <w:noProof/>
              </w:rPr>
              <w:t>5.7</w:t>
            </w:r>
            <w:r w:rsidR="00EE7C3F">
              <w:rPr>
                <w:rFonts w:asciiTheme="minorHAnsi" w:eastAsiaTheme="minorEastAsia" w:hAnsiTheme="minorHAnsi" w:cstheme="minorBidi"/>
                <w:noProof/>
                <w:sz w:val="22"/>
                <w:szCs w:val="22"/>
                <w:lang w:eastAsia="bg-BG" w:bidi="ar-SA"/>
              </w:rPr>
              <w:tab/>
            </w:r>
            <w:r w:rsidR="00EE7C3F" w:rsidRPr="00F825A6">
              <w:rPr>
                <w:rStyle w:val="Hyperlink"/>
                <w:noProof/>
              </w:rPr>
              <w:t>Участие на партньорите</w:t>
            </w:r>
            <w:r w:rsidR="00EE7C3F">
              <w:rPr>
                <w:noProof/>
                <w:webHidden/>
              </w:rPr>
              <w:tab/>
            </w:r>
            <w:r w:rsidR="00EE7C3F">
              <w:rPr>
                <w:noProof/>
                <w:webHidden/>
              </w:rPr>
              <w:fldChar w:fldCharType="begin"/>
            </w:r>
            <w:r w:rsidR="00EE7C3F">
              <w:rPr>
                <w:noProof/>
                <w:webHidden/>
              </w:rPr>
              <w:instrText xml:space="preserve"> PAGEREF _Toc408234931 \h </w:instrText>
            </w:r>
            <w:r w:rsidR="00EE7C3F">
              <w:rPr>
                <w:noProof/>
                <w:webHidden/>
              </w:rPr>
            </w:r>
            <w:r w:rsidR="00EE7C3F">
              <w:rPr>
                <w:noProof/>
                <w:webHidden/>
              </w:rPr>
              <w:fldChar w:fldCharType="separate"/>
            </w:r>
            <w:r w:rsidR="00A628D6">
              <w:rPr>
                <w:noProof/>
                <w:webHidden/>
              </w:rPr>
              <w:t>93</w:t>
            </w:r>
            <w:r w:rsidR="00EE7C3F">
              <w:rPr>
                <w:noProof/>
                <w:webHidden/>
              </w:rPr>
              <w:fldChar w:fldCharType="end"/>
            </w:r>
          </w:hyperlink>
        </w:p>
        <w:p w:rsidR="00EE7C3F" w:rsidRPr="00717930" w:rsidRDefault="00F81407">
          <w:pPr>
            <w:pStyle w:val="TOC1"/>
            <w:tabs>
              <w:tab w:val="left" w:pos="1300"/>
            </w:tabs>
            <w:rPr>
              <w:rFonts w:asciiTheme="minorHAnsi" w:eastAsiaTheme="minorEastAsia" w:hAnsiTheme="minorHAnsi" w:cstheme="minorBidi"/>
              <w:b/>
              <w:noProof/>
              <w:sz w:val="22"/>
              <w:szCs w:val="22"/>
              <w:lang w:eastAsia="bg-BG" w:bidi="ar-SA"/>
            </w:rPr>
          </w:pPr>
          <w:hyperlink w:anchor="_Toc408234932" w:history="1">
            <w:r w:rsidR="00EE7C3F" w:rsidRPr="00717930">
              <w:rPr>
                <w:rStyle w:val="Hyperlink"/>
                <w:b/>
                <w:noProof/>
              </w:rPr>
              <w:t>РАЗДЕЛ 6</w:t>
            </w:r>
            <w:r w:rsidR="00EE7C3F" w:rsidRPr="00717930">
              <w:rPr>
                <w:rFonts w:asciiTheme="minorHAnsi" w:eastAsiaTheme="minorEastAsia" w:hAnsiTheme="minorHAnsi" w:cstheme="minorBidi"/>
                <w:b/>
                <w:noProof/>
                <w:sz w:val="22"/>
                <w:szCs w:val="22"/>
                <w:lang w:eastAsia="bg-BG" w:bidi="ar-SA"/>
              </w:rPr>
              <w:tab/>
            </w:r>
            <w:r w:rsidR="00EE7C3F" w:rsidRPr="00717930">
              <w:rPr>
                <w:rStyle w:val="Hyperlink"/>
                <w:b/>
                <w:noProof/>
              </w:rPr>
              <w:t>Хоризонтални принципи</w:t>
            </w:r>
            <w:r w:rsidR="00EE7C3F" w:rsidRPr="00717930">
              <w:rPr>
                <w:b/>
                <w:noProof/>
                <w:webHidden/>
              </w:rPr>
              <w:tab/>
            </w:r>
            <w:r w:rsidR="00EE7C3F" w:rsidRPr="00717930">
              <w:rPr>
                <w:b/>
                <w:noProof/>
                <w:webHidden/>
              </w:rPr>
              <w:fldChar w:fldCharType="begin"/>
            </w:r>
            <w:r w:rsidR="00EE7C3F" w:rsidRPr="00717930">
              <w:rPr>
                <w:b/>
                <w:noProof/>
                <w:webHidden/>
              </w:rPr>
              <w:instrText xml:space="preserve"> PAGEREF _Toc408234932 \h </w:instrText>
            </w:r>
            <w:r w:rsidR="00EE7C3F" w:rsidRPr="00717930">
              <w:rPr>
                <w:b/>
                <w:noProof/>
                <w:webHidden/>
              </w:rPr>
            </w:r>
            <w:r w:rsidR="00EE7C3F" w:rsidRPr="00717930">
              <w:rPr>
                <w:b/>
                <w:noProof/>
                <w:webHidden/>
              </w:rPr>
              <w:fldChar w:fldCharType="separate"/>
            </w:r>
            <w:r w:rsidR="00A628D6">
              <w:rPr>
                <w:b/>
                <w:noProof/>
                <w:webHidden/>
              </w:rPr>
              <w:t>96</w:t>
            </w:r>
            <w:r w:rsidR="00EE7C3F" w:rsidRPr="00717930">
              <w:rPr>
                <w:b/>
                <w:noProof/>
                <w:webHidden/>
              </w:rPr>
              <w:fldChar w:fldCharType="end"/>
            </w:r>
          </w:hyperlink>
        </w:p>
        <w:p w:rsidR="00EE7C3F" w:rsidRDefault="00F81407">
          <w:pPr>
            <w:pStyle w:val="TOC2"/>
            <w:rPr>
              <w:rFonts w:asciiTheme="minorHAnsi" w:eastAsiaTheme="minorEastAsia" w:hAnsiTheme="minorHAnsi" w:cstheme="minorBidi"/>
              <w:noProof/>
              <w:sz w:val="22"/>
              <w:szCs w:val="22"/>
              <w:lang w:eastAsia="bg-BG" w:bidi="ar-SA"/>
            </w:rPr>
          </w:pPr>
          <w:hyperlink w:anchor="_Toc408234933" w:history="1">
            <w:r w:rsidR="00EE7C3F" w:rsidRPr="00F825A6">
              <w:rPr>
                <w:rStyle w:val="Hyperlink"/>
                <w:noProof/>
              </w:rPr>
              <w:t>6.1</w:t>
            </w:r>
            <w:r w:rsidR="002F71D4">
              <w:rPr>
                <w:rStyle w:val="Hyperlink"/>
                <w:noProof/>
              </w:rPr>
              <w:tab/>
            </w:r>
            <w:r w:rsidR="00EE7C3F" w:rsidRPr="00F825A6">
              <w:rPr>
                <w:rStyle w:val="Hyperlink"/>
                <w:noProof/>
              </w:rPr>
              <w:t xml:space="preserve"> Устойчиво развитие</w:t>
            </w:r>
            <w:r w:rsidR="00EE7C3F">
              <w:rPr>
                <w:noProof/>
                <w:webHidden/>
              </w:rPr>
              <w:tab/>
            </w:r>
            <w:r w:rsidR="00EE7C3F">
              <w:rPr>
                <w:noProof/>
                <w:webHidden/>
              </w:rPr>
              <w:fldChar w:fldCharType="begin"/>
            </w:r>
            <w:r w:rsidR="00EE7C3F">
              <w:rPr>
                <w:noProof/>
                <w:webHidden/>
              </w:rPr>
              <w:instrText xml:space="preserve"> PAGEREF _Toc408234933 \h </w:instrText>
            </w:r>
            <w:r w:rsidR="00EE7C3F">
              <w:rPr>
                <w:noProof/>
                <w:webHidden/>
              </w:rPr>
            </w:r>
            <w:r w:rsidR="00EE7C3F">
              <w:rPr>
                <w:noProof/>
                <w:webHidden/>
              </w:rPr>
              <w:fldChar w:fldCharType="separate"/>
            </w:r>
            <w:r w:rsidR="00A628D6">
              <w:rPr>
                <w:noProof/>
                <w:webHidden/>
              </w:rPr>
              <w:t>96</w:t>
            </w:r>
            <w:r w:rsidR="00EE7C3F">
              <w:rPr>
                <w:noProof/>
                <w:webHidden/>
              </w:rPr>
              <w:fldChar w:fldCharType="end"/>
            </w:r>
          </w:hyperlink>
        </w:p>
        <w:p w:rsidR="00EE7C3F" w:rsidRDefault="00F81407">
          <w:pPr>
            <w:pStyle w:val="TOC2"/>
            <w:rPr>
              <w:rFonts w:asciiTheme="minorHAnsi" w:eastAsiaTheme="minorEastAsia" w:hAnsiTheme="minorHAnsi" w:cstheme="minorBidi"/>
              <w:noProof/>
              <w:sz w:val="22"/>
              <w:szCs w:val="22"/>
              <w:lang w:eastAsia="bg-BG" w:bidi="ar-SA"/>
            </w:rPr>
          </w:pPr>
          <w:hyperlink w:anchor="_Toc408234934" w:history="1">
            <w:r w:rsidR="00EE7C3F" w:rsidRPr="00F825A6">
              <w:rPr>
                <w:rStyle w:val="Hyperlink"/>
                <w:noProof/>
              </w:rPr>
              <w:t xml:space="preserve">6.2 </w:t>
            </w:r>
            <w:r w:rsidR="002F71D4">
              <w:rPr>
                <w:rStyle w:val="Hyperlink"/>
                <w:noProof/>
              </w:rPr>
              <w:tab/>
            </w:r>
            <w:r w:rsidR="00EE7C3F" w:rsidRPr="00F825A6">
              <w:rPr>
                <w:rStyle w:val="Hyperlink"/>
                <w:noProof/>
              </w:rPr>
              <w:t>Равни възможности и недопускане на дискриминация</w:t>
            </w:r>
            <w:r w:rsidR="00EE7C3F">
              <w:rPr>
                <w:noProof/>
                <w:webHidden/>
              </w:rPr>
              <w:tab/>
            </w:r>
            <w:r w:rsidR="00EE7C3F">
              <w:rPr>
                <w:noProof/>
                <w:webHidden/>
              </w:rPr>
              <w:fldChar w:fldCharType="begin"/>
            </w:r>
            <w:r w:rsidR="00EE7C3F">
              <w:rPr>
                <w:noProof/>
                <w:webHidden/>
              </w:rPr>
              <w:instrText xml:space="preserve"> PAGEREF _Toc408234934 \h </w:instrText>
            </w:r>
            <w:r w:rsidR="00EE7C3F">
              <w:rPr>
                <w:noProof/>
                <w:webHidden/>
              </w:rPr>
            </w:r>
            <w:r w:rsidR="00EE7C3F">
              <w:rPr>
                <w:noProof/>
                <w:webHidden/>
              </w:rPr>
              <w:fldChar w:fldCharType="separate"/>
            </w:r>
            <w:r w:rsidR="00A628D6">
              <w:rPr>
                <w:noProof/>
                <w:webHidden/>
              </w:rPr>
              <w:t>98</w:t>
            </w:r>
            <w:r w:rsidR="00EE7C3F">
              <w:rPr>
                <w:noProof/>
                <w:webHidden/>
              </w:rPr>
              <w:fldChar w:fldCharType="end"/>
            </w:r>
          </w:hyperlink>
        </w:p>
        <w:p w:rsidR="00EE7C3F" w:rsidRDefault="00F81407">
          <w:pPr>
            <w:pStyle w:val="TOC2"/>
            <w:rPr>
              <w:rFonts w:asciiTheme="minorHAnsi" w:eastAsiaTheme="minorEastAsia" w:hAnsiTheme="minorHAnsi" w:cstheme="minorBidi"/>
              <w:noProof/>
              <w:sz w:val="22"/>
              <w:szCs w:val="22"/>
              <w:lang w:eastAsia="bg-BG" w:bidi="ar-SA"/>
            </w:rPr>
          </w:pPr>
          <w:hyperlink w:anchor="_Toc408234935" w:history="1">
            <w:r w:rsidR="00EE7C3F" w:rsidRPr="00F825A6">
              <w:rPr>
                <w:rStyle w:val="Hyperlink"/>
                <w:noProof/>
              </w:rPr>
              <w:t xml:space="preserve">6.3 </w:t>
            </w:r>
            <w:r w:rsidR="002F71D4">
              <w:rPr>
                <w:rStyle w:val="Hyperlink"/>
                <w:noProof/>
              </w:rPr>
              <w:tab/>
            </w:r>
            <w:r w:rsidR="00EE7C3F" w:rsidRPr="00F825A6">
              <w:rPr>
                <w:rStyle w:val="Hyperlink"/>
                <w:noProof/>
              </w:rPr>
              <w:t>Равенство между мъжете и жените</w:t>
            </w:r>
            <w:r w:rsidR="00EE7C3F">
              <w:rPr>
                <w:noProof/>
                <w:webHidden/>
              </w:rPr>
              <w:tab/>
            </w:r>
            <w:r w:rsidR="00EE7C3F">
              <w:rPr>
                <w:noProof/>
                <w:webHidden/>
              </w:rPr>
              <w:fldChar w:fldCharType="begin"/>
            </w:r>
            <w:r w:rsidR="00EE7C3F">
              <w:rPr>
                <w:noProof/>
                <w:webHidden/>
              </w:rPr>
              <w:instrText xml:space="preserve"> PAGEREF _Toc408234935 \h </w:instrText>
            </w:r>
            <w:r w:rsidR="00EE7C3F">
              <w:rPr>
                <w:noProof/>
                <w:webHidden/>
              </w:rPr>
            </w:r>
            <w:r w:rsidR="00EE7C3F">
              <w:rPr>
                <w:noProof/>
                <w:webHidden/>
              </w:rPr>
              <w:fldChar w:fldCharType="separate"/>
            </w:r>
            <w:r w:rsidR="00A628D6">
              <w:rPr>
                <w:noProof/>
                <w:webHidden/>
              </w:rPr>
              <w:t>100</w:t>
            </w:r>
            <w:r w:rsidR="00EE7C3F">
              <w:rPr>
                <w:noProof/>
                <w:webHidden/>
              </w:rPr>
              <w:fldChar w:fldCharType="end"/>
            </w:r>
          </w:hyperlink>
        </w:p>
        <w:p w:rsidR="00A628D6" w:rsidRDefault="00B07D03">
          <w:pPr>
            <w:rPr>
              <w:b/>
              <w:bCs/>
              <w:noProof/>
            </w:rPr>
          </w:pPr>
          <w:r>
            <w:rPr>
              <w:b/>
              <w:bCs/>
              <w:noProof/>
            </w:rPr>
            <w:fldChar w:fldCharType="end"/>
          </w:r>
        </w:p>
        <w:p w:rsidR="00A85EB3" w:rsidRDefault="00F81407"/>
      </w:sdtContent>
    </w:sd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5103"/>
      </w:tblGrid>
      <w:tr w:rsidR="00FB701A" w:rsidRPr="00981F6F" w:rsidTr="008605D2">
        <w:trPr>
          <w:trHeight w:val="222"/>
          <w:jc w:val="center"/>
        </w:trPr>
        <w:tc>
          <w:tcPr>
            <w:tcW w:w="2943" w:type="dxa"/>
            <w:shd w:val="clear" w:color="auto" w:fill="auto"/>
          </w:tcPr>
          <w:p w:rsidR="00A85EB3" w:rsidRDefault="00B07D03">
            <w:pPr>
              <w:spacing w:after="0"/>
              <w:rPr>
                <w:rFonts w:eastAsia="Times New Roman"/>
                <w:lang w:val="en-US"/>
              </w:rPr>
            </w:pPr>
            <w:r>
              <w:rPr>
                <w:rFonts w:eastAsia="Times New Roman"/>
              </w:rPr>
              <w:t>CCI:</w:t>
            </w:r>
          </w:p>
        </w:tc>
        <w:tc>
          <w:tcPr>
            <w:tcW w:w="5103" w:type="dxa"/>
            <w:shd w:val="clear" w:color="auto" w:fill="auto"/>
            <w:vAlign w:val="bottom"/>
          </w:tcPr>
          <w:p w:rsidR="00A85EB3" w:rsidRPr="008605D2" w:rsidRDefault="008605D2" w:rsidP="008605D2">
            <w:pPr>
              <w:pStyle w:val="Default"/>
              <w:rPr>
                <w:sz w:val="23"/>
                <w:szCs w:val="23"/>
                <w:lang w:val="bg-BG"/>
              </w:rPr>
            </w:pPr>
            <w:r>
              <w:rPr>
                <w:sz w:val="23"/>
                <w:szCs w:val="23"/>
              </w:rPr>
              <w:t xml:space="preserve">2014TC16I5CB005 </w:t>
            </w:r>
          </w:p>
        </w:tc>
      </w:tr>
      <w:tr w:rsidR="00FB701A" w:rsidRPr="00981F6F" w:rsidTr="00BA29D4">
        <w:trPr>
          <w:trHeight w:val="269"/>
          <w:jc w:val="center"/>
        </w:trPr>
        <w:tc>
          <w:tcPr>
            <w:tcW w:w="2943" w:type="dxa"/>
            <w:shd w:val="clear" w:color="auto" w:fill="auto"/>
          </w:tcPr>
          <w:p w:rsidR="00A85EB3" w:rsidRDefault="00B07D03" w:rsidP="002F71D4">
            <w:pPr>
              <w:spacing w:after="0"/>
              <w:jc w:val="left"/>
              <w:rPr>
                <w:rFonts w:eastAsia="Times New Roman"/>
                <w:lang w:val="en-US"/>
              </w:rPr>
            </w:pPr>
            <w:r>
              <w:rPr>
                <w:rFonts w:eastAsia="Times New Roman"/>
              </w:rPr>
              <w:t>Наименование</w:t>
            </w:r>
          </w:p>
        </w:tc>
        <w:tc>
          <w:tcPr>
            <w:tcW w:w="5103" w:type="dxa"/>
            <w:shd w:val="clear" w:color="auto" w:fill="auto"/>
          </w:tcPr>
          <w:p w:rsidR="00A85EB3" w:rsidRDefault="00B07D03">
            <w:pPr>
              <w:spacing w:after="0"/>
              <w:rPr>
                <w:rFonts w:eastAsia="Times New Roman"/>
                <w:szCs w:val="24"/>
                <w:lang w:val="en-US"/>
              </w:rPr>
            </w:pPr>
            <w:r>
              <w:rPr>
                <w:szCs w:val="24"/>
                <w:lang w:eastAsia="en-US"/>
              </w:rPr>
              <w:t>Програма за ТГС по ИПП България – Турция 2014 – 2020 г.</w:t>
            </w:r>
          </w:p>
        </w:tc>
      </w:tr>
      <w:tr w:rsidR="00FB701A" w:rsidRPr="00981F6F" w:rsidTr="00BA29D4">
        <w:trPr>
          <w:trHeight w:val="138"/>
          <w:jc w:val="center"/>
        </w:trPr>
        <w:tc>
          <w:tcPr>
            <w:tcW w:w="2943" w:type="dxa"/>
            <w:shd w:val="clear" w:color="auto" w:fill="auto"/>
          </w:tcPr>
          <w:p w:rsidR="00A85EB3" w:rsidRDefault="00B07D03" w:rsidP="002F71D4">
            <w:pPr>
              <w:spacing w:after="0"/>
              <w:jc w:val="left"/>
              <w:rPr>
                <w:rFonts w:eastAsia="Times New Roman"/>
                <w:lang w:val="en-US"/>
              </w:rPr>
            </w:pPr>
            <w:r>
              <w:rPr>
                <w:rFonts w:eastAsia="Times New Roman"/>
              </w:rPr>
              <w:t>Вариант</w:t>
            </w:r>
          </w:p>
        </w:tc>
        <w:tc>
          <w:tcPr>
            <w:tcW w:w="5103" w:type="dxa"/>
            <w:shd w:val="clear" w:color="auto" w:fill="auto"/>
          </w:tcPr>
          <w:p w:rsidR="00A85EB3" w:rsidRDefault="00A85EB3">
            <w:pPr>
              <w:spacing w:after="0"/>
              <w:rPr>
                <w:rFonts w:eastAsia="Times New Roman"/>
                <w:szCs w:val="24"/>
                <w:lang w:val="en-US"/>
              </w:rPr>
            </w:pPr>
          </w:p>
        </w:tc>
      </w:tr>
      <w:tr w:rsidR="00FB701A" w:rsidRPr="00981F6F" w:rsidTr="00BA29D4">
        <w:trPr>
          <w:jc w:val="center"/>
        </w:trPr>
        <w:tc>
          <w:tcPr>
            <w:tcW w:w="2943" w:type="dxa"/>
            <w:shd w:val="clear" w:color="auto" w:fill="auto"/>
          </w:tcPr>
          <w:p w:rsidR="00A85EB3" w:rsidRDefault="00B07D03" w:rsidP="002F71D4">
            <w:pPr>
              <w:spacing w:after="0"/>
              <w:jc w:val="left"/>
              <w:rPr>
                <w:rFonts w:eastAsia="Times New Roman"/>
                <w:lang w:val="en-US"/>
              </w:rPr>
            </w:pPr>
            <w:r>
              <w:rPr>
                <w:rFonts w:eastAsia="Times New Roman"/>
              </w:rPr>
              <w:t>Първа година</w:t>
            </w:r>
          </w:p>
        </w:tc>
        <w:tc>
          <w:tcPr>
            <w:tcW w:w="5103" w:type="dxa"/>
            <w:shd w:val="clear" w:color="auto" w:fill="auto"/>
          </w:tcPr>
          <w:p w:rsidR="00A85EB3" w:rsidRDefault="00B07D03">
            <w:pPr>
              <w:spacing w:after="0"/>
              <w:rPr>
                <w:rFonts w:eastAsia="Times New Roman"/>
                <w:szCs w:val="24"/>
                <w:lang w:val="en-US"/>
              </w:rPr>
            </w:pPr>
            <w:r>
              <w:rPr>
                <w:rFonts w:eastAsia="Times New Roman"/>
                <w:szCs w:val="24"/>
              </w:rPr>
              <w:t>2014</w:t>
            </w:r>
          </w:p>
        </w:tc>
      </w:tr>
      <w:tr w:rsidR="00FB701A" w:rsidRPr="00981F6F" w:rsidTr="00BA29D4">
        <w:trPr>
          <w:jc w:val="center"/>
        </w:trPr>
        <w:tc>
          <w:tcPr>
            <w:tcW w:w="2943" w:type="dxa"/>
            <w:shd w:val="clear" w:color="auto" w:fill="auto"/>
          </w:tcPr>
          <w:p w:rsidR="00A85EB3" w:rsidRDefault="00B07D03" w:rsidP="002F71D4">
            <w:pPr>
              <w:spacing w:after="0"/>
              <w:jc w:val="left"/>
              <w:rPr>
                <w:rFonts w:eastAsia="Times New Roman"/>
                <w:lang w:val="en-US"/>
              </w:rPr>
            </w:pPr>
            <w:r>
              <w:rPr>
                <w:rFonts w:eastAsia="Times New Roman"/>
              </w:rPr>
              <w:t>Последна година</w:t>
            </w:r>
          </w:p>
        </w:tc>
        <w:tc>
          <w:tcPr>
            <w:tcW w:w="5103" w:type="dxa"/>
            <w:shd w:val="clear" w:color="auto" w:fill="auto"/>
          </w:tcPr>
          <w:p w:rsidR="00A85EB3" w:rsidRDefault="00B07D03">
            <w:pPr>
              <w:spacing w:after="0"/>
              <w:rPr>
                <w:rFonts w:eastAsia="Times New Roman"/>
                <w:szCs w:val="24"/>
                <w:lang w:val="en-US"/>
              </w:rPr>
            </w:pPr>
            <w:r>
              <w:rPr>
                <w:rFonts w:eastAsia="Times New Roman"/>
                <w:szCs w:val="24"/>
              </w:rPr>
              <w:t>2023</w:t>
            </w:r>
          </w:p>
        </w:tc>
      </w:tr>
      <w:tr w:rsidR="00FB701A" w:rsidRPr="00981F6F" w:rsidTr="00BA29D4">
        <w:trPr>
          <w:jc w:val="center"/>
        </w:trPr>
        <w:tc>
          <w:tcPr>
            <w:tcW w:w="2943" w:type="dxa"/>
            <w:shd w:val="clear" w:color="auto" w:fill="auto"/>
          </w:tcPr>
          <w:p w:rsidR="00A85EB3" w:rsidRDefault="00B07D03" w:rsidP="002F71D4">
            <w:pPr>
              <w:spacing w:after="0"/>
              <w:jc w:val="left"/>
              <w:rPr>
                <w:rFonts w:eastAsia="Times New Roman"/>
                <w:lang w:val="en-US"/>
              </w:rPr>
            </w:pPr>
            <w:r>
              <w:rPr>
                <w:rFonts w:eastAsia="Times New Roman"/>
              </w:rPr>
              <w:t>Валидна от</w:t>
            </w:r>
          </w:p>
        </w:tc>
        <w:tc>
          <w:tcPr>
            <w:tcW w:w="5103" w:type="dxa"/>
            <w:shd w:val="clear" w:color="auto" w:fill="auto"/>
          </w:tcPr>
          <w:p w:rsidR="00A85EB3" w:rsidRDefault="00B07D03">
            <w:pPr>
              <w:spacing w:after="0"/>
              <w:rPr>
                <w:rFonts w:eastAsia="Times New Roman"/>
                <w:szCs w:val="24"/>
                <w:lang w:val="en-US"/>
              </w:rPr>
            </w:pPr>
            <w:r>
              <w:rPr>
                <w:rFonts w:eastAsia="Times New Roman"/>
                <w:szCs w:val="24"/>
              </w:rPr>
              <w:t>01.</w:t>
            </w:r>
            <w:proofErr w:type="spellStart"/>
            <w:r>
              <w:rPr>
                <w:rFonts w:eastAsia="Times New Roman"/>
                <w:szCs w:val="24"/>
              </w:rPr>
              <w:t>01</w:t>
            </w:r>
            <w:proofErr w:type="spellEnd"/>
            <w:r>
              <w:rPr>
                <w:rFonts w:eastAsia="Times New Roman"/>
                <w:szCs w:val="24"/>
              </w:rPr>
              <w:t>.2014 г.</w:t>
            </w:r>
          </w:p>
        </w:tc>
      </w:tr>
      <w:tr w:rsidR="00FB701A" w:rsidRPr="00981F6F" w:rsidTr="00BA29D4">
        <w:trPr>
          <w:jc w:val="center"/>
        </w:trPr>
        <w:tc>
          <w:tcPr>
            <w:tcW w:w="2943" w:type="dxa"/>
            <w:shd w:val="clear" w:color="auto" w:fill="auto"/>
          </w:tcPr>
          <w:p w:rsidR="00A85EB3" w:rsidRDefault="00B07D03" w:rsidP="002F71D4">
            <w:pPr>
              <w:spacing w:after="0"/>
              <w:jc w:val="left"/>
              <w:rPr>
                <w:rFonts w:eastAsia="Times New Roman"/>
                <w:lang w:val="en-US"/>
              </w:rPr>
            </w:pPr>
            <w:r>
              <w:rPr>
                <w:rFonts w:eastAsia="Times New Roman"/>
              </w:rPr>
              <w:t>Валидна до</w:t>
            </w:r>
          </w:p>
        </w:tc>
        <w:tc>
          <w:tcPr>
            <w:tcW w:w="5103" w:type="dxa"/>
            <w:shd w:val="clear" w:color="auto" w:fill="auto"/>
          </w:tcPr>
          <w:p w:rsidR="00A85EB3" w:rsidRDefault="00B07D03">
            <w:pPr>
              <w:spacing w:after="0"/>
              <w:rPr>
                <w:rFonts w:eastAsia="Times New Roman"/>
                <w:szCs w:val="24"/>
                <w:lang w:val="en-US"/>
              </w:rPr>
            </w:pPr>
            <w:r>
              <w:rPr>
                <w:rFonts w:eastAsia="Times New Roman"/>
                <w:szCs w:val="24"/>
              </w:rPr>
              <w:t>30.12.2023 г.</w:t>
            </w:r>
          </w:p>
        </w:tc>
      </w:tr>
      <w:tr w:rsidR="00FB701A" w:rsidRPr="00981F6F" w:rsidTr="00BA29D4">
        <w:trPr>
          <w:jc w:val="center"/>
        </w:trPr>
        <w:tc>
          <w:tcPr>
            <w:tcW w:w="2943" w:type="dxa"/>
            <w:shd w:val="clear" w:color="auto" w:fill="auto"/>
          </w:tcPr>
          <w:p w:rsidR="00A85EB3" w:rsidRDefault="00B07D03" w:rsidP="002F71D4">
            <w:pPr>
              <w:spacing w:after="0"/>
              <w:jc w:val="left"/>
              <w:rPr>
                <w:rFonts w:eastAsia="Times New Roman"/>
                <w:lang w:val="en-US"/>
              </w:rPr>
            </w:pPr>
            <w:r>
              <w:rPr>
                <w:rFonts w:eastAsia="Times New Roman"/>
              </w:rPr>
              <w:t>№ на решението на ЕК</w:t>
            </w:r>
          </w:p>
        </w:tc>
        <w:tc>
          <w:tcPr>
            <w:tcW w:w="5103" w:type="dxa"/>
            <w:shd w:val="clear" w:color="auto" w:fill="auto"/>
          </w:tcPr>
          <w:p w:rsidR="00A85EB3" w:rsidRDefault="00A85EB3">
            <w:pPr>
              <w:spacing w:after="0"/>
              <w:rPr>
                <w:rFonts w:eastAsia="Times New Roman"/>
                <w:i/>
                <w:color w:val="8DB3E2"/>
                <w:szCs w:val="24"/>
                <w:lang w:val="en-US"/>
              </w:rPr>
            </w:pPr>
          </w:p>
        </w:tc>
      </w:tr>
      <w:tr w:rsidR="00FB701A" w:rsidRPr="00981F6F" w:rsidTr="00BA29D4">
        <w:trPr>
          <w:jc w:val="center"/>
        </w:trPr>
        <w:tc>
          <w:tcPr>
            <w:tcW w:w="2943" w:type="dxa"/>
            <w:shd w:val="clear" w:color="auto" w:fill="auto"/>
          </w:tcPr>
          <w:p w:rsidR="00A85EB3" w:rsidRDefault="00B07D03" w:rsidP="002F71D4">
            <w:pPr>
              <w:spacing w:after="0"/>
              <w:jc w:val="left"/>
              <w:rPr>
                <w:rFonts w:eastAsia="Times New Roman"/>
                <w:lang w:val="en-US"/>
              </w:rPr>
            </w:pPr>
            <w:r>
              <w:rPr>
                <w:rFonts w:eastAsia="Times New Roman"/>
              </w:rPr>
              <w:t>Дата на решението на ЕК</w:t>
            </w:r>
          </w:p>
        </w:tc>
        <w:tc>
          <w:tcPr>
            <w:tcW w:w="5103" w:type="dxa"/>
            <w:shd w:val="clear" w:color="auto" w:fill="auto"/>
          </w:tcPr>
          <w:p w:rsidR="00A85EB3" w:rsidRDefault="00A85EB3">
            <w:pPr>
              <w:spacing w:after="0"/>
              <w:rPr>
                <w:rFonts w:eastAsia="Times New Roman"/>
                <w:i/>
                <w:color w:val="8DB3E2"/>
                <w:szCs w:val="24"/>
                <w:lang w:val="en-US"/>
              </w:rPr>
            </w:pPr>
          </w:p>
        </w:tc>
      </w:tr>
      <w:tr w:rsidR="00FB701A" w:rsidRPr="00981F6F" w:rsidTr="00BA29D4">
        <w:trPr>
          <w:jc w:val="center"/>
        </w:trPr>
        <w:tc>
          <w:tcPr>
            <w:tcW w:w="2943" w:type="dxa"/>
            <w:shd w:val="clear" w:color="auto" w:fill="auto"/>
          </w:tcPr>
          <w:p w:rsidR="00A85EB3" w:rsidRDefault="00B07D03" w:rsidP="002F71D4">
            <w:pPr>
              <w:spacing w:after="0"/>
              <w:jc w:val="left"/>
              <w:rPr>
                <w:rFonts w:eastAsia="Times New Roman"/>
                <w:lang w:val="en-US"/>
              </w:rPr>
            </w:pPr>
            <w:r>
              <w:rPr>
                <w:rFonts w:eastAsia="Times New Roman"/>
              </w:rPr>
              <w:t>№ на решението за изменение на държавата–членка</w:t>
            </w:r>
          </w:p>
        </w:tc>
        <w:tc>
          <w:tcPr>
            <w:tcW w:w="5103" w:type="dxa"/>
            <w:shd w:val="clear" w:color="auto" w:fill="auto"/>
          </w:tcPr>
          <w:p w:rsidR="00A85EB3" w:rsidRDefault="00A85EB3">
            <w:pPr>
              <w:spacing w:after="0"/>
              <w:rPr>
                <w:rFonts w:eastAsia="Times New Roman"/>
                <w:i/>
                <w:color w:val="8DB3E2"/>
                <w:szCs w:val="24"/>
                <w:lang w:val="en-US"/>
              </w:rPr>
            </w:pPr>
          </w:p>
        </w:tc>
      </w:tr>
      <w:tr w:rsidR="00FB701A" w:rsidRPr="00981F6F" w:rsidTr="00BA29D4">
        <w:trPr>
          <w:jc w:val="center"/>
        </w:trPr>
        <w:tc>
          <w:tcPr>
            <w:tcW w:w="2943" w:type="dxa"/>
            <w:shd w:val="clear" w:color="auto" w:fill="auto"/>
          </w:tcPr>
          <w:p w:rsidR="00A85EB3" w:rsidRDefault="00B07D03" w:rsidP="002F71D4">
            <w:pPr>
              <w:spacing w:after="0"/>
              <w:jc w:val="left"/>
              <w:rPr>
                <w:rFonts w:eastAsia="Times New Roman"/>
                <w:lang w:val="en-US"/>
              </w:rPr>
            </w:pPr>
            <w:r>
              <w:rPr>
                <w:rFonts w:eastAsia="Times New Roman"/>
              </w:rPr>
              <w:t>Дата на решението за изменение на държавата–членка</w:t>
            </w:r>
          </w:p>
        </w:tc>
        <w:tc>
          <w:tcPr>
            <w:tcW w:w="5103" w:type="dxa"/>
            <w:shd w:val="clear" w:color="auto" w:fill="auto"/>
          </w:tcPr>
          <w:p w:rsidR="00A85EB3" w:rsidRDefault="00A85EB3">
            <w:pPr>
              <w:spacing w:after="0"/>
              <w:rPr>
                <w:rFonts w:eastAsia="Times New Roman"/>
                <w:i/>
                <w:color w:val="8DB3E2"/>
                <w:szCs w:val="24"/>
                <w:lang w:val="en-US"/>
              </w:rPr>
            </w:pPr>
          </w:p>
        </w:tc>
      </w:tr>
      <w:tr w:rsidR="00FB701A" w:rsidRPr="00981F6F" w:rsidTr="00BA29D4">
        <w:trPr>
          <w:trHeight w:val="163"/>
          <w:jc w:val="center"/>
        </w:trPr>
        <w:tc>
          <w:tcPr>
            <w:tcW w:w="2943" w:type="dxa"/>
            <w:shd w:val="clear" w:color="auto" w:fill="auto"/>
          </w:tcPr>
          <w:p w:rsidR="00A85EB3" w:rsidRDefault="00B07D03" w:rsidP="002F71D4">
            <w:pPr>
              <w:spacing w:after="0"/>
              <w:jc w:val="left"/>
              <w:rPr>
                <w:rFonts w:eastAsia="Times New Roman"/>
                <w:lang w:val="en-US"/>
              </w:rPr>
            </w:pPr>
            <w:r>
              <w:rPr>
                <w:rFonts w:eastAsia="Times New Roman"/>
              </w:rPr>
              <w:t>Дата на влизане в сила на решението за изменение на държавата–членка</w:t>
            </w:r>
          </w:p>
        </w:tc>
        <w:tc>
          <w:tcPr>
            <w:tcW w:w="5103" w:type="dxa"/>
            <w:shd w:val="clear" w:color="auto" w:fill="auto"/>
          </w:tcPr>
          <w:p w:rsidR="00A85EB3" w:rsidRDefault="00A85EB3">
            <w:pPr>
              <w:spacing w:after="0"/>
              <w:rPr>
                <w:rFonts w:eastAsia="Times New Roman"/>
                <w:i/>
                <w:color w:val="8DB3E2"/>
                <w:szCs w:val="24"/>
                <w:lang w:val="en-US"/>
              </w:rPr>
            </w:pPr>
          </w:p>
        </w:tc>
      </w:tr>
      <w:tr w:rsidR="00FB701A" w:rsidRPr="00981F6F" w:rsidTr="00BA29D4">
        <w:trPr>
          <w:trHeight w:val="163"/>
          <w:jc w:val="center"/>
        </w:trPr>
        <w:tc>
          <w:tcPr>
            <w:tcW w:w="2943" w:type="dxa"/>
            <w:shd w:val="clear" w:color="auto" w:fill="auto"/>
          </w:tcPr>
          <w:p w:rsidR="00A85EB3" w:rsidRDefault="00B07D03" w:rsidP="002F71D4">
            <w:pPr>
              <w:spacing w:after="0"/>
              <w:jc w:val="left"/>
              <w:rPr>
                <w:rFonts w:eastAsia="Times New Roman"/>
                <w:lang w:val="en-US"/>
              </w:rPr>
            </w:pPr>
            <w:r>
              <w:rPr>
                <w:rFonts w:eastAsia="Times New Roman"/>
              </w:rPr>
              <w:t>Региони на ниво NUTS ІІІ (или подобни региони в държава–нечленка), включени в програмата за трансгранично сътрудничество</w:t>
            </w:r>
          </w:p>
        </w:tc>
        <w:tc>
          <w:tcPr>
            <w:tcW w:w="5103" w:type="dxa"/>
            <w:shd w:val="clear" w:color="auto" w:fill="auto"/>
          </w:tcPr>
          <w:p w:rsidR="00A85EB3" w:rsidRDefault="00B07D03">
            <w:pPr>
              <w:widowControl w:val="0"/>
              <w:overflowPunct w:val="0"/>
              <w:autoSpaceDE w:val="0"/>
              <w:autoSpaceDN w:val="0"/>
              <w:adjustRightInd w:val="0"/>
              <w:spacing w:before="60" w:after="60"/>
              <w:textAlignment w:val="baseline"/>
              <w:rPr>
                <w:rFonts w:eastAsia="Times New Roman"/>
                <w:szCs w:val="24"/>
                <w:lang w:val="en-US" w:eastAsia="en-US"/>
              </w:rPr>
            </w:pPr>
            <w:r>
              <w:rPr>
                <w:rFonts w:eastAsia="Times New Roman"/>
                <w:szCs w:val="24"/>
                <w:lang w:eastAsia="en-US"/>
              </w:rPr>
              <w:t xml:space="preserve">Република България </w:t>
            </w:r>
          </w:p>
          <w:p w:rsidR="00A85EB3" w:rsidRDefault="00B07D03">
            <w:pPr>
              <w:widowControl w:val="0"/>
              <w:overflowPunct w:val="0"/>
              <w:autoSpaceDE w:val="0"/>
              <w:autoSpaceDN w:val="0"/>
              <w:adjustRightInd w:val="0"/>
              <w:spacing w:before="60" w:after="60"/>
              <w:textAlignment w:val="baseline"/>
              <w:rPr>
                <w:rFonts w:eastAsia="Times New Roman"/>
                <w:szCs w:val="24"/>
                <w:lang w:val="en-US" w:eastAsia="en-US"/>
              </w:rPr>
            </w:pPr>
            <w:r>
              <w:rPr>
                <w:rFonts w:eastAsia="Times New Roman"/>
                <w:szCs w:val="24"/>
                <w:lang w:eastAsia="en-US"/>
              </w:rPr>
              <w:t>Област Бургас, Област Ямбол, Област Хасково</w:t>
            </w:r>
          </w:p>
          <w:p w:rsidR="00A85EB3" w:rsidRDefault="00A85EB3">
            <w:pPr>
              <w:widowControl w:val="0"/>
              <w:overflowPunct w:val="0"/>
              <w:autoSpaceDE w:val="0"/>
              <w:autoSpaceDN w:val="0"/>
              <w:adjustRightInd w:val="0"/>
              <w:spacing w:before="60" w:after="60"/>
              <w:textAlignment w:val="baseline"/>
              <w:rPr>
                <w:rFonts w:eastAsia="Times New Roman"/>
                <w:szCs w:val="24"/>
                <w:lang w:val="en-US" w:eastAsia="en-US"/>
              </w:rPr>
            </w:pPr>
          </w:p>
          <w:p w:rsidR="00A85EB3" w:rsidRDefault="00B07D03">
            <w:pPr>
              <w:widowControl w:val="0"/>
              <w:overflowPunct w:val="0"/>
              <w:autoSpaceDE w:val="0"/>
              <w:autoSpaceDN w:val="0"/>
              <w:adjustRightInd w:val="0"/>
              <w:spacing w:before="60" w:after="60"/>
              <w:textAlignment w:val="baseline"/>
              <w:rPr>
                <w:rFonts w:eastAsia="Times New Roman"/>
                <w:szCs w:val="24"/>
                <w:lang w:val="en-US" w:eastAsia="en-US"/>
              </w:rPr>
            </w:pPr>
            <w:r>
              <w:rPr>
                <w:rFonts w:eastAsia="Times New Roman"/>
                <w:szCs w:val="24"/>
                <w:lang w:eastAsia="en-US"/>
              </w:rPr>
              <w:t xml:space="preserve">Република Турция </w:t>
            </w:r>
          </w:p>
          <w:p w:rsidR="00A85EB3" w:rsidRDefault="00B07D03">
            <w:pPr>
              <w:spacing w:after="0"/>
              <w:rPr>
                <w:rFonts w:eastAsia="Times New Roman"/>
                <w:i/>
                <w:color w:val="8DB3E2"/>
                <w:szCs w:val="24"/>
                <w:lang w:val="en-US"/>
              </w:rPr>
            </w:pPr>
            <w:r>
              <w:rPr>
                <w:rFonts w:eastAsia="Times New Roman"/>
                <w:szCs w:val="24"/>
                <w:lang w:eastAsia="en-US"/>
              </w:rPr>
              <w:t xml:space="preserve">Провинция Одрин, Провинция </w:t>
            </w:r>
            <w:proofErr w:type="spellStart"/>
            <w:r>
              <w:rPr>
                <w:rFonts w:eastAsia="Times New Roman"/>
                <w:szCs w:val="24"/>
                <w:lang w:eastAsia="en-US"/>
              </w:rPr>
              <w:t>Къркларели</w:t>
            </w:r>
            <w:proofErr w:type="spellEnd"/>
          </w:p>
        </w:tc>
      </w:tr>
    </w:tbl>
    <w:p w:rsidR="00A85EB3" w:rsidRDefault="00A85EB3">
      <w:pPr>
        <w:spacing w:after="240"/>
        <w:rPr>
          <w:rFonts w:eastAsia="Times New Roman"/>
          <w:lang w:val="en-US"/>
        </w:rPr>
      </w:pPr>
    </w:p>
    <w:p w:rsidR="00A85EB3" w:rsidRDefault="00B07D03">
      <w:pPr>
        <w:pStyle w:val="Heading1"/>
        <w:numPr>
          <w:ilvl w:val="0"/>
          <w:numId w:val="0"/>
        </w:numPr>
        <w:ind w:left="1418" w:hanging="1418"/>
      </w:pPr>
      <w:r>
        <w:br w:type="page"/>
      </w:r>
      <w:bookmarkStart w:id="0" w:name="_Toc408234885"/>
      <w:r>
        <w:lastRenderedPageBreak/>
        <w:t>РАЗДЕЛ 1</w:t>
      </w:r>
      <w:r>
        <w:tab/>
        <w:t>Стратегия за приноса на Програмата за сътрудничество за избраните тематични приоритети и съответно Споразумение за партньорство и стратегически документ(и) на страните</w:t>
      </w:r>
      <w:bookmarkEnd w:id="0"/>
    </w:p>
    <w:p w:rsidR="00A85EB3" w:rsidRDefault="00B07D03">
      <w:pPr>
        <w:rPr>
          <w:lang w:val="en-US"/>
        </w:rPr>
      </w:pPr>
      <w:r>
        <w:t xml:space="preserve">[Източник: Член 32, Регламент за изпълнение (ЕС) № ..../..... от ХХХХ на Комисията за конкретните правила за изпълнение на Регламент (ЕС) ХХХХ/2014 от </w:t>
      </w:r>
      <w:proofErr w:type="spellStart"/>
      <w:r>
        <w:t>дд</w:t>
      </w:r>
      <w:proofErr w:type="spellEnd"/>
      <w:r>
        <w:t>.мм.2013 година на Европейския парламент и на Съвета за създаване на Инструмент за предприсъединителна помощ (ИПП ІІ)]</w:t>
      </w:r>
    </w:p>
    <w:p w:rsidR="00A85EB3" w:rsidRDefault="00A85EB3">
      <w:pPr>
        <w:rPr>
          <w:lang w:val="en-US"/>
        </w:rPr>
      </w:pPr>
    </w:p>
    <w:p w:rsidR="00A85EB3" w:rsidRDefault="00B07D03">
      <w:pPr>
        <w:pStyle w:val="Heading2"/>
        <w:numPr>
          <w:ilvl w:val="0"/>
          <w:numId w:val="0"/>
        </w:numPr>
        <w:ind w:left="850" w:hanging="850"/>
        <w:rPr>
          <w:lang w:val="en-US" w:eastAsia="fr-BE"/>
        </w:rPr>
      </w:pPr>
      <w:bookmarkStart w:id="1" w:name="_Toc408234886"/>
      <w:r>
        <w:rPr>
          <w:lang w:eastAsia="fr-BE"/>
        </w:rPr>
        <w:t>1.1</w:t>
      </w:r>
      <w:r>
        <w:rPr>
          <w:lang w:eastAsia="fr-BE"/>
        </w:rPr>
        <w:tab/>
        <w:t>Стратегия за приноса на Програмата за сътрудничество за избраните тематични приоритети и съответно Споразумение за партньорство и стратегически документ(и) на страните</w:t>
      </w:r>
      <w:bookmarkEnd w:id="1"/>
      <w:r>
        <w:rPr>
          <w:lang w:eastAsia="fr-BE"/>
        </w:rPr>
        <w:t xml:space="preserve"> </w:t>
      </w:r>
    </w:p>
    <w:p w:rsidR="00A85EB3" w:rsidRDefault="00B07D03">
      <w:pPr>
        <w:pStyle w:val="Heading3"/>
        <w:rPr>
          <w:i w:val="0"/>
          <w:lang w:val="en-US" w:eastAsia="fr-BE"/>
        </w:rPr>
      </w:pPr>
      <w:bookmarkStart w:id="2" w:name="_Toc408234887"/>
      <w:r>
        <w:rPr>
          <w:i w:val="0"/>
          <w:lang w:eastAsia="fr-BE"/>
        </w:rPr>
        <w:t>Описание на стратегията на програмата за сътрудничество за принос за избраните тематични приоритети и съответното Споразумение за партньорство и стратегически документ(и) на страните</w:t>
      </w:r>
      <w:bookmarkEnd w:id="2"/>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B701A" w:rsidRPr="00981F6F" w:rsidTr="00A628D6">
        <w:trPr>
          <w:trHeight w:val="996"/>
        </w:trPr>
        <w:tc>
          <w:tcPr>
            <w:tcW w:w="9072" w:type="dxa"/>
            <w:shd w:val="clear" w:color="auto" w:fill="auto"/>
          </w:tcPr>
          <w:p w:rsidR="00A85EB3" w:rsidRDefault="00B07D03">
            <w:pPr>
              <w:spacing w:before="360" w:line="269" w:lineRule="auto"/>
              <w:jc w:val="left"/>
              <w:rPr>
                <w:rFonts w:eastAsia="Times New Roman"/>
                <w:b/>
                <w:smallCaps/>
                <w:noProof/>
                <w:spacing w:val="20"/>
                <w:szCs w:val="24"/>
                <w:lang w:val="en-US"/>
              </w:rPr>
            </w:pPr>
            <w:r>
              <w:rPr>
                <w:rFonts w:eastAsia="Times New Roman"/>
                <w:b/>
                <w:smallCaps/>
                <w:noProof/>
                <w:spacing w:val="20"/>
                <w:szCs w:val="24"/>
              </w:rPr>
              <w:t>Контекст на стратегическата политика</w:t>
            </w:r>
          </w:p>
          <w:p w:rsidR="00A85EB3" w:rsidRDefault="00B07D03">
            <w:pPr>
              <w:widowControl w:val="0"/>
              <w:spacing w:line="269" w:lineRule="auto"/>
              <w:rPr>
                <w:rFonts w:eastAsia="Times New Roman"/>
                <w:noProof/>
                <w:szCs w:val="24"/>
                <w:lang w:val="en-US" w:eastAsia="ar-SA"/>
              </w:rPr>
            </w:pPr>
            <w:r>
              <w:rPr>
                <w:rFonts w:eastAsia="Times New Roman"/>
                <w:noProof/>
                <w:szCs w:val="24"/>
                <w:lang w:eastAsia="ar-SA"/>
              </w:rPr>
              <w:t xml:space="preserve">Програмата за ТГС по ИПП България – Турция (2014–2020 г.) е създадена в рамките на европейската стратегия за интелигентен, устойчив и приобщаващ растеж и съответните национални стратегически документи. Основната политическа рамка на европейско, макрорегионално и национално равнище е отразена в програмата както следва: </w:t>
            </w:r>
          </w:p>
          <w:p w:rsidR="00A85EB3" w:rsidRDefault="00B07D03">
            <w:pPr>
              <w:widowControl w:val="0"/>
              <w:numPr>
                <w:ilvl w:val="0"/>
                <w:numId w:val="54"/>
              </w:numPr>
              <w:autoSpaceDE w:val="0"/>
              <w:autoSpaceDN w:val="0"/>
              <w:adjustRightInd w:val="0"/>
              <w:spacing w:before="0" w:after="0" w:line="269" w:lineRule="auto"/>
              <w:jc w:val="left"/>
              <w:rPr>
                <w:rFonts w:eastAsia="Times New Roman"/>
                <w:b/>
                <w:noProof/>
                <w:szCs w:val="24"/>
                <w:lang w:val="en-US"/>
              </w:rPr>
            </w:pPr>
            <w:r>
              <w:rPr>
                <w:rFonts w:eastAsia="Times New Roman"/>
                <w:b/>
                <w:noProof/>
                <w:szCs w:val="24"/>
              </w:rPr>
              <w:t>Стратегията Европа 2020: Европейска стратегия за интелигентен, устойчив и приобщаващ растеж</w:t>
            </w:r>
          </w:p>
          <w:p w:rsidR="00A85EB3" w:rsidRDefault="00B07D03">
            <w:pPr>
              <w:widowControl w:val="0"/>
              <w:spacing w:line="269" w:lineRule="auto"/>
              <w:rPr>
                <w:rFonts w:eastAsia="Times New Roman"/>
                <w:b/>
                <w:i/>
                <w:noProof/>
                <w:szCs w:val="24"/>
                <w:lang w:val="en-US" w:eastAsia="ar-SA"/>
              </w:rPr>
            </w:pPr>
            <w:r>
              <w:rPr>
                <w:rFonts w:eastAsia="Times New Roman"/>
                <w:noProof/>
                <w:szCs w:val="24"/>
                <w:lang w:eastAsia="ar-SA"/>
              </w:rPr>
              <w:t>Стратегията Европа 2020 е обща за европейските институции, държавите–членки и социалните партньори, за да се предприемат необходимите действия за постигане на целите на Европа 2020. В тази стратегия на Съюза са заложени три взаимно допълващи се приоритета – интелигентен, устойчив и приобщаващ растеж. Тези цели изискват съчетание на национални действия и действия на ЕС, като се използва целия обхват на наличните политики и инструменти.</w:t>
            </w:r>
          </w:p>
          <w:p w:rsidR="00A85EB3" w:rsidRDefault="00B07D03">
            <w:pPr>
              <w:widowControl w:val="0"/>
              <w:numPr>
                <w:ilvl w:val="0"/>
                <w:numId w:val="54"/>
              </w:numPr>
              <w:autoSpaceDE w:val="0"/>
              <w:autoSpaceDN w:val="0"/>
              <w:adjustRightInd w:val="0"/>
              <w:spacing w:line="269" w:lineRule="auto"/>
              <w:ind w:left="714" w:hanging="357"/>
              <w:jc w:val="left"/>
              <w:rPr>
                <w:rFonts w:eastAsia="Times New Roman"/>
                <w:b/>
                <w:noProof/>
                <w:szCs w:val="24"/>
                <w:lang w:val="en-US"/>
              </w:rPr>
            </w:pPr>
            <w:r>
              <w:rPr>
                <w:rFonts w:eastAsia="Times New Roman"/>
                <w:b/>
                <w:noProof/>
                <w:szCs w:val="24"/>
              </w:rPr>
              <w:t xml:space="preserve">Стратегията за европейско териториално сътрудничество и ролята на трансграничното сътрудничество </w:t>
            </w:r>
          </w:p>
          <w:p w:rsidR="00A85EB3" w:rsidRDefault="00B07D03">
            <w:pPr>
              <w:widowControl w:val="0"/>
              <w:spacing w:before="0" w:after="0" w:line="269" w:lineRule="auto"/>
              <w:rPr>
                <w:rFonts w:eastAsia="Times New Roman"/>
                <w:noProof/>
                <w:szCs w:val="24"/>
                <w:lang w:val="en-US" w:eastAsia="ar-SA"/>
              </w:rPr>
            </w:pPr>
            <w:r>
              <w:rPr>
                <w:rFonts w:eastAsia="Times New Roman"/>
                <w:noProof/>
                <w:szCs w:val="24"/>
                <w:lang w:eastAsia="ar-SA"/>
              </w:rPr>
              <w:t xml:space="preserve">Европейският териториален дневен ред 2020 определя няколко ключови проблема и потенциала за териториално развитие. Те включват засиленото въздействие на глобализацията, демографските промени, социалното и икономическото изключване, изменението на климата и загубата на биоразнообразие, всички от които имат отношение към програмния регион. В стратегията Европейското териториално сътрудничество (ЕТС) и програмите за ТГС се описват като „... </w:t>
            </w:r>
            <w:r>
              <w:rPr>
                <w:rFonts w:eastAsia="Times New Roman"/>
                <w:i/>
                <w:noProof/>
                <w:szCs w:val="24"/>
                <w:lang w:eastAsia="ar-SA"/>
              </w:rPr>
              <w:t>фактор от ключово значение в глобалната конкуренция</w:t>
            </w:r>
            <w:r>
              <w:rPr>
                <w:rFonts w:eastAsia="Times New Roman"/>
                <w:noProof/>
                <w:szCs w:val="24"/>
                <w:lang w:eastAsia="ar-SA"/>
              </w:rPr>
              <w:t xml:space="preserve"> ... улесняващ по-доброто използване на потенциалите за развитие и опазването на природната среда“. Отправна точка за типологията на резултатите от програмите за сътрудничество са три категории, които разкриват някои аспекти от възлово значение в подхода на ЕТС, а именно: интеграция, инвестиции и резултати, свързани с производителността.</w:t>
            </w:r>
          </w:p>
          <w:p w:rsidR="00A85EB3" w:rsidRDefault="00A85EB3">
            <w:pPr>
              <w:widowControl w:val="0"/>
              <w:spacing w:before="0" w:after="0" w:line="269" w:lineRule="auto"/>
              <w:rPr>
                <w:rFonts w:eastAsia="Times New Roman"/>
                <w:noProof/>
                <w:szCs w:val="24"/>
                <w:lang w:val="en-US" w:eastAsia="ar-SA"/>
              </w:rPr>
            </w:pPr>
          </w:p>
          <w:p w:rsidR="00A85EB3" w:rsidRDefault="00B07D03">
            <w:pPr>
              <w:widowControl w:val="0"/>
              <w:spacing w:before="0" w:line="269" w:lineRule="auto"/>
              <w:rPr>
                <w:rFonts w:eastAsia="Times New Roman"/>
                <w:noProof/>
                <w:szCs w:val="24"/>
                <w:lang w:val="en-US" w:eastAsia="ar-SA"/>
              </w:rPr>
            </w:pPr>
            <w:r>
              <w:rPr>
                <w:rFonts w:eastAsia="Times New Roman"/>
                <w:noProof/>
                <w:szCs w:val="24"/>
                <w:lang w:eastAsia="ar-SA"/>
              </w:rPr>
              <w:t xml:space="preserve">В допълнение, </w:t>
            </w:r>
            <w:r>
              <w:rPr>
                <w:rFonts w:eastAsia="Times New Roman"/>
                <w:b/>
                <w:noProof/>
                <w:szCs w:val="24"/>
                <w:lang w:eastAsia="ar-SA"/>
              </w:rPr>
              <w:t xml:space="preserve">Работният документ на службите на Комисията </w:t>
            </w:r>
            <w:r>
              <w:rPr>
                <w:rFonts w:eastAsia="Times New Roman"/>
                <w:b/>
                <w:i/>
                <w:noProof/>
                <w:szCs w:val="24"/>
                <w:lang w:eastAsia="ar-SA"/>
              </w:rPr>
              <w:t>„Елементи за обща стратегическа рамка 2014–2020 г.“</w:t>
            </w:r>
            <w:r>
              <w:rPr>
                <w:rFonts w:eastAsia="Times New Roman"/>
                <w:noProof/>
                <w:szCs w:val="24"/>
                <w:lang w:eastAsia="ar-SA"/>
              </w:rPr>
              <w:t xml:space="preserve"> описва редица други характеристики на трансграничното сътрудничество: 1) Подкрепа за съвместното управление и насърчаване на общи основни географски характеристики; 2) Постигане на икономии от мащаба за по-ефективни инвестиции в услугите и инфраструктурата;</w:t>
            </w:r>
          </w:p>
          <w:p w:rsidR="00A85EB3" w:rsidRDefault="00B07D03">
            <w:pPr>
              <w:pStyle w:val="ListParagraph"/>
              <w:widowControl w:val="0"/>
              <w:numPr>
                <w:ilvl w:val="0"/>
                <w:numId w:val="54"/>
              </w:numPr>
              <w:spacing w:line="269" w:lineRule="auto"/>
              <w:rPr>
                <w:noProof/>
                <w:szCs w:val="24"/>
                <w:lang w:val="en-US" w:eastAsia="ar-SA"/>
              </w:rPr>
            </w:pPr>
            <w:r>
              <w:rPr>
                <w:b/>
                <w:noProof/>
                <w:szCs w:val="24"/>
              </w:rPr>
              <w:t xml:space="preserve">Стратегически рамки за България 2014–2020 г.: Споразумение за партньорство с ЕС и Стратегии за регионално развитие на регионите от NUTS III  </w:t>
            </w:r>
          </w:p>
          <w:p w:rsidR="00A85EB3" w:rsidRDefault="00B07D03">
            <w:pPr>
              <w:widowControl w:val="0"/>
              <w:spacing w:line="269" w:lineRule="auto"/>
              <w:rPr>
                <w:noProof/>
                <w:szCs w:val="24"/>
                <w:lang w:val="en-US" w:eastAsia="ar-SA"/>
              </w:rPr>
            </w:pPr>
            <w:r>
              <w:rPr>
                <w:noProof/>
                <w:szCs w:val="24"/>
                <w:lang w:eastAsia="ar-SA"/>
              </w:rPr>
              <w:t xml:space="preserve">В Споразумението за партньорство на България е подчертана централната роля на програмите за ТГС, в които страната участва, за приноса към стратегията на ЕС за развитие. Програмите за ТГС трябва също да отчитат значението на насърчаването на заетостта, подобряването на туризма и рекламата на културното наследство, като в същото време се задълбочават връзките между общностите в пограничните региони. Подобряването на системата на околната среда също трябва да се насърчава.  </w:t>
            </w:r>
          </w:p>
          <w:p w:rsidR="00A85EB3" w:rsidRDefault="00B07D03">
            <w:pPr>
              <w:widowControl w:val="0"/>
              <w:spacing w:line="269" w:lineRule="auto"/>
              <w:rPr>
                <w:rFonts w:eastAsia="Times New Roman"/>
                <w:noProof/>
                <w:szCs w:val="24"/>
                <w:lang w:val="en-US" w:eastAsia="ar-SA"/>
              </w:rPr>
            </w:pPr>
            <w:r>
              <w:rPr>
                <w:rFonts w:eastAsia="Times New Roman"/>
                <w:noProof/>
                <w:szCs w:val="24"/>
                <w:lang w:eastAsia="ar-SA"/>
              </w:rPr>
              <w:t xml:space="preserve">В трите Стратегии за регионално развитие на регионите от NUTS III за периода 2014 – 2020 година на области Хасково, Ямбол и Бургас туризмът и всички аспекти на опазването на природата са избрани като ключови области за развитие през следващия програмен период, включително в трансграничен аспект.  </w:t>
            </w:r>
          </w:p>
          <w:p w:rsidR="00A85EB3" w:rsidRDefault="00B07D03">
            <w:pPr>
              <w:widowControl w:val="0"/>
              <w:numPr>
                <w:ilvl w:val="0"/>
                <w:numId w:val="54"/>
              </w:numPr>
              <w:autoSpaceDE w:val="0"/>
              <w:autoSpaceDN w:val="0"/>
              <w:adjustRightInd w:val="0"/>
              <w:spacing w:before="0" w:after="0" w:line="276" w:lineRule="auto"/>
              <w:jc w:val="left"/>
              <w:rPr>
                <w:rFonts w:eastAsia="Times New Roman"/>
                <w:b/>
                <w:szCs w:val="24"/>
                <w:lang w:val="en-US"/>
              </w:rPr>
            </w:pPr>
            <w:r>
              <w:rPr>
                <w:rFonts w:eastAsia="Times New Roman"/>
                <w:b/>
                <w:noProof/>
                <w:szCs w:val="24"/>
              </w:rPr>
              <w:t>Стратегически рамки Турция: Стратегия за Турция 2014–2020 г. и План за регионално развитие на Тракия 2014–2023 г.</w:t>
            </w:r>
          </w:p>
          <w:p w:rsidR="00A85EB3" w:rsidRDefault="00B07D03">
            <w:pPr>
              <w:spacing w:line="276" w:lineRule="auto"/>
              <w:rPr>
                <w:rFonts w:eastAsia="Times New Roman"/>
                <w:i/>
                <w:color w:val="0C000F"/>
                <w:szCs w:val="24"/>
                <w:shd w:val="clear" w:color="auto" w:fill="FFFFFF"/>
                <w:lang w:val="en-US"/>
              </w:rPr>
            </w:pPr>
            <w:r>
              <w:rPr>
                <w:rFonts w:eastAsia="Times New Roman"/>
                <w:szCs w:val="24"/>
              </w:rPr>
              <w:t xml:space="preserve">Целта на предприсъединителната помощ ще бъде да насърчи териториалното сътрудничество с оглед укрепване на трансграничното, транснационалното сътрудничество, насърчаване на социално-икономическото развитие на граничните райони, както и развитие на подходящ административен капацитет на местно и регионално равнище чрез участие на страните бенефициенти в трансгранични дейности: </w:t>
            </w:r>
            <w:r>
              <w:rPr>
                <w:rFonts w:eastAsia="Times New Roman"/>
                <w:color w:val="0C000F"/>
                <w:szCs w:val="24"/>
                <w:shd w:val="clear" w:color="auto" w:fill="FFFFFF"/>
              </w:rPr>
              <w:t>„</w:t>
            </w:r>
            <w:r>
              <w:rPr>
                <w:rFonts w:eastAsia="Times New Roman"/>
                <w:i/>
                <w:color w:val="0C000F"/>
                <w:szCs w:val="24"/>
                <w:shd w:val="clear" w:color="auto" w:fill="FFFFFF"/>
              </w:rPr>
              <w:t>Ключова цел на Програмата за трансгранично сътрудничество България – Турция е да се справи с липсата на конкурентоспособност в социално-икономическото развитие в съответния регион спрямо равнището на развитие в ЕС. Друга цел е да се справи с общи предизвикателства в областта на околната среда и опазването на природата, както и във връзка с трансграничните извънредни ситуации.“</w:t>
            </w:r>
            <w:r>
              <w:rPr>
                <w:rFonts w:eastAsia="Times New Roman"/>
                <w:i/>
                <w:color w:val="0C000F"/>
                <w:szCs w:val="24"/>
                <w:shd w:val="clear" w:color="auto" w:fill="FFFFFF"/>
                <w:vertAlign w:val="superscript"/>
              </w:rPr>
              <w:footnoteReference w:id="1"/>
            </w:r>
          </w:p>
          <w:p w:rsidR="00A85EB3" w:rsidRDefault="00B07D03">
            <w:pPr>
              <w:widowControl w:val="0"/>
              <w:spacing w:line="269" w:lineRule="auto"/>
              <w:rPr>
                <w:rFonts w:eastAsia="Times New Roman"/>
                <w:noProof/>
                <w:szCs w:val="24"/>
                <w:lang w:val="en-US" w:eastAsia="ar-SA"/>
              </w:rPr>
            </w:pPr>
            <w:r>
              <w:rPr>
                <w:rFonts w:eastAsia="Times New Roman"/>
                <w:szCs w:val="24"/>
              </w:rPr>
              <w:t xml:space="preserve">В съответствие с Плана за регионално развитие на Тракия 2014 – 2023 г., част от която са и двете турски провинции от ниво NUTS III Одрин и </w:t>
            </w:r>
            <w:proofErr w:type="spellStart"/>
            <w:r>
              <w:rPr>
                <w:rFonts w:eastAsia="Times New Roman"/>
                <w:szCs w:val="24"/>
              </w:rPr>
              <w:t>Къркларели</w:t>
            </w:r>
            <w:proofErr w:type="spellEnd"/>
            <w:r>
              <w:rPr>
                <w:rFonts w:eastAsia="Times New Roman"/>
                <w:szCs w:val="24"/>
              </w:rPr>
              <w:t xml:space="preserve">, туризмът и всички аспекти на опазването на природата са избрани като ключови области за развитие по време на посочения програмен период, включително трансграничният аспект.  </w:t>
            </w:r>
            <w:r>
              <w:rPr>
                <w:rFonts w:eastAsia="Times New Roman"/>
                <w:noProof/>
                <w:szCs w:val="24"/>
                <w:u w:val="single"/>
              </w:rPr>
              <w:t xml:space="preserve"> </w:t>
            </w:r>
          </w:p>
          <w:p w:rsidR="00A85EB3" w:rsidRDefault="00B07D03">
            <w:pPr>
              <w:spacing w:before="360" w:line="269" w:lineRule="auto"/>
              <w:jc w:val="left"/>
              <w:rPr>
                <w:rFonts w:eastAsia="Times New Roman"/>
                <w:b/>
                <w:smallCaps/>
                <w:noProof/>
                <w:spacing w:val="20"/>
                <w:szCs w:val="24"/>
                <w:lang w:val="en-US"/>
              </w:rPr>
            </w:pPr>
            <w:r>
              <w:rPr>
                <w:rFonts w:eastAsia="Times New Roman"/>
                <w:b/>
                <w:smallCaps/>
                <w:noProof/>
                <w:spacing w:val="20"/>
                <w:szCs w:val="24"/>
              </w:rPr>
              <w:t>Териториален анализ на трансграничния регион</w:t>
            </w:r>
          </w:p>
          <w:p w:rsidR="00A85EB3" w:rsidRDefault="00B07D03">
            <w:pPr>
              <w:spacing w:line="276" w:lineRule="auto"/>
              <w:rPr>
                <w:rFonts w:eastAsia="Times New Roman"/>
                <w:szCs w:val="24"/>
                <w:lang w:val="en-US"/>
              </w:rPr>
            </w:pPr>
            <w:r>
              <w:rPr>
                <w:rFonts w:eastAsia="Times New Roman"/>
                <w:szCs w:val="24"/>
              </w:rPr>
              <w:t xml:space="preserve">Трансграничният район се намира в Югоизточна Европа, на Балканския полуостров, </w:t>
            </w:r>
            <w:r>
              <w:rPr>
                <w:rFonts w:eastAsia="Times New Roman"/>
                <w:szCs w:val="24"/>
              </w:rPr>
              <w:lastRenderedPageBreak/>
              <w:t xml:space="preserve">и включва районите от ниво NUTS-3 Бургас, Ямбол и Хасково в Република България и провинциите Одрин и </w:t>
            </w:r>
            <w:proofErr w:type="spellStart"/>
            <w:r>
              <w:rPr>
                <w:rFonts w:eastAsia="Times New Roman"/>
                <w:szCs w:val="24"/>
              </w:rPr>
              <w:t>Къркларели</w:t>
            </w:r>
            <w:proofErr w:type="spellEnd"/>
            <w:r>
              <w:rPr>
                <w:rFonts w:eastAsia="Times New Roman"/>
                <w:szCs w:val="24"/>
              </w:rPr>
              <w:t xml:space="preserve"> в Република Турция. Площта на територията е около 29 000 км², а общата граница на двете държави е с дължина 288 км (включително три действащи гранични контролно-пропускателни пункта). Населението възлиза на 1,5 милиона жители (784 480 жители в определения географски район на Програмата в България и 742 000 жители в определения географски район на Програмата в Турция)</w:t>
            </w:r>
            <w:r>
              <w:rPr>
                <w:rFonts w:eastAsia="Times New Roman"/>
                <w:szCs w:val="24"/>
                <w:vertAlign w:val="superscript"/>
              </w:rPr>
              <w:footnoteReference w:id="2"/>
            </w:r>
            <w:r>
              <w:rPr>
                <w:rFonts w:eastAsia="Times New Roman"/>
                <w:szCs w:val="24"/>
              </w:rPr>
              <w:t xml:space="preserve">. Определеният географски район в България представлява 14,99% от общата територия на страната, а определеният географски район в Турция възлиза на 1,58% от общата територия на страната. Основни градове в региона са Бургас (211 535 жители), Ямбол (72 778 жители) и Хасково (92 788 жители) в България и Одрин (148 474 жители) и </w:t>
            </w:r>
            <w:proofErr w:type="spellStart"/>
            <w:r>
              <w:rPr>
                <w:rFonts w:eastAsia="Times New Roman"/>
                <w:szCs w:val="24"/>
              </w:rPr>
              <w:t>Къркларели</w:t>
            </w:r>
            <w:proofErr w:type="spellEnd"/>
            <w:r>
              <w:rPr>
                <w:rFonts w:eastAsia="Times New Roman"/>
                <w:szCs w:val="24"/>
              </w:rPr>
              <w:t xml:space="preserve"> (61 880 жители) в Турция. Най-общо географският регион на ТГС се характеризира с много ниска гъстота на населението – 54,9 жители/км² в Бургас, 45,3 жители/км² в Хасково и 39,7 жители/км² в Ямбол. Гъстотата на населението в Одрин е 64,7 жители/км², а в </w:t>
            </w:r>
            <w:proofErr w:type="spellStart"/>
            <w:r>
              <w:rPr>
                <w:rFonts w:eastAsia="Times New Roman"/>
                <w:szCs w:val="24"/>
              </w:rPr>
              <w:t>Къркларели</w:t>
            </w:r>
            <w:proofErr w:type="spellEnd"/>
            <w:r>
              <w:rPr>
                <w:rFonts w:eastAsia="Times New Roman"/>
                <w:szCs w:val="24"/>
              </w:rPr>
              <w:t xml:space="preserve"> – 53 жители/км².</w:t>
            </w:r>
          </w:p>
          <w:p w:rsidR="00A85EB3" w:rsidRPr="00A4083F" w:rsidRDefault="00B07D03" w:rsidP="00A4083F">
            <w:r w:rsidRPr="00A4083F">
              <w:rPr>
                <w:b/>
              </w:rPr>
              <w:t xml:space="preserve">Географски характеристики. </w:t>
            </w:r>
            <w:r w:rsidRPr="00A4083F">
              <w:t xml:space="preserve">Географската структура на територията на сътрудничеството има надморска височина от 710 м до 1 000 м и включва равнини, низини с малка надморска височина, плата и хълмисти райони, с някои планински особености. На северозапад територията граничи с Източните Родопи и ниските склонове на Сакар в България, а на югозапад – с Бяло море (залива </w:t>
            </w:r>
            <w:proofErr w:type="spellStart"/>
            <w:r w:rsidRPr="00A4083F">
              <w:t>Сарос</w:t>
            </w:r>
            <w:proofErr w:type="spellEnd"/>
            <w:r w:rsidRPr="00A4083F">
              <w:t>) в Турция. На североизток територията на сътрудничеството граничи със Стара планина в България, а на югоизток – със Странджа/Йълдъз планина и Черноморското крайбрежие както в България, така и в Турция. Водните запаси на територията на ТГС се състоят както от повърхностни, така и от подземни води. Река Марица е най-голямата река на Балканския полуостров. Река Тунджа е друга важна река в региона. Районът на Странджа/Йълдъз планина е най-богат на водни ресурси в цялата област на Тракия – Странджа/Йълдъз. Пет реки извират от Странджа/Йълдъз планина. Най-големите са Ропотамо, Дяволска и Велека/</w:t>
            </w:r>
            <w:proofErr w:type="spellStart"/>
            <w:r w:rsidRPr="00A4083F">
              <w:t>Деджирмендере</w:t>
            </w:r>
            <w:proofErr w:type="spellEnd"/>
            <w:r w:rsidRPr="00A4083F">
              <w:t xml:space="preserve">. Повърхностните води са представени и от няколко големи езера, разположени от българската страна. Подземните водни ресурси се състоят от минерални извори и термални води. Комбинирано влияние на Черно и Бяло море; Странджа, Сакар, Стара планина и Източните Родопи, както и реките Марица и Тунджа оформя закономерностите на климата в региона на сътрудничеството. Климатът се колебае от преходно-континентален до континентално-средиземноморски (меки зими, горещи лета). Планините са най-общо залесени с широколистна и отчасти вечнозелена растителност. В територията на сътрудничество са представени различни видове полезни изкопаеми – нерудни полезни изкопаеми (варовик, мрамор, </w:t>
            </w:r>
            <w:proofErr w:type="spellStart"/>
            <w:r w:rsidRPr="00A4083F">
              <w:t>габро</w:t>
            </w:r>
            <w:proofErr w:type="spellEnd"/>
            <w:r w:rsidRPr="00A4083F">
              <w:t>, гранит, азбест и глини), рудни полезни изкопаеми (полиметални руди – предимно олово, цинк и сребро) и лигнитни въглища от българската страна. От турската страна има залежи на въглища, хром, желязо, мед, боксит, мрамор и сяра. В черноморската област на територията на сътрудничество има значителни източници на морска сол.</w:t>
            </w:r>
          </w:p>
          <w:p w:rsidR="00A85EB3" w:rsidRPr="00A4083F" w:rsidRDefault="00A85EB3" w:rsidP="00A4083F">
            <w:pPr>
              <w:pStyle w:val="NoSpacing"/>
              <w:rPr>
                <w:rFonts w:ascii="Times New Roman" w:eastAsia="Times New Roman" w:hAnsi="Times New Roman" w:cs="Times New Roman"/>
                <w:b/>
                <w:bCs/>
                <w:sz w:val="18"/>
                <w:szCs w:val="16"/>
              </w:rPr>
            </w:pPr>
            <w:bookmarkStart w:id="3" w:name="_Toc396914272"/>
            <w:bookmarkStart w:id="4" w:name="_Toc390423124"/>
            <w:bookmarkStart w:id="5" w:name="_Toc384127935"/>
            <w:bookmarkEnd w:id="3"/>
            <w:bookmarkEnd w:id="4"/>
            <w:bookmarkEnd w:id="5"/>
          </w:p>
          <w:p w:rsidR="00A85EB3" w:rsidRPr="00A4083F" w:rsidRDefault="00B07D03" w:rsidP="00A4083F">
            <w:pPr>
              <w:rPr>
                <w:b/>
                <w:noProof/>
              </w:rPr>
            </w:pPr>
            <w:bookmarkStart w:id="6" w:name="_Toc390423125"/>
            <w:bookmarkStart w:id="7" w:name="_Toc384127936"/>
            <w:r w:rsidRPr="00A4083F">
              <w:rPr>
                <w:b/>
              </w:rPr>
              <w:t xml:space="preserve">Заетост, мобилност на работната сила и социално и културно приобщаване. </w:t>
            </w:r>
            <w:r w:rsidRPr="00A4083F">
              <w:rPr>
                <w:noProof/>
              </w:rPr>
              <w:t xml:space="preserve">По отношение на трансформацията на пазарите на труда прави впечатление, че повечето </w:t>
            </w:r>
            <w:r w:rsidRPr="00A4083F">
              <w:rPr>
                <w:noProof/>
              </w:rPr>
              <w:lastRenderedPageBreak/>
              <w:t>от районите за трансгранично сътрудничество (без Бургас) принадлежат към най-уязвимите региони в Европа. Особено положението на младите хора представлява заплаха за бъдещото развитие на района поради пречките пред навлизането на младите хора на пазара на труда. Безработицата е основен проблем за района на ТГС – във всички включени региони процентът на безработица нараства през последните години. Равнището на безработица в област Бургас спадна от 4,1% през 2007 г. до 3,9% през 2009 г. и след това нарасна до 12,4% през 2011 г. През 2012 г. равнището на безработица беше 11,5%. В области Ямбол и Хасково равнището на безработица е още по-високо и достигна 14,9% през 2012 г. И двете области започнаха от по-високо равнище през 2007 г. (7,2% в Ямбол и 9,2% в Хасково)</w:t>
            </w:r>
            <w:r w:rsidRPr="00A4083F">
              <w:rPr>
                <w:b/>
                <w:noProof/>
              </w:rPr>
              <w:t xml:space="preserve">. </w:t>
            </w:r>
            <w:r w:rsidRPr="00A4083F">
              <w:rPr>
                <w:noProof/>
              </w:rPr>
              <w:t xml:space="preserve">Равнището на безработица в Одрин нарасна от 5,9% през 2011 г. до 7,5% през 2012 г. Безработицата в Къркларели слабо намаля от 8,4% през 2011 г. до 7,9% през 2012 г. За сравнение, общата безработица за Турция е била 9,8% през 2011 г., съответно 9,2% през 2012 г. По отношение на участието в работната сила, през 2011 в Одрин и Къркларели то варира около 55% (56,2% в Одрин и 54% в Къркларели). Става ясно, че и от двете страни на границата е налице сходно социално-икономическо развитие през последните няколко години. Във връзка с безработицата, най-общо равнището на младежката безработица е много високо и води до заплаха от изтичане на мозъци от региона. </w:t>
            </w:r>
          </w:p>
          <w:p w:rsidR="00A85EB3" w:rsidRDefault="00B07D03">
            <w:pPr>
              <w:spacing w:line="276" w:lineRule="auto"/>
              <w:rPr>
                <w:rFonts w:eastAsia="Times New Roman"/>
                <w:noProof/>
                <w:szCs w:val="24"/>
                <w:lang w:val="en-US"/>
              </w:rPr>
            </w:pPr>
            <w:bookmarkStart w:id="8" w:name="_Toc396914273"/>
            <w:bookmarkEnd w:id="6"/>
            <w:bookmarkEnd w:id="7"/>
            <w:bookmarkEnd w:id="8"/>
            <w:r>
              <w:rPr>
                <w:rFonts w:eastAsia="Times New Roman"/>
                <w:b/>
                <w:noProof/>
                <w:szCs w:val="24"/>
              </w:rPr>
              <w:t>Демографско развитие.</w:t>
            </w:r>
            <w:r>
              <w:rPr>
                <w:rFonts w:eastAsia="Times New Roman"/>
                <w:szCs w:val="24"/>
              </w:rPr>
              <w:t xml:space="preserve"> Особено в България, общият брой на населението се е свил силно в периода между 2005 и 2012 г. от 830 917 жители през 2005 г. на 784 480 жители през 2012 година. През периода 2001–2011 г. населението на областите Хасково и Ямбол е намаляло със средно 13%. Намаляването на населението се дължи на непрекъснатите процеси, водещи до отрицателен естествен прираст, докато нетната емиграция стана проблем едва през последните няколко години. Коефициентът на възрастова зависимост е по-висок от средния за страната, като населението на възраст над 65 години е с 50% повече от населението на възраст 14 и под 14 години. Демографската ситуация в област Бургас е по-добра – населението е намаляло много малко през последните 12 години: 1,8% за периода 2001–2011 г. Бургас е една от малкото области в страната, в които броят на заселилите се от други места е по-голям от броя на изселилите се през последните десет години. Това би могло да се обясни с икономическата криза и намаляващите перспективи за заетост на населението в селските райони. През 2011 г. областта има втория най-нисък коефициент на възрастова зависимост, изчислен като съотношението между хората на възраст над 65 години и децата на възраст под 14 години. Съответно коефициентът на зависимост (население на възраст над 65 години към население в работоспособна възраст) е много по-нисък от средния за страната.</w:t>
            </w:r>
          </w:p>
          <w:p w:rsidR="00A85EB3" w:rsidRDefault="00B07D03">
            <w:pPr>
              <w:spacing w:line="276" w:lineRule="auto"/>
              <w:rPr>
                <w:rFonts w:eastAsia="Times New Roman"/>
                <w:noProof/>
                <w:szCs w:val="24"/>
                <w:lang w:val="en-US"/>
              </w:rPr>
            </w:pPr>
            <w:r>
              <w:rPr>
                <w:rFonts w:eastAsia="Times New Roman"/>
                <w:noProof/>
                <w:szCs w:val="24"/>
              </w:rPr>
              <w:t xml:space="preserve">В турската част на района на Програмата за ТГС се наблюдават положителни тенденции от гледна точка на нарастването на населението в сравнение с общото население в Турция. И в двете турски провинции, участващи в програмата за ТГС, населението е нараснало през последното десетилетие. Очаква се тази тенденция на нарастване да се запази до 2023 г. В демографско отношение, населението на определените географски региони в България показва също така по-висок индекс на стареене от средния за страната. Средната възраст на населението в българската част на определения район е по-висока от тази в турската част на района на програмата. Съсредоточаването върху провинциите Одрин и Къркларели показва, че особено в </w:t>
            </w:r>
            <w:r>
              <w:rPr>
                <w:rFonts w:eastAsia="Times New Roman"/>
                <w:noProof/>
                <w:szCs w:val="24"/>
              </w:rPr>
              <w:lastRenderedPageBreak/>
              <w:t xml:space="preserve">Одрин се наблюдава доста ниска средна възраст от 31,8 години за жените и 29,7 години за мъжете (данни от 2012 г.). До 2023 г. се очаква средната възраст да нарасне до 33,7 години за жените и 31,9 за мъжете. Продължителността на живота при раждане за цялата територия на ТГС е доста висока и като цяло отговаря на съответните национални средни стойности. Продължителността на живота за територията на ТГС достига 76,6 години. </w:t>
            </w:r>
          </w:p>
          <w:p w:rsidR="00A85EB3" w:rsidRDefault="00B07D03">
            <w:pPr>
              <w:keepNext/>
              <w:tabs>
                <w:tab w:val="num" w:pos="1069"/>
              </w:tabs>
              <w:suppressAutoHyphens/>
              <w:spacing w:before="0" w:after="0" w:line="276" w:lineRule="auto"/>
              <w:outlineLvl w:val="3"/>
              <w:rPr>
                <w:rFonts w:eastAsia="Times New Roman"/>
                <w:b/>
                <w:noProof/>
                <w:color w:val="000000" w:themeColor="text1"/>
                <w:szCs w:val="24"/>
                <w:lang w:val="en-US" w:eastAsia="ar-SA"/>
              </w:rPr>
            </w:pPr>
            <w:r>
              <w:rPr>
                <w:rFonts w:eastAsia="Times New Roman"/>
                <w:b/>
                <w:noProof/>
                <w:color w:val="000000" w:themeColor="text1"/>
                <w:szCs w:val="24"/>
                <w:lang w:eastAsia="ar-SA"/>
              </w:rPr>
              <w:t>Предизвикателства</w:t>
            </w:r>
          </w:p>
          <w:p w:rsidR="00A85EB3" w:rsidRDefault="00B07D03">
            <w:pPr>
              <w:numPr>
                <w:ilvl w:val="0"/>
                <w:numId w:val="34"/>
              </w:numPr>
              <w:spacing w:before="0" w:after="0" w:line="276" w:lineRule="auto"/>
              <w:rPr>
                <w:rFonts w:eastAsia="Times New Roman"/>
                <w:szCs w:val="24"/>
                <w:lang w:val="en-US"/>
              </w:rPr>
            </w:pPr>
            <w:r>
              <w:rPr>
                <w:rFonts w:eastAsia="Times New Roman"/>
                <w:szCs w:val="24"/>
              </w:rPr>
              <w:t>Ускоряването на демографските промени (включително застаряването и намаляването на населението) представлява дългосрочно предизвикателство, което се засилва допълнително и има значителни икономически, социални и териториални последици за региона на ТГС.</w:t>
            </w:r>
          </w:p>
          <w:p w:rsidR="00A85EB3" w:rsidRDefault="00B07D03">
            <w:pPr>
              <w:numPr>
                <w:ilvl w:val="0"/>
                <w:numId w:val="34"/>
              </w:numPr>
              <w:spacing w:before="0" w:after="0" w:line="276" w:lineRule="auto"/>
              <w:rPr>
                <w:rFonts w:eastAsia="Times New Roman"/>
                <w:szCs w:val="24"/>
                <w:lang w:val="en-US"/>
              </w:rPr>
            </w:pPr>
            <w:r>
              <w:rPr>
                <w:rFonts w:eastAsia="Times New Roman"/>
                <w:szCs w:val="24"/>
              </w:rPr>
              <w:t>Повишаването на равнището на бедност, ниските доходи и социалната изолация представляват основни предизвикателства, които може допълнително да се съсредоточат особено в селските и отдалечените райони (които вече се характеризират с негативни процеси на трансформация) поради нарастващата концентрация на стопанска дейност по основните градове и градски центрове.</w:t>
            </w:r>
          </w:p>
          <w:p w:rsidR="00A85EB3" w:rsidRDefault="00B07D03">
            <w:pPr>
              <w:numPr>
                <w:ilvl w:val="0"/>
                <w:numId w:val="34"/>
              </w:numPr>
              <w:spacing w:before="0" w:after="0" w:line="276" w:lineRule="auto"/>
              <w:rPr>
                <w:rFonts w:eastAsia="Times New Roman"/>
                <w:szCs w:val="24"/>
                <w:lang w:val="en-US"/>
              </w:rPr>
            </w:pPr>
            <w:r>
              <w:rPr>
                <w:rFonts w:eastAsia="Times New Roman"/>
                <w:szCs w:val="24"/>
              </w:rPr>
              <w:t>Отрицателната миграция представлява основно предизвикателство за онези части от региона на ТГС, които вече са засегнати от отрицателни тенденции (свиване на общия брой на населението, застаряване на населението).</w:t>
            </w:r>
          </w:p>
          <w:p w:rsidR="00A85EB3" w:rsidRDefault="00B07D03">
            <w:pPr>
              <w:numPr>
                <w:ilvl w:val="0"/>
                <w:numId w:val="34"/>
              </w:numPr>
              <w:spacing w:before="0" w:after="0" w:line="276" w:lineRule="auto"/>
              <w:rPr>
                <w:rFonts w:eastAsia="Times New Roman"/>
                <w:szCs w:val="24"/>
                <w:lang w:val="en-US"/>
              </w:rPr>
            </w:pPr>
            <w:r>
              <w:rPr>
                <w:rFonts w:eastAsia="Times New Roman"/>
                <w:szCs w:val="24"/>
              </w:rPr>
              <w:t>Съществуващата работна сила често не удовлетворява потребностите на регионалните пазари на труда, т.е. липсват квалификация и др.; поради това има разминаване между предлагането и търсенето на пазара на труда. Това води до допълнително повишаване на вече високото равнище на безработица.</w:t>
            </w:r>
          </w:p>
          <w:p w:rsidR="00A85EB3" w:rsidRDefault="00B07D03">
            <w:pPr>
              <w:numPr>
                <w:ilvl w:val="0"/>
                <w:numId w:val="34"/>
              </w:numPr>
              <w:spacing w:before="0" w:after="0" w:line="276" w:lineRule="auto"/>
              <w:rPr>
                <w:rFonts w:eastAsia="Times New Roman"/>
                <w:szCs w:val="24"/>
                <w:lang w:val="en-US"/>
              </w:rPr>
            </w:pPr>
            <w:r>
              <w:rPr>
                <w:rFonts w:eastAsia="Times New Roman"/>
                <w:szCs w:val="24"/>
              </w:rPr>
              <w:t xml:space="preserve">Ситуацията на икономика в спад и нарастваща безработица не може да бъде балансирана от растящите сектори като промишленост и услуги; обратно, ситуацията се утежнява допълнително от ограниченото създаване на работни места и отчасти от ниския процент на участие на работната сила.  </w:t>
            </w:r>
          </w:p>
          <w:p w:rsidR="00A85EB3" w:rsidRDefault="00B07D03">
            <w:pPr>
              <w:keepNext/>
              <w:tabs>
                <w:tab w:val="num" w:pos="1069"/>
              </w:tabs>
              <w:suppressAutoHyphens/>
              <w:spacing w:before="0" w:after="0" w:line="276" w:lineRule="auto"/>
              <w:outlineLvl w:val="3"/>
              <w:rPr>
                <w:rFonts w:eastAsia="Times New Roman"/>
                <w:b/>
                <w:noProof/>
                <w:color w:val="000000" w:themeColor="text1"/>
                <w:szCs w:val="24"/>
                <w:lang w:val="en-US" w:eastAsia="ar-SA"/>
              </w:rPr>
            </w:pPr>
            <w:r>
              <w:rPr>
                <w:rFonts w:eastAsia="Times New Roman"/>
                <w:b/>
                <w:noProof/>
                <w:color w:val="000000" w:themeColor="text1"/>
                <w:szCs w:val="24"/>
                <w:lang w:eastAsia="ar-SA"/>
              </w:rPr>
              <w:t>Потребности</w:t>
            </w:r>
          </w:p>
          <w:p w:rsidR="00A85EB3" w:rsidRDefault="00B07D03">
            <w:pPr>
              <w:numPr>
                <w:ilvl w:val="0"/>
                <w:numId w:val="35"/>
              </w:numPr>
              <w:spacing w:before="0" w:after="0" w:line="276" w:lineRule="auto"/>
              <w:rPr>
                <w:rFonts w:eastAsia="Times New Roman"/>
                <w:szCs w:val="24"/>
                <w:lang w:val="en-US"/>
              </w:rPr>
            </w:pPr>
            <w:r>
              <w:rPr>
                <w:rFonts w:eastAsia="Times New Roman"/>
                <w:szCs w:val="24"/>
              </w:rPr>
              <w:t>Налице е регионална потребност от пълноценно използване на съществуващия трудов потенциал и увеличаване участието на работната сила, за да се преодолеят различни предизвикателства, включително застаряването, изтичането на мозъци и нарастващата глобална конкуренция.</w:t>
            </w:r>
          </w:p>
          <w:p w:rsidR="00A85EB3" w:rsidRDefault="00B07D03">
            <w:pPr>
              <w:numPr>
                <w:ilvl w:val="0"/>
                <w:numId w:val="35"/>
              </w:numPr>
              <w:spacing w:before="0" w:after="0" w:line="276" w:lineRule="auto"/>
              <w:rPr>
                <w:rFonts w:eastAsia="Times New Roman"/>
                <w:szCs w:val="24"/>
                <w:lang w:val="en-US"/>
              </w:rPr>
            </w:pPr>
            <w:r>
              <w:rPr>
                <w:rFonts w:eastAsia="Times New Roman"/>
                <w:szCs w:val="24"/>
              </w:rPr>
              <w:t>Уменията на работната сила трябва да удовлетворяват потребностите на пазара на труда, включително достатъчни квалификации като ИТ и чужди езици, с цел повишаване на общата конкурентоспособност на частния сектор.</w:t>
            </w:r>
          </w:p>
          <w:p w:rsidR="00A85EB3" w:rsidRDefault="00B07D03">
            <w:pPr>
              <w:numPr>
                <w:ilvl w:val="0"/>
                <w:numId w:val="35"/>
              </w:numPr>
              <w:spacing w:before="0" w:after="0" w:line="276" w:lineRule="auto"/>
              <w:rPr>
                <w:rFonts w:eastAsia="Times New Roman"/>
                <w:szCs w:val="24"/>
                <w:lang w:val="en-US"/>
              </w:rPr>
            </w:pPr>
            <w:r>
              <w:rPr>
                <w:rFonts w:eastAsia="Times New Roman"/>
                <w:szCs w:val="24"/>
              </w:rPr>
              <w:t xml:space="preserve">Съществува спешна необходимост от борба срещу бедността и минимизиране на социалната изолация; и двете предизвикателства в момента се увеличават от повишаващите се нива на безработица и общата ниска адаптивността на работната сила към променящите се условия. Поради това е необходимо да бъдат разработени и приложени повече и по-добри възможности за заетост.  </w:t>
            </w:r>
          </w:p>
          <w:p w:rsidR="00F20BE4" w:rsidRDefault="00F20BE4" w:rsidP="00A4083F">
            <w:pPr>
              <w:pStyle w:val="Caption"/>
              <w:rPr>
                <w:b w:val="0"/>
                <w:szCs w:val="24"/>
              </w:rPr>
            </w:pPr>
          </w:p>
          <w:p w:rsidR="00F20BE4" w:rsidRPr="00F20BE4" w:rsidRDefault="00F20BE4" w:rsidP="00F20BE4">
            <w:pPr>
              <w:rPr>
                <w:sz w:val="8"/>
              </w:rPr>
            </w:pPr>
          </w:p>
          <w:p w:rsidR="00A85EB3" w:rsidRPr="00A4083F" w:rsidRDefault="00B07D03" w:rsidP="00A4083F">
            <w:pPr>
              <w:pStyle w:val="Caption"/>
            </w:pPr>
            <w:r w:rsidRPr="00A4083F">
              <w:lastRenderedPageBreak/>
              <w:t>Околна среда, приспособяване към изменението на климата и предотвратяване и управление на рискове</w:t>
            </w:r>
          </w:p>
          <w:p w:rsidR="00A85EB3" w:rsidRDefault="00B07D03">
            <w:pPr>
              <w:spacing w:line="276" w:lineRule="auto"/>
              <w:rPr>
                <w:rFonts w:eastAsia="Times New Roman"/>
                <w:noProof/>
                <w:szCs w:val="24"/>
                <w:lang w:val="en-US"/>
              </w:rPr>
            </w:pPr>
            <w:bookmarkStart w:id="9" w:name="_Toc396914274"/>
            <w:bookmarkStart w:id="10" w:name="_Toc390423126"/>
            <w:bookmarkStart w:id="11" w:name="_Toc384127937"/>
            <w:bookmarkStart w:id="12" w:name="_Toc377635895"/>
            <w:bookmarkStart w:id="13" w:name="_Toc377046958"/>
            <w:bookmarkEnd w:id="9"/>
            <w:bookmarkEnd w:id="10"/>
            <w:bookmarkEnd w:id="11"/>
            <w:bookmarkEnd w:id="12"/>
            <w:bookmarkEnd w:id="13"/>
            <w:r>
              <w:rPr>
                <w:rFonts w:eastAsia="Times New Roman"/>
                <w:noProof/>
                <w:szCs w:val="24"/>
              </w:rPr>
              <w:t xml:space="preserve">Разглеждането на различните компоненти на околната среда като въздух, води и почви показва, че състоянието на въздуха в региона е доста добро, като </w:t>
            </w:r>
            <w:r>
              <w:rPr>
                <w:rFonts w:eastAsia="Times New Roman"/>
                <w:i/>
                <w:noProof/>
                <w:szCs w:val="24"/>
              </w:rPr>
              <w:t>„основните причини за замърсяване на въздуха са емисиите на горива, използвани в промишлеността и за отопление на домакинствата, и изгорелите газове от превозните средства“</w:t>
            </w:r>
            <w:r>
              <w:rPr>
                <w:rFonts w:eastAsia="Times New Roman"/>
                <w:noProof/>
                <w:szCs w:val="24"/>
              </w:rPr>
              <w:t xml:space="preserve"> (Програма за ТГС по ИПП България – Турция 2007–2013, 2011: 19). Същата ситуация се наблюдава при повърхностните води, като основната причина за замърсяването на водите е липсата на канализационни системи в повечето малки общини. При подземните води има замърсяване с фосфати или нитрати (вж. Програма за ТГС по ИПП България – Турция 2007–2013, 2011: 19). В Областите Хасково и Ямбол близо 70% от населението живее в места с обществени ВиК системи, което е близо до средната стойност за страната, докато в Област Бургас почти цялото население живее в места с обществени ВиК системи (Вж. Профили на регионите, 2014 г.: онлайн) . В турските провинции Одрин и Къркларели 100% от населението ползва водоснабдителни мрежи (2010 г.). Процентът от населението, обслужван от пречиствателни станции за питейна вода, е 41% в Одрин и 24% в Къркларели. Това е отразено и в реалните инвестиции във водоснабдителни съоръжения, при което провинция Къркларели има доста по-високи разходи (над 210 000 TL) от провинция Одрин, в който потребностите от подобрения са сходни на тези в Къркларели (около 6 000 TL). При почвите ерозията е основният проблем за региона, като в Къркларели са засегнати особено големи територии. И двете държави имат традиции в опазването и управлението на природата.  Въпросът с поддържането на биоразнообразието е важен въпрос в района и вече съществуват редица регионални примери за добри практики. В региона също така се намират редица природни паркове и защитени територии, като Природен парк „Странджа“ в България и Национален парк „Езеро Гала“ (Gala Lake) в Турция (Одрин). В допълнение към това, в провинция Къркларели се намират две територии – Природен резерват „Касатура Корфези“ (Kasatura Korfezi) (Къркларели) и Природен резерват „Езеро Сака“ (Saka Lake) (Къркларели). Като се вземе предвид екологичната обстановка, целият трансграничен район се определя като район с дефицит в адаптацията към изменението на климата. Клъстерът, към който принадлежи трансграничният район, се характеризира с най-общо под средни постижения в капацитета за приспособяване, което още веднъж отразява изоставането на националните икономики от средното равнище за ЕС. Един от основните екологични проблеми е свързан с Черно море, което е един от главните свързващи фактори в региона на ТГС (Бургас и Къркларели са свързани с морето). Черно море е местообитание на 168 вида риби, четири различни морски бозайника и хиляди растения. Най-общо, Черно море е изправено пред редица проблеми и заплахи, като намаляване на биологичните ресурси, намаляващо разнообразие на видове, както и намаляване на естетическата стойност на морето. Причини за това са замърсяването, безотговорния риболов и еутрофикацията.  Друг въпрос от значение за региона на ТГС са природните заплахи, особено наводненията. Река Марица е най-голямата река на Балканския полуостров с водосборен басейн с площ над 53 000 км². Басейнът на </w:t>
            </w:r>
            <w:r>
              <w:rPr>
                <w:rFonts w:eastAsia="Times New Roman"/>
                <w:noProof/>
                <w:szCs w:val="24"/>
              </w:rPr>
              <w:lastRenderedPageBreak/>
              <w:t>река Марица е гъсто населен (над 2 милиона души на българска територия), силно индустриализиран и с интензивно земеделие. Територията на басейна в горното течение на реката е предимно високопланинска, докато в средното и долното течение – равнинна. Най-големите притоци на река Марица са реките Тунджа и Арда. Докато река Арда не принадлежи към граничния район между България и Турция, река Тунджа го пресича и бележи границата между двете страни в продължение на около 9 км. Водосборният басейн на река Тунджа е с площ от около 7 884 км</w:t>
            </w:r>
            <w:r>
              <w:rPr>
                <w:rFonts w:eastAsia="Times New Roman"/>
                <w:noProof/>
                <w:szCs w:val="24"/>
                <w:vertAlign w:val="superscript"/>
              </w:rPr>
              <w:t>2</w:t>
            </w:r>
            <w:r>
              <w:rPr>
                <w:rFonts w:eastAsia="Times New Roman"/>
                <w:noProof/>
                <w:szCs w:val="24"/>
              </w:rPr>
              <w:t>, а дължината ѝ на българска територия е 350 км. Реките Арда и Тунджа се вливат в река Марица на територията на Турция, южно от българо-турската граница близо до гр. Одрин. Климатичните и географските особености на речните басейни на Марица и Тунджа водят до специфични условия на оттока: внезапни наводнения, високи колебания в рамките на годината, тежка ерозия на почвата, намаляваща коритото и капацитета на язовирите поради утаяване и т.н.  Въпреки значителния брой язовири и каскади с общ капацитет около 2.2x10</w:t>
            </w:r>
            <w:r>
              <w:rPr>
                <w:rFonts w:eastAsia="Times New Roman"/>
                <w:noProof/>
                <w:szCs w:val="24"/>
                <w:vertAlign w:val="superscript"/>
              </w:rPr>
              <w:t xml:space="preserve">9 </w:t>
            </w:r>
            <w:r>
              <w:rPr>
                <w:rFonts w:eastAsia="Times New Roman"/>
                <w:noProof/>
                <w:szCs w:val="24"/>
              </w:rPr>
              <w:t>м</w:t>
            </w:r>
            <w:r>
              <w:rPr>
                <w:rFonts w:eastAsia="Times New Roman"/>
                <w:noProof/>
                <w:szCs w:val="24"/>
                <w:vertAlign w:val="superscript"/>
              </w:rPr>
              <w:t>3</w:t>
            </w:r>
            <w:r>
              <w:rPr>
                <w:rFonts w:eastAsia="Times New Roman"/>
                <w:noProof/>
                <w:szCs w:val="24"/>
              </w:rPr>
              <w:t xml:space="preserve"> за Марица и Тунджа и около 1x10</w:t>
            </w:r>
            <w:r>
              <w:rPr>
                <w:rFonts w:eastAsia="Times New Roman"/>
                <w:noProof/>
                <w:szCs w:val="24"/>
                <w:vertAlign w:val="superscript"/>
              </w:rPr>
              <w:t xml:space="preserve">9 </w:t>
            </w:r>
            <w:r>
              <w:rPr>
                <w:rFonts w:eastAsia="Times New Roman"/>
                <w:noProof/>
                <w:szCs w:val="24"/>
              </w:rPr>
              <w:t>м</w:t>
            </w:r>
            <w:r>
              <w:rPr>
                <w:rFonts w:eastAsia="Times New Roman"/>
                <w:noProof/>
                <w:szCs w:val="24"/>
                <w:vertAlign w:val="superscript"/>
              </w:rPr>
              <w:t>3</w:t>
            </w:r>
            <w:r>
              <w:rPr>
                <w:rFonts w:eastAsia="Times New Roman"/>
                <w:noProof/>
                <w:szCs w:val="24"/>
              </w:rPr>
              <w:t xml:space="preserve"> за Арда на територията на България, техните възможности за задържане не са достатъчни за намаляване (контролиране) на наводненията по долното течение. През февруари 2005 г. и март 2006 г. в басейна на река Марица имаше значителна опасност от наводнения. През 2006 г. в долната част на Тунджа бяха понесени големи загуби в селското стопанство, като 2 500 ха земеделски земи бяха сериозно засегнати, а по долното течение в гр. Одрин залетите площи бяха с площ 37 500 ха. Като се започне с Програмата за трансгранично сътрудничество (ТГС) между България и Турция по Програма ФАР и се продължи с Програмата за ТГС по ИПП България – Турция 2007–2013, са изпълнени няколко проекта за предотвратяване на наводнения в региона на ТГС. Друга екологична заплаха за региона на ТГС са пожарите, които настъпват в резултат на изменението на климата, и трябва да се вземат съответни мерки. През програмния период 2007–2013 имаше добри примери за сътрудничество между съответните български и турски еквивалентни институции за превенцията на природни и предизвикани от човека бедствия. Това представлява добра основа за продължаване на сътрудничеството между държаните – партньори. Като част от превенцията продължават да са необходими инвестиции и подобрения в областта на околната среда и превенцията на рисковете в територията на ТГС. </w:t>
            </w:r>
          </w:p>
          <w:p w:rsidR="00A85EB3" w:rsidRDefault="00B07D03">
            <w:pPr>
              <w:keepNext/>
              <w:tabs>
                <w:tab w:val="num" w:pos="1069"/>
              </w:tabs>
              <w:suppressAutoHyphens/>
              <w:spacing w:before="0" w:after="0" w:line="276" w:lineRule="auto"/>
              <w:outlineLvl w:val="3"/>
              <w:rPr>
                <w:rFonts w:eastAsia="Times New Roman"/>
                <w:b/>
                <w:noProof/>
                <w:color w:val="000000" w:themeColor="text1"/>
                <w:szCs w:val="24"/>
                <w:lang w:val="en-US" w:eastAsia="ar-SA"/>
              </w:rPr>
            </w:pPr>
            <w:r>
              <w:rPr>
                <w:rFonts w:eastAsia="Times New Roman"/>
                <w:b/>
                <w:noProof/>
                <w:color w:val="000000" w:themeColor="text1"/>
                <w:szCs w:val="24"/>
                <w:lang w:eastAsia="ar-SA"/>
              </w:rPr>
              <w:t>Предизвикателства</w:t>
            </w:r>
          </w:p>
          <w:p w:rsidR="00A85EB3" w:rsidRDefault="00B07D03">
            <w:pPr>
              <w:numPr>
                <w:ilvl w:val="0"/>
                <w:numId w:val="36"/>
              </w:numPr>
              <w:spacing w:before="0" w:after="0" w:line="276" w:lineRule="auto"/>
              <w:rPr>
                <w:rFonts w:eastAsia="Times New Roman"/>
                <w:szCs w:val="24"/>
                <w:lang w:val="en-US"/>
              </w:rPr>
            </w:pPr>
            <w:r>
              <w:rPr>
                <w:rFonts w:eastAsia="Times New Roman"/>
                <w:szCs w:val="24"/>
              </w:rPr>
              <w:t>Регионът е уязвим за природни бедствия и опасности по крайбрежието, което допълнително се усложнява от засилващите се последици на изменението на климата, проявяващи се чрез засилване на честотата и интензивността на природните бедствия (наводнения, суши и др.).</w:t>
            </w:r>
          </w:p>
          <w:p w:rsidR="00A85EB3" w:rsidRDefault="00B07D03">
            <w:pPr>
              <w:numPr>
                <w:ilvl w:val="0"/>
                <w:numId w:val="36"/>
              </w:numPr>
              <w:spacing w:before="0" w:after="0" w:line="276" w:lineRule="auto"/>
              <w:rPr>
                <w:rFonts w:eastAsia="Times New Roman"/>
                <w:szCs w:val="24"/>
                <w:lang w:val="en-US"/>
              </w:rPr>
            </w:pPr>
            <w:r>
              <w:rPr>
                <w:rFonts w:eastAsia="Times New Roman"/>
                <w:szCs w:val="24"/>
              </w:rPr>
              <w:t>Регионът е с много ниска енергийна ефективност и високата му зависимост от изкопаеми горива поставя въпросителни пред сигурността на енергийните доставки.</w:t>
            </w:r>
          </w:p>
          <w:p w:rsidR="00A85EB3" w:rsidRDefault="00B07D03">
            <w:pPr>
              <w:numPr>
                <w:ilvl w:val="0"/>
                <w:numId w:val="36"/>
              </w:numPr>
              <w:spacing w:before="0" w:after="0" w:line="276" w:lineRule="auto"/>
              <w:rPr>
                <w:rFonts w:eastAsia="Times New Roman"/>
                <w:i/>
                <w:szCs w:val="24"/>
                <w:lang w:val="en-US"/>
              </w:rPr>
            </w:pPr>
            <w:r>
              <w:rPr>
                <w:rFonts w:eastAsia="Times New Roman"/>
                <w:szCs w:val="24"/>
              </w:rPr>
              <w:t>Засилващият се натиск върху околната среда поради урбанизация, интензивно земеделие и транспорт влошава съществуващото недобро положение с местното замърсяване на околната среда в различни сектори.</w:t>
            </w:r>
          </w:p>
          <w:p w:rsidR="00A85EB3" w:rsidRDefault="00B07D03">
            <w:pPr>
              <w:numPr>
                <w:ilvl w:val="0"/>
                <w:numId w:val="36"/>
              </w:numPr>
              <w:spacing w:before="0" w:after="0" w:line="276" w:lineRule="auto"/>
              <w:rPr>
                <w:rFonts w:eastAsia="Times New Roman"/>
                <w:i/>
                <w:szCs w:val="24"/>
                <w:lang w:val="en-US"/>
              </w:rPr>
            </w:pPr>
            <w:r>
              <w:rPr>
                <w:rFonts w:eastAsia="Times New Roman"/>
                <w:szCs w:val="24"/>
              </w:rPr>
              <w:t xml:space="preserve">Въпреки съществуващите инициативи за опазване на Черно море регионът е </w:t>
            </w:r>
            <w:r>
              <w:rPr>
                <w:rFonts w:eastAsia="Times New Roman"/>
                <w:szCs w:val="24"/>
              </w:rPr>
              <w:lastRenderedPageBreak/>
              <w:t>изправен пред редица големи предизвикателства, в т.ч. намаляване на биологичните ресурси, намаляващо разнообразие на видовете и намаляване на естетическата ценност</w:t>
            </w:r>
          </w:p>
          <w:p w:rsidR="00A85EB3" w:rsidRDefault="00B07D03">
            <w:pPr>
              <w:keepNext/>
              <w:tabs>
                <w:tab w:val="num" w:pos="1069"/>
              </w:tabs>
              <w:suppressAutoHyphens/>
              <w:spacing w:before="0" w:after="0" w:line="276" w:lineRule="auto"/>
              <w:outlineLvl w:val="3"/>
              <w:rPr>
                <w:rFonts w:eastAsia="Times New Roman"/>
                <w:b/>
                <w:noProof/>
                <w:color w:val="000000" w:themeColor="text1"/>
                <w:szCs w:val="24"/>
                <w:lang w:val="en-US" w:eastAsia="ar-SA"/>
              </w:rPr>
            </w:pPr>
            <w:r>
              <w:rPr>
                <w:rFonts w:eastAsia="Times New Roman"/>
                <w:b/>
                <w:noProof/>
                <w:color w:val="000000" w:themeColor="text1"/>
                <w:szCs w:val="24"/>
                <w:lang w:eastAsia="ar-SA"/>
              </w:rPr>
              <w:t>Потребности</w:t>
            </w:r>
          </w:p>
          <w:p w:rsidR="00A85EB3" w:rsidRDefault="00B07D03">
            <w:pPr>
              <w:numPr>
                <w:ilvl w:val="0"/>
                <w:numId w:val="37"/>
              </w:numPr>
              <w:spacing w:before="0" w:after="0" w:line="276" w:lineRule="auto"/>
              <w:rPr>
                <w:rFonts w:eastAsia="Times New Roman"/>
                <w:szCs w:val="24"/>
                <w:lang w:val="en-US"/>
              </w:rPr>
            </w:pPr>
            <w:r>
              <w:rPr>
                <w:rFonts w:eastAsia="Times New Roman"/>
                <w:szCs w:val="24"/>
              </w:rPr>
              <w:t>За ефикасно управление на природните опасности и рискове на изменението на климата, които ще стават все по-сериозни и чести, са необходими цялостни и съгласувани териториални подходи, както и повече и по-добри мерки, в т.ч. по-висока степен на обмен на информация.</w:t>
            </w:r>
          </w:p>
          <w:p w:rsidR="00A85EB3" w:rsidRDefault="00B07D03">
            <w:pPr>
              <w:numPr>
                <w:ilvl w:val="0"/>
                <w:numId w:val="37"/>
              </w:numPr>
              <w:spacing w:before="0" w:after="0" w:line="276" w:lineRule="auto"/>
              <w:rPr>
                <w:rFonts w:eastAsia="Times New Roman"/>
                <w:szCs w:val="24"/>
                <w:lang w:val="en-US"/>
              </w:rPr>
            </w:pPr>
            <w:r>
              <w:rPr>
                <w:rFonts w:eastAsia="Times New Roman"/>
                <w:szCs w:val="24"/>
              </w:rPr>
              <w:t>Съществуващият (икономически) натиск върху природните ресурси трябва да бъде намален и икономическият растеж трябва да не води до все по-голямо ползване на природни ресурси; поради това трудоемките и замърсяващи сектори като текстил, обработка на кожи и химия трябва да бъдат променени.</w:t>
            </w:r>
          </w:p>
          <w:p w:rsidR="00A85EB3" w:rsidRDefault="00B07D03">
            <w:pPr>
              <w:numPr>
                <w:ilvl w:val="0"/>
                <w:numId w:val="37"/>
              </w:numPr>
              <w:spacing w:before="0" w:after="0" w:line="276" w:lineRule="auto"/>
              <w:rPr>
                <w:rFonts w:eastAsia="Times New Roman"/>
                <w:szCs w:val="24"/>
                <w:lang w:val="en-US"/>
              </w:rPr>
            </w:pPr>
            <w:r>
              <w:rPr>
                <w:rFonts w:eastAsia="Times New Roman"/>
                <w:szCs w:val="24"/>
              </w:rPr>
              <w:t>Добрите условия на околната среда в региона трябва да бъдат запазени и развити; природните паркове и екологичните зони трябва да бъдат допълнително подобрени.</w:t>
            </w:r>
          </w:p>
          <w:p w:rsidR="00A85EB3" w:rsidRDefault="00B07D03">
            <w:pPr>
              <w:numPr>
                <w:ilvl w:val="0"/>
                <w:numId w:val="37"/>
              </w:numPr>
              <w:spacing w:before="0" w:after="0" w:line="276" w:lineRule="auto"/>
              <w:rPr>
                <w:rFonts w:eastAsia="Times New Roman"/>
                <w:szCs w:val="24"/>
                <w:lang w:val="en-US"/>
              </w:rPr>
            </w:pPr>
            <w:r>
              <w:rPr>
                <w:rFonts w:eastAsia="Times New Roman"/>
                <w:szCs w:val="24"/>
              </w:rPr>
              <w:t>Устойчивото управление и опазване на природните ресурси е необходимост за региона на ТГС за подобряване на ефективността на използване на природните ресурси в региона.</w:t>
            </w:r>
          </w:p>
          <w:p w:rsidR="00A85EB3" w:rsidRDefault="00B07D03">
            <w:pPr>
              <w:numPr>
                <w:ilvl w:val="0"/>
                <w:numId w:val="37"/>
              </w:numPr>
              <w:spacing w:before="0" w:after="0" w:line="276" w:lineRule="auto"/>
              <w:rPr>
                <w:rFonts w:eastAsia="Times New Roman"/>
                <w:szCs w:val="24"/>
                <w:lang w:val="en-US"/>
              </w:rPr>
            </w:pPr>
            <w:r>
              <w:rPr>
                <w:rFonts w:eastAsia="Times New Roman"/>
                <w:szCs w:val="24"/>
              </w:rPr>
              <w:t xml:space="preserve">Необходима е по-добра интеграция на защитените територии в </w:t>
            </w:r>
            <w:proofErr w:type="spellStart"/>
            <w:r>
              <w:rPr>
                <w:rFonts w:eastAsia="Times New Roman"/>
                <w:szCs w:val="24"/>
              </w:rPr>
              <w:t>устройственото</w:t>
            </w:r>
            <w:proofErr w:type="spellEnd"/>
            <w:r>
              <w:rPr>
                <w:rFonts w:eastAsia="Times New Roman"/>
                <w:szCs w:val="24"/>
              </w:rPr>
              <w:t xml:space="preserve"> планиране.</w:t>
            </w:r>
          </w:p>
          <w:p w:rsidR="00A85EB3" w:rsidRDefault="00B07D03">
            <w:pPr>
              <w:numPr>
                <w:ilvl w:val="0"/>
                <w:numId w:val="37"/>
              </w:numPr>
              <w:spacing w:before="0" w:after="0" w:line="276" w:lineRule="auto"/>
              <w:rPr>
                <w:rFonts w:eastAsia="Times New Roman"/>
                <w:szCs w:val="24"/>
                <w:lang w:val="en-US"/>
              </w:rPr>
            </w:pPr>
            <w:r>
              <w:rPr>
                <w:rFonts w:eastAsia="Times New Roman"/>
                <w:szCs w:val="24"/>
              </w:rPr>
              <w:t xml:space="preserve">Необходимо е внимание и общи подходи за подобряване на екологичното състояние и условията на Черно море (в т.ч. крайбрежните зони) и за допълнително насърчаване на вече съществуващите инициативи в тази област. </w:t>
            </w:r>
          </w:p>
          <w:p w:rsidR="00A85EB3" w:rsidRDefault="00B07D03">
            <w:pPr>
              <w:numPr>
                <w:ilvl w:val="0"/>
                <w:numId w:val="37"/>
              </w:numPr>
              <w:spacing w:before="0" w:after="0" w:line="276" w:lineRule="auto"/>
              <w:rPr>
                <w:rFonts w:eastAsia="Times New Roman"/>
                <w:szCs w:val="24"/>
                <w:lang w:val="en-US"/>
              </w:rPr>
            </w:pPr>
            <w:r>
              <w:rPr>
                <w:rFonts w:eastAsia="Times New Roman"/>
                <w:szCs w:val="24"/>
              </w:rPr>
              <w:t>В областта на устойчивостта при всички дейности следва да се отчита доброто състояние на природната следа, обществото и икономиката – както и взаимното им влияние.</w:t>
            </w:r>
          </w:p>
          <w:p w:rsidR="00A85EB3" w:rsidRDefault="00B07D03">
            <w:pPr>
              <w:spacing w:line="276" w:lineRule="auto"/>
              <w:rPr>
                <w:rFonts w:eastAsia="Times New Roman"/>
                <w:noProof/>
                <w:szCs w:val="24"/>
                <w:lang w:val="en-US"/>
              </w:rPr>
            </w:pPr>
            <w:r>
              <w:rPr>
                <w:rFonts w:eastAsia="Times New Roman"/>
                <w:b/>
                <w:szCs w:val="24"/>
              </w:rPr>
              <w:t xml:space="preserve">Устойчива транспортна и публична инфраструктура. </w:t>
            </w:r>
            <w:r>
              <w:rPr>
                <w:rFonts w:eastAsia="Times New Roman"/>
                <w:noProof/>
                <w:szCs w:val="24"/>
              </w:rPr>
              <w:t xml:space="preserve">Регионът на ТГС се обслужва от редица транспортни инфраструктури и в региона действат три ГКПП: Капитан Андреево – Капъкуле, Лесово – Хамзабейли и Малко Търново – Дерекьой. В областта на TEN-T и основната мрежа (с премахване на пречките, подобряване на инфраструктурата и т.н.), регионът е част и от коридора Ориент/Източно Средиземноморие. Регионът се прекосява от АМ „Тракия“ А 1 от София до Бургас от българската страна на границата. Освен това една нова магистрала – АМ „Марица“ А4 пресича турския граничен регион и свързва областите Хасково и Одрин. Магистрала О-3 в Турция свързва Одрин с Истанбул. Държавните пътища D100, D110, D550, D555 свързват двете провинции помежду им и с магистралата. Основният дял на пътищата в Одрин и Къркларали се състои от междуселски пътища – в провинция Одрин те са с дължина от около 1 800 км, а в Къркларели – 1 900 км. В двете провинции има само малки участъци от магистралите (51 км в Одрин и 70 км в Къркларели). Ж.п. мрежата в трансграничния регион се експлоатира от Български държавни железници (БДЖ) от българска страна и Турските републикански държавни железници (ТРДЖ) от турската страна на региона на ТГС. Дължината на ж.п. мрежата е 96 км в Одрин и 110 км в Къркларели. Най-голямото летище в региона </w:t>
            </w:r>
            <w:r>
              <w:rPr>
                <w:rFonts w:eastAsia="Times New Roman"/>
                <w:noProof/>
                <w:szCs w:val="24"/>
              </w:rPr>
              <w:lastRenderedPageBreak/>
              <w:t>е в Област Бургас. През 2012 г. летище Бургас обслужва 2,4 млн. пътници и е второто по големина в България. Другите най-близки до региона летища са Чорлу (120 км), Истанбул (220 км) на територията на Турция и Международно летище София (200 км) на територията на България. Това затруднява достъпа от други турски градове, особено от столицата.</w:t>
            </w:r>
          </w:p>
          <w:p w:rsidR="00A85EB3" w:rsidRDefault="00B07D03">
            <w:pPr>
              <w:spacing w:line="276" w:lineRule="auto"/>
              <w:rPr>
                <w:rFonts w:eastAsia="Times New Roman"/>
                <w:noProof/>
                <w:szCs w:val="24"/>
                <w:lang w:val="en-US"/>
              </w:rPr>
            </w:pPr>
            <w:bookmarkStart w:id="14" w:name="_Toc390423127"/>
            <w:bookmarkStart w:id="15" w:name="_Toc384127938"/>
            <w:bookmarkStart w:id="16" w:name="_Toc377635896"/>
            <w:bookmarkStart w:id="17" w:name="_Toc377046959"/>
            <w:bookmarkEnd w:id="14"/>
            <w:bookmarkEnd w:id="15"/>
            <w:bookmarkEnd w:id="16"/>
            <w:bookmarkEnd w:id="17"/>
            <w:r>
              <w:rPr>
                <w:rFonts w:eastAsia="Times New Roman"/>
                <w:noProof/>
                <w:szCs w:val="24"/>
              </w:rPr>
              <w:t xml:space="preserve">Пристанище Бургас е най-голямото пристанище в България и в рамките на региона на ТГС. В провинции Одрин и Къркларели няма значително по размер пристанище. Публичната инфраструктура в региона е добре развита, например „водоснабдителната инфраструктура обслужва 99,6% от населението от българската част и 92% от населението от турската част на програмната територия. В допълнение към това добре развита е и енергийната инфраструктура, като природният газ е станал алтернатива както за битовите, така и за промишлените потребители.  </w:t>
            </w:r>
          </w:p>
          <w:p w:rsidR="00A85EB3" w:rsidRDefault="00B07D03">
            <w:pPr>
              <w:keepNext/>
              <w:tabs>
                <w:tab w:val="num" w:pos="1069"/>
              </w:tabs>
              <w:suppressAutoHyphens/>
              <w:spacing w:before="0" w:after="0" w:line="276" w:lineRule="auto"/>
              <w:outlineLvl w:val="3"/>
              <w:rPr>
                <w:rFonts w:eastAsia="Times New Roman"/>
                <w:b/>
                <w:noProof/>
                <w:color w:val="000000" w:themeColor="text1"/>
                <w:szCs w:val="24"/>
                <w:lang w:val="en-US" w:eastAsia="ar-SA"/>
              </w:rPr>
            </w:pPr>
            <w:r>
              <w:rPr>
                <w:rFonts w:eastAsia="Times New Roman"/>
                <w:b/>
                <w:noProof/>
                <w:color w:val="000000" w:themeColor="text1"/>
                <w:szCs w:val="24"/>
                <w:lang w:eastAsia="ar-SA"/>
              </w:rPr>
              <w:t>Предизвикателства</w:t>
            </w:r>
          </w:p>
          <w:p w:rsidR="00A85EB3" w:rsidRDefault="00B07D03">
            <w:pPr>
              <w:numPr>
                <w:ilvl w:val="0"/>
                <w:numId w:val="39"/>
              </w:numPr>
              <w:spacing w:before="0" w:after="0" w:line="276" w:lineRule="auto"/>
              <w:rPr>
                <w:rFonts w:eastAsia="Times New Roman"/>
                <w:szCs w:val="24"/>
                <w:lang w:val="en-US"/>
              </w:rPr>
            </w:pPr>
            <w:r>
              <w:rPr>
                <w:rFonts w:eastAsia="Times New Roman"/>
                <w:szCs w:val="24"/>
              </w:rPr>
              <w:t xml:space="preserve">Ясен модел център-периферия се забелязва в пътищата и ж.п. линиите в региона на ТГС. </w:t>
            </w:r>
          </w:p>
          <w:p w:rsidR="00A85EB3" w:rsidRDefault="00B07D03">
            <w:pPr>
              <w:numPr>
                <w:ilvl w:val="0"/>
                <w:numId w:val="39"/>
              </w:numPr>
              <w:spacing w:before="0" w:after="0" w:line="276" w:lineRule="auto"/>
              <w:rPr>
                <w:rFonts w:eastAsia="Times New Roman"/>
                <w:szCs w:val="24"/>
                <w:lang w:val="en-US"/>
              </w:rPr>
            </w:pPr>
            <w:r>
              <w:rPr>
                <w:rFonts w:eastAsia="Times New Roman"/>
                <w:szCs w:val="24"/>
              </w:rPr>
              <w:t>Този регион се характеризира с периферното си разположение в Европа, което се изостря допълнително от ниското равнище на достъпност, включително ниската плътност на транспортната инфраструктура.</w:t>
            </w:r>
          </w:p>
          <w:p w:rsidR="00A85EB3" w:rsidRDefault="00B07D03">
            <w:pPr>
              <w:numPr>
                <w:ilvl w:val="0"/>
                <w:numId w:val="39"/>
              </w:numPr>
              <w:spacing w:before="0" w:after="0" w:line="276" w:lineRule="auto"/>
              <w:rPr>
                <w:rFonts w:eastAsia="Times New Roman"/>
                <w:szCs w:val="24"/>
                <w:lang w:val="en-US"/>
              </w:rPr>
            </w:pPr>
            <w:r>
              <w:rPr>
                <w:rFonts w:eastAsia="Times New Roman"/>
                <w:szCs w:val="24"/>
              </w:rPr>
              <w:t>Налице е частична неефективност на публичната инфраструктура в различни сектори, в това число третирането на отпадъци и пречистването на отпадни води.</w:t>
            </w:r>
          </w:p>
          <w:p w:rsidR="00A85EB3" w:rsidRDefault="00B07D03">
            <w:pPr>
              <w:numPr>
                <w:ilvl w:val="0"/>
                <w:numId w:val="39"/>
              </w:numPr>
              <w:spacing w:before="0" w:after="0" w:line="276" w:lineRule="auto"/>
              <w:rPr>
                <w:rFonts w:eastAsia="Times New Roman"/>
                <w:szCs w:val="24"/>
                <w:lang w:val="en-US"/>
              </w:rPr>
            </w:pPr>
            <w:r>
              <w:rPr>
                <w:rFonts w:eastAsia="Times New Roman"/>
                <w:szCs w:val="24"/>
              </w:rPr>
              <w:t>Предизвикателство е опазването на природния ресурс питейна вода.</w:t>
            </w:r>
          </w:p>
          <w:p w:rsidR="00A85EB3" w:rsidRDefault="00B07D03">
            <w:pPr>
              <w:keepNext/>
              <w:tabs>
                <w:tab w:val="num" w:pos="1069"/>
              </w:tabs>
              <w:suppressAutoHyphens/>
              <w:spacing w:before="0" w:after="0" w:line="276" w:lineRule="auto"/>
              <w:outlineLvl w:val="3"/>
              <w:rPr>
                <w:rFonts w:eastAsia="Times New Roman"/>
                <w:b/>
                <w:noProof/>
                <w:color w:val="000000" w:themeColor="text1"/>
                <w:szCs w:val="24"/>
                <w:lang w:val="en-US" w:eastAsia="ar-SA"/>
              </w:rPr>
            </w:pPr>
            <w:r>
              <w:rPr>
                <w:rFonts w:eastAsia="Times New Roman"/>
                <w:b/>
                <w:noProof/>
                <w:color w:val="000000" w:themeColor="text1"/>
                <w:szCs w:val="24"/>
                <w:lang w:eastAsia="ar-SA"/>
              </w:rPr>
              <w:t>Потребности</w:t>
            </w:r>
          </w:p>
          <w:p w:rsidR="00A85EB3" w:rsidRDefault="00B07D03">
            <w:pPr>
              <w:numPr>
                <w:ilvl w:val="0"/>
                <w:numId w:val="38"/>
              </w:numPr>
              <w:spacing w:before="0" w:after="0" w:line="276" w:lineRule="auto"/>
              <w:rPr>
                <w:rFonts w:eastAsia="Times New Roman"/>
                <w:szCs w:val="24"/>
                <w:lang w:val="en-US"/>
              </w:rPr>
            </w:pPr>
            <w:r>
              <w:rPr>
                <w:rFonts w:eastAsia="Times New Roman"/>
                <w:szCs w:val="24"/>
              </w:rPr>
              <w:t>Неефективната работа на публичната инфраструктура трябва да бъде намалена, за предпочитане чрез прилагане на трансграничен подход с цел намаляване на съкращенията (например в областта на водоснабдителните услуги и пречиствателните станции за отпадни води).</w:t>
            </w:r>
          </w:p>
          <w:p w:rsidR="00A85EB3" w:rsidRDefault="00B07D03">
            <w:pPr>
              <w:numPr>
                <w:ilvl w:val="0"/>
                <w:numId w:val="38"/>
              </w:numPr>
              <w:spacing w:before="0" w:after="0" w:line="276" w:lineRule="auto"/>
              <w:rPr>
                <w:rFonts w:eastAsia="Times New Roman"/>
                <w:szCs w:val="24"/>
                <w:lang w:val="en-US"/>
              </w:rPr>
            </w:pPr>
            <w:r>
              <w:rPr>
                <w:rFonts w:eastAsia="Times New Roman"/>
                <w:szCs w:val="24"/>
              </w:rPr>
              <w:t>За пречистване на отпадните води от сектора на промишлеността е необходимо хармонизиране с техническото законодателство на ЕС относно увеличаване на нивата на пречистените отпадъчни води и депонирани отпадъци.</w:t>
            </w:r>
          </w:p>
          <w:p w:rsidR="00A85EB3" w:rsidRDefault="00B07D03">
            <w:pPr>
              <w:numPr>
                <w:ilvl w:val="0"/>
                <w:numId w:val="38"/>
              </w:numPr>
              <w:spacing w:before="0" w:after="0" w:line="276" w:lineRule="auto"/>
              <w:rPr>
                <w:rFonts w:eastAsia="Times New Roman"/>
                <w:szCs w:val="24"/>
                <w:lang w:val="en-US"/>
              </w:rPr>
            </w:pPr>
            <w:r>
              <w:rPr>
                <w:rFonts w:eastAsia="Times New Roman"/>
                <w:szCs w:val="24"/>
              </w:rPr>
              <w:t>Необходимо е развиване на нови и по-добри форми на обществения транспорт.</w:t>
            </w:r>
          </w:p>
          <w:p w:rsidR="00A85EB3" w:rsidRDefault="00B07D03">
            <w:pPr>
              <w:numPr>
                <w:ilvl w:val="0"/>
                <w:numId w:val="38"/>
              </w:numPr>
              <w:spacing w:before="0" w:after="0" w:line="276" w:lineRule="auto"/>
              <w:rPr>
                <w:rFonts w:eastAsia="Times New Roman"/>
                <w:szCs w:val="24"/>
                <w:lang w:val="en-US"/>
              </w:rPr>
            </w:pPr>
            <w:r>
              <w:rPr>
                <w:rFonts w:eastAsia="Times New Roman"/>
                <w:szCs w:val="24"/>
              </w:rPr>
              <w:t>Проекти в областта на транспорта, целящи включването на черноморските пристанища и укрепването на връзката Север–Юг на региона, са актуални въпроси.</w:t>
            </w:r>
          </w:p>
          <w:p w:rsidR="00A85EB3" w:rsidRDefault="00B07D03">
            <w:pPr>
              <w:numPr>
                <w:ilvl w:val="0"/>
                <w:numId w:val="38"/>
              </w:numPr>
              <w:spacing w:before="0" w:after="0" w:line="276" w:lineRule="auto"/>
              <w:rPr>
                <w:rFonts w:eastAsia="Times New Roman"/>
                <w:szCs w:val="24"/>
                <w:lang w:val="en-US"/>
              </w:rPr>
            </w:pPr>
            <w:r>
              <w:rPr>
                <w:rFonts w:eastAsia="Times New Roman"/>
                <w:szCs w:val="24"/>
              </w:rPr>
              <w:t>Пазарният дял на ж.п. линиите трябва да бъде увеличен, като това ще окаже положително влияние върху равнището на безопасност и времето за пътуване; в допълнение към това трябва да се създадат връзки с TEN-T мрежата.</w:t>
            </w:r>
          </w:p>
          <w:p w:rsidR="00A85EB3" w:rsidRDefault="00B07D03">
            <w:pPr>
              <w:pStyle w:val="ListParagraph"/>
              <w:numPr>
                <w:ilvl w:val="0"/>
                <w:numId w:val="38"/>
              </w:numPr>
              <w:autoSpaceDE w:val="0"/>
              <w:autoSpaceDN w:val="0"/>
              <w:adjustRightInd w:val="0"/>
              <w:spacing w:after="0"/>
              <w:rPr>
                <w:szCs w:val="24"/>
                <w:lang w:val="en-US"/>
              </w:rPr>
            </w:pPr>
            <w:r>
              <w:rPr>
                <w:color w:val="000000"/>
                <w:szCs w:val="24"/>
              </w:rPr>
              <w:t>Регионът се нуждае от съвместно летище. Все пак, при малък бюджет като този на Програмата за ТГС по ИПП България – Турция 2014–2020 г. това не може да бъде постигнато.</w:t>
            </w:r>
          </w:p>
          <w:p w:rsidR="00A85EB3" w:rsidRDefault="00A85EB3">
            <w:pPr>
              <w:spacing w:before="0" w:after="0" w:line="276" w:lineRule="auto"/>
              <w:ind w:left="720"/>
              <w:rPr>
                <w:rFonts w:eastAsia="Times New Roman"/>
                <w:szCs w:val="24"/>
                <w:lang w:val="en-US"/>
              </w:rPr>
            </w:pPr>
          </w:p>
          <w:p w:rsidR="00A85EB3" w:rsidRDefault="00B07D03" w:rsidP="00A4083F">
            <w:pPr>
              <w:pStyle w:val="Caption"/>
              <w:rPr>
                <w:lang w:val="en-US" w:eastAsia="ar-SA"/>
              </w:rPr>
            </w:pPr>
            <w:r>
              <w:rPr>
                <w:lang w:eastAsia="ar-SA"/>
              </w:rPr>
              <w:lastRenderedPageBreak/>
              <w:t>Туризъм, природно, културно и историческо наследство</w:t>
            </w:r>
          </w:p>
          <w:p w:rsidR="00A85EB3" w:rsidRDefault="00B07D03">
            <w:pPr>
              <w:spacing w:line="276" w:lineRule="auto"/>
              <w:rPr>
                <w:rFonts w:eastAsia="Times New Roman"/>
                <w:noProof/>
                <w:szCs w:val="24"/>
                <w:lang w:val="en-US"/>
              </w:rPr>
            </w:pPr>
            <w:bookmarkStart w:id="18" w:name="_Toc396914275"/>
            <w:bookmarkStart w:id="19" w:name="_Toc390423128"/>
            <w:bookmarkStart w:id="20" w:name="_Toc384127939"/>
            <w:bookmarkStart w:id="21" w:name="_Toc377635897"/>
            <w:bookmarkStart w:id="22" w:name="_Toc377046960"/>
            <w:bookmarkEnd w:id="18"/>
            <w:bookmarkEnd w:id="19"/>
            <w:bookmarkEnd w:id="20"/>
            <w:bookmarkEnd w:id="21"/>
            <w:bookmarkEnd w:id="22"/>
            <w:r>
              <w:rPr>
                <w:rFonts w:eastAsia="Times New Roman"/>
                <w:noProof/>
                <w:szCs w:val="24"/>
              </w:rPr>
              <w:t xml:space="preserve">Туризмът и културното и природното наследство са важно средство за съвместно развитие на района и представляват основен актив на територията на сътрудничеството. В тази насока България и Турция имат тесни отношения през годините – от самото начало на ТГС и в хода на настоящата Програма за ТГС по ИПП България – Турция 2007–2013 г. Културата и природата в региона са богати, уникални и разнообразни и са възможна основа за продължаване на традиционните дейности, както и за прилагане на нови съвместни дейности за развитие на туризма. </w:t>
            </w:r>
          </w:p>
          <w:p w:rsidR="00A85EB3" w:rsidRDefault="00B07D03">
            <w:pPr>
              <w:shd w:val="clear" w:color="auto" w:fill="FFFFFF"/>
              <w:spacing w:line="276" w:lineRule="auto"/>
              <w:textAlignment w:val="baseline"/>
              <w:rPr>
                <w:rFonts w:eastAsiaTheme="minorHAnsi"/>
                <w:szCs w:val="24"/>
                <w:shd w:val="clear" w:color="auto" w:fill="FFFFFF"/>
                <w:lang w:val="en-US" w:eastAsia="en-US"/>
              </w:rPr>
            </w:pPr>
            <w:r>
              <w:rPr>
                <w:rFonts w:eastAsiaTheme="minorHAnsi"/>
                <w:b/>
                <w:bCs/>
                <w:szCs w:val="24"/>
                <w:shd w:val="clear" w:color="auto" w:fill="FFFFFF"/>
                <w:lang w:eastAsia="en-US"/>
              </w:rPr>
              <w:t>Природно наследство. Странджа/</w:t>
            </w:r>
            <w:r>
              <w:rPr>
                <w:rFonts w:eastAsia="Times New Roman"/>
                <w:b/>
                <w:szCs w:val="24"/>
              </w:rPr>
              <w:t xml:space="preserve"> </w:t>
            </w:r>
            <w:r>
              <w:rPr>
                <w:rFonts w:eastAsiaTheme="minorHAnsi"/>
                <w:b/>
                <w:bCs/>
                <w:szCs w:val="24"/>
                <w:shd w:val="clear" w:color="auto" w:fill="FFFFFF"/>
                <w:lang w:eastAsia="en-US"/>
              </w:rPr>
              <w:t>Йълдъз планина</w:t>
            </w:r>
            <w:r>
              <w:rPr>
                <w:rFonts w:eastAsiaTheme="minorHAnsi"/>
                <w:szCs w:val="24"/>
                <w:shd w:val="clear" w:color="auto" w:fill="FFFFFF"/>
                <w:lang w:eastAsia="en-US"/>
              </w:rPr>
              <w:t>. Странджа/</w:t>
            </w:r>
            <w:r>
              <w:rPr>
                <w:rFonts w:eastAsia="Times New Roman"/>
                <w:szCs w:val="24"/>
              </w:rPr>
              <w:t xml:space="preserve"> </w:t>
            </w:r>
            <w:r>
              <w:rPr>
                <w:rFonts w:eastAsiaTheme="minorHAnsi"/>
                <w:bCs/>
                <w:szCs w:val="24"/>
                <w:shd w:val="clear" w:color="auto" w:fill="FFFFFF"/>
                <w:lang w:eastAsia="en-US"/>
              </w:rPr>
              <w:t xml:space="preserve">Йълдъз е планински масив в югоизточна </w:t>
            </w:r>
            <w:hyperlink r:id="rId9" w:tooltip="България" w:history="1">
              <w:r>
                <w:rPr>
                  <w:rFonts w:eastAsiaTheme="minorHAnsi"/>
                  <w:szCs w:val="24"/>
                  <w:shd w:val="clear" w:color="auto" w:fill="FFFFFF"/>
                  <w:lang w:eastAsia="en-US"/>
                </w:rPr>
                <w:t>България</w:t>
              </w:r>
            </w:hyperlink>
            <w:r>
              <w:rPr>
                <w:rFonts w:eastAsiaTheme="minorHAnsi"/>
                <w:szCs w:val="24"/>
                <w:shd w:val="clear" w:color="auto" w:fill="FFFFFF"/>
                <w:lang w:eastAsia="en-US"/>
              </w:rPr>
              <w:t xml:space="preserve"> и северозападна </w:t>
            </w:r>
            <w:hyperlink r:id="rId10" w:tooltip="Турция" w:history="1">
              <w:r>
                <w:rPr>
                  <w:rFonts w:eastAsiaTheme="minorHAnsi"/>
                  <w:szCs w:val="24"/>
                  <w:shd w:val="clear" w:color="auto" w:fill="FFFFFF"/>
                  <w:lang w:eastAsia="en-US"/>
                </w:rPr>
                <w:t>Турция</w:t>
              </w:r>
            </w:hyperlink>
            <w:r>
              <w:rPr>
                <w:rFonts w:eastAsiaTheme="minorHAnsi"/>
                <w:szCs w:val="24"/>
                <w:shd w:val="clear" w:color="auto" w:fill="FFFFFF"/>
                <w:lang w:eastAsia="en-US"/>
              </w:rPr>
              <w:t xml:space="preserve">, в югоизточната част на </w:t>
            </w:r>
            <w:hyperlink r:id="rId11" w:tooltip="Балканите" w:history="1">
              <w:r>
                <w:rPr>
                  <w:rFonts w:eastAsiaTheme="minorHAnsi"/>
                  <w:szCs w:val="24"/>
                  <w:shd w:val="clear" w:color="auto" w:fill="FFFFFF"/>
                  <w:lang w:eastAsia="en-US"/>
                </w:rPr>
                <w:t>Балканите</w:t>
              </w:r>
            </w:hyperlink>
            <w:r>
              <w:rPr>
                <w:rFonts w:eastAsiaTheme="minorHAnsi"/>
                <w:szCs w:val="24"/>
                <w:shd w:val="clear" w:color="auto" w:fill="FFFFFF"/>
                <w:lang w:eastAsia="en-US"/>
              </w:rPr>
              <w:t xml:space="preserve"> между Тракийската </w:t>
            </w:r>
            <w:hyperlink r:id="rId12" w:tooltip="Тракия" w:history="1">
              <w:r>
                <w:rPr>
                  <w:rFonts w:eastAsiaTheme="minorHAnsi"/>
                  <w:szCs w:val="24"/>
                  <w:shd w:val="clear" w:color="auto" w:fill="FFFFFF"/>
                  <w:lang w:eastAsia="en-US"/>
                </w:rPr>
                <w:t>низина</w:t>
              </w:r>
            </w:hyperlink>
            <w:r>
              <w:rPr>
                <w:rFonts w:eastAsiaTheme="minorHAnsi"/>
                <w:szCs w:val="24"/>
                <w:shd w:val="clear" w:color="auto" w:fill="FFFFFF"/>
                <w:lang w:eastAsia="en-US"/>
              </w:rPr>
              <w:t xml:space="preserve"> на запад, равнините близо до </w:t>
            </w:r>
            <w:hyperlink r:id="rId13" w:tooltip="Burgas" w:history="1">
              <w:r>
                <w:rPr>
                  <w:rFonts w:eastAsiaTheme="minorHAnsi"/>
                  <w:szCs w:val="24"/>
                  <w:shd w:val="clear" w:color="auto" w:fill="FFFFFF"/>
                  <w:lang w:eastAsia="en-US"/>
                </w:rPr>
                <w:t>Бургас</w:t>
              </w:r>
            </w:hyperlink>
            <w:r>
              <w:rPr>
                <w:rFonts w:eastAsiaTheme="minorHAnsi"/>
                <w:szCs w:val="24"/>
                <w:shd w:val="clear" w:color="auto" w:fill="FFFFFF"/>
                <w:lang w:eastAsia="en-US"/>
              </w:rPr>
              <w:t xml:space="preserve"> на север и </w:t>
            </w:r>
            <w:hyperlink r:id="rId14" w:tooltip="Черно море" w:history="1">
              <w:r>
                <w:rPr>
                  <w:rFonts w:eastAsiaTheme="minorHAnsi"/>
                  <w:szCs w:val="24"/>
                  <w:shd w:val="clear" w:color="auto" w:fill="FFFFFF"/>
                  <w:lang w:eastAsia="en-US"/>
                </w:rPr>
                <w:t>Черно море</w:t>
              </w:r>
            </w:hyperlink>
            <w:r>
              <w:rPr>
                <w:rFonts w:eastAsiaTheme="minorHAnsi"/>
                <w:szCs w:val="24"/>
                <w:shd w:val="clear" w:color="auto" w:fill="FFFFFF"/>
                <w:lang w:eastAsia="en-US"/>
              </w:rPr>
              <w:t xml:space="preserve"> на изток. Най-високият връх е Махиада </w:t>
            </w:r>
            <w:hyperlink r:id="rId15" w:tooltip="Mahya Dağı" w:history="1">
              <w:r>
                <w:rPr>
                  <w:rFonts w:eastAsiaTheme="minorHAnsi"/>
                  <w:szCs w:val="24"/>
                  <w:shd w:val="clear" w:color="auto" w:fill="FFFFFF"/>
                  <w:lang w:eastAsia="en-US"/>
                </w:rPr>
                <w:t>(1 031 м) в Турция, а най-високата точка на българска територия е Голямо Градище (710 м).</w:t>
              </w:r>
            </w:hyperlink>
            <w:r>
              <w:rPr>
                <w:rFonts w:eastAsiaTheme="minorHAnsi"/>
                <w:szCs w:val="24"/>
                <w:shd w:val="clear" w:color="auto" w:fill="FFFFFF"/>
                <w:lang w:eastAsia="en-US"/>
              </w:rPr>
              <w:t xml:space="preserve"> Общата площ на масива е приблизително 10 000 км</w:t>
            </w:r>
            <w:r>
              <w:rPr>
                <w:rFonts w:eastAsiaTheme="minorHAnsi"/>
                <w:szCs w:val="24"/>
                <w:shd w:val="clear" w:color="auto" w:fill="FFFFFF"/>
                <w:vertAlign w:val="superscript"/>
                <w:lang w:eastAsia="en-US"/>
              </w:rPr>
              <w:t>2</w:t>
            </w:r>
            <w:r>
              <w:rPr>
                <w:rFonts w:eastAsiaTheme="minorHAnsi"/>
                <w:szCs w:val="24"/>
                <w:shd w:val="clear" w:color="auto" w:fill="FFFFFF"/>
                <w:lang w:eastAsia="en-US"/>
              </w:rPr>
              <w:t xml:space="preserve">. Климатът в района се влияе чувствително от Черно море и е преобладаващо </w:t>
            </w:r>
            <w:hyperlink r:id="rId16" w:tooltip="Влажен континентален" w:history="1">
              <w:r>
                <w:rPr>
                  <w:rFonts w:eastAsiaTheme="minorHAnsi"/>
                  <w:szCs w:val="24"/>
                  <w:shd w:val="clear" w:color="auto" w:fill="FFFFFF"/>
                  <w:lang w:eastAsia="en-US"/>
                </w:rPr>
                <w:t>влажен континентален</w:t>
              </w:r>
            </w:hyperlink>
            <w:r>
              <w:rPr>
                <w:rFonts w:eastAsiaTheme="minorHAnsi"/>
                <w:szCs w:val="24"/>
                <w:shd w:val="clear" w:color="auto" w:fill="FFFFFF"/>
                <w:lang w:eastAsia="en-US"/>
              </w:rPr>
              <w:t xml:space="preserve"> в планините и </w:t>
            </w:r>
            <w:hyperlink r:id="rId17" w:tooltip="Влажен субтропически" w:history="1">
              <w:r>
                <w:rPr>
                  <w:rFonts w:eastAsiaTheme="minorHAnsi"/>
                  <w:szCs w:val="24"/>
                  <w:shd w:val="clear" w:color="auto" w:fill="FFFFFF"/>
                  <w:lang w:eastAsia="en-US"/>
                </w:rPr>
                <w:t>влажен субтропически</w:t>
              </w:r>
            </w:hyperlink>
            <w:r>
              <w:rPr>
                <w:rFonts w:eastAsiaTheme="minorHAnsi"/>
                <w:szCs w:val="24"/>
                <w:shd w:val="clear" w:color="auto" w:fill="FFFFFF"/>
                <w:lang w:eastAsia="en-US"/>
              </w:rPr>
              <w:t xml:space="preserve"> по крайбрежието. Основните реки са </w:t>
            </w:r>
            <w:hyperlink r:id="rId18" w:tooltip="Veleka" w:history="1">
              <w:r>
                <w:rPr>
                  <w:rFonts w:eastAsiaTheme="minorHAnsi"/>
                  <w:szCs w:val="24"/>
                  <w:shd w:val="clear" w:color="auto" w:fill="FFFFFF"/>
                  <w:lang w:eastAsia="en-US"/>
                </w:rPr>
                <w:t>Велека</w:t>
              </w:r>
            </w:hyperlink>
            <w:r>
              <w:rPr>
                <w:rFonts w:eastAsiaTheme="minorHAnsi"/>
                <w:szCs w:val="24"/>
                <w:shd w:val="clear" w:color="auto" w:fill="FFFFFF"/>
                <w:lang w:eastAsia="en-US"/>
              </w:rPr>
              <w:t xml:space="preserve"> (147 км) и граничната река </w:t>
            </w:r>
            <w:hyperlink r:id="rId19" w:tooltip="Резовска" w:history="1">
              <w:r>
                <w:rPr>
                  <w:rFonts w:eastAsiaTheme="minorHAnsi"/>
                  <w:szCs w:val="24"/>
                  <w:shd w:val="clear" w:color="auto" w:fill="FFFFFF"/>
                  <w:lang w:eastAsia="en-US"/>
                </w:rPr>
                <w:t>Резовска</w:t>
              </w:r>
            </w:hyperlink>
            <w:r>
              <w:rPr>
                <w:rFonts w:eastAsiaTheme="minorHAnsi"/>
                <w:szCs w:val="24"/>
                <w:shd w:val="clear" w:color="auto" w:fill="FFFFFF"/>
                <w:lang w:eastAsia="en-US"/>
              </w:rPr>
              <w:t xml:space="preserve"> (12 км). </w:t>
            </w:r>
            <w:r>
              <w:rPr>
                <w:rFonts w:eastAsiaTheme="minorHAnsi"/>
                <w:color w:val="252525"/>
                <w:szCs w:val="24"/>
                <w:shd w:val="clear" w:color="auto" w:fill="FFFFFF"/>
                <w:lang w:eastAsia="en-US"/>
              </w:rPr>
              <w:t xml:space="preserve">Природен парк Странджа, създаден през 1995 г. в българската част на масива, е </w:t>
            </w:r>
            <w:r>
              <w:rPr>
                <w:rFonts w:eastAsiaTheme="minorHAnsi"/>
                <w:szCs w:val="24"/>
                <w:shd w:val="clear" w:color="auto" w:fill="FFFFFF"/>
                <w:lang w:eastAsia="en-US"/>
              </w:rPr>
              <w:t xml:space="preserve">най-голямата </w:t>
            </w:r>
            <w:hyperlink r:id="rId20" w:tooltip="Защитена територия" w:history="1">
              <w:r>
                <w:rPr>
                  <w:rFonts w:eastAsiaTheme="minorHAnsi"/>
                  <w:szCs w:val="24"/>
                  <w:shd w:val="clear" w:color="auto" w:fill="FFFFFF"/>
                  <w:lang w:eastAsia="en-US"/>
                </w:rPr>
                <w:t>защитена територия</w:t>
              </w:r>
            </w:hyperlink>
            <w:r>
              <w:rPr>
                <w:rFonts w:eastAsiaTheme="minorHAnsi"/>
                <w:szCs w:val="24"/>
                <w:shd w:val="clear" w:color="auto" w:fill="FFFFFF"/>
                <w:lang w:eastAsia="en-US"/>
              </w:rPr>
              <w:t> в България, обхващаща 1 161 км</w:t>
            </w:r>
            <w:r>
              <w:rPr>
                <w:rFonts w:eastAsiaTheme="minorHAnsi"/>
                <w:szCs w:val="24"/>
                <w:shd w:val="clear" w:color="auto" w:fill="FFFFFF"/>
                <w:vertAlign w:val="superscript"/>
                <w:lang w:eastAsia="en-US"/>
              </w:rPr>
              <w:t>2</w:t>
            </w:r>
            <w:r>
              <w:rPr>
                <w:rFonts w:eastAsiaTheme="minorHAnsi"/>
                <w:szCs w:val="24"/>
                <w:shd w:val="clear" w:color="auto" w:fill="FFFFFF"/>
                <w:lang w:eastAsia="en-US"/>
              </w:rPr>
              <w:t xml:space="preserve"> (448 кв. мили) или около 1% от цялата </w:t>
            </w:r>
            <w:r>
              <w:rPr>
                <w:rFonts w:eastAsiaTheme="minorHAnsi"/>
                <w:color w:val="252525"/>
                <w:szCs w:val="24"/>
                <w:shd w:val="clear" w:color="auto" w:fill="FFFFFF"/>
                <w:lang w:eastAsia="en-US"/>
              </w:rPr>
              <w:t xml:space="preserve">територия на България. </w:t>
            </w:r>
            <w:r>
              <w:rPr>
                <w:rFonts w:eastAsia="Times New Roman"/>
                <w:szCs w:val="24"/>
              </w:rPr>
              <w:t xml:space="preserve"> </w:t>
            </w:r>
            <w:r>
              <w:rPr>
                <w:rFonts w:eastAsia="Times New Roman"/>
                <w:color w:val="111111"/>
                <w:szCs w:val="24"/>
                <w:bdr w:val="none" w:sz="0" w:space="0" w:color="auto" w:frame="1"/>
                <w:lang w:eastAsia="bg-BG"/>
              </w:rPr>
              <w:t xml:space="preserve">Странджа/Йълдъз планина е място с изключителни природни и исторически богатства. Тя е жив музей, мост между два континента: Европа и Азия. Това прави територията уникална за Европа поради флората и фауната ѝ. Специалната природа тук е резултат от геоложкото минало, климата и географското местоположение. Растителните </w:t>
            </w:r>
            <w:proofErr w:type="spellStart"/>
            <w:r>
              <w:rPr>
                <w:rFonts w:eastAsia="Times New Roman"/>
                <w:color w:val="111111"/>
                <w:szCs w:val="24"/>
                <w:bdr w:val="none" w:sz="0" w:space="0" w:color="auto" w:frame="1"/>
                <w:lang w:eastAsia="bg-BG"/>
              </w:rPr>
              <w:t>съобщества</w:t>
            </w:r>
            <w:proofErr w:type="spellEnd"/>
            <w:r>
              <w:rPr>
                <w:rFonts w:eastAsia="Times New Roman"/>
                <w:color w:val="111111"/>
                <w:szCs w:val="24"/>
                <w:bdr w:val="none" w:sz="0" w:space="0" w:color="auto" w:frame="1"/>
                <w:lang w:eastAsia="bg-BG"/>
              </w:rPr>
              <w:t xml:space="preserve"> в планината са се развили преди Европа да се отдели от Азия чрез формирането на Истанбулския проток, който сега свързва Черно и Средиземно море. Ледът никога не е достигал планината през ледниковите епохи. Тази липса на заледявания е създала уникален прозорец към миналото. Растения, които някога са били широко разпространени на европейския континент през </w:t>
            </w:r>
            <w:proofErr w:type="spellStart"/>
            <w:r>
              <w:rPr>
                <w:rFonts w:eastAsia="Times New Roman"/>
                <w:color w:val="111111"/>
                <w:szCs w:val="24"/>
                <w:bdr w:val="none" w:sz="0" w:space="0" w:color="auto" w:frame="1"/>
                <w:lang w:eastAsia="bg-BG"/>
              </w:rPr>
              <w:t>терциера</w:t>
            </w:r>
            <w:proofErr w:type="spellEnd"/>
            <w:r>
              <w:rPr>
                <w:rFonts w:eastAsia="Times New Roman"/>
                <w:color w:val="111111"/>
                <w:szCs w:val="24"/>
                <w:bdr w:val="none" w:sz="0" w:space="0" w:color="auto" w:frame="1"/>
                <w:lang w:eastAsia="bg-BG"/>
              </w:rPr>
              <w:t>, сега са запазени единствено в Странджа/Йълдъз.</w:t>
            </w:r>
            <w:r>
              <w:rPr>
                <w:rFonts w:eastAsia="Times New Roman"/>
                <w:szCs w:val="24"/>
              </w:rPr>
              <w:t xml:space="preserve"> </w:t>
            </w:r>
            <w:r>
              <w:rPr>
                <w:rFonts w:eastAsia="Times New Roman"/>
                <w:color w:val="111111"/>
                <w:szCs w:val="24"/>
                <w:bdr w:val="none" w:sz="0" w:space="0" w:color="auto" w:frame="1"/>
                <w:lang w:eastAsia="bg-BG"/>
              </w:rPr>
              <w:t xml:space="preserve"> Поради това планината е жив музей. </w:t>
            </w:r>
            <w:r>
              <w:rPr>
                <w:rFonts w:eastAsia="Times New Roman"/>
                <w:szCs w:val="24"/>
              </w:rPr>
              <w:t xml:space="preserve"> </w:t>
            </w:r>
            <w:r>
              <w:rPr>
                <w:rFonts w:eastAsia="Times New Roman"/>
                <w:color w:val="111111"/>
                <w:szCs w:val="24"/>
                <w:bdr w:val="none" w:sz="0" w:space="0" w:color="auto" w:frame="1"/>
                <w:lang w:eastAsia="bg-BG"/>
              </w:rPr>
              <w:t xml:space="preserve">Странджа/Йълдъз планина е богата на карстови терени, стръмни варовикови скали, много минерални извори и сложни пещерни системи. Планината е рай за дивите животни – там живеят зрелищна птици и бозайници. В парка гнездят 134 вида птици, но могат да се наблюдават много повече. Миграционният път на птиците </w:t>
            </w:r>
            <w:proofErr w:type="spellStart"/>
            <w:r>
              <w:rPr>
                <w:rFonts w:eastAsia="Times New Roman"/>
                <w:color w:val="111111"/>
                <w:szCs w:val="24"/>
                <w:bdr w:val="none" w:sz="0" w:space="0" w:color="auto" w:frame="1"/>
                <w:lang w:eastAsia="bg-BG"/>
              </w:rPr>
              <w:t>Виа</w:t>
            </w:r>
            <w:proofErr w:type="spellEnd"/>
            <w:r>
              <w:rPr>
                <w:rFonts w:eastAsia="Times New Roman"/>
                <w:color w:val="111111"/>
                <w:szCs w:val="24"/>
                <w:bdr w:val="none" w:sz="0" w:space="0" w:color="auto" w:frame="1"/>
                <w:lang w:eastAsia="bg-BG"/>
              </w:rPr>
              <w:t xml:space="preserve"> </w:t>
            </w:r>
            <w:proofErr w:type="spellStart"/>
            <w:r>
              <w:rPr>
                <w:rFonts w:eastAsia="Times New Roman"/>
                <w:color w:val="111111"/>
                <w:szCs w:val="24"/>
                <w:bdr w:val="none" w:sz="0" w:space="0" w:color="auto" w:frame="1"/>
                <w:lang w:eastAsia="bg-BG"/>
              </w:rPr>
              <w:t>Понтика</w:t>
            </w:r>
            <w:proofErr w:type="spellEnd"/>
            <w:r>
              <w:rPr>
                <w:rFonts w:eastAsia="Times New Roman"/>
                <w:color w:val="111111"/>
                <w:szCs w:val="24"/>
                <w:bdr w:val="none" w:sz="0" w:space="0" w:color="auto" w:frame="1"/>
                <w:lang w:eastAsia="bg-BG"/>
              </w:rPr>
              <w:t xml:space="preserve"> води много повече видове в големи количества в тази специална област. Територията също така е много богата на културни и исторически забележителности.  </w:t>
            </w:r>
            <w:r>
              <w:rPr>
                <w:rFonts w:eastAsiaTheme="minorHAnsi"/>
                <w:szCs w:val="24"/>
                <w:shd w:val="clear" w:color="auto" w:fill="FFFFFF"/>
                <w:lang w:eastAsia="en-US"/>
              </w:rPr>
              <w:t xml:space="preserve">Населявана от </w:t>
            </w:r>
            <w:hyperlink r:id="rId21" w:tooltip="Траки" w:history="1">
              <w:r>
                <w:rPr>
                  <w:rFonts w:eastAsiaTheme="minorHAnsi"/>
                  <w:szCs w:val="24"/>
                  <w:shd w:val="clear" w:color="auto" w:fill="FFFFFF"/>
                  <w:lang w:eastAsia="en-US"/>
                </w:rPr>
                <w:t>траките</w:t>
              </w:r>
            </w:hyperlink>
            <w:r>
              <w:rPr>
                <w:rFonts w:eastAsiaTheme="minorHAnsi"/>
                <w:szCs w:val="24"/>
                <w:shd w:val="clear" w:color="auto" w:fill="FFFFFF"/>
                <w:lang w:eastAsia="en-US"/>
              </w:rPr>
              <w:t xml:space="preserve"> в древността, тя е известна с голяма концентрация на останки от тракийски светилища и жертвеници, </w:t>
            </w:r>
            <w:proofErr w:type="spellStart"/>
            <w:r>
              <w:rPr>
                <w:rFonts w:eastAsiaTheme="minorHAnsi"/>
                <w:szCs w:val="24"/>
                <w:shd w:val="clear" w:color="auto" w:fill="FFFFFF"/>
                <w:lang w:eastAsia="en-US"/>
              </w:rPr>
              <w:t>долмени</w:t>
            </w:r>
            <w:proofErr w:type="spellEnd"/>
            <w:r>
              <w:rPr>
                <w:rFonts w:eastAsiaTheme="minorHAnsi"/>
                <w:szCs w:val="24"/>
                <w:shd w:val="clear" w:color="auto" w:fill="FFFFFF"/>
                <w:lang w:eastAsia="en-US"/>
              </w:rPr>
              <w:t xml:space="preserve"> и други археологически обекти.</w:t>
            </w:r>
          </w:p>
          <w:p w:rsidR="00A85EB3" w:rsidRDefault="00B07D03">
            <w:pPr>
              <w:shd w:val="clear" w:color="auto" w:fill="FFFFFF"/>
              <w:spacing w:line="276" w:lineRule="auto"/>
              <w:textAlignment w:val="baseline"/>
              <w:rPr>
                <w:rFonts w:eastAsiaTheme="minorHAnsi"/>
                <w:szCs w:val="24"/>
                <w:shd w:val="clear" w:color="auto" w:fill="FFFFFF"/>
                <w:lang w:val="en-US" w:eastAsia="en-US"/>
              </w:rPr>
            </w:pPr>
            <w:r>
              <w:rPr>
                <w:rFonts w:eastAsia="Times New Roman"/>
                <w:b/>
                <w:noProof/>
                <w:szCs w:val="24"/>
              </w:rPr>
              <w:t xml:space="preserve">Езерата Игнеада и Национален парк Лонгозни гори  </w:t>
            </w:r>
            <w:r>
              <w:rPr>
                <w:rFonts w:eastAsia="Times New Roman"/>
                <w:noProof/>
                <w:szCs w:val="24"/>
              </w:rPr>
              <w:t xml:space="preserve">Паркът се намира в турската част на територията на ТГС. </w:t>
            </w:r>
            <w:r>
              <w:rPr>
                <w:rFonts w:eastAsia="Times New Roman"/>
                <w:szCs w:val="24"/>
                <w:shd w:val="clear" w:color="auto" w:fill="FFFFFF"/>
              </w:rPr>
              <w:t xml:space="preserve">Той е обявен за национален парк на 13.11.2007 г. Езерата в границите на </w:t>
            </w:r>
            <w:proofErr w:type="spellStart"/>
            <w:r>
              <w:rPr>
                <w:rFonts w:eastAsia="Times New Roman"/>
                <w:szCs w:val="24"/>
                <w:shd w:val="clear" w:color="auto" w:fill="FFFFFF"/>
              </w:rPr>
              <w:t>Инеада</w:t>
            </w:r>
            <w:proofErr w:type="spellEnd"/>
            <w:r>
              <w:rPr>
                <w:rFonts w:eastAsia="Times New Roman"/>
                <w:szCs w:val="24"/>
                <w:shd w:val="clear" w:color="auto" w:fill="FFFFFF"/>
              </w:rPr>
              <w:t xml:space="preserve"> са известни с многобройните видове риби и богатата на кислород атмосфера. Въпреки че в </w:t>
            </w:r>
            <w:proofErr w:type="spellStart"/>
            <w:r>
              <w:rPr>
                <w:rFonts w:eastAsia="Times New Roman"/>
                <w:szCs w:val="24"/>
                <w:shd w:val="clear" w:color="auto" w:fill="FFFFFF"/>
              </w:rPr>
              <w:t>Инеада</w:t>
            </w:r>
            <w:proofErr w:type="spellEnd"/>
            <w:r>
              <w:rPr>
                <w:rFonts w:eastAsia="Times New Roman"/>
                <w:szCs w:val="24"/>
                <w:shd w:val="clear" w:color="auto" w:fill="FFFFFF"/>
              </w:rPr>
              <w:t xml:space="preserve"> има 7 езера, най-важните от тях са езерото </w:t>
            </w:r>
            <w:r>
              <w:rPr>
                <w:rFonts w:eastAsia="Times New Roman"/>
                <w:szCs w:val="24"/>
                <w:shd w:val="clear" w:color="auto" w:fill="FFFFFF"/>
              </w:rPr>
              <w:lastRenderedPageBreak/>
              <w:t xml:space="preserve">Мерт, езерото </w:t>
            </w:r>
            <w:proofErr w:type="spellStart"/>
            <w:r>
              <w:rPr>
                <w:rFonts w:eastAsia="Times New Roman"/>
                <w:szCs w:val="24"/>
                <w:shd w:val="clear" w:color="auto" w:fill="FFFFFF"/>
              </w:rPr>
              <w:t>Хамам</w:t>
            </w:r>
            <w:proofErr w:type="spellEnd"/>
            <w:r>
              <w:rPr>
                <w:rFonts w:eastAsia="Times New Roman"/>
                <w:szCs w:val="24"/>
                <w:shd w:val="clear" w:color="auto" w:fill="FFFFFF"/>
              </w:rPr>
              <w:t xml:space="preserve">, езерото </w:t>
            </w:r>
            <w:proofErr w:type="spellStart"/>
            <w:r>
              <w:rPr>
                <w:rFonts w:eastAsia="Times New Roman"/>
                <w:szCs w:val="24"/>
                <w:shd w:val="clear" w:color="auto" w:fill="FFFFFF"/>
              </w:rPr>
              <w:t>Ерикли</w:t>
            </w:r>
            <w:proofErr w:type="spellEnd"/>
            <w:r>
              <w:rPr>
                <w:rFonts w:eastAsia="Times New Roman"/>
                <w:szCs w:val="24"/>
                <w:shd w:val="clear" w:color="auto" w:fill="FFFFFF"/>
              </w:rPr>
              <w:t xml:space="preserve"> и езерото Сака. Първото езеро, Мерт, е на едва 12 км от границата с България. Известно е, че в лагуните на </w:t>
            </w:r>
            <w:proofErr w:type="spellStart"/>
            <w:r>
              <w:rPr>
                <w:rFonts w:eastAsia="Times New Roman"/>
                <w:szCs w:val="24"/>
                <w:shd w:val="clear" w:color="auto" w:fill="FFFFFF"/>
              </w:rPr>
              <w:t>Инеада</w:t>
            </w:r>
            <w:proofErr w:type="spellEnd"/>
            <w:r>
              <w:rPr>
                <w:rFonts w:eastAsia="Times New Roman"/>
                <w:szCs w:val="24"/>
                <w:shd w:val="clear" w:color="auto" w:fill="FFFFFF"/>
              </w:rPr>
              <w:t xml:space="preserve">, в езерата, във влажните зони и в потоците живеят 30 различни вида риби. Езеро Мерт се слави с най-голямо разнообразие на риба сред тези езера. Езерата </w:t>
            </w:r>
            <w:proofErr w:type="spellStart"/>
            <w:r>
              <w:rPr>
                <w:rFonts w:eastAsia="Times New Roman"/>
                <w:szCs w:val="24"/>
                <w:shd w:val="clear" w:color="auto" w:fill="FFFFFF"/>
              </w:rPr>
              <w:t>Хамам</w:t>
            </w:r>
            <w:proofErr w:type="spellEnd"/>
            <w:r>
              <w:rPr>
                <w:rFonts w:eastAsia="Times New Roman"/>
                <w:szCs w:val="24"/>
                <w:shd w:val="clear" w:color="auto" w:fill="FFFFFF"/>
              </w:rPr>
              <w:t xml:space="preserve"> и </w:t>
            </w:r>
            <w:proofErr w:type="spellStart"/>
            <w:r>
              <w:rPr>
                <w:rFonts w:eastAsia="Times New Roman"/>
                <w:szCs w:val="24"/>
                <w:shd w:val="clear" w:color="auto" w:fill="FFFFFF"/>
              </w:rPr>
              <w:t>Педина</w:t>
            </w:r>
            <w:proofErr w:type="spellEnd"/>
            <w:r>
              <w:rPr>
                <w:rFonts w:eastAsia="Times New Roman"/>
                <w:szCs w:val="24"/>
                <w:shd w:val="clear" w:color="auto" w:fill="FFFFFF"/>
              </w:rPr>
              <w:t xml:space="preserve"> могат да бъдат определени като места за настаняване на птици, диви патици и лебеди, идващи от България, Русия и от река Дунав. </w:t>
            </w:r>
            <w:proofErr w:type="spellStart"/>
            <w:r>
              <w:rPr>
                <w:rFonts w:eastAsia="Times New Roman"/>
                <w:szCs w:val="24"/>
                <w:shd w:val="clear" w:color="auto" w:fill="FFFFFF"/>
              </w:rPr>
              <w:t>Лонгозните</w:t>
            </w:r>
            <w:proofErr w:type="spellEnd"/>
            <w:r>
              <w:rPr>
                <w:rFonts w:eastAsia="Times New Roman"/>
                <w:szCs w:val="24"/>
                <w:shd w:val="clear" w:color="auto" w:fill="FFFFFF"/>
              </w:rPr>
              <w:t xml:space="preserve"> гори, които са напълно покрити с вода през зимата и пролетта, имат </w:t>
            </w:r>
            <w:proofErr w:type="spellStart"/>
            <w:r>
              <w:rPr>
                <w:rFonts w:eastAsia="Times New Roman"/>
                <w:szCs w:val="24"/>
                <w:shd w:val="clear" w:color="auto" w:fill="FFFFFF"/>
              </w:rPr>
              <w:t>флористичен</w:t>
            </w:r>
            <w:proofErr w:type="spellEnd"/>
            <w:r>
              <w:rPr>
                <w:rFonts w:eastAsia="Times New Roman"/>
                <w:szCs w:val="24"/>
                <w:shd w:val="clear" w:color="auto" w:fill="FFFFFF"/>
              </w:rPr>
              <w:t xml:space="preserve"> състав от смесени горски дървета с височина 8–15 метра. Защитата на местообитанието на тези гори е от решаващо значение, тъй като те имат рядка природна стойност не само за Турция, но и за Европа. </w:t>
            </w:r>
          </w:p>
          <w:p w:rsidR="00A85EB3" w:rsidRDefault="00B07D03">
            <w:pPr>
              <w:spacing w:line="276" w:lineRule="auto"/>
              <w:rPr>
                <w:rFonts w:eastAsia="Times New Roman"/>
                <w:noProof/>
                <w:szCs w:val="24"/>
                <w:lang w:val="en-US"/>
              </w:rPr>
            </w:pPr>
            <w:r>
              <w:rPr>
                <w:rFonts w:eastAsia="Times New Roman"/>
                <w:b/>
                <w:noProof/>
                <w:szCs w:val="24"/>
              </w:rPr>
              <w:t xml:space="preserve">Културно-историческо наследство. Град Одрин – жив музей. </w:t>
            </w:r>
            <w:r>
              <w:rPr>
                <w:rFonts w:eastAsia="Times New Roman"/>
                <w:noProof/>
                <w:szCs w:val="24"/>
              </w:rPr>
              <w:t>Един от най-древните градове в региона е Одрин. Градът е едно от най-старите селища както в Тракия, така и в Анатолия. Праисторически паметници, датиращи от неолита 7 000–6 000 пр. Хр. – долмени, менхири и гробни могили – могат да се видят от покрайнините му, най-вече в праисторическото селище Чардакалти и в Лалапаша. Различните исторически имена на Одрин свидетелстват за многото исторически периоди, през които той е съществувал. От Одрисия (основан от тракийската цивилизация като Одрисис през 5 век пр. Хр.) до Адрианополис (на името на Римския император Адриан, който е възстановил града през 2 век (123–124 г.)), градът е наречен Одрин от Султан Мурад I през 1361 г. Като икономически и търговски център, животэт в Одрин е бил богат и колоритен, с разпръснати из града базари и кервансараи. Одрин е град на реки – Марица, Арда и Тунджа се срещат в Одрин и се сливат с река Ергене на юг. Одрин е известен с историческите мостове на тези реки – мостът Гази Михал (Gazi Mihal), построен през 1420 г., е най-старият, а мостът Узункьопрю (Дългия мост – Uzunköprü) е най-дългият (1 392 м) и има 174 арки. Музеите опазват и отразяват историята и традициите на града. Град Одрин има богато културно наследство, което го превръща в жив музей. Поради това на Одрин е присъдена наградата „</w:t>
            </w:r>
            <w:r>
              <w:rPr>
                <w:rFonts w:eastAsia="Times New Roman"/>
                <w:i/>
                <w:noProof/>
                <w:szCs w:val="24"/>
              </w:rPr>
              <w:t>Отлична европейска туристическа дестинация в областта на нематериалното културно наследство за 2008 г.“</w:t>
            </w:r>
            <w:r>
              <w:rPr>
                <w:rFonts w:eastAsia="Times New Roman"/>
                <w:noProof/>
                <w:szCs w:val="24"/>
              </w:rPr>
              <w:t xml:space="preserve"> (вж. EU COM, 2014: онлайн). </w:t>
            </w:r>
          </w:p>
          <w:p w:rsidR="00A85EB3" w:rsidRDefault="00B07D03">
            <w:pPr>
              <w:spacing w:line="276" w:lineRule="auto"/>
              <w:rPr>
                <w:rFonts w:eastAsia="Times New Roman"/>
                <w:color w:val="000000"/>
                <w:szCs w:val="24"/>
                <w:lang w:val="en-US" w:eastAsia="bg-BG"/>
              </w:rPr>
            </w:pPr>
            <w:r>
              <w:rPr>
                <w:rFonts w:eastAsia="Times New Roman"/>
                <w:b/>
                <w:color w:val="000000"/>
                <w:szCs w:val="24"/>
                <w:lang w:eastAsia="bg-BG"/>
              </w:rPr>
              <w:t xml:space="preserve">Созопол и Несебър – античните красавици на българското Черноморие.  </w:t>
            </w:r>
            <w:r>
              <w:rPr>
                <w:rFonts w:eastAsia="Times New Roman"/>
                <w:color w:val="000000"/>
                <w:szCs w:val="24"/>
                <w:lang w:eastAsia="bg-BG"/>
              </w:rPr>
              <w:t xml:space="preserve">В българската част на региона на ТГС съществуват много антични градове. Градовете Созопол и Несебър са най-старите. Созопол се намира на 34 км. южно от Бургас и е един от най-старите крайморски градове в България, създаден през 610 г. пр. Хр. Тракийците са били първите заселници по тези земи, но Гърците са създали първите селища през 7 в. пр. Хр. Те нарекли града </w:t>
            </w:r>
            <w:proofErr w:type="spellStart"/>
            <w:r>
              <w:rPr>
                <w:rFonts w:eastAsia="Times New Roman"/>
                <w:color w:val="000000"/>
                <w:szCs w:val="24"/>
                <w:lang w:eastAsia="bg-BG"/>
              </w:rPr>
              <w:t>Аполония</w:t>
            </w:r>
            <w:proofErr w:type="spellEnd"/>
            <w:r>
              <w:rPr>
                <w:rFonts w:eastAsia="Times New Roman"/>
                <w:color w:val="000000"/>
                <w:szCs w:val="24"/>
                <w:lang w:eastAsia="bg-BG"/>
              </w:rPr>
              <w:t xml:space="preserve">, на името на своя бог на красотата Аполон. Постепенно селището се превърнало в търговски център за мед, зърно, вино, зехтин и керамични изделия. През 6 в. пр. Хр. градът вече сечал свои пари. По време на царуването на българския хан Крум, Созопол става българска територия.  Съвременният Созопол е туристически център. Созопол привлича посетители с тесните си калдъръмени улици и старите каменни къщи от двете им страни. Несебър е разположен на 37 км. на север от Бургас и е един от най-старите градове в Европа, наследник на древното тракийско селище </w:t>
            </w:r>
            <w:proofErr w:type="spellStart"/>
            <w:r>
              <w:rPr>
                <w:rFonts w:eastAsia="Times New Roman"/>
                <w:color w:val="000000"/>
                <w:szCs w:val="24"/>
                <w:lang w:eastAsia="bg-BG"/>
              </w:rPr>
              <w:t>Месемврия</w:t>
            </w:r>
            <w:proofErr w:type="spellEnd"/>
            <w:r>
              <w:rPr>
                <w:rFonts w:eastAsia="Times New Roman"/>
                <w:color w:val="000000"/>
                <w:szCs w:val="24"/>
                <w:lang w:eastAsia="bg-BG"/>
              </w:rPr>
              <w:t xml:space="preserve">. </w:t>
            </w:r>
            <w:proofErr w:type="spellStart"/>
            <w:r>
              <w:rPr>
                <w:rFonts w:eastAsia="Times New Roman"/>
                <w:color w:val="000000"/>
                <w:szCs w:val="24"/>
                <w:lang w:eastAsia="bg-BG"/>
              </w:rPr>
              <w:t>Месемврия</w:t>
            </w:r>
            <w:proofErr w:type="spellEnd"/>
            <w:r>
              <w:rPr>
                <w:rFonts w:eastAsia="Times New Roman"/>
                <w:color w:val="000000"/>
                <w:szCs w:val="24"/>
                <w:lang w:eastAsia="bg-BG"/>
              </w:rPr>
              <w:t xml:space="preserve"> се превърнал в голям и добре укрепен град. Той също станал важен търговски център. </w:t>
            </w:r>
            <w:r>
              <w:rPr>
                <w:rFonts w:eastAsia="Times New Roman"/>
                <w:color w:val="000000"/>
                <w:szCs w:val="24"/>
                <w:lang w:eastAsia="bg-BG"/>
              </w:rPr>
              <w:lastRenderedPageBreak/>
              <w:t xml:space="preserve">През 5 в. пр. Хр. градът започнал да сече свои собствени пари. През средновековието градът останал под римско и византийско господство, до 812 г., когато бил включен в земите, управлявани от българите, предвождани от хан Крум. Легендата казва, че през цялото си съществуване Несебър е имал общо 40 църкви. В момента църквите са 26 и градът е на първо място в света по брой църкви на глава от населението. През 1956 г. ЮНЕСКО включва Несебър в своя Списък на световното културно наследство.  Поради тази причина Созопол, Несебър и южното българско Черноморие (от Созопол до границата с Турция) са включени в известния Справочник на </w:t>
            </w:r>
            <w:proofErr w:type="spellStart"/>
            <w:r>
              <w:rPr>
                <w:rFonts w:eastAsia="Times New Roman"/>
                <w:color w:val="000000"/>
                <w:szCs w:val="24"/>
                <w:lang w:eastAsia="bg-BG"/>
              </w:rPr>
              <w:t>Мишлен</w:t>
            </w:r>
            <w:proofErr w:type="spellEnd"/>
            <w:r>
              <w:rPr>
                <w:rFonts w:eastAsia="Times New Roman"/>
                <w:color w:val="000000"/>
                <w:szCs w:val="24"/>
                <w:lang w:eastAsia="bg-BG"/>
              </w:rPr>
              <w:t xml:space="preserve"> (</w:t>
            </w:r>
            <w:proofErr w:type="spellStart"/>
            <w:r>
              <w:rPr>
                <w:rFonts w:eastAsia="Times New Roman"/>
                <w:color w:val="000000"/>
                <w:szCs w:val="24"/>
                <w:lang w:eastAsia="bg-BG"/>
              </w:rPr>
              <w:t>Michelin</w:t>
            </w:r>
            <w:proofErr w:type="spellEnd"/>
            <w:r>
              <w:rPr>
                <w:rFonts w:eastAsia="Times New Roman"/>
                <w:color w:val="000000"/>
                <w:szCs w:val="24"/>
                <w:lang w:eastAsia="bg-BG"/>
              </w:rPr>
              <w:t xml:space="preserve"> </w:t>
            </w:r>
            <w:proofErr w:type="spellStart"/>
            <w:r>
              <w:rPr>
                <w:rFonts w:eastAsia="Times New Roman"/>
                <w:color w:val="000000"/>
                <w:szCs w:val="24"/>
                <w:lang w:eastAsia="bg-BG"/>
              </w:rPr>
              <w:t>Guide</w:t>
            </w:r>
            <w:proofErr w:type="spellEnd"/>
            <w:r>
              <w:rPr>
                <w:rFonts w:eastAsia="Times New Roman"/>
                <w:color w:val="000000"/>
                <w:szCs w:val="24"/>
                <w:lang w:eastAsia="bg-BG"/>
              </w:rPr>
              <w:t xml:space="preserve">) „1 000 места по света, които да посетите“ (вж. Travel </w:t>
            </w:r>
            <w:proofErr w:type="spellStart"/>
            <w:r>
              <w:rPr>
                <w:rFonts w:eastAsia="Times New Roman"/>
                <w:color w:val="000000"/>
                <w:szCs w:val="24"/>
                <w:lang w:eastAsia="bg-BG"/>
              </w:rPr>
              <w:t>Michelin</w:t>
            </w:r>
            <w:proofErr w:type="spellEnd"/>
            <w:r>
              <w:rPr>
                <w:rFonts w:eastAsia="Times New Roman"/>
                <w:color w:val="000000"/>
                <w:szCs w:val="24"/>
                <w:lang w:eastAsia="bg-BG"/>
              </w:rPr>
              <w:t xml:space="preserve">, 2014: онлайн). </w:t>
            </w:r>
          </w:p>
          <w:p w:rsidR="00A85EB3" w:rsidRDefault="00B07D03">
            <w:pPr>
              <w:spacing w:line="276" w:lineRule="auto"/>
              <w:rPr>
                <w:rFonts w:eastAsia="Times New Roman"/>
                <w:noProof/>
                <w:szCs w:val="24"/>
                <w:lang w:val="en-US"/>
              </w:rPr>
            </w:pPr>
            <w:r>
              <w:rPr>
                <w:rFonts w:eastAsia="Times New Roman"/>
                <w:b/>
                <w:noProof/>
                <w:szCs w:val="24"/>
              </w:rPr>
              <w:t xml:space="preserve">Съвременно развитие. </w:t>
            </w:r>
            <w:r>
              <w:rPr>
                <w:rFonts w:eastAsia="Times New Roman"/>
                <w:noProof/>
                <w:szCs w:val="24"/>
              </w:rPr>
              <w:t>Въпреки че големите туристически дестинации на региона на ТГС са на черноморското крайбрежие, напоследък се наблюдават някои нови форми на „целогодишни туристически дестинации/атракции“, като СПА туризъм, културен, исторически, селски, спортен туризъм и др.  През последните няколко години някои от най-популярните атракции от туристическите пакети „ол инклузив“ на хотелите по българското Черноморие са едно- или двудневните екскурзии до природни, културни и исторически забележителности в региона на ТГС. Съгласно оценките на Програмата за ТГС 2007–2013 г., туристическият потенциал на турските региони в региона на ТГС продължава да бъде неизползван, въпреки че през годините 2011–2013 в Одрин са изграждат някои нови четири- и петзвездни хотели с цел да се доразвие сектора на туризма на провинцията. Имайки предвид данните за туризма, тенденциите за периода 2007–2012 показват, че е налице общо увеличение на броя на общо реализираните нощувки в региона от 6,5 милиона през 2007 г. до 7,7 милиона през 2012 г. От една страна се наблюдава намаляване на общия брой на местата за подслон в района от 1 217 през 2007 г. до 714 през 2012 г., главно поради закриване на обекти в област Бургас по време на икономическата криза в периода 2008–2009 г. От друга страна, през същия период 2007–2012 г. в област Хасково, провинция Одрин и провинция Къркларели местата за настаняване са се увеличили със средно 31%. В областта на туризма има отлична основа за сътрудничество, тъй като той е един от водещите икономически сектори във всички регионални и национални стратегически документи в областта.</w:t>
            </w:r>
          </w:p>
          <w:p w:rsidR="00A85EB3" w:rsidRDefault="00B07D03">
            <w:pPr>
              <w:keepNext/>
              <w:tabs>
                <w:tab w:val="num" w:pos="1069"/>
              </w:tabs>
              <w:suppressAutoHyphens/>
              <w:spacing w:before="0" w:after="0" w:line="276" w:lineRule="auto"/>
              <w:outlineLvl w:val="3"/>
              <w:rPr>
                <w:rFonts w:eastAsia="Times New Roman"/>
                <w:b/>
                <w:noProof/>
                <w:color w:val="000000" w:themeColor="text1"/>
                <w:szCs w:val="24"/>
                <w:lang w:val="en-US" w:eastAsia="ar-SA"/>
              </w:rPr>
            </w:pPr>
            <w:r>
              <w:rPr>
                <w:rFonts w:eastAsia="Times New Roman"/>
                <w:b/>
                <w:noProof/>
                <w:color w:val="000000" w:themeColor="text1"/>
                <w:szCs w:val="24"/>
                <w:lang w:eastAsia="ar-SA"/>
              </w:rPr>
              <w:t>Предизвикателства</w:t>
            </w:r>
          </w:p>
          <w:p w:rsidR="00A85EB3" w:rsidRDefault="00B07D03">
            <w:pPr>
              <w:numPr>
                <w:ilvl w:val="0"/>
                <w:numId w:val="41"/>
              </w:numPr>
              <w:spacing w:before="0" w:after="0" w:line="276" w:lineRule="auto"/>
              <w:rPr>
                <w:rFonts w:eastAsia="Times New Roman"/>
                <w:szCs w:val="24"/>
                <w:lang w:val="en-US"/>
              </w:rPr>
            </w:pPr>
            <w:r>
              <w:rPr>
                <w:rFonts w:eastAsia="Times New Roman"/>
                <w:szCs w:val="24"/>
              </w:rPr>
              <w:t>Изменението на климата и неговото разнообразие на отрицателни териториални въздействия илюстрират значимите заплахи за летния туризъм в региона, който е важен стопански фактор особено за черноморския регион (летните курорти).</w:t>
            </w:r>
          </w:p>
          <w:p w:rsidR="00A85EB3" w:rsidRDefault="00B07D03">
            <w:pPr>
              <w:numPr>
                <w:ilvl w:val="0"/>
                <w:numId w:val="41"/>
              </w:numPr>
              <w:spacing w:before="0" w:after="0" w:line="276" w:lineRule="auto"/>
              <w:rPr>
                <w:rFonts w:eastAsia="Times New Roman"/>
                <w:i/>
                <w:szCs w:val="24"/>
                <w:lang w:val="en-US"/>
              </w:rPr>
            </w:pPr>
            <w:r>
              <w:rPr>
                <w:rFonts w:eastAsia="Times New Roman"/>
                <w:szCs w:val="24"/>
              </w:rPr>
              <w:t xml:space="preserve">Туристическата експлоатация на региона, в т.ч. масовият туризъм, е сериозна опасност за ценните ландшафти, природните местообитания и екологичните коридори в региона; следва да се прилагат новаторски туристически практики, за да се регулира и уреди по-добре експлоатацията на защитените територии. </w:t>
            </w:r>
          </w:p>
          <w:p w:rsidR="00A85EB3" w:rsidRDefault="00B07D03">
            <w:pPr>
              <w:numPr>
                <w:ilvl w:val="0"/>
                <w:numId w:val="41"/>
              </w:numPr>
              <w:spacing w:before="0" w:after="0" w:line="276" w:lineRule="auto"/>
              <w:rPr>
                <w:rFonts w:eastAsia="Times New Roman"/>
                <w:szCs w:val="24"/>
                <w:lang w:val="en-US"/>
              </w:rPr>
            </w:pPr>
            <w:r>
              <w:rPr>
                <w:rFonts w:eastAsia="Times New Roman"/>
                <w:szCs w:val="24"/>
              </w:rPr>
              <w:t>Популяризиране на природните, културните и историческите ценности на региона.</w:t>
            </w:r>
          </w:p>
          <w:p w:rsidR="00A85EB3" w:rsidRDefault="00A85EB3">
            <w:pPr>
              <w:keepNext/>
              <w:tabs>
                <w:tab w:val="num" w:pos="1069"/>
              </w:tabs>
              <w:suppressAutoHyphens/>
              <w:spacing w:before="0" w:after="0" w:line="276" w:lineRule="auto"/>
              <w:outlineLvl w:val="3"/>
              <w:rPr>
                <w:rFonts w:eastAsia="Times New Roman"/>
                <w:b/>
                <w:noProof/>
                <w:color w:val="000000" w:themeColor="text1"/>
                <w:szCs w:val="24"/>
                <w:lang w:val="en-US" w:eastAsia="ar-SA"/>
              </w:rPr>
            </w:pPr>
          </w:p>
          <w:p w:rsidR="00A85EB3" w:rsidRDefault="00B07D03">
            <w:pPr>
              <w:keepNext/>
              <w:tabs>
                <w:tab w:val="num" w:pos="1069"/>
              </w:tabs>
              <w:suppressAutoHyphens/>
              <w:spacing w:before="0" w:after="0" w:line="276" w:lineRule="auto"/>
              <w:outlineLvl w:val="3"/>
              <w:rPr>
                <w:rFonts w:eastAsia="Times New Roman"/>
                <w:b/>
                <w:noProof/>
                <w:color w:val="000000" w:themeColor="text1"/>
                <w:szCs w:val="24"/>
                <w:lang w:val="en-US" w:eastAsia="ar-SA"/>
              </w:rPr>
            </w:pPr>
            <w:r>
              <w:rPr>
                <w:rFonts w:eastAsia="Times New Roman"/>
                <w:b/>
                <w:noProof/>
                <w:color w:val="000000" w:themeColor="text1"/>
                <w:szCs w:val="24"/>
                <w:lang w:eastAsia="ar-SA"/>
              </w:rPr>
              <w:lastRenderedPageBreak/>
              <w:t>Потребности</w:t>
            </w:r>
          </w:p>
          <w:p w:rsidR="00A85EB3" w:rsidRDefault="00B07D03">
            <w:pPr>
              <w:numPr>
                <w:ilvl w:val="0"/>
                <w:numId w:val="40"/>
              </w:numPr>
              <w:spacing w:before="0" w:after="0" w:line="276" w:lineRule="auto"/>
              <w:rPr>
                <w:rFonts w:eastAsia="Times New Roman"/>
                <w:szCs w:val="24"/>
                <w:lang w:val="en-US"/>
              </w:rPr>
            </w:pPr>
            <w:r>
              <w:rPr>
                <w:rFonts w:eastAsia="Times New Roman"/>
                <w:szCs w:val="24"/>
              </w:rPr>
              <w:t xml:space="preserve">Има нужда от общо управление в сътрудничество на културното наследство по един устойчив начин, отчитайки екологичните потребности на защитените територии, както и крайбрежните зони и природните водоеми. </w:t>
            </w:r>
          </w:p>
          <w:p w:rsidR="00A85EB3" w:rsidRDefault="00B07D03">
            <w:pPr>
              <w:numPr>
                <w:ilvl w:val="0"/>
                <w:numId w:val="40"/>
              </w:numPr>
              <w:spacing w:before="0" w:after="0" w:line="276" w:lineRule="auto"/>
              <w:rPr>
                <w:rFonts w:eastAsia="Times New Roman"/>
                <w:szCs w:val="24"/>
                <w:lang w:val="en-US"/>
              </w:rPr>
            </w:pPr>
            <w:r>
              <w:rPr>
                <w:rFonts w:eastAsia="Times New Roman"/>
                <w:szCs w:val="24"/>
              </w:rPr>
              <w:t>Необходими са нови и по-разнообразни туристически продукти и услуги.</w:t>
            </w:r>
          </w:p>
          <w:p w:rsidR="00A85EB3" w:rsidRDefault="00B07D03">
            <w:pPr>
              <w:numPr>
                <w:ilvl w:val="0"/>
                <w:numId w:val="40"/>
              </w:numPr>
              <w:spacing w:before="0" w:after="0" w:line="276" w:lineRule="auto"/>
              <w:rPr>
                <w:rFonts w:eastAsia="Times New Roman"/>
                <w:szCs w:val="24"/>
                <w:lang w:val="en-US"/>
              </w:rPr>
            </w:pPr>
            <w:r>
              <w:rPr>
                <w:rFonts w:eastAsia="Times New Roman"/>
                <w:szCs w:val="24"/>
              </w:rPr>
              <w:t xml:space="preserve">Необходимост от рекламиране на туризма и природното, културното и историческото наследство. </w:t>
            </w:r>
          </w:p>
          <w:p w:rsidR="00A85EB3" w:rsidRDefault="00B07D03">
            <w:pPr>
              <w:spacing w:line="276" w:lineRule="auto"/>
              <w:rPr>
                <w:rFonts w:eastAsia="Times New Roman"/>
                <w:noProof/>
                <w:szCs w:val="24"/>
                <w:lang w:val="en-US"/>
              </w:rPr>
            </w:pPr>
            <w:r>
              <w:rPr>
                <w:rFonts w:eastAsia="Times New Roman"/>
                <w:b/>
                <w:szCs w:val="24"/>
              </w:rPr>
              <w:t xml:space="preserve">Млади хора, образование и умения. </w:t>
            </w:r>
            <w:r>
              <w:rPr>
                <w:rFonts w:eastAsia="Times New Roman"/>
                <w:szCs w:val="24"/>
                <w:lang w:eastAsia="de-AT"/>
              </w:rPr>
              <w:t>Както вече бе отбелязано, младежката безработица е определена като основна бъдеща заплаха за трансграничния регион и най-вече турската част на региона „</w:t>
            </w:r>
            <w:r>
              <w:rPr>
                <w:rFonts w:eastAsia="Times New Roman"/>
                <w:i/>
                <w:noProof/>
                <w:szCs w:val="24"/>
              </w:rPr>
              <w:t>е изправена пред изходяща миграция, особено на млади и образовани хора, и обезлюдяване на селските райони поради по-добрите възможности за работа в градските райони</w:t>
            </w:r>
            <w:r>
              <w:rPr>
                <w:rFonts w:eastAsia="Times New Roman"/>
                <w:noProof/>
                <w:szCs w:val="24"/>
              </w:rPr>
              <w:t>“. Състоянието на образованието в територията на ТГС показва доста позитивна картина: относителният дял на населението на възраст между 25 и 64 години с висше образование непрекъснато се увеличава в българските области на определения район на програмата, като в област Ямбол е регистриран дял от 22,4% от общото население на възраст между 25 и 64 години – най-висок дял на населението с висше образование. За област Бургас този дял е 18,6%, а за област Хасково – 18,5%. В Турция делът на населението на възраст между 25 и 64 години с висше образование също непрекъснато нараства (8,9% през 2008 г. и 12,9% през 2012 г. в област Къркларели; 9,7% през 2008 г. и 13,6% през 2012 г. в област Одрин). Обратно, относителният дял на населението с основно или по-ниско образование намалява, главно в областите Бургас и Ямбол (от 36,1% през 2007 г. до 29% през 2012 г. в Бургас, съответно от 22,2% през 2007 г. до 17,9% в Ямбол). В област Хасково не се наблюдава съществено подобрение. В Къркларели и Одрин относителният дял на населението на възраст между 24 и 64 години с основно или по-ниско образование също намалява, въпреки че делът на населението с основно или по-ниско образование е по-висок отколкото в България. В сектора на образованието турските провинции Одрин и Къркларели са добре оборудвани с различни видове училища, като съществуват около 400 училища в Одрин и 300 училища в Къркларели. В тези райони през 2012 г. около 48 000 ученици и 7 600 студенти са били записани в професионално обучение (в училище) и бакалавърски програми във висши училища.</w:t>
            </w:r>
          </w:p>
          <w:p w:rsidR="00A85EB3" w:rsidRDefault="00B07D03">
            <w:pPr>
              <w:keepNext/>
              <w:tabs>
                <w:tab w:val="num" w:pos="1069"/>
              </w:tabs>
              <w:suppressAutoHyphens/>
              <w:spacing w:before="0" w:after="0" w:line="276" w:lineRule="auto"/>
              <w:outlineLvl w:val="3"/>
              <w:rPr>
                <w:rFonts w:eastAsia="Times New Roman"/>
                <w:b/>
                <w:noProof/>
                <w:color w:val="000000" w:themeColor="text1"/>
                <w:szCs w:val="24"/>
                <w:lang w:val="en-US" w:eastAsia="ar-SA"/>
              </w:rPr>
            </w:pPr>
            <w:bookmarkStart w:id="23" w:name="_Toc390423129"/>
            <w:bookmarkStart w:id="24" w:name="_Toc384127940"/>
            <w:bookmarkStart w:id="25" w:name="_Toc377635898"/>
            <w:bookmarkStart w:id="26" w:name="_Toc377046961"/>
            <w:bookmarkEnd w:id="23"/>
            <w:bookmarkEnd w:id="24"/>
            <w:bookmarkEnd w:id="25"/>
            <w:bookmarkEnd w:id="26"/>
            <w:r>
              <w:rPr>
                <w:rFonts w:eastAsia="Times New Roman"/>
                <w:b/>
                <w:noProof/>
                <w:color w:val="000000" w:themeColor="text1"/>
                <w:szCs w:val="24"/>
                <w:lang w:eastAsia="ar-SA"/>
              </w:rPr>
              <w:t>Предизвикателства</w:t>
            </w:r>
          </w:p>
          <w:p w:rsidR="00A85EB3" w:rsidRDefault="00B07D03">
            <w:pPr>
              <w:numPr>
                <w:ilvl w:val="0"/>
                <w:numId w:val="43"/>
              </w:numPr>
              <w:spacing w:before="0" w:after="0" w:line="276" w:lineRule="auto"/>
              <w:rPr>
                <w:rFonts w:eastAsia="Times New Roman"/>
                <w:szCs w:val="24"/>
                <w:lang w:val="en-US"/>
              </w:rPr>
            </w:pPr>
            <w:r>
              <w:rPr>
                <w:rFonts w:eastAsia="Times New Roman"/>
                <w:szCs w:val="24"/>
              </w:rPr>
              <w:t>В региона се наблюдава изтичане на мозъци и изходяща миграция поради липсващи възможности (за заетост) за младите хора.</w:t>
            </w:r>
          </w:p>
          <w:p w:rsidR="00A85EB3" w:rsidRDefault="00B07D03">
            <w:pPr>
              <w:numPr>
                <w:ilvl w:val="0"/>
                <w:numId w:val="43"/>
              </w:numPr>
              <w:spacing w:before="0" w:after="0" w:line="276" w:lineRule="auto"/>
              <w:rPr>
                <w:rFonts w:eastAsia="Times New Roman"/>
                <w:szCs w:val="24"/>
                <w:lang w:val="en-US"/>
              </w:rPr>
            </w:pPr>
            <w:r>
              <w:rPr>
                <w:rFonts w:eastAsia="Times New Roman"/>
                <w:szCs w:val="24"/>
              </w:rPr>
              <w:t>Образованието и професионалното обучение не са ориентирани към търсенето на регионалния пазар на труда.</w:t>
            </w:r>
          </w:p>
          <w:p w:rsidR="00A85EB3" w:rsidRDefault="00B07D03">
            <w:pPr>
              <w:numPr>
                <w:ilvl w:val="0"/>
                <w:numId w:val="43"/>
              </w:numPr>
              <w:spacing w:before="0" w:after="0" w:line="276" w:lineRule="auto"/>
              <w:rPr>
                <w:rFonts w:eastAsia="Times New Roman"/>
                <w:szCs w:val="24"/>
                <w:lang w:val="en-US"/>
              </w:rPr>
            </w:pPr>
            <w:r>
              <w:rPr>
                <w:rFonts w:eastAsia="Times New Roman"/>
                <w:szCs w:val="24"/>
              </w:rPr>
              <w:t>Според резултатите от тестовете, проведени от Програмата за оценка на международните студенти (PISA), на места съществува висок дял на отпадащите от училище и до известна степен ниска грамотност.</w:t>
            </w:r>
          </w:p>
          <w:p w:rsidR="00A85EB3" w:rsidRDefault="00B07D03">
            <w:pPr>
              <w:keepNext/>
              <w:tabs>
                <w:tab w:val="num" w:pos="1069"/>
              </w:tabs>
              <w:suppressAutoHyphens/>
              <w:spacing w:before="0" w:after="0" w:line="276" w:lineRule="auto"/>
              <w:outlineLvl w:val="3"/>
              <w:rPr>
                <w:rFonts w:eastAsia="Times New Roman"/>
                <w:b/>
                <w:noProof/>
                <w:color w:val="000000" w:themeColor="text1"/>
                <w:szCs w:val="24"/>
                <w:lang w:val="en-US" w:eastAsia="ar-SA"/>
              </w:rPr>
            </w:pPr>
            <w:r>
              <w:rPr>
                <w:rFonts w:eastAsia="Times New Roman"/>
                <w:b/>
                <w:noProof/>
                <w:color w:val="000000" w:themeColor="text1"/>
                <w:szCs w:val="24"/>
                <w:lang w:eastAsia="ar-SA"/>
              </w:rPr>
              <w:t>Потребности</w:t>
            </w:r>
          </w:p>
          <w:p w:rsidR="00A85EB3" w:rsidRDefault="00B07D03">
            <w:pPr>
              <w:numPr>
                <w:ilvl w:val="0"/>
                <w:numId w:val="42"/>
              </w:numPr>
              <w:spacing w:before="0" w:after="0" w:line="276" w:lineRule="auto"/>
              <w:rPr>
                <w:rFonts w:eastAsia="Times New Roman"/>
                <w:szCs w:val="24"/>
                <w:lang w:val="en-US"/>
              </w:rPr>
            </w:pPr>
            <w:r>
              <w:rPr>
                <w:rFonts w:eastAsia="Times New Roman"/>
                <w:szCs w:val="24"/>
              </w:rPr>
              <w:t>Необходими са съвместни усилия за намаляване на изтичането на мозъци и изходящата миграция на млади квалифицирани кадри.</w:t>
            </w:r>
          </w:p>
          <w:p w:rsidR="00A85EB3" w:rsidRDefault="00B07D03">
            <w:pPr>
              <w:numPr>
                <w:ilvl w:val="0"/>
                <w:numId w:val="42"/>
              </w:numPr>
              <w:spacing w:before="0" w:after="0" w:line="276" w:lineRule="auto"/>
              <w:rPr>
                <w:rFonts w:eastAsia="Times New Roman"/>
                <w:szCs w:val="24"/>
                <w:lang w:val="en-US"/>
              </w:rPr>
            </w:pPr>
            <w:r>
              <w:rPr>
                <w:rFonts w:eastAsia="Times New Roman"/>
                <w:szCs w:val="24"/>
              </w:rPr>
              <w:lastRenderedPageBreak/>
              <w:t>Ниското образователно равнище трябва да се подобри – трябва да се намалят по-специално ниската грамотност и отпадането от училище – чрез повишаване на общото качество на образованието на всички равнища.</w:t>
            </w:r>
          </w:p>
          <w:p w:rsidR="00A85EB3" w:rsidRDefault="00B07D03">
            <w:pPr>
              <w:spacing w:line="276" w:lineRule="auto"/>
              <w:rPr>
                <w:rFonts w:eastAsia="Times New Roman"/>
                <w:noProof/>
                <w:szCs w:val="24"/>
                <w:lang w:val="en-US"/>
              </w:rPr>
            </w:pPr>
            <w:r>
              <w:rPr>
                <w:rFonts w:eastAsia="Times New Roman"/>
                <w:b/>
                <w:szCs w:val="24"/>
              </w:rPr>
              <w:t>Местно и регионално управление, планиране и административен капацитет.</w:t>
            </w:r>
            <w:r>
              <w:rPr>
                <w:rFonts w:eastAsia="Times New Roman"/>
                <w:szCs w:val="24"/>
              </w:rPr>
              <w:t xml:space="preserve"> През последните десетилетия Република България и Република Турция станаха партньори в много области.  Тези връзки „постигнаха всестранен напредък във всички области и контактите на всички равнища бяха засилени. Рамката, необходима за подобряване на икономическите и търговските взаимоотношения, беше завършена“. Днес взаимоотношенията са подобрени, в момента България и Турция са две съседни и съюзнически държави, които играят активна роля в процесите на регионално сътрудничество и имат сходни външнополитически ориентации. В момента двете държави са важни търговски партньори, като обемът на двустранната търговия е нараснал от 2,4 милиарда евро през 2010 г. на 2,83 милиарда евро през 2011 г. </w:t>
            </w:r>
          </w:p>
          <w:p w:rsidR="00A85EB3" w:rsidRDefault="00B07D03">
            <w:pPr>
              <w:spacing w:line="276" w:lineRule="auto"/>
              <w:rPr>
                <w:rFonts w:eastAsia="Times New Roman"/>
                <w:noProof/>
                <w:szCs w:val="24"/>
                <w:lang w:val="en-US"/>
              </w:rPr>
            </w:pPr>
            <w:bookmarkStart w:id="27" w:name="_Toc390423130"/>
            <w:bookmarkStart w:id="28" w:name="_Toc384127941"/>
            <w:bookmarkStart w:id="29" w:name="_Toc377635899"/>
            <w:bookmarkStart w:id="30" w:name="_Toc377046962"/>
            <w:bookmarkEnd w:id="27"/>
            <w:bookmarkEnd w:id="28"/>
            <w:bookmarkEnd w:id="29"/>
            <w:bookmarkEnd w:id="30"/>
            <w:r>
              <w:rPr>
                <w:rFonts w:eastAsia="Times New Roman"/>
                <w:noProof/>
                <w:szCs w:val="24"/>
              </w:rPr>
              <w:t xml:space="preserve">В областта на пространственото планиране в България, местните власти са основните единици, а общинският съвет е съвещателният орган. Общинските съвети също са компетентните органи за изготвяне на общите планове за развитие и местните разпоредби за земеползване като основа за пространственото планиране в българските общини. На национално равнище Министерството на регионалното развитие (МРР) е компетентният орган за пространственото планиране. Документите от значение за планирането включват националната интегрирана схема за пространствено развитие (за цялата страна), схемите за развитие на областите (област, район), плановете за териториите на общините и градовете, както и подробните устройствени планове (общини, градове). </w:t>
            </w:r>
          </w:p>
          <w:p w:rsidR="00A85EB3" w:rsidRDefault="00B07D03">
            <w:pPr>
              <w:spacing w:line="276" w:lineRule="auto"/>
              <w:rPr>
                <w:rFonts w:eastAsia="Times New Roman"/>
                <w:noProof/>
                <w:szCs w:val="24"/>
                <w:lang w:val="en-US"/>
              </w:rPr>
            </w:pPr>
            <w:r>
              <w:rPr>
                <w:rFonts w:eastAsia="Times New Roman"/>
                <w:noProof/>
                <w:szCs w:val="24"/>
              </w:rPr>
              <w:t xml:space="preserve">В системата за планиране в Турция плановете могат да бъдат класифицирани както следва в зависимост от равнището на териториална компетентност: устройствени планове, стратегически пространствени планове и регионални планове на национално равнище и равнище NUTS II, планове за териториално устройство, обхващащи мащаб от 1:25 000 до 1:100 000 главно на равнище провинции, съответстващи на ниво NUTS III, и планове за развитие на земите, покриващи мащаб по-малък от 1: 5 000 на общинско ниво. По отношение на устройствените планове, Министерството на развитието (МР) има законовите правомощия за изготвяне на националните и регионалните устройствени планове. В това отношение МР изготвя националния устройствен план (НУП) и националната стратегия за регионално развитие (НСРУ). МР кара агенциите за развитие да изготвят плановете за регионално развитие на ниво NUTS II в съответствие с НСРУ и НУП. По отношение на пространствените планове, Министерството на околната среда и урбанизацията (МОСУ) има правомощията да изготвя пространствени стратегически планове както на национално, така и на регионално равнище. В съответствие с националните и регионалните решения за планиране, плановете за териториално устройство на нестолични провинции се изготвят от МОСУ, а плановете за териториално устройство на столичните провинции се изготвят от столичните общини. На общинско равнище плановете за развитие на земите, които се състоят от общ план и план за изпълнение, се изготвят </w:t>
            </w:r>
            <w:r>
              <w:rPr>
                <w:rFonts w:eastAsia="Times New Roman"/>
                <w:noProof/>
                <w:szCs w:val="24"/>
              </w:rPr>
              <w:lastRenderedPageBreak/>
              <w:t>от общините в съответствие с териториалните планове. Земеползването, физическото планиране и процесите на зониране са включени в плановете за развитие на земите.</w:t>
            </w:r>
          </w:p>
          <w:p w:rsidR="00A85EB3" w:rsidRDefault="00B07D03">
            <w:pPr>
              <w:spacing w:line="276" w:lineRule="auto"/>
              <w:rPr>
                <w:rFonts w:eastAsia="Times New Roman"/>
                <w:noProof/>
                <w:szCs w:val="24"/>
                <w:lang w:val="en-US"/>
              </w:rPr>
            </w:pPr>
            <w:r>
              <w:rPr>
                <w:rFonts w:eastAsia="Times New Roman"/>
                <w:noProof/>
                <w:szCs w:val="24"/>
              </w:rPr>
              <w:t>Освен трансграничното сътрудничество, България и Турция са членки на ОЧИС (Организацията за черноморско икономическо сътрудничество), председателствана от България през периода от 1 януари – 30 юни 2014 г. Страните – членки на ОЧИС Албания, Армения, Азербайджан, България, Грузия, Гърция, Молдова, Румъния, Русия, Сърбия, Турция и Украйна си сътрудничат, наред с другото, в областта на туризма, развитието на търговията и икономиката, опазването на околната среда и транспорта.</w:t>
            </w:r>
          </w:p>
          <w:p w:rsidR="00A85EB3" w:rsidRDefault="00B07D03">
            <w:pPr>
              <w:keepNext/>
              <w:tabs>
                <w:tab w:val="num" w:pos="1069"/>
              </w:tabs>
              <w:suppressAutoHyphens/>
              <w:spacing w:before="0" w:after="0" w:line="276" w:lineRule="auto"/>
              <w:outlineLvl w:val="3"/>
              <w:rPr>
                <w:rFonts w:eastAsia="Times New Roman"/>
                <w:b/>
                <w:noProof/>
                <w:color w:val="000000" w:themeColor="text1"/>
                <w:szCs w:val="24"/>
                <w:lang w:val="en-US" w:eastAsia="ar-SA"/>
              </w:rPr>
            </w:pPr>
            <w:r>
              <w:rPr>
                <w:rFonts w:eastAsia="Times New Roman"/>
                <w:b/>
                <w:noProof/>
                <w:color w:val="000000" w:themeColor="text1"/>
                <w:szCs w:val="24"/>
                <w:lang w:eastAsia="ar-SA"/>
              </w:rPr>
              <w:t>Предизвикателства</w:t>
            </w:r>
          </w:p>
          <w:p w:rsidR="00A85EB3" w:rsidRDefault="00B07D03">
            <w:pPr>
              <w:numPr>
                <w:ilvl w:val="0"/>
                <w:numId w:val="45"/>
              </w:numPr>
              <w:spacing w:before="0" w:after="0" w:line="276" w:lineRule="auto"/>
              <w:rPr>
                <w:rFonts w:eastAsia="Times New Roman"/>
                <w:szCs w:val="24"/>
                <w:lang w:val="en-US"/>
              </w:rPr>
            </w:pPr>
            <w:r>
              <w:rPr>
                <w:rFonts w:eastAsia="Times New Roman"/>
                <w:szCs w:val="24"/>
              </w:rPr>
              <w:t xml:space="preserve">Административният капацитет и способността за усвояване на средства от ЕС за сътрудничество са отчасти ограничени. </w:t>
            </w:r>
          </w:p>
          <w:p w:rsidR="00A85EB3" w:rsidRDefault="00B07D03">
            <w:pPr>
              <w:numPr>
                <w:ilvl w:val="0"/>
                <w:numId w:val="45"/>
              </w:numPr>
              <w:spacing w:before="0" w:after="0" w:line="276" w:lineRule="auto"/>
              <w:rPr>
                <w:rFonts w:eastAsia="Times New Roman"/>
                <w:szCs w:val="24"/>
                <w:lang w:val="en-US"/>
              </w:rPr>
            </w:pPr>
            <w:r>
              <w:rPr>
                <w:rFonts w:eastAsia="Times New Roman"/>
                <w:szCs w:val="24"/>
              </w:rPr>
              <w:t>За справяне с нарастващите природни и предизвикани от човека бедствия (от гледна точка както на честота, така и на мащаб) са необходими общи управленски усилия на институциите от двете страни на границата.</w:t>
            </w:r>
          </w:p>
          <w:p w:rsidR="00A85EB3" w:rsidRDefault="00B07D03">
            <w:pPr>
              <w:numPr>
                <w:ilvl w:val="0"/>
                <w:numId w:val="45"/>
              </w:numPr>
              <w:spacing w:before="0" w:after="0" w:line="276" w:lineRule="auto"/>
              <w:rPr>
                <w:rFonts w:eastAsia="Times New Roman"/>
                <w:szCs w:val="24"/>
                <w:lang w:val="en-US"/>
              </w:rPr>
            </w:pPr>
            <w:r>
              <w:rPr>
                <w:szCs w:val="24"/>
              </w:rPr>
              <w:t>Съществуващите законови различия между двете участващи държави в областта на регионалното и местното управление и планиране пречат на местните органи да разработват съвместни стратегии и интервенции.</w:t>
            </w:r>
          </w:p>
          <w:p w:rsidR="00A85EB3" w:rsidRDefault="00B07D03">
            <w:pPr>
              <w:keepNext/>
              <w:tabs>
                <w:tab w:val="num" w:pos="1069"/>
              </w:tabs>
              <w:suppressAutoHyphens/>
              <w:spacing w:before="0" w:after="0" w:line="276" w:lineRule="auto"/>
              <w:outlineLvl w:val="3"/>
              <w:rPr>
                <w:rFonts w:eastAsia="Times New Roman"/>
                <w:b/>
                <w:noProof/>
                <w:color w:val="000000" w:themeColor="text1"/>
                <w:szCs w:val="24"/>
                <w:lang w:val="en-US" w:eastAsia="ar-SA"/>
              </w:rPr>
            </w:pPr>
            <w:r>
              <w:rPr>
                <w:rFonts w:eastAsia="Times New Roman"/>
                <w:b/>
                <w:noProof/>
                <w:color w:val="000000" w:themeColor="text1"/>
                <w:szCs w:val="24"/>
                <w:lang w:eastAsia="ar-SA"/>
              </w:rPr>
              <w:t>Потребности</w:t>
            </w:r>
          </w:p>
          <w:p w:rsidR="00A85EB3" w:rsidRDefault="00B07D03">
            <w:pPr>
              <w:numPr>
                <w:ilvl w:val="0"/>
                <w:numId w:val="44"/>
              </w:numPr>
              <w:spacing w:before="0" w:after="0" w:line="276" w:lineRule="auto"/>
              <w:rPr>
                <w:rFonts w:eastAsia="Times New Roman"/>
                <w:szCs w:val="24"/>
                <w:lang w:val="en-US"/>
              </w:rPr>
            </w:pPr>
            <w:r>
              <w:rPr>
                <w:rFonts w:eastAsia="Times New Roman"/>
                <w:szCs w:val="24"/>
              </w:rPr>
              <w:t>Необходими са мерки за подобряване на обществените услуги.</w:t>
            </w:r>
          </w:p>
          <w:p w:rsidR="00A85EB3" w:rsidRDefault="00B07D03">
            <w:pPr>
              <w:numPr>
                <w:ilvl w:val="0"/>
                <w:numId w:val="44"/>
              </w:numPr>
              <w:spacing w:before="0" w:after="0" w:line="276" w:lineRule="auto"/>
              <w:rPr>
                <w:rFonts w:eastAsia="Times New Roman"/>
                <w:szCs w:val="24"/>
                <w:lang w:val="en-US"/>
              </w:rPr>
            </w:pPr>
            <w:r>
              <w:rPr>
                <w:rFonts w:eastAsia="Times New Roman"/>
                <w:szCs w:val="24"/>
              </w:rPr>
              <w:t>Нужни са подобрения за съгласувана и по-добре интегрирана оценка и управление на рисковете.</w:t>
            </w:r>
          </w:p>
          <w:p w:rsidR="00A85EB3" w:rsidRDefault="00B07D03">
            <w:pPr>
              <w:spacing w:line="276" w:lineRule="auto"/>
              <w:rPr>
                <w:rFonts w:eastAsia="Times New Roman"/>
                <w:noProof/>
                <w:szCs w:val="24"/>
                <w:lang w:val="en-US"/>
              </w:rPr>
            </w:pPr>
            <w:r>
              <w:rPr>
                <w:rFonts w:eastAsia="Times New Roman"/>
                <w:b/>
                <w:szCs w:val="24"/>
              </w:rPr>
              <w:t>Конкурентоспособност, среда за бизнес и развитие на МСП, търговия и инвестиции.</w:t>
            </w:r>
            <w:r>
              <w:rPr>
                <w:rStyle w:val="FootnoteReference"/>
                <w:rFonts w:eastAsia="Times New Roman"/>
                <w:b/>
                <w:szCs w:val="24"/>
              </w:rPr>
              <w:footnoteReference w:id="3"/>
            </w:r>
            <w:r>
              <w:rPr>
                <w:rFonts w:eastAsia="Times New Roman"/>
                <w:szCs w:val="24"/>
              </w:rPr>
              <w:t xml:space="preserve"> Трансграничният регион на България и Турция се характеризира с недостатъчни темпове на икономически растеж, най-общо неблагоприятна икономическа ситуация и висока безработица. Както България, така и Турция имат полза от създаването на мрежи за сътрудничество в трансграничните и/или изолираните райони. Промишлеността в региона – с изключение на района на пристанището на Бургас – има </w:t>
            </w:r>
            <w:proofErr w:type="spellStart"/>
            <w:r>
              <w:rPr>
                <w:rFonts w:eastAsia="Times New Roman"/>
                <w:szCs w:val="24"/>
              </w:rPr>
              <w:t>моно-структурен</w:t>
            </w:r>
            <w:proofErr w:type="spellEnd"/>
            <w:r>
              <w:rPr>
                <w:rFonts w:eastAsia="Times New Roman"/>
                <w:szCs w:val="24"/>
              </w:rPr>
              <w:t xml:space="preserve"> характер и се концентрира в големите градове, докато в граничните общини (Странджа планина) преобладават селското и горското стопанство. Развит е единствено черноморския туризъм, но се поставя началото на селски туризъм в района на Странджа (природни и културни артефакти на Природен парк Странджа). Най-големият промишлен център в региона е Бургас (корабостроене, химическа промишленост, туризъм), следван от Ямбол и Хасково. Земеделието преобладава в граничните общини с традиционни култури като зърнени храни, плодове и зеленчуци, грозде. Животновъдството е предимно пасищно в планините. Като цяло земеделието е изправено пред редица ограничения: разпръсната собственост, намалени поливни площи, остаряла техника, недостиг на инвестиции и нови технологии, липса на интеграция с хранително-вкусовата промишленост и т.н. Днес и от двете страни на границата се наблюдава ниско </w:t>
            </w:r>
            <w:r>
              <w:rPr>
                <w:rFonts w:eastAsia="Times New Roman"/>
                <w:szCs w:val="24"/>
              </w:rPr>
              <w:lastRenderedPageBreak/>
              <w:t xml:space="preserve">равнище на БВП на глава от населението в паритет на покупателната способност (до 13 900). В допълнение към това районът е много уязвим по отношение на разпределението на доходите.  Използването на коефициента на </w:t>
            </w:r>
            <w:proofErr w:type="spellStart"/>
            <w:r>
              <w:rPr>
                <w:rFonts w:eastAsia="Times New Roman"/>
                <w:szCs w:val="24"/>
              </w:rPr>
              <w:t>Джини</w:t>
            </w:r>
            <w:proofErr w:type="spellEnd"/>
            <w:r>
              <w:rPr>
                <w:rFonts w:eastAsia="Times New Roman"/>
                <w:szCs w:val="24"/>
              </w:rPr>
              <w:t xml:space="preserve"> показва, че особено в българските райони на територията на ТГС неравенството на доходите е очевидно (коефициент: повече от 34). В турската част на определения район на програмата коефициентът варира между 32,1 и 34. Най-общо, по-голямата част от предприятията в региона на ТГС са малки и средни (МСП), като делът на МСП е 98% в българската част и 96% в турската част. В турските провинции Одрин и </w:t>
            </w:r>
            <w:proofErr w:type="spellStart"/>
            <w:r>
              <w:rPr>
                <w:rFonts w:eastAsia="Times New Roman"/>
                <w:szCs w:val="24"/>
              </w:rPr>
              <w:t>Къркларели</w:t>
            </w:r>
            <w:proofErr w:type="spellEnd"/>
            <w:r>
              <w:rPr>
                <w:rFonts w:eastAsia="Times New Roman"/>
                <w:szCs w:val="24"/>
              </w:rPr>
              <w:t xml:space="preserve"> съществуват почти 40 000 дружества от различни сектори. Най-голям брой фирми има в секторите на търговията на едро и дребно, ремонта на автомобили и мотоциклети, както и в сектора на транспорта и съхранението. През 2012 г. дружествата в Одрин осъществиха внос на стойност 121 милиона щатски долара и износ на стойност 47 милиона щатски долара. Дружествата в </w:t>
            </w:r>
            <w:proofErr w:type="spellStart"/>
            <w:r>
              <w:rPr>
                <w:rFonts w:eastAsia="Times New Roman"/>
                <w:szCs w:val="24"/>
              </w:rPr>
              <w:t>Къркларели</w:t>
            </w:r>
            <w:proofErr w:type="spellEnd"/>
            <w:r>
              <w:rPr>
                <w:rFonts w:eastAsia="Times New Roman"/>
                <w:szCs w:val="24"/>
              </w:rPr>
              <w:t xml:space="preserve"> осъществиха внос на стойност 138 милиона щатски долара и износ на стойност 141 милиона щатски долара.</w:t>
            </w:r>
          </w:p>
          <w:p w:rsidR="00A85EB3" w:rsidRDefault="00B07D03">
            <w:pPr>
              <w:keepNext/>
              <w:tabs>
                <w:tab w:val="num" w:pos="1069"/>
              </w:tabs>
              <w:suppressAutoHyphens/>
              <w:spacing w:before="0" w:after="0" w:line="276" w:lineRule="auto"/>
              <w:outlineLvl w:val="3"/>
              <w:rPr>
                <w:rFonts w:eastAsia="Times New Roman"/>
                <w:b/>
                <w:noProof/>
                <w:color w:val="000000" w:themeColor="text1"/>
                <w:szCs w:val="24"/>
                <w:lang w:val="en-US" w:eastAsia="ar-SA"/>
              </w:rPr>
            </w:pPr>
            <w:bookmarkStart w:id="31" w:name="_Toc390423131"/>
            <w:bookmarkStart w:id="32" w:name="_Toc384127942"/>
            <w:bookmarkStart w:id="33" w:name="_Toc377635900"/>
            <w:bookmarkStart w:id="34" w:name="_Toc377046963"/>
            <w:bookmarkEnd w:id="31"/>
            <w:bookmarkEnd w:id="32"/>
            <w:bookmarkEnd w:id="33"/>
            <w:bookmarkEnd w:id="34"/>
            <w:r>
              <w:rPr>
                <w:rFonts w:eastAsia="Times New Roman"/>
                <w:b/>
                <w:noProof/>
                <w:color w:val="000000" w:themeColor="text1"/>
                <w:szCs w:val="24"/>
                <w:lang w:eastAsia="ar-SA"/>
              </w:rPr>
              <w:t>Предизвикателства</w:t>
            </w:r>
          </w:p>
          <w:p w:rsidR="00A85EB3" w:rsidRDefault="00B07D03">
            <w:pPr>
              <w:numPr>
                <w:ilvl w:val="0"/>
                <w:numId w:val="47"/>
              </w:numPr>
              <w:spacing w:before="0" w:after="0" w:line="276" w:lineRule="auto"/>
              <w:rPr>
                <w:rFonts w:eastAsia="Times New Roman"/>
                <w:szCs w:val="24"/>
                <w:lang w:val="en-US"/>
              </w:rPr>
            </w:pPr>
            <w:r>
              <w:rPr>
                <w:rFonts w:eastAsia="Times New Roman"/>
                <w:szCs w:val="24"/>
              </w:rPr>
              <w:t>МСП, които са в основата и представляват по-голямата част от бизнеса в региона на ТГС, демонстрират липса на конкурентоспособност в сравнение с глобалните икономически дейности.</w:t>
            </w:r>
          </w:p>
          <w:p w:rsidR="00A85EB3" w:rsidRDefault="00B07D03">
            <w:pPr>
              <w:numPr>
                <w:ilvl w:val="0"/>
                <w:numId w:val="47"/>
              </w:numPr>
              <w:spacing w:before="0" w:after="0" w:line="276" w:lineRule="auto"/>
              <w:rPr>
                <w:rFonts w:eastAsia="Times New Roman"/>
                <w:szCs w:val="24"/>
                <w:lang w:val="en-US"/>
              </w:rPr>
            </w:pPr>
            <w:r>
              <w:rPr>
                <w:rFonts w:eastAsia="Times New Roman"/>
                <w:szCs w:val="24"/>
              </w:rPr>
              <w:t>Съществуващите бизнес структури и ниското равнище на инвестиции в научна и развойна дейност и изследвания са причина за по-ниските средни нива на растеж в сравнение с основните икономически партньори в ЕС.</w:t>
            </w:r>
          </w:p>
          <w:p w:rsidR="00A85EB3" w:rsidRDefault="00B07D03">
            <w:pPr>
              <w:numPr>
                <w:ilvl w:val="0"/>
                <w:numId w:val="47"/>
              </w:numPr>
              <w:spacing w:before="0" w:after="0" w:line="276" w:lineRule="auto"/>
              <w:rPr>
                <w:rFonts w:eastAsia="Times New Roman"/>
                <w:szCs w:val="24"/>
                <w:lang w:val="en-US"/>
              </w:rPr>
            </w:pPr>
            <w:r>
              <w:rPr>
                <w:rFonts w:eastAsia="Times New Roman"/>
                <w:szCs w:val="24"/>
              </w:rPr>
              <w:t>Незадоволителна бизнес среда и съществуващи различия между вътрешни и крайбрежни общини (главно в българската част).</w:t>
            </w:r>
          </w:p>
          <w:p w:rsidR="00A85EB3" w:rsidRDefault="00B07D03">
            <w:pPr>
              <w:numPr>
                <w:ilvl w:val="0"/>
                <w:numId w:val="47"/>
              </w:numPr>
              <w:spacing w:before="0" w:after="0" w:line="276" w:lineRule="auto"/>
              <w:rPr>
                <w:rFonts w:eastAsia="Times New Roman"/>
                <w:szCs w:val="24"/>
                <w:lang w:val="en-US"/>
              </w:rPr>
            </w:pPr>
            <w:r>
              <w:rPr>
                <w:rFonts w:eastAsia="Times New Roman"/>
                <w:szCs w:val="24"/>
              </w:rPr>
              <w:t>Черноморският регион представлява разрастващ се пазар с голям потенциал за развитие, особено по отношение на енергийните и транспортни потоци.</w:t>
            </w:r>
          </w:p>
          <w:p w:rsidR="00A85EB3" w:rsidRDefault="00B07D03">
            <w:pPr>
              <w:keepNext/>
              <w:tabs>
                <w:tab w:val="num" w:pos="1069"/>
              </w:tabs>
              <w:suppressAutoHyphens/>
              <w:spacing w:before="0" w:after="0" w:line="276" w:lineRule="auto"/>
              <w:outlineLvl w:val="3"/>
              <w:rPr>
                <w:rFonts w:eastAsia="Times New Roman"/>
                <w:b/>
                <w:noProof/>
                <w:color w:val="000000" w:themeColor="text1"/>
                <w:szCs w:val="24"/>
                <w:lang w:val="en-US" w:eastAsia="ar-SA"/>
              </w:rPr>
            </w:pPr>
            <w:r>
              <w:rPr>
                <w:rFonts w:eastAsia="Times New Roman"/>
                <w:b/>
                <w:noProof/>
                <w:color w:val="000000" w:themeColor="text1"/>
                <w:szCs w:val="24"/>
                <w:lang w:eastAsia="ar-SA"/>
              </w:rPr>
              <w:t>Потребности</w:t>
            </w:r>
          </w:p>
          <w:p w:rsidR="00A85EB3" w:rsidRDefault="00B07D03">
            <w:pPr>
              <w:numPr>
                <w:ilvl w:val="0"/>
                <w:numId w:val="46"/>
              </w:numPr>
              <w:spacing w:before="0" w:after="0" w:line="276" w:lineRule="auto"/>
              <w:rPr>
                <w:rFonts w:eastAsia="Times New Roman"/>
                <w:szCs w:val="24"/>
                <w:lang w:val="en-US"/>
              </w:rPr>
            </w:pPr>
            <w:r>
              <w:rPr>
                <w:rFonts w:eastAsia="Times New Roman"/>
                <w:szCs w:val="24"/>
              </w:rPr>
              <w:t xml:space="preserve">Съществува необходимост от подобряване на достъпа на МСП до единния европейски пазар и повишаване нивото на признаване на предприятията от региона и в чужбина. </w:t>
            </w:r>
          </w:p>
          <w:p w:rsidR="00A85EB3" w:rsidRDefault="00B07D03">
            <w:pPr>
              <w:numPr>
                <w:ilvl w:val="0"/>
                <w:numId w:val="46"/>
              </w:numPr>
              <w:spacing w:before="0" w:after="0" w:line="276" w:lineRule="auto"/>
              <w:rPr>
                <w:rFonts w:eastAsia="Times New Roman"/>
                <w:szCs w:val="24"/>
                <w:lang w:val="en-US"/>
              </w:rPr>
            </w:pPr>
            <w:r>
              <w:rPr>
                <w:rFonts w:eastAsia="Times New Roman"/>
                <w:szCs w:val="24"/>
              </w:rPr>
              <w:t xml:space="preserve">Необходимо е намаляване на </w:t>
            </w:r>
            <w:proofErr w:type="spellStart"/>
            <w:r>
              <w:rPr>
                <w:rFonts w:eastAsia="Times New Roman"/>
                <w:szCs w:val="24"/>
              </w:rPr>
              <w:t>междурегионалните</w:t>
            </w:r>
            <w:proofErr w:type="spellEnd"/>
            <w:r>
              <w:rPr>
                <w:rFonts w:eastAsia="Times New Roman"/>
                <w:szCs w:val="24"/>
              </w:rPr>
              <w:t xml:space="preserve"> икономически различия, особено в селските райони. </w:t>
            </w:r>
          </w:p>
          <w:p w:rsidR="00A85EB3" w:rsidRDefault="00B07D03">
            <w:pPr>
              <w:numPr>
                <w:ilvl w:val="0"/>
                <w:numId w:val="46"/>
              </w:numPr>
              <w:spacing w:before="0" w:after="0" w:line="276" w:lineRule="auto"/>
              <w:rPr>
                <w:rFonts w:eastAsia="Times New Roman"/>
                <w:szCs w:val="24"/>
                <w:lang w:val="en-US"/>
              </w:rPr>
            </w:pPr>
            <w:r>
              <w:rPr>
                <w:rFonts w:eastAsia="Times New Roman"/>
                <w:szCs w:val="24"/>
              </w:rPr>
              <w:t>Необходимо е повишаване на конкурентоспособността и производителността на МСП.</w:t>
            </w:r>
          </w:p>
          <w:p w:rsidR="00A85EB3" w:rsidRDefault="00B07D03">
            <w:pPr>
              <w:numPr>
                <w:ilvl w:val="0"/>
                <w:numId w:val="46"/>
              </w:numPr>
              <w:spacing w:before="0" w:after="0" w:line="276" w:lineRule="auto"/>
              <w:rPr>
                <w:rFonts w:eastAsia="Times New Roman"/>
                <w:szCs w:val="24"/>
                <w:lang w:val="en-US"/>
              </w:rPr>
            </w:pPr>
            <w:r>
              <w:rPr>
                <w:rFonts w:eastAsia="Times New Roman"/>
                <w:szCs w:val="24"/>
              </w:rPr>
              <w:t>Необходимо е да се създадат по-добри условия за устойчиво икономическо развитие на регионите.</w:t>
            </w:r>
          </w:p>
          <w:p w:rsidR="00A85EB3" w:rsidRDefault="00B07D03">
            <w:pPr>
              <w:spacing w:line="276" w:lineRule="auto"/>
              <w:rPr>
                <w:rFonts w:eastAsia="Times New Roman"/>
                <w:szCs w:val="24"/>
                <w:lang w:val="en-US"/>
              </w:rPr>
            </w:pPr>
            <w:r>
              <w:rPr>
                <w:rFonts w:eastAsia="Times New Roman"/>
                <w:b/>
                <w:szCs w:val="24"/>
              </w:rPr>
              <w:t xml:space="preserve">Научноизследователска дейност, технологично развитие, иновации и ИКТ </w:t>
            </w:r>
            <w:r>
              <w:rPr>
                <w:rFonts w:eastAsia="Times New Roman"/>
                <w:noProof/>
                <w:szCs w:val="24"/>
              </w:rPr>
              <w:t xml:space="preserve">Въпреки че има четири университета (Технически университет Бургас; Свободен университет Бургас; Тракийски университет в Одрин; Университет на Къркларели) и три филиала на български университети (Филиал на Университета за национално и световно стопанство – София в Хасково; Филиал на Тракийския университет Стара Загора в Хасково; Факултет „Техника и технологии“ на Тракийския университет Стара Загора в Ямбол), от гледна точка на научноизследователската и развойна </w:t>
            </w:r>
            <w:r>
              <w:rPr>
                <w:rFonts w:eastAsia="Times New Roman"/>
                <w:noProof/>
                <w:szCs w:val="24"/>
              </w:rPr>
              <w:lastRenderedPageBreak/>
              <w:t>дейност (НИРД) регионът на ТГС е недоразвит и не е сред водещите региони в областта на НИРД в Европа. Инвестициите в НИРД са много под националните равнища както за България, така и за Турция, главно поради структурата на икономиката. Един поглед към българските области показва, че в област Бургас разходите за НИРД са на сравнително по-високо ниво, отколкото в другите две области от региона на програмата (Бургас: 5 337 хил. лв., Ямбол: 444 хил. лв., Хасково: 341 хил. лв.). За региона на ниво NUTS-2 Южен централен (област Хасково) иновации се наблюдават най-вече в сектора на селското стопанство и храните, като в допълнение към това Комисията идентифицира потенциал на регионалните научноизследователски организации/университети да станат центрове за върхови постижения.  В България относителният дял на домакинствата с интернет достъп постоянно се увеличава; между 2007 г. и 2012 г. той е нараснал силно до 50%, като в област Бургас стойността му е 53,5% от домакинствата през 2012 г. (област Хасково: 47,5%; област Ямбол: 46%). По отношение на ИКТ Турция</w:t>
            </w:r>
            <w:r>
              <w:rPr>
                <w:rStyle w:val="FootnoteReference"/>
                <w:rFonts w:eastAsia="Times New Roman"/>
                <w:szCs w:val="24"/>
              </w:rPr>
              <w:footnoteReference w:id="4"/>
            </w:r>
            <w:r>
              <w:rPr>
                <w:rFonts w:eastAsia="Times New Roman"/>
                <w:szCs w:val="24"/>
              </w:rPr>
              <w:t xml:space="preserve"> като цяло отбелязва увеличение на домакинствата с достъп до интернет (от 19,7% от домакинствата с достъп до интернет през 2007 г. до 47,2% през 2012 г.) и на дела на лицата на възраст между 16 и 74 години, които редовно използват интернет (от 30,1% през 2007 г. до 47,4% през 2012 г.), и си е поставила доста амбициозни цели за 2023 г., в това число: „достигане на 30 милиона абонати на широколентов достъп; осигуряване на връзка с интернет за 14 милиона къщи при скорост 1 000 </w:t>
            </w:r>
            <w:proofErr w:type="spellStart"/>
            <w:r>
              <w:rPr>
                <w:rFonts w:eastAsia="Times New Roman"/>
                <w:szCs w:val="24"/>
              </w:rPr>
              <w:t>Mbps</w:t>
            </w:r>
            <w:proofErr w:type="spellEnd"/>
            <w:r>
              <w:rPr>
                <w:rFonts w:eastAsia="Times New Roman"/>
                <w:szCs w:val="24"/>
              </w:rPr>
              <w:t xml:space="preserve">; увеличаване на дела на сектора в БВП от 2,9% на 8%; превръщане в една от 10-те най-добри държави в областта на е-трансформацията; 80% от населението да е компютърно грамотно; увеличаване на броя на компаниите до 5 500; на служителите до 65,000; и на износа до 10 милиарда щатски долара в Зони за технологично развитие; увеличаване на размера на сектора на ИКТ до 160 милиарда щатски долара, с пазарен ръст от около 15% годишно; увеличаване на съотношението разходи за НИРД/БВП от 0,85% до 3%“ съгласно данни от Премиера на Република Турция. </w:t>
            </w:r>
          </w:p>
          <w:p w:rsidR="00A85EB3" w:rsidRDefault="00B07D03">
            <w:pPr>
              <w:keepNext/>
              <w:tabs>
                <w:tab w:val="num" w:pos="1069"/>
              </w:tabs>
              <w:suppressAutoHyphens/>
              <w:spacing w:before="0" w:after="0" w:line="276" w:lineRule="auto"/>
              <w:outlineLvl w:val="3"/>
              <w:rPr>
                <w:rFonts w:eastAsia="Times New Roman"/>
                <w:b/>
                <w:noProof/>
                <w:color w:val="000000" w:themeColor="text1"/>
                <w:szCs w:val="24"/>
                <w:lang w:val="en-US" w:eastAsia="ar-SA"/>
              </w:rPr>
            </w:pPr>
            <w:bookmarkStart w:id="35" w:name="_Toc390423132"/>
            <w:bookmarkStart w:id="36" w:name="_Toc384127943"/>
            <w:bookmarkStart w:id="37" w:name="_Toc377635901"/>
            <w:bookmarkStart w:id="38" w:name="_Toc377046964"/>
            <w:bookmarkEnd w:id="35"/>
            <w:bookmarkEnd w:id="36"/>
            <w:bookmarkEnd w:id="37"/>
            <w:bookmarkEnd w:id="38"/>
            <w:r>
              <w:rPr>
                <w:rFonts w:eastAsia="Times New Roman"/>
                <w:b/>
                <w:noProof/>
                <w:color w:val="000000" w:themeColor="text1"/>
                <w:szCs w:val="24"/>
                <w:lang w:eastAsia="ar-SA"/>
              </w:rPr>
              <w:t>Предизвикателства</w:t>
            </w:r>
          </w:p>
          <w:p w:rsidR="00A85EB3" w:rsidRDefault="00B07D03">
            <w:pPr>
              <w:numPr>
                <w:ilvl w:val="0"/>
                <w:numId w:val="49"/>
              </w:numPr>
              <w:spacing w:before="0" w:after="0" w:line="276" w:lineRule="auto"/>
              <w:rPr>
                <w:rFonts w:eastAsia="Times New Roman"/>
                <w:szCs w:val="24"/>
                <w:lang w:val="en-US"/>
              </w:rPr>
            </w:pPr>
            <w:r>
              <w:rPr>
                <w:rFonts w:eastAsia="Times New Roman"/>
                <w:szCs w:val="24"/>
              </w:rPr>
              <w:t>Научните изследвания и иновациите са все по-свързани в международен мащаб.</w:t>
            </w:r>
          </w:p>
          <w:p w:rsidR="00A85EB3" w:rsidRDefault="00B07D03">
            <w:pPr>
              <w:numPr>
                <w:ilvl w:val="0"/>
                <w:numId w:val="49"/>
              </w:numPr>
              <w:spacing w:before="0" w:after="0" w:line="276" w:lineRule="auto"/>
              <w:rPr>
                <w:rFonts w:eastAsia="Times New Roman"/>
                <w:i/>
                <w:szCs w:val="24"/>
                <w:lang w:val="en-US"/>
              </w:rPr>
            </w:pPr>
            <w:r>
              <w:rPr>
                <w:rFonts w:eastAsia="Times New Roman"/>
                <w:szCs w:val="24"/>
              </w:rPr>
              <w:t>Най-общо съществува ниско ниво на инвестиции в НИРД и иновации, малък брой служители са активни в сектора на науката и технологиите, и ИКТ просто не се използват достатъчно.</w:t>
            </w:r>
          </w:p>
          <w:p w:rsidR="00A85EB3" w:rsidRDefault="00B07D03">
            <w:pPr>
              <w:numPr>
                <w:ilvl w:val="0"/>
                <w:numId w:val="49"/>
              </w:numPr>
              <w:spacing w:before="0" w:after="0" w:line="276" w:lineRule="auto"/>
              <w:rPr>
                <w:rFonts w:eastAsia="Times New Roman"/>
                <w:szCs w:val="24"/>
                <w:lang w:val="en-US"/>
              </w:rPr>
            </w:pPr>
            <w:r>
              <w:rPr>
                <w:rFonts w:eastAsia="Times New Roman"/>
                <w:szCs w:val="24"/>
              </w:rPr>
              <w:t>ИКТ инфраструктурата е концентрирана главно в големите градове и пазарът за иновативни ИКТ продукти и услуги е силно раздробен.</w:t>
            </w:r>
          </w:p>
          <w:p w:rsidR="00A85EB3" w:rsidRDefault="00B07D03">
            <w:pPr>
              <w:keepNext/>
              <w:tabs>
                <w:tab w:val="num" w:pos="1069"/>
              </w:tabs>
              <w:suppressAutoHyphens/>
              <w:spacing w:before="0" w:after="0" w:line="276" w:lineRule="auto"/>
              <w:outlineLvl w:val="3"/>
              <w:rPr>
                <w:rFonts w:eastAsia="Times New Roman"/>
                <w:b/>
                <w:noProof/>
                <w:color w:val="000000" w:themeColor="text1"/>
                <w:szCs w:val="24"/>
                <w:lang w:val="en-US" w:eastAsia="ar-SA"/>
              </w:rPr>
            </w:pPr>
            <w:r>
              <w:rPr>
                <w:rFonts w:eastAsia="Times New Roman"/>
                <w:b/>
                <w:noProof/>
                <w:color w:val="000000" w:themeColor="text1"/>
                <w:szCs w:val="24"/>
                <w:lang w:eastAsia="ar-SA"/>
              </w:rPr>
              <w:t>Потребности</w:t>
            </w:r>
          </w:p>
          <w:p w:rsidR="00A85EB3" w:rsidRDefault="00B07D03">
            <w:pPr>
              <w:numPr>
                <w:ilvl w:val="0"/>
                <w:numId w:val="48"/>
              </w:numPr>
              <w:spacing w:before="0" w:after="0" w:line="276" w:lineRule="auto"/>
              <w:rPr>
                <w:rFonts w:eastAsia="Times New Roman"/>
                <w:szCs w:val="24"/>
                <w:lang w:val="en-US"/>
              </w:rPr>
            </w:pPr>
            <w:r>
              <w:rPr>
                <w:rFonts w:eastAsia="Times New Roman"/>
                <w:szCs w:val="24"/>
              </w:rPr>
              <w:t>Необходимо е да се гарантира, че европейските научноизследователски и корпоративни мрежи са свързани с глобалните мрежи на знанието.</w:t>
            </w:r>
          </w:p>
          <w:p w:rsidR="00A85EB3" w:rsidRDefault="00B07D03">
            <w:pPr>
              <w:numPr>
                <w:ilvl w:val="0"/>
                <w:numId w:val="48"/>
              </w:numPr>
              <w:spacing w:before="0" w:after="0" w:line="276" w:lineRule="auto"/>
              <w:rPr>
                <w:rFonts w:eastAsia="Times New Roman"/>
                <w:szCs w:val="24"/>
                <w:lang w:val="en-US"/>
              </w:rPr>
            </w:pPr>
            <w:r>
              <w:rPr>
                <w:rFonts w:eastAsia="Times New Roman"/>
                <w:szCs w:val="24"/>
              </w:rPr>
              <w:t xml:space="preserve">Съществува необходимост да се насърчава развитието на инфраструктура за широколентов достъп и въвеждането на онлайн услуги в различни области </w:t>
            </w:r>
            <w:r>
              <w:rPr>
                <w:rFonts w:eastAsia="Times New Roman"/>
                <w:szCs w:val="24"/>
              </w:rPr>
              <w:lastRenderedPageBreak/>
              <w:t>(правителство, бизнес, здравеопазване, образование, научни изследвания).</w:t>
            </w:r>
          </w:p>
          <w:p w:rsidR="00A85EB3" w:rsidRDefault="00B07D03">
            <w:pPr>
              <w:numPr>
                <w:ilvl w:val="0"/>
                <w:numId w:val="48"/>
              </w:numPr>
              <w:spacing w:before="0" w:after="0" w:line="276" w:lineRule="auto"/>
              <w:rPr>
                <w:rFonts w:eastAsia="Times New Roman"/>
                <w:szCs w:val="24"/>
                <w:lang w:val="en-US"/>
              </w:rPr>
            </w:pPr>
            <w:r>
              <w:rPr>
                <w:rFonts w:eastAsia="Times New Roman"/>
                <w:szCs w:val="24"/>
              </w:rPr>
              <w:t xml:space="preserve">Политиките трябва да бъдат по-добре координирани и ресурсите трябва да са по-добре специализирани за подобряване на центрове за върхови постижения в областта на ИКТ в Европа. </w:t>
            </w:r>
          </w:p>
          <w:p w:rsidR="00A85EB3" w:rsidRPr="00A628D6" w:rsidRDefault="00B07D03">
            <w:pPr>
              <w:numPr>
                <w:ilvl w:val="0"/>
                <w:numId w:val="48"/>
              </w:numPr>
              <w:spacing w:before="0" w:after="0" w:line="276" w:lineRule="auto"/>
              <w:rPr>
                <w:rFonts w:eastAsia="Times New Roman"/>
                <w:szCs w:val="24"/>
                <w:lang w:val="en-US"/>
              </w:rPr>
            </w:pPr>
            <w:r>
              <w:rPr>
                <w:rFonts w:eastAsia="Times New Roman"/>
                <w:szCs w:val="24"/>
              </w:rPr>
              <w:t>Рамковите условия и достъпът до финансиране за НИРД и иновации трябва да бъдат подобрени.</w:t>
            </w:r>
          </w:p>
          <w:p w:rsidR="00A628D6" w:rsidRDefault="00A628D6" w:rsidP="00A628D6">
            <w:pPr>
              <w:spacing w:before="0" w:after="0" w:line="276" w:lineRule="auto"/>
              <w:rPr>
                <w:rFonts w:eastAsia="Times New Roman"/>
                <w:szCs w:val="24"/>
              </w:rPr>
            </w:pPr>
          </w:p>
          <w:p w:rsidR="00A628D6" w:rsidRDefault="00A628D6" w:rsidP="00A628D6">
            <w:pPr>
              <w:spacing w:before="0" w:after="0" w:line="276" w:lineRule="auto"/>
              <w:rPr>
                <w:rFonts w:eastAsia="Times New Roman"/>
                <w:szCs w:val="24"/>
                <w:lang w:val="en-US"/>
              </w:rPr>
            </w:pPr>
          </w:p>
          <w:p w:rsidR="00A85EB3" w:rsidRDefault="00B07D03">
            <w:pPr>
              <w:spacing w:before="360" w:line="269" w:lineRule="auto"/>
              <w:jc w:val="left"/>
              <w:rPr>
                <w:rFonts w:eastAsia="Times New Roman"/>
                <w:b/>
                <w:smallCaps/>
                <w:noProof/>
                <w:spacing w:val="20"/>
                <w:szCs w:val="24"/>
                <w:lang w:val="en-US"/>
              </w:rPr>
            </w:pPr>
            <w:r>
              <w:rPr>
                <w:rFonts w:eastAsia="Times New Roman"/>
                <w:b/>
                <w:smallCaps/>
                <w:noProof/>
                <w:spacing w:val="20"/>
                <w:szCs w:val="24"/>
              </w:rPr>
              <w:t xml:space="preserve">Потенциални възможности и препятствия за трансграничния регион </w:t>
            </w:r>
          </w:p>
          <w:p w:rsidR="00A85EB3" w:rsidRDefault="00B07D03">
            <w:pPr>
              <w:spacing w:line="276" w:lineRule="auto"/>
              <w:rPr>
                <w:rFonts w:eastAsia="Times New Roman"/>
                <w:szCs w:val="24"/>
                <w:lang w:val="en-US"/>
              </w:rPr>
            </w:pPr>
            <w:bookmarkStart w:id="39" w:name="_Toc384127946"/>
            <w:r>
              <w:rPr>
                <w:rFonts w:eastAsia="Times New Roman"/>
                <w:szCs w:val="24"/>
              </w:rPr>
              <w:t xml:space="preserve">Въз основа на идентифицираните силни и слаби страни, възможности и опасности (виж анекса към ОП), </w:t>
            </w:r>
            <w:r>
              <w:rPr>
                <w:szCs w:val="24"/>
              </w:rPr>
              <w:t>бяха идентифицирани потенциални връзки между вътрешни и външни фактори за анализ, които са в основата на определянето на бъдещите пречки и потенциални възможности за развитие. Тези пречки и потенциални възможности помагат да се разбере: 1) </w:t>
            </w:r>
            <w:r>
              <w:rPr>
                <w:rFonts w:eastAsia="Times New Roman"/>
                <w:szCs w:val="24"/>
              </w:rPr>
              <w:t>Кои потенциални възможности произтичат от съчетаването на вътрешните силни и слаби страни на трансграничния регион с потенциалните възможности, идентифицирани във външни стратегически документи или настоящи тенденции?; 2) Пред какви пречки и трудности е изправен регионът чрез съчетаване на вътрешните силни и слаби страни със съществуващите опасности?</w:t>
            </w:r>
          </w:p>
          <w:p w:rsidR="00A85EB3" w:rsidRDefault="00B07D03">
            <w:pPr>
              <w:spacing w:line="276" w:lineRule="auto"/>
              <w:rPr>
                <w:rFonts w:eastAsia="Times New Roman"/>
                <w:szCs w:val="24"/>
                <w:lang w:val="en-US"/>
              </w:rPr>
            </w:pPr>
            <w:r>
              <w:rPr>
                <w:szCs w:val="24"/>
              </w:rPr>
              <w:t>След това съчетанията от различни вътрешни и външни фактори (силни страни x възможности, силни страни x слаби страни, опасности x възможности, опасности x слаби страни) бяха включени в тематични клъстери и сходните връзки бяха групирани. Четирите под-глави по-долу описват констатациите от анализа на силните и слабите страни, възможностите и опасностите, които са сред основните елементи на дефинирането на тематичните концентрации на Програмата за ТГС по ИПП България – Турция 2014–2020.</w:t>
            </w:r>
          </w:p>
          <w:p w:rsidR="00A85EB3" w:rsidRDefault="00B07D03">
            <w:pPr>
              <w:spacing w:line="276" w:lineRule="auto"/>
              <w:rPr>
                <w:rFonts w:eastAsia="Times New Roman"/>
                <w:b/>
                <w:i/>
                <w:noProof/>
                <w:szCs w:val="24"/>
                <w:lang w:val="en-US"/>
              </w:rPr>
            </w:pPr>
            <w:r>
              <w:rPr>
                <w:rFonts w:eastAsia="Times New Roman"/>
                <w:b/>
                <w:i/>
                <w:noProof/>
                <w:szCs w:val="24"/>
              </w:rPr>
              <w:t>Съществуващи потенциални възможности (СПВ) – Силни страни x Възможности</w:t>
            </w:r>
          </w:p>
          <w:p w:rsidR="00A85EB3" w:rsidRDefault="00B07D03">
            <w:pPr>
              <w:numPr>
                <w:ilvl w:val="0"/>
                <w:numId w:val="50"/>
              </w:numPr>
              <w:spacing w:before="0" w:after="0" w:line="276" w:lineRule="auto"/>
              <w:rPr>
                <w:rFonts w:eastAsia="Times New Roman"/>
                <w:szCs w:val="24"/>
                <w:lang w:val="en-US" w:eastAsia="ar-SA"/>
              </w:rPr>
            </w:pPr>
            <w:r>
              <w:rPr>
                <w:rFonts w:eastAsia="Times New Roman"/>
                <w:b/>
                <w:szCs w:val="24"/>
                <w:lang w:eastAsia="ar-SA"/>
              </w:rPr>
              <w:t>Добра основа за регионално сътрудничество:</w:t>
            </w:r>
            <w:r>
              <w:rPr>
                <w:rFonts w:eastAsia="Times New Roman"/>
                <w:szCs w:val="24"/>
                <w:lang w:eastAsia="ar-SA"/>
              </w:rPr>
              <w:t xml:space="preserve"> Като цяло, регионът демонстрира много добра основа за регионално сътрудничество, основана на съществуващата култура на социална солидарност и помощ и общите силни традиции, например за опазване и управление на природата. Тази ситуация показва съвместна база за по-нататъшно регионално сътрудничество, укрепващо взаимното доверие, както и разработване на механизми за трансгранична институционална подкрепа и споделяне на добри практики в различни области. </w:t>
            </w:r>
          </w:p>
          <w:p w:rsidR="00A85EB3" w:rsidRDefault="00B07D03">
            <w:pPr>
              <w:numPr>
                <w:ilvl w:val="0"/>
                <w:numId w:val="50"/>
              </w:numPr>
              <w:spacing w:before="0" w:after="0" w:line="276" w:lineRule="auto"/>
              <w:rPr>
                <w:rFonts w:eastAsia="Times New Roman"/>
                <w:szCs w:val="24"/>
                <w:lang w:val="en-US" w:eastAsia="ar-SA"/>
              </w:rPr>
            </w:pPr>
            <w:r>
              <w:rPr>
                <w:rFonts w:eastAsia="Times New Roman"/>
                <w:b/>
                <w:szCs w:val="24"/>
                <w:lang w:eastAsia="ar-SA"/>
              </w:rPr>
              <w:t>Добра основа за подобрения в сектора на околната среда:</w:t>
            </w:r>
            <w:r>
              <w:rPr>
                <w:rFonts w:eastAsia="Times New Roman"/>
                <w:szCs w:val="24"/>
                <w:lang w:eastAsia="ar-SA"/>
              </w:rPr>
              <w:t xml:space="preserve"> В региона като цяло има много добри екологични условия, различни природни ресурси и силни традиции в опазването, включително гъста мрежа от защитени територии. Тези положителни фактори се съчетават с непрекъснато популяризиране на природните ресурси и като цяло богатство на </w:t>
            </w:r>
            <w:proofErr w:type="spellStart"/>
            <w:r>
              <w:rPr>
                <w:rFonts w:eastAsia="Times New Roman"/>
                <w:szCs w:val="24"/>
                <w:lang w:eastAsia="ar-SA"/>
              </w:rPr>
              <w:lastRenderedPageBreak/>
              <w:t>възобновяеми</w:t>
            </w:r>
            <w:proofErr w:type="spellEnd"/>
            <w:r>
              <w:rPr>
                <w:rFonts w:eastAsia="Times New Roman"/>
                <w:szCs w:val="24"/>
                <w:lang w:eastAsia="ar-SA"/>
              </w:rPr>
              <w:t xml:space="preserve"> и алтернативни енергийни източници. Това съответства на вътрешните силни страни на местните университети, които отчасти са съсредоточени върху областта на енергетиката. В допълнение към това, Стратегията за Черно море активно подкрепя регионалното сътрудничество в областта на транспорта с цел повишаване ефективността на възможностите за транспорт, които имат положително въздействие върху околната среда в региона.</w:t>
            </w:r>
          </w:p>
          <w:p w:rsidR="00A85EB3" w:rsidRDefault="00B07D03">
            <w:pPr>
              <w:numPr>
                <w:ilvl w:val="0"/>
                <w:numId w:val="50"/>
              </w:numPr>
              <w:spacing w:before="0" w:after="0" w:line="276" w:lineRule="auto"/>
              <w:rPr>
                <w:rFonts w:eastAsia="Times New Roman"/>
                <w:szCs w:val="24"/>
                <w:lang w:val="en-US" w:eastAsia="ar-SA"/>
              </w:rPr>
            </w:pPr>
            <w:r>
              <w:rPr>
                <w:rFonts w:eastAsia="Times New Roman"/>
                <w:b/>
                <w:szCs w:val="24"/>
                <w:lang w:eastAsia="ar-SA"/>
              </w:rPr>
              <w:t xml:space="preserve">Постоянно подобряване на положението на </w:t>
            </w:r>
            <w:proofErr w:type="spellStart"/>
            <w:r>
              <w:rPr>
                <w:rFonts w:eastAsia="Times New Roman"/>
                <w:b/>
                <w:szCs w:val="24"/>
                <w:lang w:eastAsia="ar-SA"/>
              </w:rPr>
              <w:t>младежта</w:t>
            </w:r>
            <w:proofErr w:type="spellEnd"/>
            <w:r>
              <w:rPr>
                <w:rFonts w:eastAsia="Times New Roman"/>
                <w:b/>
                <w:szCs w:val="24"/>
                <w:lang w:eastAsia="ar-SA"/>
              </w:rPr>
              <w:t>, изследванията и образованието:</w:t>
            </w:r>
            <w:r>
              <w:rPr>
                <w:rFonts w:eastAsia="Times New Roman"/>
                <w:szCs w:val="24"/>
                <w:lang w:eastAsia="ar-SA"/>
              </w:rPr>
              <w:t xml:space="preserve"> Системата на образованието и секторът на научните изследвания се подобряват. Доказателство за това е нарастващият дял на населението с висше образование и увеличаването на разходите за НИРД през последните години. Освен това, МСП имат важни предприятия в района, тяхната икономическа активност се е увеличила и общото развитие на инфраструктурата се е подобрило през годините. Това положително развитие в съчетание с нарастващото търсене на квалифицирана работна сила, сътрудничеството между образователните институции, образованието и бизнеса, както и обхващащите целия ЕС инициативи като водещата инициатива „</w:t>
            </w:r>
            <w:proofErr w:type="spellStart"/>
            <w:r>
              <w:rPr>
                <w:rFonts w:eastAsia="Times New Roman"/>
                <w:szCs w:val="24"/>
                <w:lang w:eastAsia="ar-SA"/>
              </w:rPr>
              <w:t>Младежта</w:t>
            </w:r>
            <w:proofErr w:type="spellEnd"/>
            <w:r>
              <w:rPr>
                <w:rFonts w:eastAsia="Times New Roman"/>
                <w:szCs w:val="24"/>
                <w:lang w:eastAsia="ar-SA"/>
              </w:rPr>
              <w:t xml:space="preserve"> в движение“, представляват основен потенциал за развитие на трансграничната територия.</w:t>
            </w:r>
          </w:p>
          <w:p w:rsidR="00A85EB3" w:rsidRDefault="00B07D03">
            <w:pPr>
              <w:numPr>
                <w:ilvl w:val="0"/>
                <w:numId w:val="50"/>
              </w:numPr>
              <w:spacing w:before="0" w:after="0" w:line="276" w:lineRule="auto"/>
              <w:rPr>
                <w:rFonts w:eastAsia="Times New Roman"/>
                <w:szCs w:val="24"/>
                <w:lang w:val="en-US" w:eastAsia="ar-SA"/>
              </w:rPr>
            </w:pPr>
            <w:r>
              <w:rPr>
                <w:rFonts w:eastAsia="Times New Roman"/>
                <w:b/>
                <w:szCs w:val="24"/>
                <w:lang w:eastAsia="ar-SA"/>
              </w:rPr>
              <w:t>Непрекъснати подобрения в областта на транспорта и икономическото развитие:</w:t>
            </w:r>
            <w:r>
              <w:rPr>
                <w:rFonts w:eastAsia="Times New Roman"/>
                <w:szCs w:val="24"/>
                <w:lang w:eastAsia="ar-SA"/>
              </w:rPr>
              <w:t xml:space="preserve"> Положителните промени, включително увеличаването на равнището на заетост и икономическа активност, както и стратегическото положение на региона в TEN-T мрежа и наличието на добре функциониращи гранични контролно-пропускателни пунктове, представляват силни страни от значение за региона. Тези силни страни се засилват от Черноморската стратегия, насочена към активно сътрудничество в областта на транспорта, както и от външни подобрения в областта на TEN-T и създаването на транспортни центрове. Тези възможности осигуряват потенциал за повишаване на ефективността и безопасността на транспорта въз основа на партньорство и съществуващия опит от предишно трансгранично сътрудничество.</w:t>
            </w:r>
          </w:p>
          <w:p w:rsidR="00A85EB3" w:rsidRDefault="00B07D03">
            <w:pPr>
              <w:numPr>
                <w:ilvl w:val="0"/>
                <w:numId w:val="50"/>
              </w:numPr>
              <w:spacing w:before="0" w:after="0" w:line="276" w:lineRule="auto"/>
              <w:rPr>
                <w:rFonts w:eastAsia="Times New Roman"/>
                <w:b/>
                <w:szCs w:val="24"/>
                <w:lang w:val="en-US" w:eastAsia="ar-SA"/>
              </w:rPr>
            </w:pPr>
            <w:r>
              <w:rPr>
                <w:rFonts w:eastAsia="Times New Roman"/>
                <w:b/>
                <w:szCs w:val="24"/>
                <w:lang w:eastAsia="ar-SA"/>
              </w:rPr>
              <w:t>По-нататъшно развитие на туризма, културата и околната среда въз основа на общо наследство и традиции:</w:t>
            </w:r>
            <w:r>
              <w:rPr>
                <w:rFonts w:eastAsia="Times New Roman"/>
                <w:szCs w:val="24"/>
                <w:lang w:eastAsia="ar-SA"/>
              </w:rPr>
              <w:t xml:space="preserve"> Културното и историческото наследство е идентифицирано като изключително важен потенциал за трансгранично развитие от социална, икономическа и екологична гледна точка. Въз основа на съществуващия набор от природни ресурси и защитени територии (например Природен парк Странджа (България), Национален парк Езеро Гала (Турция), Природен резерват „</w:t>
            </w:r>
            <w:proofErr w:type="spellStart"/>
            <w:r>
              <w:rPr>
                <w:rFonts w:eastAsia="Times New Roman"/>
                <w:szCs w:val="24"/>
                <w:lang w:eastAsia="ar-SA"/>
              </w:rPr>
              <w:t>Касатура</w:t>
            </w:r>
            <w:proofErr w:type="spellEnd"/>
            <w:r>
              <w:rPr>
                <w:rFonts w:eastAsia="Times New Roman"/>
                <w:szCs w:val="24"/>
                <w:lang w:eastAsia="ar-SA"/>
              </w:rPr>
              <w:t xml:space="preserve"> </w:t>
            </w:r>
            <w:proofErr w:type="spellStart"/>
            <w:r>
              <w:rPr>
                <w:rFonts w:eastAsia="Times New Roman"/>
                <w:szCs w:val="24"/>
                <w:lang w:eastAsia="ar-SA"/>
              </w:rPr>
              <w:t>Корфези</w:t>
            </w:r>
            <w:proofErr w:type="spellEnd"/>
            <w:r>
              <w:rPr>
                <w:rFonts w:eastAsia="Times New Roman"/>
                <w:szCs w:val="24"/>
                <w:lang w:eastAsia="ar-SA"/>
              </w:rPr>
              <w:t>“ (Турция), Природен резерват „Езеро Сака“(Турция)), както и на културното наследство като важен регионален изграждащ идентичност актив, съществува възможност да се развиват икономически устойчиви туристически продукти и услуги и алтернативни и разнообразни туристически дейности за подобряване на икономическото състояние на региона.</w:t>
            </w:r>
          </w:p>
          <w:p w:rsidR="00A85EB3" w:rsidRDefault="00B07D03">
            <w:pPr>
              <w:numPr>
                <w:ilvl w:val="0"/>
                <w:numId w:val="50"/>
              </w:numPr>
              <w:spacing w:before="0" w:after="0" w:line="276" w:lineRule="auto"/>
              <w:rPr>
                <w:rFonts w:eastAsia="Times New Roman"/>
                <w:szCs w:val="24"/>
                <w:lang w:val="en-US" w:eastAsia="ar-SA"/>
              </w:rPr>
            </w:pPr>
            <w:r>
              <w:rPr>
                <w:rFonts w:eastAsia="Times New Roman"/>
                <w:b/>
                <w:szCs w:val="24"/>
                <w:lang w:eastAsia="ar-SA"/>
              </w:rPr>
              <w:t xml:space="preserve">Непрекъснато усъвършенстване в областта на институционалния </w:t>
            </w:r>
            <w:r>
              <w:rPr>
                <w:rFonts w:eastAsia="Times New Roman"/>
                <w:b/>
                <w:szCs w:val="24"/>
                <w:lang w:eastAsia="ar-SA"/>
              </w:rPr>
              <w:lastRenderedPageBreak/>
              <w:t>капацитет и сътрудничеството:</w:t>
            </w:r>
            <w:r>
              <w:rPr>
                <w:rFonts w:eastAsia="Times New Roman"/>
                <w:szCs w:val="24"/>
                <w:lang w:eastAsia="ar-SA"/>
              </w:rPr>
              <w:t xml:space="preserve"> Партньорствата, както и опитът в областта на трансграничното сътрудничество имат добре установени традиции в региона на ТГС. Регионът се характеризира с много добри двустранни взаимоотношения и активна рамка за подобряване на двустранните икономически отношения. В допълнение към това, отчасти текущите реформи и процесите на децентрализация постоянно укрепват регионалното равнище като такова. Продължаването на трансграничното сътрудничество и сътрудничеството в Черноморския регион като цяло все повече укрепва взаимното доверие и партньорството. </w:t>
            </w:r>
          </w:p>
          <w:p w:rsidR="00A85EB3" w:rsidRDefault="00B07D03">
            <w:pPr>
              <w:numPr>
                <w:ilvl w:val="0"/>
                <w:numId w:val="50"/>
              </w:numPr>
              <w:spacing w:before="0" w:after="0" w:line="276" w:lineRule="auto"/>
              <w:rPr>
                <w:rFonts w:eastAsia="Times New Roman"/>
                <w:szCs w:val="24"/>
                <w:lang w:val="en-US" w:eastAsia="ar-SA"/>
              </w:rPr>
            </w:pPr>
            <w:r>
              <w:rPr>
                <w:rFonts w:eastAsia="Times New Roman"/>
                <w:b/>
                <w:szCs w:val="24"/>
                <w:lang w:eastAsia="ar-SA"/>
              </w:rPr>
              <w:t>По-нататъшно усъвършенстване на изследователската дейност и конкурентоспособността:</w:t>
            </w:r>
            <w:r>
              <w:rPr>
                <w:rFonts w:eastAsia="Times New Roman"/>
                <w:szCs w:val="24"/>
                <w:lang w:eastAsia="ar-SA"/>
              </w:rPr>
              <w:t xml:space="preserve"> Икономическото състояние в региона се подобрява, като това включва повишена конкурентоспособност и по-високи нива на разходите за НИРД на предприятията в региона. Като цяло повечето предприятия в региона са МСП, като допълнителните силни страни включват постепенното модернизиране на производствените системи, </w:t>
            </w:r>
            <w:proofErr w:type="spellStart"/>
            <w:r>
              <w:rPr>
                <w:rFonts w:eastAsia="Times New Roman"/>
                <w:szCs w:val="24"/>
                <w:lang w:eastAsia="ar-SA"/>
              </w:rPr>
              <w:t>новоразработени</w:t>
            </w:r>
            <w:proofErr w:type="spellEnd"/>
            <w:r>
              <w:rPr>
                <w:rFonts w:eastAsia="Times New Roman"/>
                <w:szCs w:val="24"/>
                <w:lang w:eastAsia="ar-SA"/>
              </w:rPr>
              <w:t xml:space="preserve"> промишлени обекти и подобряване на промишлената инфраструктура, както и съществуващи изследователски горещи точки, например в областта на енергетиката. Няколко инициативи и водещите инициативи на ЕС, като например „Индустриална политика за ерата на глобализацията“, както и съвместни инициативи представляват потенциална възможност за по-нататъшно подобряване на вече подобреното състояние на трансграничния регион. </w:t>
            </w:r>
          </w:p>
          <w:p w:rsidR="00A85EB3" w:rsidRDefault="00B07D03">
            <w:pPr>
              <w:spacing w:line="276" w:lineRule="auto"/>
              <w:rPr>
                <w:rFonts w:eastAsia="Times New Roman"/>
                <w:b/>
                <w:i/>
                <w:noProof/>
                <w:szCs w:val="24"/>
                <w:lang w:val="en-US"/>
              </w:rPr>
            </w:pPr>
            <w:r>
              <w:rPr>
                <w:rFonts w:eastAsia="Times New Roman"/>
                <w:b/>
                <w:i/>
                <w:noProof/>
                <w:szCs w:val="24"/>
              </w:rPr>
              <w:t>Възможни потенциални възможности (ВПВ) – Слаби страни x Възможности</w:t>
            </w:r>
          </w:p>
          <w:p w:rsidR="00A85EB3" w:rsidRDefault="00B07D03" w:rsidP="00A628D6">
            <w:pPr>
              <w:numPr>
                <w:ilvl w:val="0"/>
                <w:numId w:val="51"/>
              </w:numPr>
              <w:spacing w:before="0" w:after="0" w:line="276" w:lineRule="auto"/>
              <w:rPr>
                <w:rFonts w:eastAsia="Times New Roman"/>
                <w:szCs w:val="24"/>
                <w:lang w:val="en-US" w:eastAsia="ar-SA"/>
              </w:rPr>
            </w:pPr>
            <w:r>
              <w:rPr>
                <w:rFonts w:eastAsia="Times New Roman"/>
                <w:b/>
                <w:szCs w:val="24"/>
                <w:lang w:eastAsia="ar-SA"/>
              </w:rPr>
              <w:t>Съвместна борба с ПРИРОДНИТЕ бедствия и намаляване на замърсяването на околната среда:</w:t>
            </w:r>
            <w:r>
              <w:rPr>
                <w:rFonts w:eastAsia="Times New Roman"/>
                <w:szCs w:val="24"/>
                <w:lang w:eastAsia="ar-SA"/>
              </w:rPr>
              <w:t xml:space="preserve"> Съществуващите инициативи на ЕС за устойчиво развитие в региона на Черно море и съществуващите инициативи за трансгранично сътрудничество в областта на устойчивото използване и управление на природните ресурси от общ интерес имат потенциал за подобряване на съществуващото състояние с природните бедствия. Тези извънредни събития, включително наводнения, пожари, ерозия, имат особено силно въздействие върху територията, която е силно уязвима към изменението на климата и има под средните показатели при капацитета за приспособяване.</w:t>
            </w:r>
          </w:p>
          <w:p w:rsidR="00A85EB3" w:rsidRDefault="00B07D03">
            <w:pPr>
              <w:numPr>
                <w:ilvl w:val="0"/>
                <w:numId w:val="51"/>
              </w:numPr>
              <w:spacing w:before="0" w:after="0" w:line="276" w:lineRule="auto"/>
              <w:rPr>
                <w:rFonts w:eastAsia="Times New Roman"/>
                <w:szCs w:val="24"/>
                <w:lang w:val="en-US" w:eastAsia="ar-SA"/>
              </w:rPr>
            </w:pPr>
            <w:r>
              <w:rPr>
                <w:rFonts w:eastAsia="Times New Roman"/>
                <w:b/>
                <w:szCs w:val="24"/>
                <w:lang w:eastAsia="ar-SA"/>
              </w:rPr>
              <w:t xml:space="preserve">Туризмът и регионалното културно и природно наследство като възможности за по-нататъшно повишаване на заетостта и подобряване на туризма: </w:t>
            </w:r>
            <w:r>
              <w:rPr>
                <w:rFonts w:eastAsia="Times New Roman"/>
                <w:szCs w:val="24"/>
                <w:lang w:eastAsia="ar-SA"/>
              </w:rPr>
              <w:t xml:space="preserve">Културното и природното наследство на трансграничния регион са важни потенциални възможности за по-нататъшно развитие, включително икономически устойчиви културни продукти и услуги и алтернативни и разнообразни туристически дейности; тези потенциални възможности се основават като цяло на изобилието на културни забележителности и природни ресурси. Следователно наследство на региона осигурява потенциал за ограничаване на настоящата ситуация на високи нива на безработица и свързаните с тях негативни ефекти чрез генериране на нови туристически продукти и възможности за заетост на местното население.  В същото време </w:t>
            </w:r>
            <w:r>
              <w:rPr>
                <w:rFonts w:eastAsia="Times New Roman"/>
                <w:szCs w:val="24"/>
                <w:lang w:eastAsia="ar-SA"/>
              </w:rPr>
              <w:lastRenderedPageBreak/>
              <w:t xml:space="preserve">може да се работи в областта на слабите страни на туризма, включително, например, сезонния характер на регионалния туризъм и липсата на големи туристически дестинации (с изключение на големите черноморски курорти). </w:t>
            </w:r>
          </w:p>
          <w:p w:rsidR="00A85EB3" w:rsidRDefault="00B07D03">
            <w:pPr>
              <w:numPr>
                <w:ilvl w:val="0"/>
                <w:numId w:val="51"/>
              </w:numPr>
              <w:spacing w:before="0" w:after="0" w:line="276" w:lineRule="auto"/>
              <w:rPr>
                <w:rFonts w:eastAsia="Times New Roman"/>
                <w:szCs w:val="24"/>
                <w:lang w:val="en-US" w:eastAsia="ar-SA"/>
              </w:rPr>
            </w:pPr>
            <w:r>
              <w:rPr>
                <w:rFonts w:eastAsia="Times New Roman"/>
                <w:b/>
                <w:szCs w:val="24"/>
                <w:lang w:eastAsia="ar-SA"/>
              </w:rPr>
              <w:t>Съвместни действия за подобряване на положението с транспорта:</w:t>
            </w:r>
            <w:r>
              <w:rPr>
                <w:rFonts w:eastAsia="Times New Roman"/>
                <w:szCs w:val="24"/>
                <w:lang w:eastAsia="ar-SA"/>
              </w:rPr>
              <w:t xml:space="preserve"> Съществуващи инициативи и стратегии, включително стратегията за Черно море,</w:t>
            </w:r>
          </w:p>
          <w:p w:rsidR="00A85EB3" w:rsidRDefault="00B07D03">
            <w:pPr>
              <w:spacing w:before="0" w:after="0" w:line="276" w:lineRule="auto"/>
              <w:ind w:left="720"/>
              <w:rPr>
                <w:rFonts w:eastAsia="Times New Roman"/>
                <w:szCs w:val="24"/>
                <w:lang w:val="en-US" w:eastAsia="ar-SA"/>
              </w:rPr>
            </w:pPr>
            <w:r>
              <w:rPr>
                <w:rFonts w:eastAsia="Times New Roman"/>
                <w:szCs w:val="24"/>
                <w:lang w:eastAsia="ar-SA"/>
              </w:rPr>
              <w:t xml:space="preserve">както и инфраструктурната политика на ЕС осигуряват потенциални възможности за подобряване на ниската достъпност на региона. В допълнение към това съществува потенциал за по-нататъшно увеличаване на сигурността на транспорта и подобряване на транспортните съоръжения като цяло (например железопътната мрежа и др.). </w:t>
            </w:r>
          </w:p>
          <w:p w:rsidR="00A85EB3" w:rsidRDefault="00B07D03">
            <w:pPr>
              <w:numPr>
                <w:ilvl w:val="0"/>
                <w:numId w:val="51"/>
              </w:numPr>
              <w:spacing w:before="0" w:after="0" w:line="276" w:lineRule="auto"/>
              <w:rPr>
                <w:rFonts w:eastAsia="Times New Roman"/>
                <w:szCs w:val="24"/>
                <w:lang w:val="en-US" w:eastAsia="ar-SA"/>
              </w:rPr>
            </w:pPr>
            <w:r>
              <w:rPr>
                <w:rFonts w:eastAsia="Times New Roman"/>
                <w:b/>
                <w:szCs w:val="24"/>
                <w:lang w:eastAsia="ar-SA"/>
              </w:rPr>
              <w:t>Съвместни действия за подобряване на административния и институционалния капацитет:</w:t>
            </w:r>
            <w:r>
              <w:rPr>
                <w:rFonts w:eastAsia="Times New Roman"/>
                <w:szCs w:val="24"/>
                <w:lang w:eastAsia="ar-SA"/>
              </w:rPr>
              <w:t xml:space="preserve"> Продължаването и подобряването на трансграничното сътрудничество в региона, включително партньорства, подкрепа и споделяне на добри практики, ще подобри административния капацитет на местно равнище.  </w:t>
            </w:r>
          </w:p>
          <w:p w:rsidR="00A85EB3" w:rsidRDefault="00B07D03">
            <w:pPr>
              <w:numPr>
                <w:ilvl w:val="0"/>
                <w:numId w:val="51"/>
              </w:numPr>
              <w:spacing w:before="0" w:after="0" w:line="276" w:lineRule="auto"/>
              <w:rPr>
                <w:rFonts w:eastAsia="Times New Roman"/>
                <w:szCs w:val="24"/>
                <w:lang w:val="en-US" w:eastAsia="ar-SA"/>
              </w:rPr>
            </w:pPr>
            <w:r>
              <w:rPr>
                <w:rFonts w:eastAsia="Times New Roman"/>
                <w:b/>
                <w:szCs w:val="24"/>
                <w:lang w:eastAsia="ar-SA"/>
              </w:rPr>
              <w:t xml:space="preserve">Насърчаване на НИРД, намаляване на изтичането на мозъци и регионална база на научните изследвания: </w:t>
            </w:r>
            <w:r>
              <w:rPr>
                <w:rFonts w:eastAsia="Times New Roman"/>
                <w:szCs w:val="24"/>
                <w:lang w:eastAsia="ar-SA"/>
              </w:rPr>
              <w:t>Непрекъснатото насърчаване на изграждането на капацитет и диалог на ЕК с черноморските държави по политиката в областта на науката и технологиите, както и Рамковата програма на ЕС за научни изследвания и иновации Хоризонт 2020, целяща да се гарантира конкурентоспособността на Европа, са основни възможности за подобряване на ниските инвестиции в НИРД и отчасти ниското равнище на използване на ИКТ в региона. В допълнение към това, изходящата миграция на добре образовани млади хора може да бъде спряна чрез подобряване на положението в областта на научноизследователската и развойната дейност.</w:t>
            </w:r>
          </w:p>
          <w:p w:rsidR="00A85EB3" w:rsidRPr="00976253" w:rsidRDefault="00B07D03" w:rsidP="00976253">
            <w:pPr>
              <w:numPr>
                <w:ilvl w:val="0"/>
                <w:numId w:val="51"/>
              </w:numPr>
              <w:spacing w:before="0" w:after="0" w:line="276" w:lineRule="auto"/>
              <w:rPr>
                <w:rFonts w:eastAsia="Times New Roman"/>
                <w:szCs w:val="24"/>
                <w:lang w:val="en-US" w:eastAsia="ar-SA"/>
              </w:rPr>
            </w:pPr>
            <w:r>
              <w:rPr>
                <w:rFonts w:eastAsia="Times New Roman"/>
                <w:b/>
                <w:szCs w:val="24"/>
                <w:lang w:eastAsia="ar-SA"/>
              </w:rPr>
              <w:t>Сътрудничество в сферата на образованието за подобряване на регионалната заетост и образование:</w:t>
            </w:r>
            <w:r>
              <w:rPr>
                <w:rFonts w:eastAsia="Times New Roman"/>
                <w:szCs w:val="24"/>
                <w:lang w:eastAsia="ar-SA"/>
              </w:rPr>
              <w:t xml:space="preserve"> Съществуват разнообразни възможности за сътрудничество в областта на образованието, обучението и бизнес компаниите в трансграничен контекст. Конкретна</w:t>
            </w:r>
            <w:r w:rsidR="00976253">
              <w:rPr>
                <w:rFonts w:eastAsia="Times New Roman"/>
                <w:szCs w:val="24"/>
                <w:lang w:eastAsia="ar-SA"/>
              </w:rPr>
              <w:t xml:space="preserve"> </w:t>
            </w:r>
            <w:r w:rsidRPr="00976253">
              <w:rPr>
                <w:rFonts w:eastAsia="Times New Roman"/>
                <w:szCs w:val="24"/>
                <w:lang w:eastAsia="ar-SA"/>
              </w:rPr>
              <w:t>възможност за развитие е съчетаването на образователната система с конкретните нужди на частните предприятия и пазара на труда. Водещата инициатива на ЕС 2020 „</w:t>
            </w:r>
            <w:proofErr w:type="spellStart"/>
            <w:r w:rsidRPr="00976253">
              <w:rPr>
                <w:rFonts w:eastAsia="Times New Roman"/>
                <w:szCs w:val="24"/>
                <w:lang w:eastAsia="ar-SA"/>
              </w:rPr>
              <w:t>Младежта</w:t>
            </w:r>
            <w:proofErr w:type="spellEnd"/>
            <w:r w:rsidRPr="00976253">
              <w:rPr>
                <w:rFonts w:eastAsia="Times New Roman"/>
                <w:szCs w:val="24"/>
                <w:lang w:eastAsia="ar-SA"/>
              </w:rPr>
              <w:t xml:space="preserve"> в движение“ е специфична потенциална възможност за повишаване на резултатите на образователната система. Тези възможности могат да бъдат насочени към съществуващите слабости на региона – високата безработица, изтичането на мозъци и отчасти ниския процент на записаните в средното образование, ограничените кариерни услуги и информация за кариерата, както и отчасти високите нива на отпадане от училище. </w:t>
            </w:r>
          </w:p>
          <w:p w:rsidR="00A85EB3" w:rsidRDefault="00B07D03">
            <w:pPr>
              <w:spacing w:line="276" w:lineRule="auto"/>
              <w:rPr>
                <w:rFonts w:eastAsia="Times New Roman"/>
                <w:b/>
                <w:i/>
                <w:noProof/>
                <w:szCs w:val="24"/>
                <w:lang w:val="en-US"/>
              </w:rPr>
            </w:pPr>
            <w:r>
              <w:rPr>
                <w:rFonts w:eastAsia="Times New Roman"/>
                <w:b/>
                <w:i/>
                <w:noProof/>
                <w:szCs w:val="24"/>
              </w:rPr>
              <w:t>Възможни препятствия (ВП) – Силни страни х Опасности</w:t>
            </w:r>
          </w:p>
          <w:p w:rsidR="00A85EB3" w:rsidRDefault="00B07D03">
            <w:pPr>
              <w:numPr>
                <w:ilvl w:val="0"/>
                <w:numId w:val="52"/>
              </w:numPr>
              <w:spacing w:before="0" w:after="0" w:line="276" w:lineRule="auto"/>
              <w:rPr>
                <w:rFonts w:eastAsia="Times New Roman"/>
                <w:b/>
                <w:szCs w:val="24"/>
                <w:lang w:val="en-US" w:eastAsia="ar-SA"/>
              </w:rPr>
            </w:pPr>
            <w:r>
              <w:rPr>
                <w:rFonts w:eastAsia="Times New Roman"/>
                <w:b/>
                <w:szCs w:val="24"/>
                <w:lang w:eastAsia="ar-SA"/>
              </w:rPr>
              <w:t xml:space="preserve">Повишена активност и подобрена ситуация в областта на образованието, отслабени от висока безработица: </w:t>
            </w:r>
            <w:r>
              <w:rPr>
                <w:rFonts w:eastAsia="Times New Roman"/>
                <w:szCs w:val="24"/>
                <w:lang w:eastAsia="ar-SA"/>
              </w:rPr>
              <w:t xml:space="preserve">Като цяло ситуацията в региона се характеризира с подобрения в образователната система, активността на заетите и равнището на БВП. Въпреки това тези положителни промени могат </w:t>
            </w:r>
            <w:r>
              <w:rPr>
                <w:rFonts w:eastAsia="Times New Roman"/>
                <w:szCs w:val="24"/>
                <w:lang w:eastAsia="ar-SA"/>
              </w:rPr>
              <w:lastRenderedPageBreak/>
              <w:t xml:space="preserve">да бъдат възпрепятствани от увеличаване на равнището на безработица, което може да доведе до миграция към други региони и впоследствие до засилени концентрации на заетите в градските райони (т.е. влошаване в селските райони). В допълнение към това, трябва да се обърне внимание на препятствието, състоящо се в това че образователната система не е в състояние да реагира достатъчно на динамично променящата се икономика и потребностите на пазара на труда.  </w:t>
            </w:r>
          </w:p>
          <w:p w:rsidR="00A85EB3" w:rsidRDefault="00B07D03">
            <w:pPr>
              <w:numPr>
                <w:ilvl w:val="0"/>
                <w:numId w:val="52"/>
              </w:numPr>
              <w:spacing w:before="0" w:after="0" w:line="276" w:lineRule="auto"/>
              <w:rPr>
                <w:rFonts w:eastAsia="Times New Roman"/>
                <w:szCs w:val="24"/>
                <w:lang w:val="en-US" w:eastAsia="ar-SA"/>
              </w:rPr>
            </w:pPr>
            <w:r>
              <w:rPr>
                <w:rFonts w:eastAsia="Times New Roman"/>
                <w:b/>
                <w:szCs w:val="24"/>
                <w:lang w:eastAsia="ar-SA"/>
              </w:rPr>
              <w:t>Компонентите на околната среда са застрашени от увеличаващ се натиск:</w:t>
            </w:r>
            <w:r>
              <w:rPr>
                <w:rFonts w:eastAsia="Times New Roman"/>
                <w:szCs w:val="24"/>
                <w:lang w:eastAsia="ar-SA"/>
              </w:rPr>
              <w:t xml:space="preserve"> Умерено доброто състояние на различните компоненти на околната среса като въздух, води и почви е застрашено от увеличаващия се натиск на </w:t>
            </w:r>
            <w:proofErr w:type="spellStart"/>
            <w:r>
              <w:rPr>
                <w:rFonts w:eastAsia="Times New Roman"/>
                <w:szCs w:val="24"/>
                <w:lang w:eastAsia="ar-SA"/>
              </w:rPr>
              <w:t>земеползването</w:t>
            </w:r>
            <w:proofErr w:type="spellEnd"/>
            <w:r>
              <w:rPr>
                <w:rFonts w:eastAsia="Times New Roman"/>
                <w:szCs w:val="24"/>
                <w:lang w:eastAsia="ar-SA"/>
              </w:rPr>
              <w:t>, включително урбанизацията, интензифицирането на селското стопанство и транспорта. В допълнение към това, използването на района за туризъм е свързано с опасности за околната среда на региона (</w:t>
            </w:r>
            <w:proofErr w:type="spellStart"/>
            <w:r>
              <w:rPr>
                <w:rFonts w:eastAsia="Times New Roman"/>
                <w:szCs w:val="24"/>
                <w:lang w:eastAsia="ar-SA"/>
              </w:rPr>
              <w:t>свръхзастрояване</w:t>
            </w:r>
            <w:proofErr w:type="spellEnd"/>
            <w:r>
              <w:rPr>
                <w:rFonts w:eastAsia="Times New Roman"/>
                <w:szCs w:val="24"/>
                <w:lang w:eastAsia="ar-SA"/>
              </w:rPr>
              <w:t xml:space="preserve">, масов туризъм и др.).  </w:t>
            </w:r>
          </w:p>
          <w:p w:rsidR="00A85EB3" w:rsidRDefault="00B07D03">
            <w:pPr>
              <w:numPr>
                <w:ilvl w:val="0"/>
                <w:numId w:val="52"/>
              </w:numPr>
              <w:spacing w:before="0" w:after="0" w:line="276" w:lineRule="auto"/>
              <w:rPr>
                <w:rFonts w:eastAsia="Times New Roman"/>
                <w:szCs w:val="24"/>
                <w:lang w:val="en-US" w:eastAsia="ar-SA"/>
              </w:rPr>
            </w:pPr>
            <w:r>
              <w:rPr>
                <w:rFonts w:eastAsia="Times New Roman"/>
                <w:b/>
                <w:szCs w:val="24"/>
                <w:lang w:eastAsia="ar-SA"/>
              </w:rPr>
              <w:t>Силната традиция на защитените територии е застрашена от нарастващите нива на замърсяване:</w:t>
            </w:r>
            <w:r>
              <w:rPr>
                <w:rFonts w:eastAsia="Times New Roman"/>
                <w:szCs w:val="24"/>
                <w:lang w:eastAsia="ar-SA"/>
              </w:rPr>
              <w:t xml:space="preserve"> Регионът се характеризира с природни богатства и умерено добро състояние на различни компоненти на околната среда, които са основа за гъстата мрежа от защитени зони. Тези ценни богатства са застрашени от външни фактори, включително природни опасности и замърсяване от различни външни източници. Вече е създаден много добър капацитет за сътрудничество между съответните институции в региона.</w:t>
            </w:r>
          </w:p>
          <w:p w:rsidR="00A85EB3" w:rsidRDefault="00B07D03">
            <w:pPr>
              <w:numPr>
                <w:ilvl w:val="0"/>
                <w:numId w:val="52"/>
              </w:numPr>
              <w:spacing w:before="0" w:after="0" w:line="276" w:lineRule="auto"/>
              <w:rPr>
                <w:rFonts w:eastAsia="Times New Roman"/>
                <w:szCs w:val="24"/>
                <w:lang w:val="en-US" w:eastAsia="ar-SA"/>
              </w:rPr>
            </w:pPr>
            <w:r>
              <w:rPr>
                <w:rFonts w:eastAsia="Times New Roman"/>
                <w:b/>
                <w:szCs w:val="24"/>
                <w:lang w:eastAsia="ar-SA"/>
              </w:rPr>
              <w:t>Образователната система не съответства на потребностите на региона:</w:t>
            </w:r>
            <w:r>
              <w:rPr>
                <w:rFonts w:eastAsia="Times New Roman"/>
                <w:szCs w:val="24"/>
                <w:lang w:eastAsia="ar-SA"/>
              </w:rPr>
              <w:t xml:space="preserve"> Въпреки че образователната система се е подобрила (включително, например, професионално образование, система за обучение на възрастни и др.), съществува опасност тя да не съответства на бързо и динамично променящата се икономика и пазара на труда. </w:t>
            </w:r>
          </w:p>
          <w:p w:rsidR="00A85EB3" w:rsidRDefault="00B07D03">
            <w:pPr>
              <w:numPr>
                <w:ilvl w:val="0"/>
                <w:numId w:val="52"/>
              </w:numPr>
              <w:spacing w:before="0" w:after="0" w:line="276" w:lineRule="auto"/>
              <w:rPr>
                <w:rFonts w:eastAsia="Times New Roman"/>
                <w:szCs w:val="24"/>
                <w:lang w:val="en-US" w:eastAsia="ar-SA"/>
              </w:rPr>
            </w:pPr>
            <w:r>
              <w:rPr>
                <w:rFonts w:eastAsia="Times New Roman"/>
                <w:b/>
                <w:szCs w:val="24"/>
                <w:lang w:eastAsia="ar-SA"/>
              </w:rPr>
              <w:t>Липсата на инвестиции в инфраструктура влияе отрицателно върху транспортната система:</w:t>
            </w:r>
            <w:r>
              <w:rPr>
                <w:rFonts w:eastAsia="Times New Roman"/>
                <w:szCs w:val="24"/>
                <w:lang w:eastAsia="ar-SA"/>
              </w:rPr>
              <w:t xml:space="preserve"> Транспортната система, която включва, например, добре функциониращи гранични контролно-пропускателни пунктове и основно достатъчна плътност на железопътната мрежа, може да бъде застрашена от липсата на инвестиции в инфраструктура и явния модел център–периферия, който се наблюдава ясно в региона.</w:t>
            </w:r>
          </w:p>
          <w:p w:rsidR="00A85EB3" w:rsidRDefault="00B07D03">
            <w:pPr>
              <w:numPr>
                <w:ilvl w:val="0"/>
                <w:numId w:val="52"/>
              </w:numPr>
              <w:spacing w:before="0" w:after="0" w:line="276" w:lineRule="auto"/>
              <w:rPr>
                <w:rFonts w:eastAsia="Times New Roman"/>
                <w:szCs w:val="24"/>
                <w:lang w:val="en-US" w:eastAsia="ar-SA"/>
              </w:rPr>
            </w:pPr>
            <w:r>
              <w:rPr>
                <w:rFonts w:eastAsia="Times New Roman"/>
                <w:b/>
                <w:szCs w:val="24"/>
                <w:lang w:eastAsia="ar-SA"/>
              </w:rPr>
              <w:t>Големите различия в законодателството като заплахи за съществуващи партньорства:</w:t>
            </w:r>
            <w:r>
              <w:rPr>
                <w:rFonts w:eastAsia="Times New Roman"/>
                <w:szCs w:val="24"/>
                <w:lang w:eastAsia="ar-SA"/>
              </w:rPr>
              <w:t xml:space="preserve"> Съществуващите партньорства, които се основават на трансгранично сътрудничество от миналото и добри двустранни отношения, са застрашени от различните закони и разпоредби. Това е предизвикано от факта, че си сътрудничат държава–членка на ЕС и държава, която не е член на ЕС, и оттам произтичат трудностите в координацията на различни равнища (местно, регионално) и сектори (частен, публичен)). Тези заплахи представляват вероятни препятствия за бъдещото трансгранично сътрудничество в региона. </w:t>
            </w:r>
          </w:p>
          <w:p w:rsidR="00A85EB3" w:rsidRDefault="00B07D03">
            <w:pPr>
              <w:numPr>
                <w:ilvl w:val="0"/>
                <w:numId w:val="52"/>
              </w:numPr>
              <w:spacing w:before="0" w:after="0" w:line="276" w:lineRule="auto"/>
              <w:rPr>
                <w:rFonts w:eastAsia="Times New Roman"/>
                <w:szCs w:val="24"/>
                <w:lang w:val="en-US" w:eastAsia="ar-SA"/>
              </w:rPr>
            </w:pPr>
            <w:r>
              <w:rPr>
                <w:rFonts w:eastAsia="Times New Roman"/>
                <w:b/>
                <w:szCs w:val="24"/>
                <w:lang w:eastAsia="ar-SA"/>
              </w:rPr>
              <w:t>Положителни моменти, ограничени от глобалните въздействия и силните икономически неравенства:</w:t>
            </w:r>
            <w:r>
              <w:rPr>
                <w:rFonts w:eastAsia="Times New Roman"/>
                <w:szCs w:val="24"/>
                <w:lang w:eastAsia="ar-SA"/>
              </w:rPr>
              <w:t xml:space="preserve"> През последните години икономическата </w:t>
            </w:r>
            <w:r>
              <w:rPr>
                <w:rFonts w:eastAsia="Times New Roman"/>
                <w:szCs w:val="24"/>
                <w:lang w:eastAsia="ar-SA"/>
              </w:rPr>
              <w:lastRenderedPageBreak/>
              <w:t xml:space="preserve">активност в региона се е подобрила и броят на заетите се е увеличил; МСП представляват по-голямата част от бизнеса в региона. Въпреки тези положителни моменти икономическият растеж е все още недостатъчен в сравнение със средния в ЕС и се наблюдават големи </w:t>
            </w:r>
            <w:proofErr w:type="spellStart"/>
            <w:r>
              <w:rPr>
                <w:rFonts w:eastAsia="Times New Roman"/>
                <w:szCs w:val="24"/>
                <w:lang w:eastAsia="ar-SA"/>
              </w:rPr>
              <w:t>вътрешнорегионални</w:t>
            </w:r>
            <w:proofErr w:type="spellEnd"/>
            <w:r>
              <w:rPr>
                <w:rFonts w:eastAsia="Times New Roman"/>
                <w:szCs w:val="24"/>
                <w:lang w:eastAsia="ar-SA"/>
              </w:rPr>
              <w:t xml:space="preserve"> икономически неравенства. Липсват също инструменти за финансиране на МСП, а като цяло ниското равнище на разходите за НИРД препятстват по-нататъшното развитие. </w:t>
            </w:r>
          </w:p>
          <w:p w:rsidR="00A85EB3" w:rsidRDefault="00B07D03">
            <w:pPr>
              <w:spacing w:line="276" w:lineRule="auto"/>
              <w:rPr>
                <w:rFonts w:eastAsia="Times New Roman"/>
                <w:b/>
                <w:i/>
                <w:noProof/>
                <w:szCs w:val="24"/>
                <w:lang w:val="en-US"/>
              </w:rPr>
            </w:pPr>
            <w:r>
              <w:rPr>
                <w:rFonts w:eastAsia="Times New Roman"/>
                <w:b/>
                <w:i/>
                <w:noProof/>
                <w:szCs w:val="24"/>
              </w:rPr>
              <w:t>Съществуващи пречки (СП) – Слаби страни х Опасности</w:t>
            </w:r>
          </w:p>
          <w:p w:rsidR="00A85EB3" w:rsidRDefault="00B07D03">
            <w:pPr>
              <w:numPr>
                <w:ilvl w:val="0"/>
                <w:numId w:val="53"/>
              </w:numPr>
              <w:spacing w:before="0" w:after="0" w:line="276" w:lineRule="auto"/>
              <w:rPr>
                <w:rFonts w:eastAsia="Times New Roman"/>
                <w:szCs w:val="24"/>
                <w:lang w:val="en-US" w:eastAsia="ar-SA"/>
              </w:rPr>
            </w:pPr>
            <w:r>
              <w:rPr>
                <w:rFonts w:eastAsia="Times New Roman"/>
                <w:b/>
                <w:szCs w:val="24"/>
                <w:lang w:eastAsia="ar-SA"/>
              </w:rPr>
              <w:t>Повишаването на безработицата и негативната ситуация на заетостта водят до изходяща миграция и загуба на квалификация:</w:t>
            </w:r>
            <w:r>
              <w:rPr>
                <w:rFonts w:eastAsia="Times New Roman"/>
                <w:szCs w:val="24"/>
                <w:lang w:eastAsia="ar-SA"/>
              </w:rPr>
              <w:t xml:space="preserve"> Регионът се характеризира с отчасти силни негативни демографски процеси, високи равнища на безработица, изтичане на мозъци и емиграция навън главно на млади и добре образовани хора. Тези слабости се засилват допълнително от безработицата и особено лошите възможности за заетост, което води до концентриране на деловите дейности в градските райони. В допълнение към това младите хора, които не могат да участват на пазара на труда, са заплашени да загубят квалификацията си.</w:t>
            </w:r>
          </w:p>
          <w:p w:rsidR="00A85EB3" w:rsidRDefault="00B07D03">
            <w:pPr>
              <w:numPr>
                <w:ilvl w:val="0"/>
                <w:numId w:val="53"/>
              </w:numPr>
              <w:spacing w:before="0" w:after="0" w:line="276" w:lineRule="auto"/>
              <w:rPr>
                <w:rFonts w:eastAsia="Times New Roman"/>
                <w:szCs w:val="24"/>
                <w:lang w:val="en-US" w:eastAsia="ar-SA"/>
              </w:rPr>
            </w:pPr>
            <w:r>
              <w:rPr>
                <w:rFonts w:eastAsia="Times New Roman"/>
                <w:b/>
                <w:szCs w:val="24"/>
                <w:lang w:eastAsia="ar-SA"/>
              </w:rPr>
              <w:t>Разминаване между потребностите на пазара на труда и образователния сектор:</w:t>
            </w:r>
            <w:r>
              <w:rPr>
                <w:rFonts w:eastAsia="Times New Roman"/>
                <w:szCs w:val="24"/>
                <w:lang w:eastAsia="ar-SA"/>
              </w:rPr>
              <w:t xml:space="preserve"> Като цяло се наблюдават големи разминавания между образователната система и потребностите на пазара на труда, които непрекъснато се променят. Образователната система не може да съответства на динамично променящата се икономика и пазара на труда, поради което рискът от увеличаване на бедността и ниски доходи се засилва допълнително. В допълнение към това, качеството на образованието в трансграничния регион е различно, в средното образование се забелязва ниско качество на места, а съществува едва ограничена информация и услуги в областта на кариерното развитие. Това допълнително усложнява ситуацията на несъответствие на образователната система с икономиката; поради това темповете на растеж и производителност изостават. </w:t>
            </w:r>
          </w:p>
          <w:p w:rsidR="00A85EB3" w:rsidRDefault="00B07D03">
            <w:pPr>
              <w:numPr>
                <w:ilvl w:val="0"/>
                <w:numId w:val="53"/>
              </w:numPr>
              <w:spacing w:before="0" w:after="0" w:line="276" w:lineRule="auto"/>
              <w:rPr>
                <w:rFonts w:eastAsia="Times New Roman"/>
                <w:szCs w:val="24"/>
                <w:lang w:val="en-US" w:eastAsia="ar-SA"/>
              </w:rPr>
            </w:pPr>
            <w:r>
              <w:rPr>
                <w:rFonts w:eastAsia="Times New Roman"/>
                <w:b/>
                <w:szCs w:val="24"/>
                <w:lang w:eastAsia="ar-SA"/>
              </w:rPr>
              <w:t xml:space="preserve">Отчасти лошо състояние на околната среда, налагащо общи подходи: </w:t>
            </w:r>
            <w:r>
              <w:rPr>
                <w:rFonts w:eastAsia="Times New Roman"/>
                <w:szCs w:val="24"/>
                <w:lang w:eastAsia="ar-SA"/>
              </w:rPr>
              <w:t xml:space="preserve">Околната среда в региона е отчасти в лошо състояние. Причини за това са замърсяването на околната среда, намаляването на разнообразието на видовете и намаляването на биологичните ресурси. Тази ситуация се влошава допълнително от увеличаващия се натиск върху околната среда в резултат на урбанизацията, транспортния сектор и интензифицирането на селското стопанство. В допълнение към това, замърсяването на водите често е извън контрола на регионалните власти поради транснационалния си характер. </w:t>
            </w:r>
          </w:p>
          <w:p w:rsidR="00A85EB3" w:rsidRDefault="00B07D03">
            <w:pPr>
              <w:numPr>
                <w:ilvl w:val="0"/>
                <w:numId w:val="53"/>
              </w:numPr>
              <w:spacing w:before="0" w:after="0" w:line="276" w:lineRule="auto"/>
              <w:rPr>
                <w:rFonts w:eastAsia="Times New Roman"/>
                <w:szCs w:val="24"/>
                <w:lang w:val="en-US" w:eastAsia="ar-SA"/>
              </w:rPr>
            </w:pPr>
            <w:r>
              <w:rPr>
                <w:rFonts w:eastAsia="Times New Roman"/>
                <w:b/>
                <w:szCs w:val="24"/>
                <w:lang w:eastAsia="ar-SA"/>
              </w:rPr>
              <w:t>Увеличаване на честотата и интензитета на природните бедствия, засягащи икономическата, социалната и екологичната ситуация:</w:t>
            </w:r>
            <w:r>
              <w:rPr>
                <w:rFonts w:eastAsia="Times New Roman"/>
                <w:szCs w:val="24"/>
                <w:lang w:eastAsia="ar-SA"/>
              </w:rPr>
              <w:t xml:space="preserve"> Природните бедствия, в това число суши, екстремни температури, горски пожари и особено наводнения, са важни тежести за района. В допълнение към това, части от региона са силно засегнати от ерозия. Тези съществуващи слабости се засилват от увеличаването на честотата на природните бедствия в </w:t>
            </w:r>
            <w:r>
              <w:rPr>
                <w:rFonts w:eastAsia="Times New Roman"/>
                <w:szCs w:val="24"/>
                <w:lang w:eastAsia="ar-SA"/>
              </w:rPr>
              <w:lastRenderedPageBreak/>
              <w:t xml:space="preserve">резултат на изменението на климата и постепенно променящите се климатични условия. Тези екологични последици имат сериозно отражение върху икономическото, социалното и екологичното положение в трансграничната територия. Използването на района за туризъм, което има предимно сезонен характер, е особено застрашено от екстремни метеорологични събития и промяната на климатичните условия.  </w:t>
            </w:r>
          </w:p>
          <w:p w:rsidR="00A85EB3" w:rsidRDefault="00B07D03">
            <w:pPr>
              <w:numPr>
                <w:ilvl w:val="0"/>
                <w:numId w:val="53"/>
              </w:numPr>
              <w:spacing w:before="0" w:after="0" w:line="276" w:lineRule="auto"/>
              <w:rPr>
                <w:rFonts w:eastAsia="Times New Roman"/>
                <w:szCs w:val="24"/>
                <w:lang w:val="en-US" w:eastAsia="ar-SA"/>
              </w:rPr>
            </w:pPr>
            <w:r>
              <w:rPr>
                <w:rFonts w:eastAsia="Times New Roman"/>
                <w:b/>
                <w:szCs w:val="24"/>
                <w:lang w:eastAsia="ar-SA"/>
              </w:rPr>
              <w:t>Увеличаване на изолираността на района поради липса на инвестиции в инфраструктура:</w:t>
            </w:r>
            <w:r>
              <w:rPr>
                <w:rFonts w:eastAsia="Times New Roman"/>
                <w:szCs w:val="24"/>
                <w:lang w:eastAsia="ar-SA"/>
              </w:rPr>
              <w:t xml:space="preserve"> Районът като цяло показва доста ниска достъпност в европейски контекст, като съществуват особено големи дисбаланси на различните видове транспорт; автомобилният транспорт е очевидно предпочитаният, железопътната мрежа отчасти е с доста лошо качество. В допълнение към това се наблюдават големи различия между градските и селските райони; достъпът до вътрешността на страната е най-вече недостатъчен. Ситуацията се усложнява от най-общо липсващите инвестиции в инфраструктура. </w:t>
            </w:r>
          </w:p>
          <w:p w:rsidR="00A85EB3" w:rsidRDefault="00B07D03">
            <w:pPr>
              <w:numPr>
                <w:ilvl w:val="0"/>
                <w:numId w:val="53"/>
              </w:numPr>
              <w:spacing w:before="0" w:after="0" w:line="276" w:lineRule="auto"/>
              <w:rPr>
                <w:rFonts w:eastAsia="Times New Roman"/>
                <w:szCs w:val="24"/>
                <w:lang w:val="en-US" w:eastAsia="ar-SA"/>
              </w:rPr>
            </w:pPr>
            <w:r>
              <w:rPr>
                <w:rFonts w:eastAsia="Times New Roman"/>
                <w:b/>
                <w:szCs w:val="24"/>
                <w:lang w:eastAsia="ar-SA"/>
              </w:rPr>
              <w:t>Усложнено трансгранично сътрудничество, основано на различни закони и разпоредби:</w:t>
            </w:r>
            <w:r>
              <w:rPr>
                <w:rFonts w:eastAsia="Times New Roman"/>
                <w:szCs w:val="24"/>
                <w:lang w:eastAsia="ar-SA"/>
              </w:rPr>
              <w:t xml:space="preserve"> В някои части на трансграничния регион се наблюдава недостатъчно развито равнище на сътрудничество. Отчасти ограниченият административен капацитет затруднява сътрудничеството, като това се засилва от различните закони и разпоредби в трансграничния регион, включително и между държава–членка на ЕС и държава, която не е членка на ЕС. </w:t>
            </w:r>
          </w:p>
          <w:p w:rsidR="00A85EB3" w:rsidRPr="002F71D4" w:rsidRDefault="00B07D03" w:rsidP="002F71D4">
            <w:pPr>
              <w:numPr>
                <w:ilvl w:val="0"/>
                <w:numId w:val="53"/>
              </w:numPr>
              <w:spacing w:before="0" w:after="0" w:line="276" w:lineRule="auto"/>
              <w:rPr>
                <w:rFonts w:eastAsia="Times New Roman"/>
                <w:szCs w:val="24"/>
                <w:lang w:val="en-US" w:eastAsia="ar-SA"/>
              </w:rPr>
            </w:pPr>
            <w:r>
              <w:rPr>
                <w:rFonts w:eastAsia="Times New Roman"/>
                <w:b/>
                <w:szCs w:val="24"/>
                <w:lang w:eastAsia="ar-SA"/>
              </w:rPr>
              <w:t>Изоставане в областта на изследванията и производителността:</w:t>
            </w:r>
            <w:r>
              <w:rPr>
                <w:rFonts w:eastAsia="Times New Roman"/>
                <w:szCs w:val="24"/>
                <w:lang w:eastAsia="ar-SA"/>
              </w:rPr>
              <w:t xml:space="preserve"> Ниското равнище на производителност и конкурентоспособност, недостатъчните темпове на растеж и ниското равнище на инвестициите в научноизследователски и развойни дейности се засилват допълнително от </w:t>
            </w:r>
            <w:proofErr w:type="spellStart"/>
            <w:r>
              <w:rPr>
                <w:rFonts w:eastAsia="Times New Roman"/>
                <w:szCs w:val="24"/>
                <w:lang w:eastAsia="ar-SA"/>
              </w:rPr>
              <w:t>вътрешнорегионалните</w:t>
            </w:r>
            <w:proofErr w:type="spellEnd"/>
            <w:r>
              <w:rPr>
                <w:rFonts w:eastAsia="Times New Roman"/>
                <w:szCs w:val="24"/>
                <w:lang w:eastAsia="ar-SA"/>
              </w:rPr>
              <w:t xml:space="preserve"> неравенства (особено между градските и селските райони), липсващите финансови инструменти за МСП и нарастващото значение на връзките с глобалните мрежи за знание, които не са във фокуса на вниманието в района; най-общо е налице доста висок натиск на глобалната конкуренция върху регионалните предприятия.</w:t>
            </w:r>
          </w:p>
          <w:p w:rsidR="00A85EB3" w:rsidRDefault="00B07D03">
            <w:pPr>
              <w:spacing w:before="360" w:line="269" w:lineRule="auto"/>
              <w:jc w:val="left"/>
              <w:rPr>
                <w:rFonts w:eastAsia="Times New Roman"/>
                <w:b/>
                <w:smallCaps/>
                <w:noProof/>
                <w:spacing w:val="20"/>
                <w:szCs w:val="24"/>
                <w:lang w:val="en-US"/>
              </w:rPr>
            </w:pPr>
            <w:r>
              <w:rPr>
                <w:rFonts w:eastAsia="Times New Roman"/>
                <w:b/>
                <w:smallCaps/>
                <w:noProof/>
                <w:spacing w:val="20"/>
                <w:szCs w:val="24"/>
              </w:rPr>
              <w:t>Поуки от програмния период 2007–2013 година</w:t>
            </w:r>
          </w:p>
          <w:p w:rsidR="00A85EB3" w:rsidRDefault="00B07D03">
            <w:pPr>
              <w:autoSpaceDE w:val="0"/>
              <w:autoSpaceDN w:val="0"/>
              <w:adjustRightInd w:val="0"/>
              <w:spacing w:line="276" w:lineRule="auto"/>
              <w:rPr>
                <w:rFonts w:eastAsia="Batang"/>
                <w:color w:val="000000"/>
                <w:szCs w:val="24"/>
                <w:lang w:val="en-US" w:eastAsia="en-US"/>
              </w:rPr>
            </w:pPr>
            <w:r>
              <w:rPr>
                <w:rFonts w:eastAsia="Batang"/>
                <w:color w:val="000000"/>
                <w:szCs w:val="24"/>
                <w:lang w:eastAsia="en-US"/>
              </w:rPr>
              <w:t>При програмирането на Програмата за ТГС по ИПП България – Турция</w:t>
            </w:r>
            <w:r w:rsidR="0020365A">
              <w:rPr>
                <w:rFonts w:eastAsia="Batang"/>
                <w:color w:val="000000"/>
                <w:szCs w:val="24"/>
                <w:lang w:val="en-US" w:eastAsia="en-US"/>
              </w:rPr>
              <w:t xml:space="preserve"> </w:t>
            </w:r>
            <w:r w:rsidR="0020365A" w:rsidRPr="00981F6F">
              <w:rPr>
                <w:rFonts w:eastAsia="Batang"/>
                <w:color w:val="000000"/>
                <w:szCs w:val="24"/>
                <w:lang w:val="en-US" w:eastAsia="en-US"/>
              </w:rPr>
              <w:t>2014-2020</w:t>
            </w:r>
            <w:r>
              <w:rPr>
                <w:rFonts w:eastAsia="Batang"/>
                <w:color w:val="000000"/>
                <w:szCs w:val="24"/>
                <w:lang w:eastAsia="en-US"/>
              </w:rPr>
              <w:t xml:space="preserve"> са взети предвид поуките от програмния период 2007–2013 година. Положителният опит на всички равнища, постигнат от двете съседни страни, е в основата на бъдещото успешно трансгранично сътрудничество. Опитът, натрупан от всички бенефициенти в хода на трансграничното сътрудничество до момента, демонстрира подобрени знания и опит за подготовка и изпълнение на проекти. </w:t>
            </w:r>
          </w:p>
          <w:p w:rsidR="00A85EB3" w:rsidRDefault="00B07D03">
            <w:pPr>
              <w:autoSpaceDE w:val="0"/>
              <w:autoSpaceDN w:val="0"/>
              <w:adjustRightInd w:val="0"/>
              <w:spacing w:before="0" w:after="200" w:line="276" w:lineRule="auto"/>
              <w:rPr>
                <w:rFonts w:eastAsia="Times New Roman"/>
                <w:snapToGrid w:val="0"/>
                <w:szCs w:val="24"/>
                <w:lang w:val="en-US" w:eastAsia="en-US"/>
              </w:rPr>
            </w:pPr>
            <w:r>
              <w:rPr>
                <w:rFonts w:eastAsia="Batang"/>
                <w:color w:val="000000"/>
                <w:szCs w:val="24"/>
                <w:lang w:eastAsia="en-US"/>
              </w:rPr>
              <w:t xml:space="preserve">Този процес е в унисон със засиления капацитет на пограничния регион за усвояване на средства. В резултат на това до 2013 г. над 260 партньори по проекти от двете държави изпълниха 90 съвместни проекта. Основните постижения, които добавят стойност към сътрудничеството, са изграждането на капацитет, повишаването на </w:t>
            </w:r>
            <w:r>
              <w:rPr>
                <w:rFonts w:eastAsia="Batang"/>
                <w:color w:val="000000"/>
                <w:szCs w:val="24"/>
                <w:lang w:eastAsia="en-US"/>
              </w:rPr>
              <w:lastRenderedPageBreak/>
              <w:t>осведомеността, доверието/изграждането на доверие, по-добрият имидж на региона и ангажиментът за нови действия. Основните резултати, постигнати до момента по Програмата, са в следните направления: създаване на транс</w:t>
            </w:r>
            <w:r>
              <w:rPr>
                <w:rFonts w:ascii="Cambria Math" w:eastAsia="Times New Roman" w:hAnsi="Cambria Math" w:cs="Cambria Math"/>
                <w:snapToGrid w:val="0"/>
                <w:szCs w:val="24"/>
                <w:lang w:eastAsia="en-US"/>
              </w:rPr>
              <w:t xml:space="preserve">гранични мрежови структури, връзки, услуги и учебни центрове; провеждане на обучения за разнообразни целеви групи с цел повишаване на уменията им; разработване на планове за управление на околната среда; участие на институциите в съвместни дейности и обмен на </w:t>
            </w:r>
            <w:proofErr w:type="spellStart"/>
            <w:r>
              <w:rPr>
                <w:rFonts w:ascii="Cambria Math" w:eastAsia="Times New Roman" w:hAnsi="Cambria Math" w:cs="Cambria Math"/>
                <w:snapToGrid w:val="0"/>
                <w:szCs w:val="24"/>
                <w:lang w:eastAsia="en-US"/>
              </w:rPr>
              <w:t>ноу-хау</w:t>
            </w:r>
            <w:proofErr w:type="spellEnd"/>
            <w:r>
              <w:rPr>
                <w:rFonts w:ascii="Cambria Math" w:eastAsia="Times New Roman" w:hAnsi="Cambria Math" w:cs="Cambria Math"/>
                <w:snapToGrid w:val="0"/>
                <w:szCs w:val="24"/>
                <w:lang w:eastAsia="en-US"/>
              </w:rPr>
              <w:t>; и други.</w:t>
            </w:r>
          </w:p>
          <w:p w:rsidR="00A85EB3" w:rsidRDefault="00B07D03">
            <w:pPr>
              <w:spacing w:line="276" w:lineRule="auto"/>
              <w:rPr>
                <w:rFonts w:eastAsia="Times New Roman"/>
                <w:smallCaps/>
                <w:noProof/>
                <w:spacing w:val="20"/>
                <w:szCs w:val="24"/>
                <w:lang w:val="en-US"/>
              </w:rPr>
            </w:pPr>
            <w:r>
              <w:rPr>
                <w:rFonts w:eastAsia="Times New Roman"/>
                <w:szCs w:val="24"/>
              </w:rPr>
              <w:t>В допълнение към това, в процеса на програмиране бяха взети предвид заключенията от „Текущата оценка на Програмата за трансгранично сътрудничество по ИПП България – Турция (2007–2013)“. Стратегията на програмата е подкрепена от солиден социално-икономически анализ. Взети са предвид добавената трансгранична стойност и бюджетните ограничения. Меките мерки и инвестициите са балансирани и им е дадена подходяща тежест. Вътрешната съгласуваност на програмата е осигурена чрез ясно разграничаване между Приоритетните оси и Конкретните цели. Хоризонталните принципи са взети под внимание и спазвани по време на процеса на програмиране и ще бъдат насърчавани и наблюдавани по време на жизнения цикъл на Програмата. Показателите за резултат са пригодени към конкретните цели на програмата и ще бъдат наблюдавани чрез приложими методи за оценка на изходните и целевите стойности.</w:t>
            </w:r>
          </w:p>
          <w:p w:rsidR="00A85EB3" w:rsidRDefault="00B07D03">
            <w:pPr>
              <w:spacing w:before="360" w:line="269" w:lineRule="auto"/>
              <w:jc w:val="left"/>
              <w:rPr>
                <w:rFonts w:eastAsia="Times New Roman"/>
                <w:b/>
                <w:smallCaps/>
                <w:noProof/>
                <w:spacing w:val="20"/>
                <w:szCs w:val="24"/>
                <w:lang w:val="en-US"/>
              </w:rPr>
            </w:pPr>
            <w:r>
              <w:rPr>
                <w:rFonts w:eastAsia="Times New Roman"/>
                <w:b/>
                <w:smallCaps/>
                <w:noProof/>
                <w:spacing w:val="20"/>
                <w:szCs w:val="24"/>
              </w:rPr>
              <w:t>Стратегия на програмата</w:t>
            </w:r>
          </w:p>
          <w:p w:rsidR="00A85EB3" w:rsidRDefault="00B07D03">
            <w:pPr>
              <w:spacing w:line="276" w:lineRule="auto"/>
              <w:rPr>
                <w:rFonts w:eastAsia="Times New Roman"/>
                <w:szCs w:val="24"/>
                <w:lang w:val="en-US" w:eastAsia="de-AT"/>
              </w:rPr>
            </w:pPr>
            <w:r>
              <w:rPr>
                <w:rFonts w:eastAsia="Times New Roman"/>
                <w:szCs w:val="24"/>
              </w:rPr>
              <w:t xml:space="preserve">Програмата за ТГС по ИПП България – Турция допринася пряко за горепосочените европейски и национални стратегически документи в съответствие с концепцията за интелигентен, устойчив и приобщаващ растеж. Интелигентен растеж се насърчава, наред с другото, чрез мярката за сътрудничество в областта на околната среда и </w:t>
            </w:r>
            <w:proofErr w:type="spellStart"/>
            <w:r>
              <w:rPr>
                <w:rFonts w:eastAsia="Times New Roman"/>
                <w:szCs w:val="24"/>
              </w:rPr>
              <w:t>нисковъглеродната</w:t>
            </w:r>
            <w:proofErr w:type="spellEnd"/>
            <w:r>
              <w:rPr>
                <w:rFonts w:eastAsia="Times New Roman"/>
                <w:szCs w:val="24"/>
              </w:rPr>
              <w:t xml:space="preserve"> икономика, както и чрез дейности в областта на туризма (мерки в областта на природното и културно наследство); укрепването на </w:t>
            </w:r>
            <w:proofErr w:type="spellStart"/>
            <w:r>
              <w:rPr>
                <w:rFonts w:eastAsia="Times New Roman"/>
                <w:szCs w:val="24"/>
              </w:rPr>
              <w:t>младежта</w:t>
            </w:r>
            <w:proofErr w:type="spellEnd"/>
            <w:r>
              <w:rPr>
                <w:rFonts w:eastAsia="Times New Roman"/>
                <w:szCs w:val="24"/>
              </w:rPr>
              <w:t xml:space="preserve"> в региона – като гръбнак за бъдещото развитие – се разглежда като хоризонтален приоритет на Програмата. Устойчивият растеж, устойчивото използване на ресурсите, е пряко разгледан в приоритетна ос 1 „Околна среда“ на Програмата, която обхваща опазването на околната среда като един от най-важните активи на района, както и управлението на бедствия, представляващо типичен трансграничен проблем от голямо значение за района; следователно устойчивото развитие е един от основните принципи на Програмата за ТГС. Силна връзка с приобщаващия растеж се забелязва в приоритетна ос 2 „Устойчив туризъм“. Тази тематична област е насочена към капитализиране на природното, културното и историческото наследство на региона. Конкурентоспособността като цяло се разглежда като хоризонтална основа за регионалното развитие в района. Програмата за ТГС по ИПП България – Турция допринася пряко за водещите инициативи „</w:t>
            </w:r>
            <w:proofErr w:type="spellStart"/>
            <w:r>
              <w:rPr>
                <w:rFonts w:eastAsia="Times New Roman"/>
                <w:szCs w:val="24"/>
              </w:rPr>
              <w:t>Младежта</w:t>
            </w:r>
            <w:proofErr w:type="spellEnd"/>
            <w:r>
              <w:rPr>
                <w:rFonts w:eastAsia="Times New Roman"/>
                <w:szCs w:val="24"/>
              </w:rPr>
              <w:t xml:space="preserve"> в движение“, „Ефективно използване на ресурсите в Европа“ и „Програма за нови умения и работни места“. В съответствие със стратегията на програмата </w:t>
            </w:r>
          </w:p>
          <w:p w:rsidR="00A85EB3" w:rsidRDefault="00B07D03" w:rsidP="002F71D4">
            <w:pPr>
              <w:spacing w:line="276" w:lineRule="auto"/>
              <w:ind w:left="-124"/>
              <w:jc w:val="center"/>
              <w:rPr>
                <w:rFonts w:eastAsia="Times New Roman"/>
                <w:noProof/>
                <w:szCs w:val="24"/>
                <w:lang w:val="en-US" w:eastAsia="ar-SA"/>
              </w:rPr>
            </w:pPr>
            <w:r>
              <w:rPr>
                <w:rFonts w:eastAsia="Times New Roman"/>
                <w:b/>
                <w:noProof/>
                <w:szCs w:val="24"/>
                <w:lang w:eastAsia="ar-SA"/>
              </w:rPr>
              <w:t>Общата цел на Програма за ТГС по ИПП България – Турция 2014–2020 е:</w:t>
            </w:r>
          </w:p>
          <w:p w:rsidR="00A85EB3" w:rsidRDefault="00B07D03">
            <w:pPr>
              <w:spacing w:after="240"/>
              <w:jc w:val="center"/>
              <w:rPr>
                <w:rFonts w:eastAsia="Times New Roman"/>
                <w:i/>
                <w:lang w:val="en-US" w:eastAsia="fr-BE"/>
              </w:rPr>
            </w:pPr>
            <w:r>
              <w:rPr>
                <w:rFonts w:eastAsia="Times New Roman"/>
                <w:b/>
                <w:i/>
                <w:noProof/>
                <w:color w:val="943634" w:themeColor="accent2" w:themeShade="BF"/>
                <w:szCs w:val="24"/>
                <w:lang w:eastAsia="ar-SA"/>
              </w:rPr>
              <w:lastRenderedPageBreak/>
              <w:t>Укрепване капацитета за трансгранично сътрудничество между България и Турция в областта на опазването на природата и устойчивия туризъм, водещо до подобряване на териториалното сближаване в Европа</w:t>
            </w:r>
          </w:p>
        </w:tc>
        <w:bookmarkEnd w:id="39"/>
      </w:tr>
    </w:tbl>
    <w:p w:rsidR="00A85EB3" w:rsidRDefault="00A85EB3">
      <w:pPr>
        <w:spacing w:after="240"/>
        <w:rPr>
          <w:rFonts w:eastAsia="Times New Roman"/>
          <w:lang w:val="en-US" w:eastAsia="fr-BE"/>
        </w:rPr>
      </w:pPr>
    </w:p>
    <w:p w:rsidR="00A85EB3" w:rsidRDefault="00B07D03">
      <w:pPr>
        <w:pStyle w:val="Heading3"/>
        <w:rPr>
          <w:i w:val="0"/>
          <w:lang w:val="en-US" w:eastAsia="fr-BE"/>
        </w:rPr>
      </w:pPr>
      <w:bookmarkStart w:id="40" w:name="_Toc408234888"/>
      <w:r>
        <w:rPr>
          <w:i w:val="0"/>
          <w:lang w:eastAsia="fr-BE"/>
        </w:rPr>
        <w:t>Обосновка на избора на тематични приоритети въз основа на анализ на потребностите в територията на програмата като цяло и на стратегията, избрана в отговор на тези потребности, и като се отчитат, когато е уместно, липсващите звена в трансграничната инфраструктура, като се вземат предвид резултатите от предварителната оценка</w:t>
      </w:r>
      <w:bookmarkEnd w:id="40"/>
    </w:p>
    <w:p w:rsidR="00A85EB3" w:rsidRDefault="00A85EB3">
      <w:pPr>
        <w:rPr>
          <w:lang w:val="en-US"/>
        </w:rPr>
      </w:pPr>
    </w:p>
    <w:p w:rsidR="00A85EB3" w:rsidRDefault="00B07D03">
      <w:pPr>
        <w:rPr>
          <w:b/>
          <w:lang w:val="en-US" w:eastAsia="fr-BE"/>
        </w:rPr>
      </w:pPr>
      <w:r>
        <w:rPr>
          <w:b/>
          <w:lang w:eastAsia="fr-BE"/>
        </w:rPr>
        <w:t>Таблица 1: Обосновка за избора на тематичните приоритети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549"/>
      </w:tblGrid>
      <w:tr w:rsidR="004A1074" w:rsidRPr="00981F6F" w:rsidTr="002F71D4">
        <w:trPr>
          <w:trHeight w:val="482"/>
        </w:trPr>
        <w:tc>
          <w:tcPr>
            <w:tcW w:w="2518" w:type="dxa"/>
            <w:shd w:val="clear" w:color="auto" w:fill="auto"/>
          </w:tcPr>
          <w:p w:rsidR="00A85EB3" w:rsidRDefault="00B07D03">
            <w:pPr>
              <w:spacing w:after="240"/>
              <w:jc w:val="center"/>
              <w:rPr>
                <w:rFonts w:eastAsia="Times New Roman"/>
                <w:b/>
                <w:sz w:val="20"/>
                <w:lang w:val="en-US" w:eastAsia="fr-BE"/>
              </w:rPr>
            </w:pPr>
            <w:r>
              <w:rPr>
                <w:rFonts w:eastAsia="Times New Roman"/>
                <w:b/>
                <w:sz w:val="20"/>
                <w:lang w:eastAsia="fr-BE"/>
              </w:rPr>
              <w:t>Избран тематичен приоритет</w:t>
            </w:r>
          </w:p>
        </w:tc>
        <w:tc>
          <w:tcPr>
            <w:tcW w:w="6549" w:type="dxa"/>
            <w:shd w:val="clear" w:color="auto" w:fill="auto"/>
          </w:tcPr>
          <w:p w:rsidR="00A85EB3" w:rsidRDefault="00B07D03">
            <w:pPr>
              <w:spacing w:after="240"/>
              <w:jc w:val="center"/>
              <w:rPr>
                <w:rFonts w:eastAsia="Times New Roman"/>
                <w:b/>
                <w:sz w:val="20"/>
                <w:lang w:val="en-US" w:eastAsia="fr-BE"/>
              </w:rPr>
            </w:pPr>
            <w:r>
              <w:rPr>
                <w:rFonts w:eastAsia="Times New Roman"/>
                <w:b/>
                <w:sz w:val="20"/>
                <w:lang w:eastAsia="fr-BE"/>
              </w:rPr>
              <w:t>Съображения за избора</w:t>
            </w:r>
          </w:p>
        </w:tc>
      </w:tr>
      <w:tr w:rsidR="004A1074" w:rsidRPr="00981F6F" w:rsidTr="002F71D4">
        <w:trPr>
          <w:trHeight w:val="522"/>
        </w:trPr>
        <w:tc>
          <w:tcPr>
            <w:tcW w:w="2518" w:type="dxa"/>
            <w:shd w:val="clear" w:color="auto" w:fill="auto"/>
          </w:tcPr>
          <w:p w:rsidR="00A85EB3" w:rsidRDefault="00B07D03" w:rsidP="002F71D4">
            <w:pPr>
              <w:spacing w:after="240"/>
              <w:jc w:val="left"/>
              <w:rPr>
                <w:rFonts w:eastAsia="Times New Roman"/>
                <w:b/>
                <w:szCs w:val="24"/>
                <w:lang w:val="en-US" w:eastAsia="fr-BE"/>
              </w:rPr>
            </w:pPr>
            <w:r>
              <w:rPr>
                <w:szCs w:val="24"/>
                <w:lang w:eastAsia="en-US"/>
              </w:rPr>
              <w:t>ТП (b): Опазване на околната среда и подпомагане на приспособяването към изменението на климата, предотвратяване и управление на рискове [...]</w:t>
            </w:r>
          </w:p>
        </w:tc>
        <w:tc>
          <w:tcPr>
            <w:tcW w:w="6549" w:type="dxa"/>
            <w:shd w:val="clear" w:color="auto" w:fill="auto"/>
          </w:tcPr>
          <w:p w:rsidR="00A85EB3" w:rsidRDefault="00B07D03">
            <w:pPr>
              <w:widowControl w:val="0"/>
              <w:overflowPunct w:val="0"/>
              <w:autoSpaceDE w:val="0"/>
              <w:autoSpaceDN w:val="0"/>
              <w:adjustRightInd w:val="0"/>
              <w:spacing w:line="276" w:lineRule="auto"/>
              <w:textAlignment w:val="baseline"/>
              <w:rPr>
                <w:rFonts w:eastAsia="Times New Roman"/>
                <w:b/>
                <w:szCs w:val="24"/>
                <w:lang w:val="en-US" w:eastAsia="fr-BE"/>
              </w:rPr>
            </w:pPr>
            <w:r>
              <w:rPr>
                <w:rFonts w:eastAsia="Times New Roman"/>
                <w:szCs w:val="24"/>
                <w:lang w:eastAsia="ar-SA"/>
              </w:rPr>
              <w:t xml:space="preserve">Опазването/съхраняването на околната среда е проблем за географски ограничени територии, които често прехвърлят националните граници; следователно за региона на ТГС е необходимо устойчиво управление и опазване на природните ресурси. ТП е пряко свързан с основен приоритет на ЕС 2020, както и със съответните национални и регионални стратегически документи. През годините и двете държави са развили много добри традиции в опазването на околната среда в територията на ТГС. И в двете държави са налице сходни екологични рискове като наводнения и горски пожари в територията на ТГС. Екологичните проблеми не се спират пред граници и трябва да се преодоляват на регионално и трансгранично равнище. Съществува необходимост от повишаване на осведомеността и от мерки във връзка с изменението на климата, тъй като то оказва значително въздействие върху икономиката и живота. Съществуващите защитени природни области и традицията в тяхното опазване е средство за справяне със съответните инициативи.  </w:t>
            </w:r>
          </w:p>
        </w:tc>
      </w:tr>
      <w:tr w:rsidR="004A1074" w:rsidRPr="00981F6F" w:rsidTr="002F71D4">
        <w:trPr>
          <w:trHeight w:val="492"/>
        </w:trPr>
        <w:tc>
          <w:tcPr>
            <w:tcW w:w="2518" w:type="dxa"/>
            <w:shd w:val="clear" w:color="auto" w:fill="auto"/>
          </w:tcPr>
          <w:p w:rsidR="00A85EB3" w:rsidRDefault="00B07D03" w:rsidP="002F71D4">
            <w:pPr>
              <w:spacing w:line="276" w:lineRule="auto"/>
              <w:jc w:val="left"/>
              <w:rPr>
                <w:rFonts w:eastAsia="Times New Roman"/>
                <w:szCs w:val="24"/>
                <w:lang w:val="en-US" w:eastAsia="fr-BE"/>
              </w:rPr>
            </w:pPr>
            <w:r>
              <w:rPr>
                <w:szCs w:val="24"/>
                <w:lang w:eastAsia="en-US"/>
              </w:rPr>
              <w:t>ТП (d): Насърчаване на туризма и културното и природното наследство [...]</w:t>
            </w:r>
          </w:p>
        </w:tc>
        <w:tc>
          <w:tcPr>
            <w:tcW w:w="6549" w:type="dxa"/>
            <w:shd w:val="clear" w:color="auto" w:fill="auto"/>
          </w:tcPr>
          <w:p w:rsidR="00A85EB3" w:rsidRDefault="00B07D03">
            <w:pPr>
              <w:suppressAutoHyphens/>
              <w:autoSpaceDE w:val="0"/>
              <w:autoSpaceDN w:val="0"/>
              <w:adjustRightInd w:val="0"/>
              <w:spacing w:line="276" w:lineRule="auto"/>
              <w:rPr>
                <w:rFonts w:eastAsia="Times New Roman"/>
                <w:i/>
                <w:szCs w:val="24"/>
                <w:lang w:val="en-US" w:eastAsia="fr-BE"/>
              </w:rPr>
            </w:pPr>
            <w:r>
              <w:rPr>
                <w:rFonts w:eastAsia="Times New Roman"/>
                <w:szCs w:val="24"/>
                <w:lang w:eastAsia="ar-SA"/>
              </w:rPr>
              <w:t xml:space="preserve">Трансграничният район демонстрира много висок потенциал на природното, културното и историческото наследство. Това е свързващ фактор за двете страни и може да допринесе за бъдещото трансгранично развитие в региона. Туризмът е тематична част от съответните национални и регионални стратегически документи на двете страни. Съответните заинтересовани лица поставиха този ТП на високо място по време на програмирането, и през периода 2007–2013 г. бяха </w:t>
            </w:r>
            <w:r>
              <w:rPr>
                <w:rFonts w:eastAsia="Times New Roman"/>
                <w:szCs w:val="24"/>
                <w:lang w:eastAsia="ar-SA"/>
              </w:rPr>
              <w:lastRenderedPageBreak/>
              <w:t xml:space="preserve">създадени добри предварителни условия за развитие на съвместни туристически продукти/услуги. Чрез балансиран подход и комбинация от инвестиции и меки мерки ще бъде постигнат общ капацитет за развитие и прилагане на </w:t>
            </w:r>
            <w:proofErr w:type="spellStart"/>
            <w:r>
              <w:rPr>
                <w:rFonts w:eastAsia="Times New Roman"/>
                <w:szCs w:val="24"/>
                <w:lang w:eastAsia="ar-SA"/>
              </w:rPr>
              <w:t>диверсифицирани</w:t>
            </w:r>
            <w:proofErr w:type="spellEnd"/>
            <w:r>
              <w:rPr>
                <w:rFonts w:eastAsia="Times New Roman"/>
                <w:szCs w:val="24"/>
                <w:lang w:eastAsia="ar-SA"/>
              </w:rPr>
              <w:t xml:space="preserve"> туристически продукти/услуги с цел повишаване на стойността на природното, културното и историческото наследство. На последно място, но не и по важност, този ТП представлява добро поле за дейности по общуване в мрежи. </w:t>
            </w:r>
          </w:p>
        </w:tc>
      </w:tr>
    </w:tbl>
    <w:p w:rsidR="00A85EB3" w:rsidRDefault="00A85EB3">
      <w:pPr>
        <w:pStyle w:val="Heading2"/>
        <w:numPr>
          <w:ilvl w:val="0"/>
          <w:numId w:val="0"/>
        </w:numPr>
        <w:rPr>
          <w:b w:val="0"/>
          <w:bCs w:val="0"/>
          <w:szCs w:val="20"/>
          <w:lang w:val="en-US"/>
        </w:rPr>
      </w:pPr>
    </w:p>
    <w:p w:rsidR="00A85EB3" w:rsidRDefault="00B07D03">
      <w:pPr>
        <w:pStyle w:val="Heading2"/>
        <w:numPr>
          <w:ilvl w:val="0"/>
          <w:numId w:val="0"/>
        </w:numPr>
        <w:rPr>
          <w:lang w:val="en-US" w:eastAsia="fr-BE"/>
        </w:rPr>
      </w:pPr>
      <w:bookmarkStart w:id="41" w:name="_Toc408234889"/>
      <w:r>
        <w:rPr>
          <w:lang w:eastAsia="fr-BE"/>
        </w:rPr>
        <w:t>1.2</w:t>
      </w:r>
      <w:r>
        <w:rPr>
          <w:lang w:eastAsia="fr-BE"/>
        </w:rPr>
        <w:tab/>
        <w:t>Обосновка на отпусканите финансови средства</w:t>
      </w:r>
      <w:bookmarkEnd w:id="41"/>
    </w:p>
    <w:p w:rsidR="00A85EB3" w:rsidRDefault="00B07D03">
      <w:pPr>
        <w:tabs>
          <w:tab w:val="left" w:pos="2302"/>
        </w:tabs>
        <w:spacing w:after="240"/>
        <w:ind w:left="709"/>
        <w:rPr>
          <w:rFonts w:eastAsia="Times New Roman"/>
          <w:lang w:val="en-US" w:eastAsia="fr-BE"/>
        </w:rPr>
      </w:pPr>
      <w:r>
        <w:rPr>
          <w:rFonts w:eastAsia="Times New Roman"/>
          <w:lang w:eastAsia="fr-BE"/>
        </w:rPr>
        <w:t>Обосновка на отпусканите финансови средства (т.е. помощ от Съюза) за всеки тематичен приоритет в съответствие с изискванията за тематична концентрация (като се вземе предвид предварителната оценка).</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FB701A" w:rsidRPr="00981F6F" w:rsidTr="002F71D4">
        <w:trPr>
          <w:trHeight w:val="1161"/>
        </w:trPr>
        <w:tc>
          <w:tcPr>
            <w:tcW w:w="9101" w:type="dxa"/>
            <w:shd w:val="clear" w:color="auto" w:fill="auto"/>
          </w:tcPr>
          <w:p w:rsidR="00A85EB3" w:rsidRDefault="00B07D03">
            <w:pPr>
              <w:spacing w:line="276" w:lineRule="auto"/>
              <w:rPr>
                <w:rFonts w:eastAsia="Times New Roman"/>
                <w:i/>
                <w:lang w:val="en-US"/>
              </w:rPr>
            </w:pPr>
            <w:r>
              <w:rPr>
                <w:rFonts w:eastAsia="Times New Roman"/>
                <w:szCs w:val="24"/>
                <w:lang w:eastAsia="ar-SA"/>
              </w:rPr>
              <w:t xml:space="preserve">Целта на предложените в следващата таблица отпуснати финансови средства е предвижданите резултати от програмата да се постигнат ефективно с ограничените ресурси на разположение през периода 2014–2020 г. Избраните тематични приоритети и съответните конкретни цели имат за цел трансгранично сътрудничество между България и Турция в следните насоки: 1) подобряване и опазване на околната среда с цел насърчаване на устойчивото развитие и качеството на живот; 2) укрепване на сектора на туризма чрез капитализиране на културното и природното наследство в региона на ТГС България – Турция. В хода на избора на тематични приоритети (така както са очертани по-горе) беше оценена по-специално целесъобразността на различните теми, свързани с ТГС. По-специално изменението на климата и управлението на риска (при което наводненията и пожарите са трансгранични и транснационални проблеми) и опазването на околната среда (включително природното и културното наследство и общите традиции) се считат за подходящи за района в трансграничен план. Като се има предвид голямото значение на тези две теми, свързани с трансграничното сътрудничество, по 45% от бюджета на програмата ще бъдат отпуснати на всеки един от тези приоритети; 10% от бюджета се предвиждат за техническа помощ на програмата. За екологичния приоритет, например, се цели увеличаване на интервенциите в областта на предотвратяването и управлението на рисковете и подобряването на капацитета и устойчивото използване на общите природни ресурси чрез съвместни инициативи за опазване на природата. В областта на устойчивия туризъм се планира по-високо равнище на оценяването на природното и културното наследство в контекста на туризма и по-голям брой трансгранични мрежи в областта на устойчивия туризъм. Финансовата тежест е зададена в съответствие с поуките от сегашната програма, анализа на потребностите, както и анализа на очакванията и потребностите на съответните заинтересовани страни в територията на ТГС. </w:t>
            </w:r>
          </w:p>
        </w:tc>
      </w:tr>
    </w:tbl>
    <w:p w:rsidR="00A85EB3" w:rsidRDefault="00A85EB3">
      <w:pPr>
        <w:spacing w:after="240"/>
        <w:ind w:left="765" w:hanging="283"/>
        <w:rPr>
          <w:rFonts w:eastAsia="Times New Roman"/>
          <w:lang w:val="en-US"/>
        </w:rPr>
        <w:sectPr w:rsidR="00A85EB3" w:rsidSect="00FE0E0A">
          <w:footerReference w:type="default" r:id="rId22"/>
          <w:pgSz w:w="11907" w:h="16839"/>
          <w:pgMar w:top="1134" w:right="1417" w:bottom="1134" w:left="1417" w:header="709" w:footer="709" w:gutter="0"/>
          <w:pgNumType w:start="0"/>
          <w:cols w:space="708"/>
          <w:titlePg/>
          <w:docGrid w:linePitch="360"/>
        </w:sectPr>
      </w:pPr>
    </w:p>
    <w:p w:rsidR="00A85EB3" w:rsidRDefault="00B07D03">
      <w:pPr>
        <w:spacing w:after="240"/>
        <w:rPr>
          <w:rFonts w:eastAsia="Times New Roman"/>
          <w:b/>
          <w:lang w:val="en-US"/>
        </w:rPr>
      </w:pPr>
      <w:r>
        <w:rPr>
          <w:rFonts w:eastAsia="Times New Roman"/>
          <w:b/>
        </w:rPr>
        <w:lastRenderedPageBreak/>
        <w:t>Таблица 2: Обзор на инвестиционната стратегия на програмата за сътрудничество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1560"/>
        <w:gridCol w:w="2126"/>
        <w:gridCol w:w="2835"/>
        <w:gridCol w:w="5231"/>
      </w:tblGrid>
      <w:tr w:rsidR="00B30930" w:rsidRPr="00981F6F" w:rsidTr="003A48D1">
        <w:trPr>
          <w:trHeight w:val="897"/>
          <w:jc w:val="center"/>
        </w:trPr>
        <w:tc>
          <w:tcPr>
            <w:tcW w:w="2627" w:type="dxa"/>
            <w:tcBorders>
              <w:top w:val="single" w:sz="4" w:space="0" w:color="auto"/>
              <w:left w:val="single" w:sz="4" w:space="0" w:color="auto"/>
              <w:right w:val="single" w:sz="4" w:space="0" w:color="auto"/>
            </w:tcBorders>
          </w:tcPr>
          <w:p w:rsidR="00A85EB3" w:rsidRDefault="00A85EB3">
            <w:pPr>
              <w:spacing w:before="0" w:after="0"/>
              <w:jc w:val="center"/>
              <w:rPr>
                <w:rFonts w:eastAsia="Times New Roman"/>
                <w:b/>
                <w:sz w:val="20"/>
                <w:lang w:val="en-US"/>
              </w:rPr>
            </w:pPr>
          </w:p>
          <w:p w:rsidR="00A85EB3" w:rsidRDefault="00B07D03">
            <w:pPr>
              <w:spacing w:before="0" w:after="0"/>
              <w:jc w:val="center"/>
              <w:rPr>
                <w:rFonts w:eastAsia="Times New Roman"/>
                <w:sz w:val="20"/>
                <w:lang w:val="en-US"/>
              </w:rPr>
            </w:pPr>
            <w:r>
              <w:rPr>
                <w:rFonts w:eastAsia="Times New Roman"/>
                <w:b/>
                <w:sz w:val="20"/>
              </w:rPr>
              <w:t>Приоритетна ос</w:t>
            </w:r>
          </w:p>
        </w:tc>
        <w:tc>
          <w:tcPr>
            <w:tcW w:w="1560" w:type="dxa"/>
            <w:tcBorders>
              <w:top w:val="single" w:sz="4" w:space="0" w:color="auto"/>
              <w:left w:val="single" w:sz="4" w:space="0" w:color="auto"/>
              <w:right w:val="single" w:sz="4" w:space="0" w:color="auto"/>
            </w:tcBorders>
            <w:hideMark/>
          </w:tcPr>
          <w:p w:rsidR="00A85EB3" w:rsidRDefault="00A85EB3">
            <w:pPr>
              <w:spacing w:before="0" w:after="0"/>
              <w:jc w:val="center"/>
              <w:rPr>
                <w:rFonts w:eastAsia="Times New Roman"/>
                <w:b/>
                <w:sz w:val="20"/>
                <w:lang w:val="en-US"/>
              </w:rPr>
            </w:pPr>
          </w:p>
          <w:p w:rsidR="00A85EB3" w:rsidRDefault="00B07D03">
            <w:pPr>
              <w:spacing w:before="0" w:after="0"/>
              <w:jc w:val="center"/>
              <w:rPr>
                <w:rFonts w:eastAsia="Times New Roman"/>
                <w:b/>
                <w:sz w:val="20"/>
                <w:lang w:val="en-US"/>
              </w:rPr>
            </w:pPr>
            <w:r>
              <w:rPr>
                <w:rFonts w:eastAsia="Times New Roman"/>
                <w:b/>
                <w:sz w:val="20"/>
              </w:rPr>
              <w:t>Помощ от Съюза</w:t>
            </w:r>
          </w:p>
          <w:p w:rsidR="00A85EB3" w:rsidRDefault="00B07D03">
            <w:pPr>
              <w:spacing w:before="0" w:after="0"/>
              <w:jc w:val="center"/>
              <w:rPr>
                <w:rFonts w:eastAsia="Times New Roman"/>
                <w:i/>
                <w:sz w:val="20"/>
                <w:lang w:val="en-US"/>
              </w:rPr>
            </w:pPr>
            <w:r>
              <w:rPr>
                <w:rFonts w:eastAsia="Times New Roman"/>
                <w:b/>
                <w:sz w:val="20"/>
              </w:rPr>
              <w:t>(в евро)</w:t>
            </w:r>
          </w:p>
        </w:tc>
        <w:tc>
          <w:tcPr>
            <w:tcW w:w="2126" w:type="dxa"/>
            <w:tcBorders>
              <w:top w:val="single" w:sz="4" w:space="0" w:color="auto"/>
              <w:left w:val="single" w:sz="4" w:space="0" w:color="auto"/>
              <w:right w:val="single" w:sz="4" w:space="0" w:color="auto"/>
            </w:tcBorders>
          </w:tcPr>
          <w:p w:rsidR="00A85EB3" w:rsidRDefault="00B07D03">
            <w:pPr>
              <w:spacing w:before="0" w:after="0"/>
              <w:jc w:val="center"/>
              <w:rPr>
                <w:rFonts w:eastAsia="Times New Roman"/>
                <w:i/>
                <w:sz w:val="20"/>
                <w:lang w:val="en-US"/>
              </w:rPr>
            </w:pPr>
            <w:r>
              <w:rPr>
                <w:rFonts w:eastAsia="Times New Roman"/>
                <w:b/>
                <w:sz w:val="20"/>
              </w:rPr>
              <w:t>Дял (%) от общата подкрепа от Съюза за програмата за сътрудничество</w:t>
            </w:r>
          </w:p>
        </w:tc>
        <w:tc>
          <w:tcPr>
            <w:tcW w:w="2835" w:type="dxa"/>
            <w:tcBorders>
              <w:top w:val="single" w:sz="4" w:space="0" w:color="auto"/>
              <w:left w:val="single" w:sz="4" w:space="0" w:color="auto"/>
              <w:right w:val="single" w:sz="4" w:space="0" w:color="auto"/>
            </w:tcBorders>
          </w:tcPr>
          <w:p w:rsidR="00A85EB3" w:rsidRDefault="00A85EB3">
            <w:pPr>
              <w:spacing w:before="0" w:after="0"/>
              <w:jc w:val="center"/>
              <w:rPr>
                <w:rFonts w:eastAsia="Times New Roman"/>
                <w:b/>
                <w:sz w:val="20"/>
                <w:lang w:val="en-US"/>
              </w:rPr>
            </w:pPr>
          </w:p>
          <w:p w:rsidR="00A85EB3" w:rsidRDefault="00B07D03">
            <w:pPr>
              <w:spacing w:before="0" w:after="0"/>
              <w:jc w:val="center"/>
              <w:rPr>
                <w:rFonts w:eastAsia="Times New Roman"/>
                <w:b/>
                <w:sz w:val="20"/>
                <w:lang w:val="en-US"/>
              </w:rPr>
            </w:pPr>
            <w:r>
              <w:rPr>
                <w:rFonts w:eastAsia="Times New Roman"/>
                <w:b/>
                <w:sz w:val="20"/>
              </w:rPr>
              <w:t>Тематични приоритети</w:t>
            </w:r>
          </w:p>
        </w:tc>
        <w:tc>
          <w:tcPr>
            <w:tcW w:w="5231" w:type="dxa"/>
            <w:tcBorders>
              <w:top w:val="single" w:sz="4" w:space="0" w:color="auto"/>
              <w:left w:val="single" w:sz="4" w:space="0" w:color="auto"/>
              <w:right w:val="single" w:sz="4" w:space="0" w:color="auto"/>
            </w:tcBorders>
          </w:tcPr>
          <w:p w:rsidR="00A85EB3" w:rsidRDefault="00A85EB3">
            <w:pPr>
              <w:spacing w:before="0" w:after="0"/>
              <w:jc w:val="center"/>
              <w:rPr>
                <w:rFonts w:eastAsia="Times New Roman"/>
                <w:b/>
                <w:sz w:val="20"/>
                <w:lang w:val="en-US"/>
              </w:rPr>
            </w:pPr>
          </w:p>
          <w:p w:rsidR="00A85EB3" w:rsidRDefault="00B07D03">
            <w:pPr>
              <w:spacing w:before="0" w:after="0"/>
              <w:jc w:val="center"/>
              <w:rPr>
                <w:rFonts w:eastAsia="Times New Roman"/>
                <w:b/>
                <w:sz w:val="20"/>
                <w:lang w:val="en-US"/>
              </w:rPr>
            </w:pPr>
            <w:r>
              <w:rPr>
                <w:rFonts w:eastAsia="Times New Roman"/>
                <w:b/>
                <w:sz w:val="20"/>
              </w:rPr>
              <w:t xml:space="preserve">Показатели за резултатите, съответстващи </w:t>
            </w:r>
          </w:p>
          <w:p w:rsidR="00A85EB3" w:rsidRDefault="00B07D03">
            <w:pPr>
              <w:spacing w:before="0" w:after="0"/>
              <w:jc w:val="center"/>
              <w:rPr>
                <w:rFonts w:eastAsia="Times New Roman"/>
                <w:b/>
                <w:sz w:val="20"/>
                <w:lang w:val="en-US"/>
              </w:rPr>
            </w:pPr>
            <w:r>
              <w:rPr>
                <w:rFonts w:eastAsia="Times New Roman"/>
                <w:b/>
                <w:sz w:val="20"/>
              </w:rPr>
              <w:t>на тематичния приоритет</w:t>
            </w:r>
          </w:p>
        </w:tc>
      </w:tr>
      <w:tr w:rsidR="00B30930" w:rsidRPr="00981F6F" w:rsidTr="003A48D1">
        <w:trPr>
          <w:trHeight w:val="985"/>
          <w:jc w:val="center"/>
        </w:trPr>
        <w:tc>
          <w:tcPr>
            <w:tcW w:w="2627" w:type="dxa"/>
            <w:tcBorders>
              <w:top w:val="single" w:sz="4" w:space="0" w:color="auto"/>
              <w:left w:val="single" w:sz="4" w:space="0" w:color="auto"/>
              <w:right w:val="single" w:sz="4" w:space="0" w:color="auto"/>
            </w:tcBorders>
          </w:tcPr>
          <w:p w:rsidR="00A85EB3" w:rsidRDefault="00A85EB3">
            <w:pPr>
              <w:spacing w:after="240"/>
              <w:jc w:val="left"/>
              <w:rPr>
                <w:rFonts w:eastAsia="Times New Roman"/>
                <w:sz w:val="20"/>
                <w:lang w:val="en-US"/>
              </w:rPr>
            </w:pPr>
          </w:p>
          <w:p w:rsidR="00A85EB3" w:rsidRDefault="00B07D03">
            <w:pPr>
              <w:spacing w:after="240"/>
              <w:jc w:val="left"/>
              <w:rPr>
                <w:rFonts w:eastAsia="Times New Roman"/>
                <w:sz w:val="20"/>
                <w:lang w:val="en-US"/>
              </w:rPr>
            </w:pPr>
            <w:r>
              <w:rPr>
                <w:rFonts w:eastAsia="Times New Roman"/>
                <w:sz w:val="20"/>
              </w:rPr>
              <w:t>ПО 1 „Околна среда“</w:t>
            </w:r>
          </w:p>
        </w:tc>
        <w:tc>
          <w:tcPr>
            <w:tcW w:w="1560" w:type="dxa"/>
            <w:tcBorders>
              <w:top w:val="single" w:sz="4" w:space="0" w:color="auto"/>
              <w:left w:val="single" w:sz="4" w:space="0" w:color="auto"/>
              <w:right w:val="single" w:sz="4" w:space="0" w:color="auto"/>
            </w:tcBorders>
          </w:tcPr>
          <w:p w:rsidR="00A85EB3" w:rsidRDefault="00A85EB3">
            <w:pPr>
              <w:spacing w:after="240"/>
              <w:jc w:val="center"/>
              <w:rPr>
                <w:sz w:val="20"/>
                <w:lang w:val="en-US"/>
              </w:rPr>
            </w:pPr>
          </w:p>
          <w:p w:rsidR="00A85EB3" w:rsidRDefault="00B07D03">
            <w:pPr>
              <w:spacing w:after="240"/>
              <w:jc w:val="center"/>
              <w:rPr>
                <w:rFonts w:eastAsia="Times New Roman"/>
                <w:b/>
                <w:sz w:val="20"/>
                <w:lang w:val="en-US"/>
              </w:rPr>
            </w:pPr>
            <w:r>
              <w:rPr>
                <w:sz w:val="20"/>
              </w:rPr>
              <w:t>11.338.407,00</w:t>
            </w:r>
          </w:p>
        </w:tc>
        <w:tc>
          <w:tcPr>
            <w:tcW w:w="2126" w:type="dxa"/>
            <w:tcBorders>
              <w:top w:val="single" w:sz="4" w:space="0" w:color="auto"/>
              <w:left w:val="single" w:sz="4" w:space="0" w:color="auto"/>
              <w:right w:val="single" w:sz="4" w:space="0" w:color="auto"/>
            </w:tcBorders>
          </w:tcPr>
          <w:p w:rsidR="00A85EB3" w:rsidRDefault="00A85EB3">
            <w:pPr>
              <w:spacing w:after="240"/>
              <w:jc w:val="center"/>
              <w:rPr>
                <w:sz w:val="20"/>
                <w:lang w:val="en-US"/>
              </w:rPr>
            </w:pPr>
          </w:p>
          <w:p w:rsidR="00A85EB3" w:rsidRDefault="00B07D03">
            <w:pPr>
              <w:spacing w:after="240"/>
              <w:jc w:val="center"/>
              <w:rPr>
                <w:rFonts w:eastAsia="Times New Roman"/>
                <w:b/>
                <w:strike/>
                <w:sz w:val="20"/>
                <w:lang w:val="en-US"/>
              </w:rPr>
            </w:pPr>
            <w:r>
              <w:rPr>
                <w:sz w:val="20"/>
              </w:rPr>
              <w:t>45%</w:t>
            </w:r>
          </w:p>
        </w:tc>
        <w:tc>
          <w:tcPr>
            <w:tcW w:w="2835" w:type="dxa"/>
            <w:tcBorders>
              <w:top w:val="single" w:sz="4" w:space="0" w:color="auto"/>
              <w:left w:val="single" w:sz="4" w:space="0" w:color="auto"/>
              <w:right w:val="single" w:sz="4" w:space="0" w:color="auto"/>
            </w:tcBorders>
          </w:tcPr>
          <w:p w:rsidR="00A85EB3" w:rsidRDefault="00B07D03">
            <w:pPr>
              <w:spacing w:after="240"/>
              <w:rPr>
                <w:rFonts w:eastAsia="Times New Roman"/>
                <w:i/>
                <w:color w:val="8DB3E2"/>
                <w:sz w:val="20"/>
                <w:lang w:val="en-US"/>
              </w:rPr>
            </w:pPr>
            <w:r>
              <w:rPr>
                <w:sz w:val="20"/>
              </w:rPr>
              <w:t>(b): Опазване на околната среда и подпомагане на приспособяването към изменението на климата, предотвратяване и управление на рискове</w:t>
            </w:r>
          </w:p>
        </w:tc>
        <w:tc>
          <w:tcPr>
            <w:tcW w:w="5231" w:type="dxa"/>
            <w:tcBorders>
              <w:top w:val="single" w:sz="4" w:space="0" w:color="auto"/>
              <w:left w:val="single" w:sz="4" w:space="0" w:color="auto"/>
              <w:right w:val="single" w:sz="4" w:space="0" w:color="auto"/>
            </w:tcBorders>
          </w:tcPr>
          <w:p w:rsidR="00A85EB3" w:rsidRDefault="00B07D03">
            <w:pPr>
              <w:pStyle w:val="ListParagraph"/>
              <w:widowControl w:val="0"/>
              <w:numPr>
                <w:ilvl w:val="0"/>
                <w:numId w:val="83"/>
              </w:numPr>
              <w:overflowPunct w:val="0"/>
              <w:autoSpaceDE w:val="0"/>
              <w:autoSpaceDN w:val="0"/>
              <w:adjustRightInd w:val="0"/>
              <w:spacing w:before="60" w:after="60"/>
              <w:ind w:left="318" w:hanging="318"/>
              <w:textAlignment w:val="baseline"/>
              <w:rPr>
                <w:sz w:val="20"/>
                <w:lang w:val="en-US" w:eastAsia="en-US"/>
              </w:rPr>
            </w:pPr>
            <w:r>
              <w:rPr>
                <w:sz w:val="20"/>
                <w:lang w:eastAsia="en-US"/>
              </w:rPr>
              <w:t>Повече съвместни дейности в областта на превенцията и управлението на риска</w:t>
            </w:r>
          </w:p>
          <w:p w:rsidR="00A85EB3" w:rsidRDefault="00B07D03">
            <w:pPr>
              <w:pStyle w:val="ListParagraph"/>
              <w:widowControl w:val="0"/>
              <w:numPr>
                <w:ilvl w:val="0"/>
                <w:numId w:val="83"/>
              </w:numPr>
              <w:overflowPunct w:val="0"/>
              <w:autoSpaceDE w:val="0"/>
              <w:autoSpaceDN w:val="0"/>
              <w:adjustRightInd w:val="0"/>
              <w:spacing w:before="60" w:after="60"/>
              <w:ind w:left="318" w:hanging="318"/>
              <w:textAlignment w:val="baseline"/>
              <w:rPr>
                <w:sz w:val="20"/>
                <w:lang w:val="en-US" w:eastAsia="en-US"/>
              </w:rPr>
            </w:pPr>
            <w:r>
              <w:rPr>
                <w:sz w:val="20"/>
                <w:lang w:eastAsia="en-US"/>
              </w:rPr>
              <w:t xml:space="preserve">Повече съвместни инициативи в областта на превенцията и управлението на риска </w:t>
            </w:r>
          </w:p>
          <w:p w:rsidR="00A85EB3" w:rsidRDefault="00B07D03">
            <w:pPr>
              <w:pStyle w:val="ListParagraph"/>
              <w:widowControl w:val="0"/>
              <w:numPr>
                <w:ilvl w:val="0"/>
                <w:numId w:val="83"/>
              </w:numPr>
              <w:overflowPunct w:val="0"/>
              <w:autoSpaceDE w:val="0"/>
              <w:autoSpaceDN w:val="0"/>
              <w:adjustRightInd w:val="0"/>
              <w:spacing w:before="60" w:after="60"/>
              <w:ind w:left="318" w:hanging="318"/>
              <w:textAlignment w:val="baseline"/>
              <w:rPr>
                <w:sz w:val="20"/>
                <w:lang w:val="en-US" w:eastAsia="en-US"/>
              </w:rPr>
            </w:pPr>
            <w:r>
              <w:rPr>
                <w:sz w:val="20"/>
                <w:lang w:eastAsia="en-US"/>
              </w:rPr>
              <w:t>По-добро изграждане на капацитет за устойчиво използване на общи природни ресурси</w:t>
            </w:r>
          </w:p>
          <w:p w:rsidR="00A85EB3" w:rsidRDefault="00A85EB3">
            <w:pPr>
              <w:pStyle w:val="ListParagraph"/>
              <w:widowControl w:val="0"/>
              <w:overflowPunct w:val="0"/>
              <w:autoSpaceDE w:val="0"/>
              <w:autoSpaceDN w:val="0"/>
              <w:adjustRightInd w:val="0"/>
              <w:spacing w:before="60" w:after="60"/>
              <w:ind w:left="318"/>
              <w:textAlignment w:val="baseline"/>
              <w:rPr>
                <w:i/>
                <w:color w:val="8DB3E2"/>
                <w:sz w:val="6"/>
                <w:szCs w:val="6"/>
                <w:lang w:val="en-US"/>
              </w:rPr>
            </w:pPr>
          </w:p>
        </w:tc>
      </w:tr>
      <w:tr w:rsidR="00B30930" w:rsidRPr="00981F6F" w:rsidTr="003A48D1">
        <w:trPr>
          <w:trHeight w:val="572"/>
          <w:jc w:val="center"/>
        </w:trPr>
        <w:tc>
          <w:tcPr>
            <w:tcW w:w="2627" w:type="dxa"/>
            <w:tcBorders>
              <w:top w:val="single" w:sz="4" w:space="0" w:color="auto"/>
              <w:left w:val="single" w:sz="4" w:space="0" w:color="auto"/>
              <w:bottom w:val="single" w:sz="4" w:space="0" w:color="auto"/>
              <w:right w:val="single" w:sz="4" w:space="0" w:color="auto"/>
            </w:tcBorders>
            <w:hideMark/>
          </w:tcPr>
          <w:p w:rsidR="00A85EB3" w:rsidRDefault="00A85EB3">
            <w:pPr>
              <w:spacing w:after="240"/>
              <w:jc w:val="left"/>
              <w:rPr>
                <w:rFonts w:eastAsia="Times New Roman"/>
                <w:sz w:val="20"/>
                <w:lang w:val="en-US"/>
              </w:rPr>
            </w:pPr>
          </w:p>
          <w:p w:rsidR="00A85EB3" w:rsidRDefault="00B07D03">
            <w:pPr>
              <w:spacing w:after="240"/>
              <w:jc w:val="left"/>
              <w:rPr>
                <w:rFonts w:eastAsia="Times New Roman"/>
                <w:sz w:val="20"/>
                <w:lang w:val="en-US"/>
              </w:rPr>
            </w:pPr>
            <w:r>
              <w:rPr>
                <w:rFonts w:eastAsia="Times New Roman"/>
                <w:sz w:val="20"/>
              </w:rPr>
              <w:t>ПО 2 „Устойчив туризъм“</w:t>
            </w:r>
          </w:p>
        </w:tc>
        <w:tc>
          <w:tcPr>
            <w:tcW w:w="1560" w:type="dxa"/>
            <w:tcBorders>
              <w:top w:val="single" w:sz="4" w:space="0" w:color="auto"/>
              <w:left w:val="single" w:sz="4" w:space="0" w:color="auto"/>
              <w:bottom w:val="single" w:sz="4" w:space="0" w:color="auto"/>
              <w:right w:val="single" w:sz="4" w:space="0" w:color="auto"/>
            </w:tcBorders>
          </w:tcPr>
          <w:p w:rsidR="00A85EB3" w:rsidRDefault="00A85EB3">
            <w:pPr>
              <w:spacing w:after="240"/>
              <w:jc w:val="center"/>
              <w:rPr>
                <w:sz w:val="20"/>
                <w:lang w:val="en-US"/>
              </w:rPr>
            </w:pPr>
          </w:p>
          <w:p w:rsidR="00A85EB3" w:rsidRDefault="00B07D03">
            <w:pPr>
              <w:spacing w:after="240"/>
              <w:jc w:val="center"/>
              <w:rPr>
                <w:rFonts w:eastAsia="Times New Roman"/>
                <w:i/>
                <w:sz w:val="20"/>
                <w:lang w:val="en-US"/>
              </w:rPr>
            </w:pPr>
            <w:r>
              <w:rPr>
                <w:sz w:val="20"/>
              </w:rPr>
              <w:t>11.338.407,00</w:t>
            </w:r>
          </w:p>
        </w:tc>
        <w:tc>
          <w:tcPr>
            <w:tcW w:w="2126" w:type="dxa"/>
            <w:tcBorders>
              <w:left w:val="single" w:sz="4" w:space="0" w:color="auto"/>
              <w:right w:val="single" w:sz="4" w:space="0" w:color="auto"/>
            </w:tcBorders>
          </w:tcPr>
          <w:p w:rsidR="00A85EB3" w:rsidRDefault="00A85EB3">
            <w:pPr>
              <w:spacing w:after="240"/>
              <w:jc w:val="center"/>
              <w:rPr>
                <w:sz w:val="20"/>
                <w:lang w:val="en-US"/>
              </w:rPr>
            </w:pPr>
          </w:p>
          <w:p w:rsidR="00A85EB3" w:rsidRDefault="00B07D03">
            <w:pPr>
              <w:spacing w:after="240"/>
              <w:jc w:val="center"/>
              <w:rPr>
                <w:rFonts w:eastAsia="Times New Roman"/>
                <w:sz w:val="20"/>
                <w:lang w:val="en-US"/>
              </w:rPr>
            </w:pPr>
            <w:r>
              <w:rPr>
                <w:sz w:val="20"/>
              </w:rPr>
              <w:t>45%</w:t>
            </w:r>
          </w:p>
        </w:tc>
        <w:tc>
          <w:tcPr>
            <w:tcW w:w="2835" w:type="dxa"/>
            <w:tcBorders>
              <w:left w:val="single" w:sz="4" w:space="0" w:color="auto"/>
              <w:right w:val="single" w:sz="4" w:space="0" w:color="auto"/>
            </w:tcBorders>
          </w:tcPr>
          <w:p w:rsidR="00A85EB3" w:rsidRDefault="00B07D03">
            <w:pPr>
              <w:pStyle w:val="ListParagraph"/>
              <w:autoSpaceDE w:val="0"/>
              <w:autoSpaceDN w:val="0"/>
              <w:adjustRightInd w:val="0"/>
              <w:spacing w:before="120" w:after="120" w:line="269" w:lineRule="auto"/>
              <w:ind w:left="0"/>
              <w:jc w:val="left"/>
              <w:rPr>
                <w:b/>
                <w:sz w:val="20"/>
                <w:lang w:val="en-US"/>
              </w:rPr>
            </w:pPr>
            <w:r>
              <w:rPr>
                <w:sz w:val="20"/>
              </w:rPr>
              <w:t>(d):  Насърчаване на туризма и културното и природното наследство</w:t>
            </w:r>
          </w:p>
          <w:p w:rsidR="00A85EB3" w:rsidRDefault="00A85EB3">
            <w:pPr>
              <w:spacing w:after="240"/>
              <w:jc w:val="center"/>
              <w:rPr>
                <w:rFonts w:eastAsia="Times New Roman"/>
                <w:sz w:val="20"/>
                <w:lang w:val="en-US"/>
              </w:rPr>
            </w:pPr>
          </w:p>
          <w:p w:rsidR="00A85EB3" w:rsidRDefault="00A85EB3">
            <w:pPr>
              <w:spacing w:after="240"/>
              <w:jc w:val="center"/>
              <w:rPr>
                <w:rFonts w:eastAsia="Times New Roman"/>
                <w:sz w:val="20"/>
                <w:lang w:val="en-US"/>
              </w:rPr>
            </w:pPr>
          </w:p>
        </w:tc>
        <w:tc>
          <w:tcPr>
            <w:tcW w:w="5231" w:type="dxa"/>
            <w:tcBorders>
              <w:left w:val="single" w:sz="4" w:space="0" w:color="auto"/>
              <w:right w:val="single" w:sz="4" w:space="0" w:color="auto"/>
            </w:tcBorders>
          </w:tcPr>
          <w:p w:rsidR="00A85EB3" w:rsidRDefault="00B07D03">
            <w:pPr>
              <w:pStyle w:val="Tekstkader"/>
              <w:widowControl w:val="0"/>
              <w:numPr>
                <w:ilvl w:val="0"/>
                <w:numId w:val="65"/>
              </w:numPr>
              <w:pBdr>
                <w:left w:val="none" w:sz="0" w:space="0" w:color="auto"/>
              </w:pBdr>
              <w:suppressAutoHyphens w:val="0"/>
              <w:overflowPunct/>
              <w:autoSpaceDE/>
              <w:autoSpaceDN/>
              <w:adjustRightInd/>
              <w:spacing w:before="120" w:after="120" w:line="276" w:lineRule="auto"/>
              <w:ind w:left="318" w:hanging="284"/>
              <w:textAlignment w:val="auto"/>
              <w:rPr>
                <w:rFonts w:ascii="Times New Roman" w:hAnsi="Times New Roman"/>
                <w:color w:val="auto"/>
                <w:sz w:val="20"/>
                <w:lang w:val="en-US" w:eastAsia="en-US"/>
              </w:rPr>
            </w:pPr>
            <w:r>
              <w:rPr>
                <w:rFonts w:ascii="Times New Roman" w:hAnsi="Times New Roman"/>
                <w:color w:val="auto"/>
                <w:sz w:val="20"/>
                <w:lang w:eastAsia="en-US"/>
              </w:rPr>
              <w:t>Повишаване на броя на нощувките в трансграничния район</w:t>
            </w:r>
          </w:p>
          <w:p w:rsidR="00A85EB3" w:rsidRDefault="00B07D03">
            <w:pPr>
              <w:pStyle w:val="ListParagraph"/>
              <w:numPr>
                <w:ilvl w:val="0"/>
                <w:numId w:val="65"/>
              </w:numPr>
              <w:spacing w:before="120" w:after="120" w:line="276" w:lineRule="auto"/>
              <w:ind w:left="318" w:hanging="284"/>
              <w:rPr>
                <w:sz w:val="20"/>
                <w:lang w:val="en-US"/>
              </w:rPr>
            </w:pPr>
            <w:r>
              <w:rPr>
                <w:sz w:val="20"/>
              </w:rPr>
              <w:t>Повече съвместни инициативи за повишаване стойността на природното, културното и историческото наследство</w:t>
            </w:r>
          </w:p>
          <w:p w:rsidR="00A85EB3" w:rsidRDefault="00B07D03">
            <w:pPr>
              <w:pStyle w:val="ListParagraph"/>
              <w:numPr>
                <w:ilvl w:val="0"/>
                <w:numId w:val="65"/>
              </w:numPr>
              <w:spacing w:before="120" w:after="120" w:line="276" w:lineRule="auto"/>
              <w:ind w:left="318" w:hanging="284"/>
              <w:rPr>
                <w:sz w:val="20"/>
                <w:lang w:val="en-US"/>
              </w:rPr>
            </w:pPr>
            <w:r>
              <w:rPr>
                <w:sz w:val="20"/>
              </w:rPr>
              <w:t>По-голям брой трансгранични мрежи в областта на устойчивия туризъм</w:t>
            </w:r>
          </w:p>
        </w:tc>
      </w:tr>
      <w:tr w:rsidR="00D4452C" w:rsidRPr="00981F6F" w:rsidTr="003A48D1">
        <w:trPr>
          <w:trHeight w:val="572"/>
          <w:jc w:val="center"/>
        </w:trPr>
        <w:tc>
          <w:tcPr>
            <w:tcW w:w="2627" w:type="dxa"/>
            <w:tcBorders>
              <w:top w:val="single" w:sz="4" w:space="0" w:color="auto"/>
              <w:left w:val="single" w:sz="4" w:space="0" w:color="auto"/>
              <w:bottom w:val="single" w:sz="4" w:space="0" w:color="auto"/>
              <w:right w:val="single" w:sz="4" w:space="0" w:color="auto"/>
            </w:tcBorders>
          </w:tcPr>
          <w:p w:rsidR="00A85EB3" w:rsidRDefault="00B07D03">
            <w:pPr>
              <w:spacing w:after="240"/>
              <w:jc w:val="left"/>
              <w:rPr>
                <w:rFonts w:eastAsia="Times New Roman"/>
                <w:sz w:val="20"/>
                <w:lang w:val="en-US"/>
              </w:rPr>
            </w:pPr>
            <w:r>
              <w:rPr>
                <w:rFonts w:eastAsia="Times New Roman"/>
                <w:sz w:val="20"/>
              </w:rPr>
              <w:t>ПО 3 „Техническа помощ“</w:t>
            </w:r>
          </w:p>
        </w:tc>
        <w:tc>
          <w:tcPr>
            <w:tcW w:w="1560" w:type="dxa"/>
            <w:tcBorders>
              <w:top w:val="single" w:sz="4" w:space="0" w:color="auto"/>
              <w:left w:val="single" w:sz="4" w:space="0" w:color="auto"/>
              <w:bottom w:val="single" w:sz="4" w:space="0" w:color="auto"/>
              <w:right w:val="single" w:sz="4" w:space="0" w:color="auto"/>
            </w:tcBorders>
          </w:tcPr>
          <w:p w:rsidR="00A85EB3" w:rsidRDefault="00B07D03">
            <w:pPr>
              <w:spacing w:after="240"/>
              <w:jc w:val="center"/>
              <w:rPr>
                <w:sz w:val="20"/>
                <w:lang w:val="en-US"/>
              </w:rPr>
            </w:pPr>
            <w:r>
              <w:rPr>
                <w:rFonts w:eastAsia="Times New Roman"/>
                <w:sz w:val="20"/>
                <w:lang w:eastAsia="ar-SA"/>
              </w:rPr>
              <w:t>2.519.646,00</w:t>
            </w:r>
          </w:p>
        </w:tc>
        <w:tc>
          <w:tcPr>
            <w:tcW w:w="2126" w:type="dxa"/>
            <w:tcBorders>
              <w:left w:val="single" w:sz="4" w:space="0" w:color="auto"/>
              <w:right w:val="single" w:sz="4" w:space="0" w:color="auto"/>
            </w:tcBorders>
          </w:tcPr>
          <w:p w:rsidR="00A85EB3" w:rsidRDefault="00B07D03">
            <w:pPr>
              <w:spacing w:after="240"/>
              <w:jc w:val="center"/>
              <w:rPr>
                <w:sz w:val="20"/>
                <w:lang w:val="en-US"/>
              </w:rPr>
            </w:pPr>
            <w:r>
              <w:rPr>
                <w:sz w:val="20"/>
              </w:rPr>
              <w:t>10%</w:t>
            </w:r>
          </w:p>
        </w:tc>
        <w:tc>
          <w:tcPr>
            <w:tcW w:w="2835" w:type="dxa"/>
            <w:tcBorders>
              <w:left w:val="single" w:sz="4" w:space="0" w:color="auto"/>
              <w:right w:val="single" w:sz="4" w:space="0" w:color="auto"/>
            </w:tcBorders>
          </w:tcPr>
          <w:p w:rsidR="00A85EB3" w:rsidRDefault="00B07D03">
            <w:pPr>
              <w:spacing w:after="240"/>
              <w:jc w:val="center"/>
              <w:rPr>
                <w:rFonts w:eastAsia="Times New Roman"/>
                <w:sz w:val="20"/>
                <w:lang w:val="en-US"/>
              </w:rPr>
            </w:pPr>
            <w:r>
              <w:rPr>
                <w:rFonts w:eastAsia="Times New Roman"/>
                <w:sz w:val="20"/>
              </w:rPr>
              <w:t>Техническа помощ</w:t>
            </w:r>
          </w:p>
        </w:tc>
        <w:tc>
          <w:tcPr>
            <w:tcW w:w="5231" w:type="dxa"/>
            <w:tcBorders>
              <w:left w:val="single" w:sz="4" w:space="0" w:color="auto"/>
              <w:right w:val="single" w:sz="4" w:space="0" w:color="auto"/>
            </w:tcBorders>
          </w:tcPr>
          <w:p w:rsidR="00A85EB3" w:rsidRDefault="00B07D03">
            <w:pPr>
              <w:spacing w:after="240"/>
              <w:jc w:val="center"/>
              <w:rPr>
                <w:rFonts w:eastAsia="Times New Roman"/>
                <w:sz w:val="20"/>
                <w:lang w:val="en-US"/>
              </w:rPr>
            </w:pPr>
            <w:r>
              <w:rPr>
                <w:rFonts w:eastAsia="Times New Roman"/>
                <w:sz w:val="20"/>
              </w:rPr>
              <w:t>н/п</w:t>
            </w:r>
          </w:p>
        </w:tc>
      </w:tr>
      <w:tr w:rsidR="00E37011" w:rsidRPr="00981F6F" w:rsidTr="003A48D1">
        <w:trPr>
          <w:trHeight w:val="572"/>
          <w:jc w:val="center"/>
        </w:trPr>
        <w:tc>
          <w:tcPr>
            <w:tcW w:w="2627" w:type="dxa"/>
            <w:tcBorders>
              <w:top w:val="single" w:sz="4" w:space="0" w:color="auto"/>
              <w:left w:val="single" w:sz="4" w:space="0" w:color="auto"/>
              <w:bottom w:val="single" w:sz="4" w:space="0" w:color="auto"/>
              <w:right w:val="single" w:sz="4" w:space="0" w:color="auto"/>
            </w:tcBorders>
          </w:tcPr>
          <w:p w:rsidR="00A85EB3" w:rsidRDefault="00B07D03">
            <w:pPr>
              <w:spacing w:after="240"/>
              <w:jc w:val="left"/>
              <w:rPr>
                <w:rFonts w:eastAsia="Times New Roman"/>
                <w:b/>
                <w:sz w:val="20"/>
                <w:lang w:val="en-US"/>
              </w:rPr>
            </w:pPr>
            <w:r>
              <w:rPr>
                <w:rFonts w:eastAsia="Times New Roman"/>
                <w:b/>
                <w:sz w:val="20"/>
              </w:rPr>
              <w:t>Общо</w:t>
            </w:r>
          </w:p>
        </w:tc>
        <w:tc>
          <w:tcPr>
            <w:tcW w:w="1560" w:type="dxa"/>
            <w:tcBorders>
              <w:top w:val="single" w:sz="4" w:space="0" w:color="auto"/>
              <w:left w:val="single" w:sz="4" w:space="0" w:color="auto"/>
              <w:bottom w:val="single" w:sz="4" w:space="0" w:color="auto"/>
              <w:right w:val="single" w:sz="4" w:space="0" w:color="auto"/>
            </w:tcBorders>
          </w:tcPr>
          <w:p w:rsidR="00A85EB3" w:rsidRDefault="00B07D03">
            <w:pPr>
              <w:spacing w:after="240"/>
              <w:jc w:val="center"/>
              <w:rPr>
                <w:rFonts w:eastAsia="Times New Roman"/>
                <w:b/>
                <w:sz w:val="20"/>
                <w:lang w:val="en-US" w:eastAsia="ar-SA"/>
              </w:rPr>
            </w:pPr>
            <w:r>
              <w:rPr>
                <w:b/>
                <w:sz w:val="20"/>
              </w:rPr>
              <w:t>25.196.460,00</w:t>
            </w:r>
          </w:p>
        </w:tc>
        <w:tc>
          <w:tcPr>
            <w:tcW w:w="2126" w:type="dxa"/>
            <w:tcBorders>
              <w:left w:val="single" w:sz="4" w:space="0" w:color="auto"/>
              <w:right w:val="single" w:sz="4" w:space="0" w:color="auto"/>
            </w:tcBorders>
          </w:tcPr>
          <w:p w:rsidR="00A85EB3" w:rsidRDefault="00A85EB3">
            <w:pPr>
              <w:spacing w:after="240"/>
              <w:jc w:val="center"/>
              <w:rPr>
                <w:b/>
                <w:sz w:val="20"/>
                <w:lang w:val="en-US"/>
              </w:rPr>
            </w:pPr>
          </w:p>
        </w:tc>
        <w:tc>
          <w:tcPr>
            <w:tcW w:w="2835" w:type="dxa"/>
            <w:tcBorders>
              <w:left w:val="single" w:sz="4" w:space="0" w:color="auto"/>
              <w:right w:val="single" w:sz="4" w:space="0" w:color="auto"/>
            </w:tcBorders>
          </w:tcPr>
          <w:p w:rsidR="00A85EB3" w:rsidRDefault="00A85EB3">
            <w:pPr>
              <w:spacing w:after="240"/>
              <w:jc w:val="center"/>
              <w:rPr>
                <w:rFonts w:eastAsia="Times New Roman"/>
                <w:b/>
                <w:sz w:val="20"/>
                <w:lang w:val="en-US"/>
              </w:rPr>
            </w:pPr>
          </w:p>
        </w:tc>
        <w:tc>
          <w:tcPr>
            <w:tcW w:w="5231" w:type="dxa"/>
            <w:tcBorders>
              <w:left w:val="single" w:sz="4" w:space="0" w:color="auto"/>
              <w:right w:val="single" w:sz="4" w:space="0" w:color="auto"/>
            </w:tcBorders>
          </w:tcPr>
          <w:p w:rsidR="00A85EB3" w:rsidRDefault="00A85EB3">
            <w:pPr>
              <w:spacing w:after="240"/>
              <w:jc w:val="center"/>
              <w:rPr>
                <w:rFonts w:eastAsia="Times New Roman"/>
                <w:b/>
                <w:sz w:val="20"/>
                <w:lang w:val="en-US"/>
              </w:rPr>
            </w:pPr>
          </w:p>
        </w:tc>
      </w:tr>
      <w:tr w:rsidR="0072421E" w:rsidRPr="00981F6F" w:rsidTr="00CE50B0">
        <w:trPr>
          <w:trHeight w:val="572"/>
          <w:jc w:val="center"/>
        </w:trPr>
        <w:tc>
          <w:tcPr>
            <w:tcW w:w="14379" w:type="dxa"/>
            <w:gridSpan w:val="5"/>
            <w:tcBorders>
              <w:top w:val="single" w:sz="4" w:space="0" w:color="auto"/>
              <w:left w:val="single" w:sz="4" w:space="0" w:color="auto"/>
              <w:bottom w:val="single" w:sz="4" w:space="0" w:color="auto"/>
              <w:right w:val="single" w:sz="4" w:space="0" w:color="auto"/>
            </w:tcBorders>
          </w:tcPr>
          <w:p w:rsidR="00A85EB3" w:rsidRDefault="00B07D03">
            <w:pPr>
              <w:spacing w:before="0" w:after="0"/>
              <w:jc w:val="left"/>
              <w:rPr>
                <w:rFonts w:eastAsia="Times New Roman"/>
                <w:sz w:val="20"/>
                <w:lang w:val="en-US" w:eastAsia="bg-BG"/>
              </w:rPr>
            </w:pPr>
            <w:r>
              <w:rPr>
                <w:rFonts w:eastAsia="Times New Roman"/>
                <w:b/>
                <w:bCs/>
                <w:i/>
                <w:iCs/>
                <w:sz w:val="20"/>
                <w:lang w:eastAsia="bg-BG"/>
              </w:rPr>
              <w:t>Забележка:</w:t>
            </w:r>
            <w:r>
              <w:rPr>
                <w:rFonts w:eastAsia="Times New Roman"/>
                <w:i/>
                <w:iCs/>
                <w:sz w:val="20"/>
                <w:lang w:eastAsia="bg-BG"/>
              </w:rPr>
              <w:t xml:space="preserve"> Методи за определяне на базовите и целевите стойности на показателите за резултат:</w:t>
            </w:r>
          </w:p>
          <w:p w:rsidR="00A85EB3" w:rsidRDefault="00B07D03">
            <w:pPr>
              <w:spacing w:before="0" w:after="0"/>
              <w:jc w:val="left"/>
              <w:rPr>
                <w:rFonts w:eastAsia="Times New Roman"/>
                <w:sz w:val="20"/>
                <w:lang w:val="en-US" w:eastAsia="bg-BG"/>
              </w:rPr>
            </w:pPr>
            <w:r>
              <w:rPr>
                <w:rFonts w:eastAsia="Times New Roman"/>
                <w:i/>
                <w:iCs/>
                <w:sz w:val="20"/>
                <w:lang w:eastAsia="bg-BG"/>
              </w:rPr>
              <w:t xml:space="preserve"> Количествени показатели за резултатите:</w:t>
            </w:r>
          </w:p>
          <w:p w:rsidR="00A85EB3" w:rsidRDefault="00B07D03">
            <w:pPr>
              <w:pStyle w:val="ListParagraph"/>
              <w:numPr>
                <w:ilvl w:val="0"/>
                <w:numId w:val="81"/>
              </w:numPr>
              <w:spacing w:after="0"/>
              <w:ind w:left="677" w:hanging="284"/>
              <w:jc w:val="left"/>
              <w:rPr>
                <w:sz w:val="20"/>
                <w:lang w:val="en-US" w:eastAsia="bg-BG"/>
              </w:rPr>
            </w:pPr>
            <w:r>
              <w:rPr>
                <w:i/>
                <w:iCs/>
                <w:sz w:val="20"/>
                <w:lang w:eastAsia="bg-BG"/>
              </w:rPr>
              <w:t xml:space="preserve">Базовите стойности за количествените показатели за резултатите, свързани със съвместни/общи/мрежови инициативи/интервенции (специфични единствено за програмите за териториално сътрудничество), са определени въз основа на информация (анкети) от предишни трансгранични програми в региона (ТГС по ИПП 2007–2013 и ФАР). </w:t>
            </w:r>
          </w:p>
          <w:p w:rsidR="00A85EB3" w:rsidRDefault="00B07D03">
            <w:pPr>
              <w:pStyle w:val="ListParagraph"/>
              <w:numPr>
                <w:ilvl w:val="0"/>
                <w:numId w:val="81"/>
              </w:numPr>
              <w:spacing w:after="0"/>
              <w:ind w:left="677" w:hanging="284"/>
              <w:jc w:val="left"/>
              <w:rPr>
                <w:sz w:val="20"/>
                <w:lang w:val="en-US" w:eastAsia="bg-BG"/>
              </w:rPr>
            </w:pPr>
            <w:r>
              <w:rPr>
                <w:i/>
                <w:iCs/>
                <w:sz w:val="20"/>
                <w:lang w:eastAsia="bg-BG"/>
              </w:rPr>
              <w:t>Базовите стойности за количествените показатели за резултатите, свързани с общи постижения (повлияни от различни европейски и национални финансови инструменти/програми), са определени въз основа на подходящи регионални статистически данни.</w:t>
            </w:r>
          </w:p>
          <w:p w:rsidR="00A85EB3" w:rsidRDefault="00B07D03">
            <w:pPr>
              <w:pStyle w:val="ListParagraph"/>
              <w:numPr>
                <w:ilvl w:val="0"/>
                <w:numId w:val="81"/>
              </w:numPr>
              <w:spacing w:after="0"/>
              <w:ind w:left="677" w:hanging="284"/>
              <w:jc w:val="left"/>
              <w:rPr>
                <w:sz w:val="20"/>
                <w:lang w:val="en-US" w:eastAsia="bg-BG"/>
              </w:rPr>
            </w:pPr>
            <w:r>
              <w:rPr>
                <w:i/>
                <w:iCs/>
                <w:sz w:val="20"/>
                <w:lang w:eastAsia="bg-BG"/>
              </w:rPr>
              <w:t xml:space="preserve">Целевите стойности за горепосочените показатели са идентифицирани въз основа на оценка на наличния бюджет за всяка </w:t>
            </w:r>
            <w:r w:rsidR="005D7909">
              <w:rPr>
                <w:i/>
                <w:iCs/>
                <w:sz w:val="20"/>
                <w:lang w:eastAsia="bg-BG"/>
              </w:rPr>
              <w:t>специфична</w:t>
            </w:r>
            <w:r>
              <w:rPr>
                <w:i/>
                <w:iCs/>
                <w:sz w:val="20"/>
                <w:lang w:eastAsia="bg-BG"/>
              </w:rPr>
              <w:t xml:space="preserve"> цел и постигнатите резултати ще измерват само въздействието на Програмата върху трансграничния регион.</w:t>
            </w:r>
          </w:p>
          <w:p w:rsidR="00A85EB3" w:rsidRDefault="00B07D03">
            <w:pPr>
              <w:spacing w:before="0" w:after="0"/>
              <w:jc w:val="left"/>
              <w:rPr>
                <w:rFonts w:eastAsia="Times New Roman"/>
                <w:b/>
                <w:sz w:val="20"/>
                <w:lang w:val="en-US"/>
              </w:rPr>
            </w:pPr>
            <w:r>
              <w:rPr>
                <w:rFonts w:eastAsia="Times New Roman"/>
                <w:i/>
                <w:iCs/>
                <w:sz w:val="20"/>
                <w:lang w:eastAsia="bg-BG"/>
              </w:rPr>
              <w:t xml:space="preserve">Качествени показатели за резултатите: </w:t>
            </w:r>
            <w:r>
              <w:rPr>
                <w:i/>
                <w:iCs/>
                <w:sz w:val="20"/>
                <w:lang w:eastAsia="bg-BG"/>
              </w:rPr>
              <w:t>Базовите и целевите стойности ще бъдат определени чрез анкети, основани на съответна Методология.</w:t>
            </w:r>
          </w:p>
        </w:tc>
      </w:tr>
    </w:tbl>
    <w:p w:rsidR="00A85EB3" w:rsidRDefault="00A85EB3">
      <w:pPr>
        <w:spacing w:after="240"/>
        <w:rPr>
          <w:rFonts w:eastAsia="Times New Roman"/>
          <w:lang w:val="en-US"/>
        </w:rPr>
        <w:sectPr w:rsidR="00A85EB3" w:rsidSect="002F71D4">
          <w:headerReference w:type="default" r:id="rId23"/>
          <w:footerReference w:type="default" r:id="rId24"/>
          <w:headerReference w:type="first" r:id="rId25"/>
          <w:footerReference w:type="first" r:id="rId26"/>
          <w:pgSz w:w="16838" w:h="11906" w:orient="landscape"/>
          <w:pgMar w:top="1135" w:right="1021" w:bottom="1134" w:left="1021" w:header="601" w:footer="499" w:gutter="0"/>
          <w:cols w:space="720"/>
          <w:docGrid w:linePitch="326"/>
        </w:sectPr>
      </w:pPr>
    </w:p>
    <w:p w:rsidR="00A85EB3" w:rsidRDefault="00B07D03">
      <w:pPr>
        <w:pStyle w:val="Heading1"/>
        <w:numPr>
          <w:ilvl w:val="0"/>
          <w:numId w:val="0"/>
        </w:numPr>
        <w:ind w:left="850" w:hanging="850"/>
        <w:rPr>
          <w:lang w:val="en-US"/>
        </w:rPr>
      </w:pPr>
      <w:bookmarkStart w:id="42" w:name="_Toc408234890"/>
      <w:r>
        <w:lastRenderedPageBreak/>
        <w:t>РАЗДЕЛ 2.</w:t>
      </w:r>
      <w:r>
        <w:tab/>
        <w:t>Приоритетни оси</w:t>
      </w:r>
      <w:bookmarkEnd w:id="42"/>
      <w:r>
        <w:t xml:space="preserve"> </w:t>
      </w:r>
    </w:p>
    <w:p w:rsidR="00A85EB3" w:rsidRDefault="00B07D03" w:rsidP="00A4083F">
      <w:pPr>
        <w:rPr>
          <w:rFonts w:eastAsia="Times New Roman"/>
          <w:b/>
          <w:bCs/>
          <w:smallCaps/>
          <w:szCs w:val="24"/>
          <w:lang w:val="en-US"/>
        </w:rPr>
      </w:pPr>
      <w:bookmarkStart w:id="43" w:name="_Toc396914279"/>
      <w:r>
        <w:t>(Източник: букви (b) и (c) на чл. 8(2) от Регламент (ЕС) № 1299/2013)</w:t>
      </w:r>
      <w:bookmarkEnd w:id="43"/>
    </w:p>
    <w:p w:rsidR="00A85EB3" w:rsidRDefault="00B07D03">
      <w:pPr>
        <w:rPr>
          <w:rFonts w:eastAsia="Times New Roman"/>
          <w:b/>
          <w:lang w:val="en-US"/>
        </w:rPr>
      </w:pPr>
      <w:bookmarkStart w:id="44" w:name="_Toc408234891"/>
      <w:r>
        <w:rPr>
          <w:rStyle w:val="Heading2Char"/>
          <w:rFonts w:eastAsia="Calibri"/>
        </w:rPr>
        <w:t xml:space="preserve">Раздел 2.1. </w:t>
      </w:r>
      <w:r>
        <w:rPr>
          <w:rStyle w:val="Heading2Char"/>
          <w:rFonts w:eastAsia="Calibri"/>
        </w:rPr>
        <w:tab/>
        <w:t>Описание на приоритетните оси</w:t>
      </w:r>
      <w:bookmarkEnd w:id="44"/>
      <w:r>
        <w:rPr>
          <w:rStyle w:val="Heading2Char"/>
          <w:rFonts w:eastAsia="Calibri"/>
        </w:rPr>
        <w:t xml:space="preserve"> </w:t>
      </w:r>
      <w:r>
        <w:rPr>
          <w:rFonts w:eastAsia="Times New Roman"/>
          <w:b/>
        </w:rPr>
        <w:t xml:space="preserve">(различни от техническа помощ) </w:t>
      </w:r>
    </w:p>
    <w:p w:rsidR="00A85EB3" w:rsidRDefault="00B07D03">
      <w:pPr>
        <w:rPr>
          <w:b/>
          <w:lang w:val="en-US"/>
        </w:rPr>
      </w:pPr>
      <w:r>
        <w:rPr>
          <w:b/>
        </w:rPr>
        <w:t>Точки 1 до 8 в раздел 2.1 трябва да се повторят за всяка приоритетна ос</w:t>
      </w:r>
    </w:p>
    <w:p w:rsidR="00A85EB3" w:rsidRDefault="00B07D03">
      <w:pPr>
        <w:spacing w:line="360" w:lineRule="auto"/>
        <w:rPr>
          <w:b/>
          <w:lang w:val="en-US"/>
        </w:rPr>
      </w:pPr>
      <w:r>
        <w:rPr>
          <w:b/>
        </w:rPr>
        <w:t>както следва: ПО 1 (2.1.1–2.1.8), както е описано по-долу, и след това се продължава с ПО 2 (</w:t>
      </w:r>
      <w:proofErr w:type="spellStart"/>
      <w:r>
        <w:rPr>
          <w:b/>
        </w:rPr>
        <w:t>2</w:t>
      </w:r>
      <w:proofErr w:type="spellEnd"/>
      <w:r>
        <w:rPr>
          <w:b/>
        </w:rPr>
        <w:t>.2.1–2.2.8), ПО 3 (2.3.1–2.3.8) и т.н.</w:t>
      </w:r>
    </w:p>
    <w:p w:rsidR="00A85EB3" w:rsidRDefault="00B07D03">
      <w:pPr>
        <w:rPr>
          <w:lang w:val="en-US"/>
        </w:rPr>
      </w:pPr>
      <w:r>
        <w:t>(Източник: буква(b) на чл. 8(2) от Регламент (ЕС) № 1299/2013)</w:t>
      </w:r>
    </w:p>
    <w:p w:rsidR="00A85EB3" w:rsidRDefault="00A85EB3">
      <w:pPr>
        <w:rPr>
          <w:b/>
          <w:lang w:val="en-US"/>
        </w:rPr>
      </w:pPr>
    </w:p>
    <w:p w:rsidR="00A85EB3" w:rsidRDefault="00B07D03">
      <w:pPr>
        <w:pStyle w:val="Heading3"/>
        <w:numPr>
          <w:ilvl w:val="0"/>
          <w:numId w:val="0"/>
        </w:numPr>
        <w:ind w:left="850" w:hanging="850"/>
        <w:rPr>
          <w:b/>
          <w:i w:val="0"/>
          <w:lang w:val="en-US"/>
        </w:rPr>
      </w:pPr>
      <w:bookmarkStart w:id="45" w:name="_Toc408234892"/>
      <w:r>
        <w:rPr>
          <w:b/>
          <w:i w:val="0"/>
        </w:rPr>
        <w:t>2.1.1 Приоритетна ос 1</w:t>
      </w:r>
      <w:bookmarkEnd w:id="45"/>
      <w:r>
        <w:rPr>
          <w:b/>
          <w:i w:val="0"/>
        </w:rPr>
        <w:t xml:space="preserve">  </w:t>
      </w:r>
    </w:p>
    <w:tbl>
      <w:tblPr>
        <w:tblpPr w:leftFromText="180" w:rightFromText="180" w:vertAnchor="text" w:horzAnchor="margin" w:tblpY="223"/>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394"/>
      </w:tblGrid>
      <w:tr w:rsidR="00AD55AC" w:rsidRPr="00981F6F" w:rsidTr="00F01F19">
        <w:trPr>
          <w:trHeight w:val="491"/>
        </w:trPr>
        <w:tc>
          <w:tcPr>
            <w:tcW w:w="4928" w:type="dxa"/>
            <w:shd w:val="clear" w:color="auto" w:fill="auto"/>
          </w:tcPr>
          <w:p w:rsidR="00A85EB3" w:rsidRDefault="00B07D03">
            <w:pPr>
              <w:spacing w:after="240"/>
              <w:rPr>
                <w:rFonts w:eastAsia="Times New Roman"/>
                <w:i/>
                <w:lang w:val="en-US"/>
              </w:rPr>
            </w:pPr>
            <w:r>
              <w:rPr>
                <w:rFonts w:eastAsia="Times New Roman"/>
                <w:i/>
              </w:rPr>
              <w:t>№ на приоритетната ос</w:t>
            </w:r>
          </w:p>
        </w:tc>
        <w:tc>
          <w:tcPr>
            <w:tcW w:w="4394" w:type="dxa"/>
            <w:shd w:val="clear" w:color="auto" w:fill="auto"/>
          </w:tcPr>
          <w:p w:rsidR="00A85EB3" w:rsidRDefault="00B07D03">
            <w:pPr>
              <w:spacing w:after="240"/>
              <w:rPr>
                <w:rFonts w:eastAsia="Times New Roman"/>
                <w:b/>
                <w:szCs w:val="24"/>
                <w:lang w:val="en-US"/>
              </w:rPr>
            </w:pPr>
            <w:r>
              <w:rPr>
                <w:rFonts w:eastAsia="Times New Roman"/>
                <w:b/>
                <w:szCs w:val="24"/>
              </w:rPr>
              <w:t>1</w:t>
            </w:r>
          </w:p>
        </w:tc>
      </w:tr>
      <w:tr w:rsidR="00AD55AC" w:rsidRPr="00981F6F" w:rsidTr="00F01F19">
        <w:trPr>
          <w:trHeight w:val="422"/>
        </w:trPr>
        <w:tc>
          <w:tcPr>
            <w:tcW w:w="4928" w:type="dxa"/>
            <w:shd w:val="clear" w:color="auto" w:fill="auto"/>
          </w:tcPr>
          <w:p w:rsidR="00A85EB3" w:rsidRDefault="00B07D03">
            <w:pPr>
              <w:spacing w:after="240"/>
              <w:rPr>
                <w:rFonts w:eastAsia="Times New Roman"/>
                <w:i/>
                <w:lang w:val="en-US"/>
              </w:rPr>
            </w:pPr>
            <w:r>
              <w:rPr>
                <w:rFonts w:eastAsia="Times New Roman"/>
                <w:i/>
              </w:rPr>
              <w:t xml:space="preserve">Название на приоритетната ос </w:t>
            </w:r>
          </w:p>
        </w:tc>
        <w:tc>
          <w:tcPr>
            <w:tcW w:w="4394" w:type="dxa"/>
            <w:shd w:val="clear" w:color="auto" w:fill="auto"/>
          </w:tcPr>
          <w:p w:rsidR="00A85EB3" w:rsidRDefault="00B07D03">
            <w:pPr>
              <w:spacing w:after="240"/>
              <w:rPr>
                <w:rFonts w:eastAsia="Times New Roman"/>
                <w:b/>
                <w:szCs w:val="24"/>
                <w:lang w:val="en-US"/>
              </w:rPr>
            </w:pPr>
            <w:r>
              <w:rPr>
                <w:rFonts w:eastAsia="Times New Roman"/>
                <w:b/>
                <w:szCs w:val="24"/>
              </w:rPr>
              <w:t>Околна среда</w:t>
            </w:r>
          </w:p>
        </w:tc>
      </w:tr>
    </w:tbl>
    <w:p w:rsidR="00A85EB3" w:rsidRDefault="00A85EB3">
      <w:pPr>
        <w:keepNext/>
        <w:spacing w:before="360" w:after="240"/>
        <w:outlineLvl w:val="0"/>
        <w:rPr>
          <w:b/>
          <w:sz w:val="6"/>
          <w:lang w:val="en-US"/>
        </w:rPr>
      </w:pPr>
    </w:p>
    <w:tbl>
      <w:tblPr>
        <w:tblpPr w:leftFromText="180" w:rightFromText="180" w:vertAnchor="text" w:horzAnchor="margin" w:tblpY="5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4300"/>
      </w:tblGrid>
      <w:tr w:rsidR="00DB2F51" w:rsidRPr="00981F6F" w:rsidTr="00DB2F51">
        <w:tc>
          <w:tcPr>
            <w:tcW w:w="4986" w:type="dxa"/>
            <w:shd w:val="clear" w:color="auto" w:fill="auto"/>
          </w:tcPr>
          <w:p w:rsidR="00A85EB3" w:rsidRDefault="00B07D03">
            <w:pPr>
              <w:spacing w:after="240"/>
              <w:ind w:left="480" w:hanging="480"/>
              <w:rPr>
                <w:rFonts w:eastAsia="Times New Roman"/>
                <w:lang w:val="en-US"/>
              </w:rPr>
            </w:pPr>
            <w:r>
              <w:rPr>
                <w:rFonts w:eastAsia="Times New Roman"/>
              </w:rPr>
              <w:fldChar w:fldCharType="begin">
                <w:ffData>
                  <w:name w:val="Check1"/>
                  <w:enabled/>
                  <w:calcOnExit w:val="0"/>
                  <w:checkBox>
                    <w:sizeAuto/>
                    <w:default w:val="0"/>
                  </w:checkBox>
                </w:ffData>
              </w:fldChar>
            </w:r>
            <w:r>
              <w:rPr>
                <w:rFonts w:eastAsia="Times New Roman"/>
              </w:rPr>
              <w:instrText xml:space="preserve"> FORMCHECKBOX </w:instrText>
            </w:r>
            <w:r w:rsidR="00F81407">
              <w:rPr>
                <w:rFonts w:eastAsia="Times New Roman"/>
              </w:rPr>
            </w:r>
            <w:r w:rsidR="00F81407">
              <w:rPr>
                <w:rFonts w:eastAsia="Times New Roman"/>
              </w:rPr>
              <w:fldChar w:fldCharType="separate"/>
            </w:r>
            <w:r>
              <w:rPr>
                <w:rFonts w:eastAsia="Times New Roman"/>
              </w:rPr>
              <w:fldChar w:fldCharType="end"/>
            </w:r>
            <w:r>
              <w:rPr>
                <w:rFonts w:eastAsia="Times New Roman"/>
              </w:rPr>
              <w:tab/>
              <w:t>Цялата приоритетна ос ще се изпълнява единствено чрез финансови инструменти</w:t>
            </w:r>
          </w:p>
        </w:tc>
        <w:tc>
          <w:tcPr>
            <w:tcW w:w="4300" w:type="dxa"/>
            <w:shd w:val="clear" w:color="auto" w:fill="auto"/>
          </w:tcPr>
          <w:p w:rsidR="00A85EB3" w:rsidRDefault="00B07D03">
            <w:pPr>
              <w:tabs>
                <w:tab w:val="left" w:pos="2302"/>
              </w:tabs>
              <w:spacing w:after="240"/>
              <w:jc w:val="center"/>
              <w:rPr>
                <w:rFonts w:eastAsia="Times New Roman"/>
                <w:szCs w:val="24"/>
                <w:lang w:val="en-US"/>
              </w:rPr>
            </w:pPr>
            <w:r>
              <w:rPr>
                <w:rFonts w:eastAsia="Times New Roman"/>
                <w:i/>
                <w:szCs w:val="24"/>
              </w:rPr>
              <w:t>н/п</w:t>
            </w:r>
          </w:p>
        </w:tc>
      </w:tr>
      <w:tr w:rsidR="00DB2F51" w:rsidRPr="00981F6F" w:rsidTr="00DB2F51">
        <w:tc>
          <w:tcPr>
            <w:tcW w:w="4986" w:type="dxa"/>
            <w:shd w:val="clear" w:color="auto" w:fill="auto"/>
          </w:tcPr>
          <w:p w:rsidR="00A85EB3" w:rsidRDefault="00B07D03">
            <w:pPr>
              <w:tabs>
                <w:tab w:val="left" w:pos="2302"/>
              </w:tabs>
              <w:spacing w:after="240"/>
              <w:ind w:left="480" w:hanging="480"/>
              <w:rPr>
                <w:rFonts w:eastAsia="Times New Roman"/>
                <w:lang w:val="en-US"/>
              </w:rPr>
            </w:pPr>
            <w:r>
              <w:rPr>
                <w:rFonts w:eastAsia="Times New Roman"/>
              </w:rPr>
              <w:fldChar w:fldCharType="begin">
                <w:ffData>
                  <w:name w:val="Check2"/>
                  <w:enabled/>
                  <w:calcOnExit w:val="0"/>
                  <w:checkBox>
                    <w:sizeAuto/>
                    <w:default w:val="0"/>
                  </w:checkBox>
                </w:ffData>
              </w:fldChar>
            </w:r>
            <w:r>
              <w:rPr>
                <w:rFonts w:eastAsia="Times New Roman"/>
              </w:rPr>
              <w:instrText xml:space="preserve"> FORMCHECKBOX </w:instrText>
            </w:r>
            <w:r w:rsidR="00F81407">
              <w:rPr>
                <w:rFonts w:eastAsia="Times New Roman"/>
              </w:rPr>
            </w:r>
            <w:r w:rsidR="00F81407">
              <w:rPr>
                <w:rFonts w:eastAsia="Times New Roman"/>
              </w:rPr>
              <w:fldChar w:fldCharType="separate"/>
            </w:r>
            <w:r>
              <w:rPr>
                <w:rFonts w:eastAsia="Times New Roman"/>
              </w:rPr>
              <w:fldChar w:fldCharType="end"/>
            </w:r>
            <w:r>
              <w:rPr>
                <w:rFonts w:eastAsia="Times New Roman"/>
              </w:rPr>
              <w:tab/>
              <w:t>Цялата приоритетна ос ще се изпълнява единствено чрез финансови инструменти, създадени на равнище ЕС</w:t>
            </w:r>
          </w:p>
        </w:tc>
        <w:tc>
          <w:tcPr>
            <w:tcW w:w="4300" w:type="dxa"/>
            <w:shd w:val="clear" w:color="auto" w:fill="auto"/>
          </w:tcPr>
          <w:p w:rsidR="00A85EB3" w:rsidRDefault="00B07D03">
            <w:pPr>
              <w:tabs>
                <w:tab w:val="left" w:pos="2302"/>
              </w:tabs>
              <w:spacing w:after="240"/>
              <w:jc w:val="center"/>
              <w:rPr>
                <w:rFonts w:eastAsia="Times New Roman"/>
                <w:lang w:val="en-US"/>
              </w:rPr>
            </w:pPr>
            <w:r>
              <w:rPr>
                <w:rFonts w:eastAsia="Times New Roman"/>
                <w:i/>
                <w:szCs w:val="24"/>
              </w:rPr>
              <w:t>н/п</w:t>
            </w:r>
          </w:p>
        </w:tc>
      </w:tr>
      <w:tr w:rsidR="00DB2F51" w:rsidRPr="00981F6F" w:rsidTr="00DB2F51">
        <w:tc>
          <w:tcPr>
            <w:tcW w:w="4986" w:type="dxa"/>
            <w:shd w:val="clear" w:color="auto" w:fill="auto"/>
          </w:tcPr>
          <w:p w:rsidR="00A85EB3" w:rsidRDefault="00B07D03">
            <w:pPr>
              <w:tabs>
                <w:tab w:val="left" w:pos="2302"/>
              </w:tabs>
              <w:spacing w:after="240"/>
              <w:ind w:left="480" w:hanging="480"/>
              <w:rPr>
                <w:rFonts w:eastAsia="Times New Roman"/>
                <w:lang w:val="en-US"/>
              </w:rPr>
            </w:pPr>
            <w:r>
              <w:rPr>
                <w:rFonts w:eastAsia="Times New Roman"/>
              </w:rPr>
              <w:fldChar w:fldCharType="begin">
                <w:ffData>
                  <w:name w:val="Check3"/>
                  <w:enabled/>
                  <w:calcOnExit w:val="0"/>
                  <w:checkBox>
                    <w:sizeAuto/>
                    <w:default w:val="0"/>
                  </w:checkBox>
                </w:ffData>
              </w:fldChar>
            </w:r>
            <w:r>
              <w:rPr>
                <w:rFonts w:eastAsia="Times New Roman"/>
              </w:rPr>
              <w:instrText xml:space="preserve"> FORMCHECKBOX </w:instrText>
            </w:r>
            <w:r w:rsidR="00F81407">
              <w:rPr>
                <w:rFonts w:eastAsia="Times New Roman"/>
              </w:rPr>
            </w:r>
            <w:r w:rsidR="00F81407">
              <w:rPr>
                <w:rFonts w:eastAsia="Times New Roman"/>
              </w:rPr>
              <w:fldChar w:fldCharType="separate"/>
            </w:r>
            <w:r>
              <w:rPr>
                <w:rFonts w:eastAsia="Times New Roman"/>
              </w:rPr>
              <w:fldChar w:fldCharType="end"/>
            </w:r>
            <w:r>
              <w:rPr>
                <w:rFonts w:eastAsia="Times New Roman"/>
              </w:rPr>
              <w:tab/>
              <w:t xml:space="preserve">Цялата приоритетна ос ще се изпълнява чрез водено от общностите местно развитие </w:t>
            </w:r>
          </w:p>
        </w:tc>
        <w:tc>
          <w:tcPr>
            <w:tcW w:w="4300" w:type="dxa"/>
            <w:shd w:val="clear" w:color="auto" w:fill="auto"/>
          </w:tcPr>
          <w:p w:rsidR="00A85EB3" w:rsidRDefault="00B07D03">
            <w:pPr>
              <w:tabs>
                <w:tab w:val="left" w:pos="2302"/>
              </w:tabs>
              <w:spacing w:after="240"/>
              <w:jc w:val="center"/>
              <w:rPr>
                <w:rFonts w:eastAsia="Times New Roman"/>
                <w:lang w:val="en-US"/>
              </w:rPr>
            </w:pPr>
            <w:r>
              <w:rPr>
                <w:rFonts w:eastAsia="Times New Roman"/>
                <w:i/>
                <w:szCs w:val="24"/>
              </w:rPr>
              <w:t>н/п</w:t>
            </w:r>
          </w:p>
        </w:tc>
      </w:tr>
    </w:tbl>
    <w:p w:rsidR="00A85EB3" w:rsidRPr="00B52354" w:rsidRDefault="00A85EB3">
      <w:pPr>
        <w:spacing w:after="240"/>
        <w:ind w:left="720" w:firstLine="720"/>
        <w:rPr>
          <w:rFonts w:eastAsia="Times New Roman"/>
          <w:b/>
          <w:sz w:val="16"/>
          <w:lang w:val="en-US"/>
        </w:rPr>
      </w:pPr>
    </w:p>
    <w:p w:rsidR="00A85EB3" w:rsidRDefault="00B07D03">
      <w:pPr>
        <w:pStyle w:val="Heading3"/>
        <w:numPr>
          <w:ilvl w:val="0"/>
          <w:numId w:val="0"/>
        </w:numPr>
        <w:ind w:left="567" w:hanging="567"/>
        <w:rPr>
          <w:b/>
          <w:i w:val="0"/>
          <w:lang w:val="en-US"/>
        </w:rPr>
      </w:pPr>
      <w:bookmarkStart w:id="46" w:name="_Toc408234893"/>
      <w:r>
        <w:rPr>
          <w:b/>
          <w:i w:val="0"/>
        </w:rPr>
        <w:t>2.1.2 Фонд, база за изчисление на подкрепата от ЕС и обосновка на избора на базата за изчисление</w:t>
      </w:r>
      <w:bookmarkEnd w:id="4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8"/>
        <w:gridCol w:w="5445"/>
      </w:tblGrid>
      <w:tr w:rsidR="00FB701A" w:rsidRPr="00981F6F" w:rsidTr="008F0E22">
        <w:trPr>
          <w:jc w:val="center"/>
        </w:trPr>
        <w:tc>
          <w:tcPr>
            <w:tcW w:w="3748" w:type="dxa"/>
            <w:shd w:val="clear" w:color="auto" w:fill="auto"/>
          </w:tcPr>
          <w:p w:rsidR="00A85EB3" w:rsidRDefault="00B07D03">
            <w:pPr>
              <w:spacing w:after="240"/>
              <w:rPr>
                <w:rFonts w:eastAsia="Times New Roman"/>
                <w:i/>
                <w:lang w:val="en-US"/>
              </w:rPr>
            </w:pPr>
            <w:r>
              <w:rPr>
                <w:rFonts w:eastAsia="Times New Roman"/>
                <w:i/>
              </w:rPr>
              <w:t>Фонд</w:t>
            </w:r>
          </w:p>
        </w:tc>
        <w:tc>
          <w:tcPr>
            <w:tcW w:w="5445" w:type="dxa"/>
            <w:shd w:val="clear" w:color="auto" w:fill="auto"/>
          </w:tcPr>
          <w:p w:rsidR="00A85EB3" w:rsidRDefault="00B07D03">
            <w:pPr>
              <w:spacing w:after="240"/>
              <w:jc w:val="center"/>
              <w:rPr>
                <w:b/>
                <w:spacing w:val="20"/>
                <w:szCs w:val="24"/>
                <w:lang w:val="en-US" w:eastAsia="en-US"/>
              </w:rPr>
            </w:pPr>
            <w:r>
              <w:rPr>
                <w:b/>
                <w:spacing w:val="20"/>
                <w:szCs w:val="24"/>
                <w:lang w:eastAsia="en-US"/>
              </w:rPr>
              <w:t>ЕС (ЕФРР + ИПП II)</w:t>
            </w:r>
          </w:p>
        </w:tc>
      </w:tr>
      <w:tr w:rsidR="00EA3E84" w:rsidRPr="00981F6F" w:rsidTr="008F0E22">
        <w:trPr>
          <w:jc w:val="center"/>
        </w:trPr>
        <w:tc>
          <w:tcPr>
            <w:tcW w:w="3748" w:type="dxa"/>
            <w:tcBorders>
              <w:top w:val="single" w:sz="4" w:space="0" w:color="auto"/>
              <w:left w:val="single" w:sz="4" w:space="0" w:color="auto"/>
              <w:bottom w:val="single" w:sz="4" w:space="0" w:color="auto"/>
              <w:right w:val="single" w:sz="4" w:space="0" w:color="auto"/>
            </w:tcBorders>
            <w:shd w:val="clear" w:color="auto" w:fill="auto"/>
          </w:tcPr>
          <w:p w:rsidR="00A85EB3" w:rsidRDefault="00B07D03">
            <w:pPr>
              <w:spacing w:after="240"/>
              <w:rPr>
                <w:rFonts w:eastAsia="Times New Roman"/>
                <w:i/>
                <w:lang w:val="en-US"/>
              </w:rPr>
            </w:pPr>
            <w:r>
              <w:rPr>
                <w:rFonts w:eastAsia="Times New Roman"/>
                <w:i/>
              </w:rPr>
              <w:t xml:space="preserve">База за изчисление (общо допустими разходи или публични допустими разходи) </w:t>
            </w:r>
          </w:p>
        </w:tc>
        <w:tc>
          <w:tcPr>
            <w:tcW w:w="5445" w:type="dxa"/>
            <w:tcBorders>
              <w:top w:val="single" w:sz="4" w:space="0" w:color="auto"/>
              <w:left w:val="single" w:sz="4" w:space="0" w:color="auto"/>
              <w:bottom w:val="single" w:sz="4" w:space="0" w:color="auto"/>
              <w:right w:val="single" w:sz="4" w:space="0" w:color="auto"/>
            </w:tcBorders>
            <w:shd w:val="clear" w:color="auto" w:fill="auto"/>
          </w:tcPr>
          <w:p w:rsidR="00A85EB3" w:rsidRDefault="00B07D03">
            <w:pPr>
              <w:spacing w:after="240"/>
              <w:jc w:val="center"/>
              <w:rPr>
                <w:b/>
                <w:color w:val="000000"/>
                <w:szCs w:val="24"/>
                <w:lang w:val="en-US" w:eastAsia="bg-BG"/>
              </w:rPr>
            </w:pPr>
            <w:r>
              <w:rPr>
                <w:b/>
                <w:color w:val="000000"/>
                <w:szCs w:val="24"/>
                <w:lang w:eastAsia="bg-BG"/>
              </w:rPr>
              <w:t>11 338 407,00 евро</w:t>
            </w:r>
          </w:p>
          <w:p w:rsidR="00A85EB3" w:rsidRDefault="00B07D03">
            <w:pPr>
              <w:spacing w:after="240"/>
              <w:jc w:val="center"/>
              <w:rPr>
                <w:rFonts w:eastAsia="Times New Roman"/>
                <w:b/>
                <w:i/>
                <w:color w:val="8DB3E2"/>
                <w:szCs w:val="24"/>
                <w:lang w:val="en-US"/>
              </w:rPr>
            </w:pPr>
            <w:r>
              <w:rPr>
                <w:rFonts w:eastAsia="Times New Roman"/>
                <w:b/>
                <w:i/>
              </w:rPr>
              <w:t>Общо допустими разходи</w:t>
            </w:r>
          </w:p>
        </w:tc>
      </w:tr>
      <w:tr w:rsidR="00252DD5" w:rsidRPr="00981F6F" w:rsidTr="008F0E22">
        <w:trPr>
          <w:jc w:val="center"/>
        </w:trPr>
        <w:tc>
          <w:tcPr>
            <w:tcW w:w="3748" w:type="dxa"/>
            <w:tcBorders>
              <w:top w:val="single" w:sz="4" w:space="0" w:color="auto"/>
              <w:left w:val="single" w:sz="4" w:space="0" w:color="auto"/>
              <w:bottom w:val="single" w:sz="4" w:space="0" w:color="auto"/>
              <w:right w:val="single" w:sz="4" w:space="0" w:color="auto"/>
            </w:tcBorders>
            <w:shd w:val="clear" w:color="auto" w:fill="auto"/>
          </w:tcPr>
          <w:p w:rsidR="00A85EB3" w:rsidRDefault="00B07D03">
            <w:pPr>
              <w:spacing w:after="240"/>
              <w:rPr>
                <w:rFonts w:eastAsia="Times New Roman"/>
                <w:i/>
                <w:lang w:val="en-US"/>
              </w:rPr>
            </w:pPr>
            <w:r>
              <w:rPr>
                <w:rFonts w:eastAsia="Times New Roman"/>
                <w:i/>
              </w:rPr>
              <w:t xml:space="preserve">Съображения за избора на база </w:t>
            </w:r>
            <w:r>
              <w:rPr>
                <w:rFonts w:eastAsia="Times New Roman"/>
                <w:i/>
              </w:rPr>
              <w:lastRenderedPageBreak/>
              <w:t>за изчисление</w:t>
            </w:r>
          </w:p>
        </w:tc>
        <w:tc>
          <w:tcPr>
            <w:tcW w:w="5445" w:type="dxa"/>
            <w:tcBorders>
              <w:top w:val="single" w:sz="4" w:space="0" w:color="auto"/>
              <w:left w:val="single" w:sz="4" w:space="0" w:color="auto"/>
              <w:bottom w:val="single" w:sz="4" w:space="0" w:color="auto"/>
              <w:right w:val="single" w:sz="4" w:space="0" w:color="auto"/>
            </w:tcBorders>
            <w:shd w:val="clear" w:color="auto" w:fill="auto"/>
          </w:tcPr>
          <w:p w:rsidR="00A85EB3" w:rsidRDefault="00B07D03">
            <w:pPr>
              <w:spacing w:line="276" w:lineRule="auto"/>
              <w:rPr>
                <w:rFonts w:eastAsia="Times New Roman"/>
                <w:szCs w:val="24"/>
                <w:lang w:val="en-US"/>
              </w:rPr>
            </w:pPr>
            <w:r>
              <w:rPr>
                <w:rFonts w:eastAsia="Times New Roman"/>
                <w:szCs w:val="24"/>
              </w:rPr>
              <w:lastRenderedPageBreak/>
              <w:t xml:space="preserve">Целта на отпуснатите финансови средства за тази Приоритетна ос е предвижданите резултати да се </w:t>
            </w:r>
            <w:r>
              <w:rPr>
                <w:rFonts w:eastAsia="Times New Roman"/>
                <w:szCs w:val="24"/>
              </w:rPr>
              <w:lastRenderedPageBreak/>
              <w:t>постигнат ефективно с ограничените ресурси на разположение през периода 2014–2020 г.</w:t>
            </w:r>
          </w:p>
          <w:p w:rsidR="00A85EB3" w:rsidRDefault="00B07D03">
            <w:pPr>
              <w:spacing w:line="276" w:lineRule="auto"/>
              <w:rPr>
                <w:rFonts w:eastAsia="Times New Roman"/>
                <w:szCs w:val="24"/>
                <w:lang w:val="en-US"/>
              </w:rPr>
            </w:pPr>
            <w:r>
              <w:rPr>
                <w:rFonts w:eastAsia="Times New Roman"/>
                <w:szCs w:val="24"/>
              </w:rPr>
              <w:t xml:space="preserve">В процеса на подбор беше оценено значението на различните екологични теми за територията на ТГС. По-специално измененията на климата и управлението на рисковете (главно от наводнения и пожари) и опазването на околната среда бяха счетени за значими за трансграничния регион. </w:t>
            </w:r>
          </w:p>
          <w:p w:rsidR="00A85EB3" w:rsidRDefault="00B07D03">
            <w:pPr>
              <w:spacing w:line="276" w:lineRule="auto"/>
              <w:rPr>
                <w:rFonts w:eastAsia="Times New Roman"/>
                <w:szCs w:val="24"/>
                <w:lang w:val="en-US"/>
              </w:rPr>
            </w:pPr>
            <w:r>
              <w:rPr>
                <w:rFonts w:eastAsia="Times New Roman"/>
                <w:szCs w:val="24"/>
              </w:rPr>
              <w:t>Поради голямото ѝ значение за трансграничното сътрудничество, за тази приоритетна ос се отпускат 45% от бюджета на програмата. В допълнение към това разпределянето на финансовите средства между конкретните цели се основава на задълбочен анализ на очакваните примерни дейности, които ще бъдат изпълнявани.</w:t>
            </w:r>
          </w:p>
          <w:p w:rsidR="00A85EB3" w:rsidRDefault="00B07D03">
            <w:pPr>
              <w:spacing w:line="276" w:lineRule="auto"/>
              <w:rPr>
                <w:rFonts w:eastAsia="Times New Roman"/>
                <w:i/>
                <w:color w:val="8DB3E2"/>
                <w:szCs w:val="24"/>
                <w:lang w:val="en-US"/>
              </w:rPr>
            </w:pPr>
            <w:r>
              <w:rPr>
                <w:rFonts w:eastAsia="Times New Roman"/>
                <w:szCs w:val="24"/>
              </w:rPr>
              <w:t>Тази Приоритетна ос цели увеличаване на интервенциите в областта на предотвратяването и управлението на рисковете и подобряване на капацитета и устойчиво използване на общите природни ресурси чрез съвместни инициативи за опазване на природата. Финансовата тежест е зададена в съответствие с поуките от сегашната програма, анализа на потребностите, както и анализа на очакванията и потребностите на съответните заинтересовани страни в територията на ТГС.</w:t>
            </w:r>
          </w:p>
        </w:tc>
      </w:tr>
    </w:tbl>
    <w:p w:rsidR="00A85EB3" w:rsidRPr="00B52354" w:rsidRDefault="00A85EB3">
      <w:pPr>
        <w:spacing w:after="240"/>
        <w:ind w:firstLine="720"/>
        <w:rPr>
          <w:rFonts w:eastAsia="Times New Roman"/>
          <w:b/>
          <w:sz w:val="12"/>
          <w:lang w:val="en-US"/>
        </w:rPr>
      </w:pPr>
    </w:p>
    <w:p w:rsidR="00A85EB3" w:rsidRDefault="00B07D03">
      <w:pPr>
        <w:pStyle w:val="Heading3"/>
        <w:numPr>
          <w:ilvl w:val="0"/>
          <w:numId w:val="0"/>
        </w:numPr>
        <w:ind w:left="850" w:hanging="850"/>
        <w:rPr>
          <w:b/>
          <w:i w:val="0"/>
          <w:lang w:val="en-US"/>
        </w:rPr>
      </w:pPr>
      <w:bookmarkStart w:id="47" w:name="_Toc408234894"/>
      <w:r>
        <w:rPr>
          <w:b/>
          <w:i w:val="0"/>
        </w:rPr>
        <w:t>2.1.3. Конкретни цели на тематичния приоритет и очаквани резултати</w:t>
      </w:r>
      <w:bookmarkEnd w:id="47"/>
      <w:r>
        <w:rPr>
          <w:b/>
          <w:i w:val="0"/>
        </w:rPr>
        <w:t xml:space="preserve"> </w:t>
      </w:r>
    </w:p>
    <w:p w:rsidR="00A85EB3" w:rsidRDefault="00B07D03">
      <w:pPr>
        <w:rPr>
          <w:lang w:val="en-US"/>
        </w:rPr>
      </w:pPr>
      <w:r>
        <w:t xml:space="preserve"> (Източник: буква (b)(i) и (ii) на чл. 8(2) от Регламент (ЕС) № 1299/2013)</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5410"/>
      </w:tblGrid>
      <w:tr w:rsidR="00FB701A" w:rsidRPr="00981F6F" w:rsidTr="00A628D6">
        <w:trPr>
          <w:trHeight w:val="491"/>
          <w:jc w:val="center"/>
        </w:trPr>
        <w:tc>
          <w:tcPr>
            <w:tcW w:w="3657" w:type="dxa"/>
            <w:shd w:val="clear" w:color="auto" w:fill="auto"/>
          </w:tcPr>
          <w:p w:rsidR="00A85EB3" w:rsidRDefault="00B07D03">
            <w:pPr>
              <w:spacing w:after="240"/>
              <w:rPr>
                <w:rFonts w:eastAsia="Times New Roman"/>
                <w:i/>
                <w:lang w:val="en-US"/>
              </w:rPr>
            </w:pPr>
            <w:r>
              <w:rPr>
                <w:rFonts w:eastAsia="Times New Roman"/>
                <w:i/>
              </w:rPr>
              <w:t>№</w:t>
            </w:r>
          </w:p>
        </w:tc>
        <w:tc>
          <w:tcPr>
            <w:tcW w:w="5410" w:type="dxa"/>
            <w:shd w:val="clear" w:color="auto" w:fill="auto"/>
          </w:tcPr>
          <w:p w:rsidR="00A85EB3" w:rsidRDefault="00B07D03">
            <w:pPr>
              <w:spacing w:after="240"/>
              <w:rPr>
                <w:rFonts w:eastAsia="Times New Roman"/>
                <w:b/>
                <w:i/>
                <w:color w:val="8DB3E2"/>
                <w:szCs w:val="24"/>
                <w:lang w:val="en-US"/>
              </w:rPr>
            </w:pPr>
            <w:r>
              <w:rPr>
                <w:rFonts w:eastAsia="Times New Roman"/>
                <w:b/>
                <w:i/>
                <w:szCs w:val="24"/>
              </w:rPr>
              <w:t>1.1</w:t>
            </w:r>
          </w:p>
        </w:tc>
      </w:tr>
      <w:tr w:rsidR="00FB701A" w:rsidRPr="00981F6F" w:rsidTr="00A628D6">
        <w:trPr>
          <w:trHeight w:val="360"/>
          <w:jc w:val="center"/>
        </w:trPr>
        <w:tc>
          <w:tcPr>
            <w:tcW w:w="3657" w:type="dxa"/>
            <w:shd w:val="clear" w:color="auto" w:fill="auto"/>
          </w:tcPr>
          <w:p w:rsidR="00A85EB3" w:rsidRDefault="005D7909">
            <w:pPr>
              <w:spacing w:after="240"/>
              <w:rPr>
                <w:rFonts w:eastAsia="Times New Roman"/>
                <w:i/>
                <w:lang w:val="en-US"/>
              </w:rPr>
            </w:pPr>
            <w:r>
              <w:rPr>
                <w:rFonts w:eastAsia="Times New Roman"/>
                <w:i/>
              </w:rPr>
              <w:t>Специфична</w:t>
            </w:r>
            <w:r w:rsidR="00B07D03">
              <w:rPr>
                <w:rFonts w:eastAsia="Times New Roman"/>
                <w:i/>
              </w:rPr>
              <w:t xml:space="preserve"> цел </w:t>
            </w:r>
          </w:p>
        </w:tc>
        <w:tc>
          <w:tcPr>
            <w:tcW w:w="5410" w:type="dxa"/>
            <w:shd w:val="clear" w:color="auto" w:fill="auto"/>
          </w:tcPr>
          <w:p w:rsidR="00A85EB3" w:rsidRDefault="00B07D03">
            <w:pPr>
              <w:spacing w:after="240"/>
              <w:rPr>
                <w:rFonts w:eastAsia="Times New Roman"/>
                <w:b/>
                <w:i/>
                <w:color w:val="8DB3E2"/>
                <w:szCs w:val="24"/>
                <w:lang w:val="en-US"/>
              </w:rPr>
            </w:pPr>
            <w:r>
              <w:rPr>
                <w:b/>
                <w:i/>
                <w:szCs w:val="24"/>
                <w:lang w:eastAsia="ar-SA"/>
              </w:rPr>
              <w:t>Предотвратяване на рисковете и смекчаване на последиците от природните и предизвиканите от човека опасности и бедствия в географския район на ТГС</w:t>
            </w:r>
          </w:p>
        </w:tc>
      </w:tr>
      <w:tr w:rsidR="00FB701A" w:rsidRPr="00981F6F" w:rsidTr="00A628D6">
        <w:trPr>
          <w:trHeight w:val="360"/>
          <w:jc w:val="center"/>
        </w:trPr>
        <w:tc>
          <w:tcPr>
            <w:tcW w:w="3657" w:type="dxa"/>
            <w:shd w:val="clear" w:color="auto" w:fill="auto"/>
          </w:tcPr>
          <w:p w:rsidR="00A85EB3" w:rsidRDefault="00B07D03">
            <w:pPr>
              <w:spacing w:after="240"/>
              <w:rPr>
                <w:rFonts w:eastAsia="Times New Roman"/>
                <w:i/>
                <w:lang w:val="en-US"/>
              </w:rPr>
            </w:pPr>
            <w:r>
              <w:rPr>
                <w:rFonts w:eastAsia="Times New Roman"/>
                <w:i/>
              </w:rPr>
              <w:t>Резултати, които партниращите си държави се стремят да постигнат с помощта на Съюза</w:t>
            </w:r>
          </w:p>
        </w:tc>
        <w:tc>
          <w:tcPr>
            <w:tcW w:w="5410" w:type="dxa"/>
            <w:shd w:val="clear" w:color="auto" w:fill="auto"/>
          </w:tcPr>
          <w:p w:rsidR="00A85EB3" w:rsidRDefault="00B07D03">
            <w:pPr>
              <w:widowControl w:val="0"/>
              <w:overflowPunct w:val="0"/>
              <w:autoSpaceDE w:val="0"/>
              <w:autoSpaceDN w:val="0"/>
              <w:adjustRightInd w:val="0"/>
              <w:spacing w:line="276" w:lineRule="auto"/>
              <w:textAlignment w:val="baseline"/>
              <w:rPr>
                <w:rFonts w:eastAsia="Times New Roman"/>
                <w:szCs w:val="24"/>
                <w:lang w:val="en-US" w:eastAsia="en-US"/>
              </w:rPr>
            </w:pPr>
            <w:r>
              <w:rPr>
                <w:rFonts w:eastAsia="Times New Roman"/>
                <w:szCs w:val="24"/>
                <w:lang w:eastAsia="en-US"/>
              </w:rPr>
              <w:t xml:space="preserve">Наводненията и пожарите са класически проблеми за ТГС: управлението на речните басейни е трансграничен проблем, който едва ли може да се реши без сътрудничество през </w:t>
            </w:r>
            <w:r>
              <w:rPr>
                <w:rFonts w:eastAsia="Times New Roman"/>
                <w:szCs w:val="24"/>
                <w:lang w:eastAsia="en-US"/>
              </w:rPr>
              <w:lastRenderedPageBreak/>
              <w:t xml:space="preserve">границите. Те са особено голям проблем за ТГС България – Турция поради силната уязвимост на региона на ТГС на засиленото влияние на измененията на климата. </w:t>
            </w:r>
          </w:p>
          <w:p w:rsidR="00A85EB3" w:rsidRDefault="00B07D03">
            <w:pPr>
              <w:widowControl w:val="0"/>
              <w:overflowPunct w:val="0"/>
              <w:autoSpaceDE w:val="0"/>
              <w:autoSpaceDN w:val="0"/>
              <w:adjustRightInd w:val="0"/>
              <w:spacing w:line="276" w:lineRule="auto"/>
              <w:textAlignment w:val="baseline"/>
              <w:rPr>
                <w:rFonts w:eastAsia="Times New Roman"/>
                <w:szCs w:val="24"/>
                <w:lang w:val="en-US" w:eastAsia="en-US"/>
              </w:rPr>
            </w:pPr>
            <w:r>
              <w:rPr>
                <w:rFonts w:eastAsia="Times New Roman"/>
                <w:szCs w:val="24"/>
                <w:lang w:eastAsia="en-US"/>
              </w:rPr>
              <w:t xml:space="preserve">Поради това предвижданата промяна е да се намалят рисковете от наводнения и пожари чрез създаване на истинско сътрудничество отвъд границите.  </w:t>
            </w:r>
          </w:p>
          <w:p w:rsidR="00A85EB3" w:rsidRDefault="00B07D03">
            <w:pPr>
              <w:widowControl w:val="0"/>
              <w:overflowPunct w:val="0"/>
              <w:autoSpaceDE w:val="0"/>
              <w:autoSpaceDN w:val="0"/>
              <w:adjustRightInd w:val="0"/>
              <w:spacing w:line="276" w:lineRule="auto"/>
              <w:textAlignment w:val="baseline"/>
              <w:rPr>
                <w:rFonts w:eastAsia="Times New Roman"/>
                <w:szCs w:val="24"/>
                <w:lang w:val="en-US" w:eastAsia="en-US"/>
              </w:rPr>
            </w:pPr>
            <w:r>
              <w:rPr>
                <w:rFonts w:eastAsia="Times New Roman"/>
                <w:szCs w:val="24"/>
                <w:lang w:eastAsia="en-US"/>
              </w:rPr>
              <w:t xml:space="preserve">Чрез подобряване на управлението на речните басейни ще се намалят щетите от наводненията, а речните басейни в трансграничния район ще може да се управляват по устойчив начин (да се възстановяват речните брегове, </w:t>
            </w:r>
            <w:proofErr w:type="spellStart"/>
            <w:r>
              <w:rPr>
                <w:rFonts w:eastAsia="Times New Roman"/>
                <w:szCs w:val="24"/>
                <w:lang w:eastAsia="en-US"/>
              </w:rPr>
              <w:t>устройственото</w:t>
            </w:r>
            <w:proofErr w:type="spellEnd"/>
            <w:r>
              <w:rPr>
                <w:rFonts w:eastAsia="Times New Roman"/>
                <w:szCs w:val="24"/>
                <w:lang w:eastAsia="en-US"/>
              </w:rPr>
              <w:t xml:space="preserve"> и регионалното/местното планиране да се приспособява към речния басейн и наводняваните райони). Рисковете също ще бъдат намалени чрез предприемане на всеобхватни инициативи за защита от пожари. </w:t>
            </w:r>
          </w:p>
          <w:p w:rsidR="00A85EB3" w:rsidRDefault="00B07D03">
            <w:pPr>
              <w:widowControl w:val="0"/>
              <w:overflowPunct w:val="0"/>
              <w:autoSpaceDE w:val="0"/>
              <w:autoSpaceDN w:val="0"/>
              <w:adjustRightInd w:val="0"/>
              <w:spacing w:line="276" w:lineRule="auto"/>
              <w:textAlignment w:val="baseline"/>
              <w:rPr>
                <w:rFonts w:eastAsia="Times New Roman"/>
                <w:szCs w:val="24"/>
                <w:lang w:val="en-US" w:eastAsia="en-US"/>
              </w:rPr>
            </w:pPr>
            <w:r>
              <w:rPr>
                <w:rFonts w:eastAsia="Times New Roman"/>
                <w:szCs w:val="24"/>
                <w:lang w:eastAsia="en-US"/>
              </w:rPr>
              <w:t>Може да бъде създадена и включена комбинация от „инвестиционни“ и „меки“ мерки чрез ръководни принципи за подбор на дейностите.</w:t>
            </w:r>
          </w:p>
          <w:p w:rsidR="00A85EB3" w:rsidRDefault="00B07D03">
            <w:pPr>
              <w:spacing w:after="240"/>
              <w:rPr>
                <w:rFonts w:eastAsia="Times New Roman"/>
                <w:i/>
                <w:color w:val="8DB3E2"/>
                <w:sz w:val="18"/>
                <w:szCs w:val="18"/>
                <w:lang w:val="en-US"/>
              </w:rPr>
            </w:pPr>
            <w:r>
              <w:rPr>
                <w:rFonts w:eastAsia="Times New Roman"/>
                <w:szCs w:val="24"/>
                <w:lang w:eastAsia="en-US"/>
              </w:rPr>
              <w:t>За да се постигне предвижданата промяна, ще се предприеме набор от различни мерки, включително, наред с другото, системи за ранно предупреждение и управление при бедствия, саниране и залесяване на бреговете на реките или някои меки мерки като обучение и повишаване на осведомеността на гражданското общество.</w:t>
            </w:r>
          </w:p>
        </w:tc>
      </w:tr>
      <w:tr w:rsidR="000E7D43" w:rsidRPr="00981F6F" w:rsidTr="00A628D6">
        <w:trPr>
          <w:trHeight w:val="360"/>
          <w:jc w:val="center"/>
        </w:trPr>
        <w:tc>
          <w:tcPr>
            <w:tcW w:w="3657" w:type="dxa"/>
            <w:shd w:val="clear" w:color="auto" w:fill="auto"/>
          </w:tcPr>
          <w:p w:rsidR="00A85EB3" w:rsidRDefault="00B07D03">
            <w:pPr>
              <w:spacing w:after="240"/>
              <w:rPr>
                <w:rFonts w:eastAsia="Times New Roman"/>
                <w:i/>
                <w:lang w:val="en-US"/>
              </w:rPr>
            </w:pPr>
            <w:r>
              <w:rPr>
                <w:rFonts w:eastAsia="Times New Roman"/>
                <w:i/>
              </w:rPr>
              <w:lastRenderedPageBreak/>
              <w:t>№</w:t>
            </w:r>
          </w:p>
        </w:tc>
        <w:tc>
          <w:tcPr>
            <w:tcW w:w="5410" w:type="dxa"/>
            <w:shd w:val="clear" w:color="auto" w:fill="auto"/>
          </w:tcPr>
          <w:p w:rsidR="00A85EB3" w:rsidRDefault="00B07D03">
            <w:pPr>
              <w:widowControl w:val="0"/>
              <w:overflowPunct w:val="0"/>
              <w:autoSpaceDE w:val="0"/>
              <w:autoSpaceDN w:val="0"/>
              <w:adjustRightInd w:val="0"/>
              <w:spacing w:line="276" w:lineRule="auto"/>
              <w:textAlignment w:val="baseline"/>
              <w:rPr>
                <w:rFonts w:eastAsia="Times New Roman"/>
                <w:b/>
                <w:i/>
                <w:szCs w:val="24"/>
                <w:lang w:val="en-US" w:eastAsia="en-US"/>
              </w:rPr>
            </w:pPr>
            <w:r>
              <w:rPr>
                <w:rFonts w:eastAsia="Times New Roman"/>
                <w:b/>
                <w:i/>
                <w:szCs w:val="24"/>
                <w:lang w:eastAsia="en-US"/>
              </w:rPr>
              <w:t>1.2.</w:t>
            </w:r>
          </w:p>
        </w:tc>
      </w:tr>
      <w:tr w:rsidR="000E7D43" w:rsidRPr="00981F6F" w:rsidTr="00A628D6">
        <w:trPr>
          <w:trHeight w:val="360"/>
          <w:jc w:val="center"/>
        </w:trPr>
        <w:tc>
          <w:tcPr>
            <w:tcW w:w="3657" w:type="dxa"/>
            <w:shd w:val="clear" w:color="auto" w:fill="auto"/>
          </w:tcPr>
          <w:p w:rsidR="00A85EB3" w:rsidRDefault="005D7909">
            <w:pPr>
              <w:spacing w:after="240"/>
              <w:rPr>
                <w:rFonts w:eastAsia="Times New Roman"/>
                <w:i/>
                <w:lang w:val="en-US"/>
              </w:rPr>
            </w:pPr>
            <w:r>
              <w:rPr>
                <w:rFonts w:eastAsia="Times New Roman"/>
                <w:i/>
              </w:rPr>
              <w:t>Специфична</w:t>
            </w:r>
            <w:r w:rsidR="00B07D03">
              <w:rPr>
                <w:rFonts w:eastAsia="Times New Roman"/>
                <w:i/>
              </w:rPr>
              <w:t xml:space="preserve"> цел</w:t>
            </w:r>
          </w:p>
        </w:tc>
        <w:tc>
          <w:tcPr>
            <w:tcW w:w="5410" w:type="dxa"/>
            <w:shd w:val="clear" w:color="auto" w:fill="auto"/>
          </w:tcPr>
          <w:p w:rsidR="00A85EB3" w:rsidRDefault="00B07D03">
            <w:pPr>
              <w:widowControl w:val="0"/>
              <w:overflowPunct w:val="0"/>
              <w:autoSpaceDE w:val="0"/>
              <w:autoSpaceDN w:val="0"/>
              <w:adjustRightInd w:val="0"/>
              <w:spacing w:line="276" w:lineRule="auto"/>
              <w:textAlignment w:val="baseline"/>
              <w:rPr>
                <w:rFonts w:eastAsia="Times New Roman"/>
                <w:b/>
                <w:szCs w:val="24"/>
                <w:lang w:val="en-US" w:eastAsia="en-US"/>
              </w:rPr>
            </w:pPr>
            <w:r>
              <w:rPr>
                <w:b/>
                <w:i/>
                <w:szCs w:val="24"/>
                <w:lang w:eastAsia="ar-SA"/>
              </w:rPr>
              <w:t>Подобряване на капацитета за опазване на природата и устойчиво използване на общите природни ресурси в географския район на ТГС</w:t>
            </w:r>
          </w:p>
        </w:tc>
      </w:tr>
      <w:tr w:rsidR="000E7D43" w:rsidRPr="00981F6F" w:rsidTr="00A628D6">
        <w:trPr>
          <w:trHeight w:val="360"/>
          <w:jc w:val="center"/>
        </w:trPr>
        <w:tc>
          <w:tcPr>
            <w:tcW w:w="3657" w:type="dxa"/>
            <w:shd w:val="clear" w:color="auto" w:fill="auto"/>
          </w:tcPr>
          <w:p w:rsidR="00A85EB3" w:rsidRDefault="00B07D03">
            <w:pPr>
              <w:spacing w:after="240"/>
              <w:rPr>
                <w:rFonts w:eastAsia="Times New Roman"/>
                <w:i/>
                <w:lang w:val="en-US"/>
              </w:rPr>
            </w:pPr>
            <w:r>
              <w:rPr>
                <w:rFonts w:eastAsia="Times New Roman"/>
                <w:i/>
              </w:rPr>
              <w:t>Резултати, които партниращите си държави се стремят да постигнат с помощта на Съюза</w:t>
            </w:r>
          </w:p>
        </w:tc>
        <w:tc>
          <w:tcPr>
            <w:tcW w:w="5410" w:type="dxa"/>
            <w:shd w:val="clear" w:color="auto" w:fill="auto"/>
          </w:tcPr>
          <w:p w:rsidR="00A85EB3" w:rsidRDefault="00B07D03">
            <w:pPr>
              <w:spacing w:line="276" w:lineRule="auto"/>
              <w:rPr>
                <w:rFonts w:eastAsia="Times New Roman"/>
                <w:szCs w:val="24"/>
                <w:lang w:val="en-US"/>
              </w:rPr>
            </w:pPr>
            <w:r>
              <w:rPr>
                <w:rFonts w:eastAsia="Times New Roman"/>
                <w:szCs w:val="24"/>
              </w:rPr>
              <w:t xml:space="preserve">И в двете държави има добри традиции в областта на опазването на околната среда (защитени територии и др.), създадени през годините, въпреки че регионът на ТГС все повече е подложен на екологичен натиск от различни стопански дейности. Поради тази причина се засилват отрицателните екологични последствия </w:t>
            </w:r>
            <w:r>
              <w:rPr>
                <w:rFonts w:eastAsia="Times New Roman"/>
                <w:szCs w:val="24"/>
              </w:rPr>
              <w:lastRenderedPageBreak/>
              <w:t xml:space="preserve">и те постоянно допринасят за влошаването на равнището на замърсяване на околната среда на място. Тези отрицателни последствия трябва да бъдат преодолени чрез прилагане на набор от планирани мерки. </w:t>
            </w:r>
          </w:p>
          <w:p w:rsidR="00A85EB3" w:rsidRDefault="00B07D03">
            <w:pPr>
              <w:spacing w:line="276" w:lineRule="auto"/>
              <w:rPr>
                <w:rFonts w:eastAsia="Times New Roman"/>
                <w:szCs w:val="24"/>
                <w:lang w:val="en-US"/>
              </w:rPr>
            </w:pPr>
            <w:r>
              <w:rPr>
                <w:rFonts w:eastAsia="Times New Roman"/>
                <w:szCs w:val="24"/>
              </w:rPr>
              <w:t xml:space="preserve">Чрез подобряване, от една страна, на способността на хората за устойчиво взаимодействие с околната среда, включително по проблеми като опазване на климата, и повишаване на осведомеността на хората за високото потребление на енергия и използването на твърди горива, и др. Трябва да се подчертае основното отражение на промяната на климата върху икономиката и живота. Това съответства на усилията на Европейския съюз да направи икономиката си по-малко </w:t>
            </w:r>
            <w:proofErr w:type="spellStart"/>
            <w:r>
              <w:rPr>
                <w:rFonts w:eastAsia="Times New Roman"/>
                <w:szCs w:val="24"/>
              </w:rPr>
              <w:t>енергоемка</w:t>
            </w:r>
            <w:proofErr w:type="spellEnd"/>
            <w:r>
              <w:rPr>
                <w:rFonts w:eastAsia="Times New Roman"/>
                <w:szCs w:val="24"/>
              </w:rPr>
              <w:t xml:space="preserve"> и по-благоприятстваща климата (вж. EU COM, 2014b: онлайн).</w:t>
            </w:r>
            <w:r>
              <w:rPr>
                <w:rFonts w:eastAsia="Times New Roman"/>
                <w:szCs w:val="24"/>
                <w:vertAlign w:val="superscript"/>
              </w:rPr>
              <w:footnoteReference w:id="5"/>
            </w:r>
            <w:r>
              <w:rPr>
                <w:rFonts w:eastAsia="Times New Roman"/>
                <w:szCs w:val="24"/>
              </w:rPr>
              <w:t xml:space="preserve"> Поради това целта на региона за ТГС е да се повиши капацитета му и да се увеличи трансфера на знания през границата с цел да се постигне визия за </w:t>
            </w:r>
            <w:proofErr w:type="spellStart"/>
            <w:r>
              <w:rPr>
                <w:rFonts w:eastAsia="Times New Roman"/>
                <w:szCs w:val="24"/>
              </w:rPr>
              <w:t>нисковъглеродна</w:t>
            </w:r>
            <w:proofErr w:type="spellEnd"/>
            <w:r>
              <w:rPr>
                <w:rFonts w:eastAsia="Times New Roman"/>
                <w:szCs w:val="24"/>
              </w:rPr>
              <w:t xml:space="preserve"> икономика и висока степен на опазване и управление на околната среда. От друга страна </w:t>
            </w:r>
            <w:r w:rsidR="005D7909">
              <w:rPr>
                <w:rFonts w:eastAsia="Times New Roman"/>
                <w:szCs w:val="24"/>
              </w:rPr>
              <w:t>специфичната</w:t>
            </w:r>
            <w:r>
              <w:rPr>
                <w:rFonts w:eastAsia="Times New Roman"/>
                <w:szCs w:val="24"/>
              </w:rPr>
              <w:t xml:space="preserve"> цел си поставя за задача да се подобри състоянието на природните зони и да се подобри частично отрицателното екологично развитие през последните десетилетия, включително между другите урбанизацията, интензивното земеделие и транспорта. </w:t>
            </w:r>
          </w:p>
          <w:p w:rsidR="00A85EB3" w:rsidRDefault="00B07D03">
            <w:pPr>
              <w:spacing w:line="276" w:lineRule="auto"/>
              <w:rPr>
                <w:rFonts w:eastAsia="Times New Roman"/>
                <w:szCs w:val="24"/>
                <w:lang w:val="en-US"/>
              </w:rPr>
            </w:pPr>
            <w:r>
              <w:rPr>
                <w:rFonts w:eastAsia="Times New Roman"/>
                <w:szCs w:val="24"/>
              </w:rPr>
              <w:t xml:space="preserve">За да се постигне предвижданата промяна ще бъде приложен набор от различни мерки – включително, например, инвестиции в подобряването на зелената инфраструктура, както и дейности за обучение и изграждане на капацитет за целевите групи. </w:t>
            </w:r>
          </w:p>
          <w:p w:rsidR="00A85EB3" w:rsidRDefault="00B07D03">
            <w:pPr>
              <w:spacing w:line="276" w:lineRule="auto"/>
              <w:rPr>
                <w:rFonts w:eastAsia="Times New Roman"/>
                <w:szCs w:val="24"/>
                <w:lang w:val="en-US" w:eastAsia="en-US"/>
              </w:rPr>
            </w:pPr>
            <w:r>
              <w:rPr>
                <w:rFonts w:eastAsia="Times New Roman"/>
                <w:szCs w:val="24"/>
              </w:rPr>
              <w:t>По този начин в тази цел може да бъде създадена и включена комбинация от „инвестиционни“ и „меки“ мерки чрез ръководни принципи за подбор на дейностите.</w:t>
            </w:r>
          </w:p>
        </w:tc>
      </w:tr>
    </w:tbl>
    <w:p w:rsidR="00A85EB3" w:rsidRDefault="00A85EB3">
      <w:pPr>
        <w:tabs>
          <w:tab w:val="left" w:pos="720"/>
        </w:tabs>
        <w:rPr>
          <w:rFonts w:eastAsia="Times New Roman"/>
          <w:b/>
          <w:lang w:val="en-US"/>
        </w:rPr>
      </w:pPr>
    </w:p>
    <w:p w:rsidR="00A85EB3" w:rsidRDefault="00B07D03">
      <w:pPr>
        <w:pStyle w:val="Heading3"/>
        <w:numPr>
          <w:ilvl w:val="0"/>
          <w:numId w:val="0"/>
        </w:numPr>
        <w:ind w:left="850" w:hanging="850"/>
        <w:rPr>
          <w:b/>
          <w:i w:val="0"/>
          <w:lang w:val="en-US"/>
        </w:rPr>
      </w:pPr>
      <w:bookmarkStart w:id="48" w:name="_Toc408234895"/>
      <w:r>
        <w:rPr>
          <w:b/>
          <w:i w:val="0"/>
        </w:rPr>
        <w:t>2.1.4. Елементи на други тематични приоритети, добавени към приоритетната ос</w:t>
      </w:r>
      <w:bookmarkEnd w:id="48"/>
    </w:p>
    <w:p w:rsidR="00A85EB3" w:rsidRDefault="00B07D03">
      <w:pPr>
        <w:tabs>
          <w:tab w:val="left" w:pos="720"/>
        </w:tabs>
        <w:rPr>
          <w:rFonts w:eastAsia="Times New Roman"/>
          <w:lang w:val="en-US"/>
        </w:rPr>
      </w:pPr>
      <w:r>
        <w:rPr>
          <w:rFonts w:eastAsia="Times New Roman"/>
        </w:rPr>
        <w:t>(Източник: чл. 35(1) от Регламента за изпълнение ИПП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103"/>
      </w:tblGrid>
      <w:tr w:rsidR="00EF118F" w:rsidRPr="00981F6F" w:rsidTr="00B52354">
        <w:trPr>
          <w:trHeight w:val="491"/>
          <w:jc w:val="center"/>
        </w:trPr>
        <w:tc>
          <w:tcPr>
            <w:tcW w:w="3510" w:type="dxa"/>
            <w:shd w:val="clear" w:color="auto" w:fill="auto"/>
          </w:tcPr>
          <w:p w:rsidR="00A85EB3" w:rsidRDefault="00B07D03">
            <w:pPr>
              <w:spacing w:after="240"/>
              <w:rPr>
                <w:rFonts w:eastAsia="Times New Roman"/>
                <w:i/>
                <w:lang w:val="en-US"/>
              </w:rPr>
            </w:pPr>
            <w:r>
              <w:rPr>
                <w:rFonts w:eastAsia="Times New Roman"/>
                <w:i/>
              </w:rPr>
              <w:t>№</w:t>
            </w:r>
          </w:p>
        </w:tc>
        <w:tc>
          <w:tcPr>
            <w:tcW w:w="5103" w:type="dxa"/>
            <w:shd w:val="clear" w:color="auto" w:fill="auto"/>
          </w:tcPr>
          <w:p w:rsidR="00A85EB3" w:rsidRDefault="00B07D03">
            <w:pPr>
              <w:spacing w:after="240"/>
              <w:jc w:val="center"/>
              <w:rPr>
                <w:rFonts w:eastAsia="Times New Roman"/>
                <w:i/>
                <w:color w:val="8DB3E2"/>
                <w:szCs w:val="24"/>
                <w:lang w:val="en-US"/>
              </w:rPr>
            </w:pPr>
            <w:r>
              <w:rPr>
                <w:rFonts w:eastAsia="Times New Roman"/>
                <w:i/>
                <w:szCs w:val="24"/>
              </w:rPr>
              <w:t>н/п</w:t>
            </w:r>
          </w:p>
        </w:tc>
      </w:tr>
      <w:tr w:rsidR="00EF118F" w:rsidRPr="00981F6F" w:rsidTr="00B52354">
        <w:trPr>
          <w:trHeight w:val="360"/>
          <w:jc w:val="center"/>
        </w:trPr>
        <w:tc>
          <w:tcPr>
            <w:tcW w:w="3510" w:type="dxa"/>
            <w:shd w:val="clear" w:color="auto" w:fill="auto"/>
          </w:tcPr>
          <w:p w:rsidR="00A85EB3" w:rsidRDefault="00B07D03" w:rsidP="00CD041E">
            <w:pPr>
              <w:spacing w:after="240"/>
              <w:jc w:val="left"/>
              <w:rPr>
                <w:rFonts w:eastAsia="Times New Roman"/>
                <w:i/>
                <w:lang w:val="en-US"/>
              </w:rPr>
            </w:pPr>
            <w:r>
              <w:rPr>
                <w:rFonts w:eastAsia="Times New Roman"/>
                <w:i/>
              </w:rPr>
              <w:t xml:space="preserve">Принос към </w:t>
            </w:r>
            <w:r w:rsidR="00CD041E" w:rsidRPr="00CD041E">
              <w:rPr>
                <w:rFonts w:eastAsia="Times New Roman"/>
                <w:i/>
              </w:rPr>
              <w:t>специфична</w:t>
            </w:r>
            <w:r w:rsidRPr="00CD041E">
              <w:rPr>
                <w:rFonts w:eastAsia="Times New Roman"/>
                <w:i/>
              </w:rPr>
              <w:t>та</w:t>
            </w:r>
            <w:r>
              <w:rPr>
                <w:rFonts w:eastAsia="Times New Roman"/>
                <w:i/>
              </w:rPr>
              <w:t xml:space="preserve"> цел на приоритетната ос</w:t>
            </w:r>
          </w:p>
        </w:tc>
        <w:tc>
          <w:tcPr>
            <w:tcW w:w="5103" w:type="dxa"/>
            <w:shd w:val="clear" w:color="auto" w:fill="auto"/>
          </w:tcPr>
          <w:p w:rsidR="00A85EB3" w:rsidRDefault="00B07D03">
            <w:pPr>
              <w:spacing w:after="240"/>
              <w:jc w:val="center"/>
              <w:rPr>
                <w:rFonts w:eastAsia="Times New Roman"/>
                <w:i/>
                <w:color w:val="8DB3E2"/>
                <w:sz w:val="18"/>
                <w:szCs w:val="18"/>
                <w:lang w:val="en-US"/>
              </w:rPr>
            </w:pPr>
            <w:r>
              <w:rPr>
                <w:rFonts w:eastAsia="Times New Roman"/>
                <w:i/>
                <w:szCs w:val="24"/>
              </w:rPr>
              <w:t>н/п</w:t>
            </w:r>
          </w:p>
        </w:tc>
      </w:tr>
      <w:tr w:rsidR="00EF118F" w:rsidRPr="00981F6F" w:rsidTr="00B52354">
        <w:trPr>
          <w:trHeight w:val="360"/>
          <w:jc w:val="center"/>
        </w:trPr>
        <w:tc>
          <w:tcPr>
            <w:tcW w:w="3510" w:type="dxa"/>
            <w:shd w:val="clear" w:color="auto" w:fill="auto"/>
          </w:tcPr>
          <w:p w:rsidR="00A85EB3" w:rsidRDefault="00B07D03" w:rsidP="004E5AB3">
            <w:pPr>
              <w:spacing w:after="240"/>
              <w:jc w:val="left"/>
              <w:rPr>
                <w:rFonts w:eastAsia="Times New Roman"/>
                <w:i/>
                <w:lang w:val="en-US"/>
              </w:rPr>
            </w:pPr>
            <w:r>
              <w:rPr>
                <w:rFonts w:eastAsia="Times New Roman"/>
                <w:i/>
              </w:rPr>
              <w:t>Резултати, които партниращите си държави се стремят да постигнат с помощта на Съюза</w:t>
            </w:r>
          </w:p>
        </w:tc>
        <w:tc>
          <w:tcPr>
            <w:tcW w:w="5103" w:type="dxa"/>
            <w:shd w:val="clear" w:color="auto" w:fill="auto"/>
          </w:tcPr>
          <w:p w:rsidR="00A85EB3" w:rsidRDefault="00B07D03">
            <w:pPr>
              <w:spacing w:after="240"/>
              <w:jc w:val="center"/>
              <w:rPr>
                <w:rFonts w:eastAsia="Times New Roman"/>
                <w:i/>
                <w:color w:val="8DB3E2"/>
                <w:sz w:val="18"/>
                <w:szCs w:val="18"/>
                <w:lang w:val="en-US"/>
              </w:rPr>
            </w:pPr>
            <w:r>
              <w:rPr>
                <w:rFonts w:eastAsia="Times New Roman"/>
                <w:i/>
                <w:szCs w:val="24"/>
              </w:rPr>
              <w:t>н/п</w:t>
            </w:r>
          </w:p>
        </w:tc>
      </w:tr>
    </w:tbl>
    <w:p w:rsidR="00A85EB3" w:rsidRDefault="00B07D03">
      <w:pPr>
        <w:suppressAutoHyphens/>
        <w:spacing w:after="240"/>
        <w:ind w:left="851" w:hanging="851"/>
        <w:rPr>
          <w:rFonts w:eastAsia="Times New Roman"/>
          <w:b/>
          <w:lang w:val="en-US"/>
        </w:rPr>
      </w:pPr>
      <w:bookmarkStart w:id="49" w:name="_Toc408234896"/>
      <w:r>
        <w:rPr>
          <w:rStyle w:val="Heading3Char"/>
          <w:rFonts w:eastAsia="Calibri"/>
          <w:b/>
          <w:i w:val="0"/>
        </w:rPr>
        <w:t>2.1.5. Дейности, които ще бъдат подкрепяни по тематичния приоритет</w:t>
      </w:r>
      <w:bookmarkEnd w:id="49"/>
      <w:r>
        <w:rPr>
          <w:rFonts w:eastAsia="Times New Roman"/>
        </w:rPr>
        <w:t xml:space="preserve"> (по тематични приоритети)</w:t>
      </w:r>
    </w:p>
    <w:p w:rsidR="00A85EB3" w:rsidRDefault="00B07D03">
      <w:pPr>
        <w:pStyle w:val="Heading4"/>
        <w:numPr>
          <w:ilvl w:val="0"/>
          <w:numId w:val="0"/>
        </w:numPr>
        <w:ind w:left="850" w:hanging="850"/>
        <w:rPr>
          <w:b/>
          <w:i/>
          <w:lang w:val="en-US"/>
        </w:rPr>
      </w:pPr>
      <w:r>
        <w:rPr>
          <w:b/>
          <w:i/>
        </w:rPr>
        <w:t>2.1.5.1. Описание на вида и примери за дейности, които ще бъдат подпомогнати, и очакваният им принос към конкретните цели, включително, когато това е подходящо, определяне на основните целеви групи, конкретни целеви територии и видовете бенефициенти</w:t>
      </w:r>
    </w:p>
    <w:p w:rsidR="00A85EB3" w:rsidRDefault="00B07D03">
      <w:pPr>
        <w:rPr>
          <w:lang w:val="en-US"/>
        </w:rPr>
      </w:pPr>
      <w:r>
        <w:t>(Източник: буква(b)(iii) на чл. 8(2) от Регламент (ЕС) № 1299/2013)</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832"/>
      </w:tblGrid>
      <w:tr w:rsidR="000B5F72" w:rsidRPr="00981F6F" w:rsidTr="00A628D6">
        <w:trPr>
          <w:trHeight w:val="518"/>
        </w:trPr>
        <w:tc>
          <w:tcPr>
            <w:tcW w:w="2235" w:type="dxa"/>
            <w:shd w:val="clear" w:color="auto" w:fill="auto"/>
          </w:tcPr>
          <w:p w:rsidR="00A85EB3" w:rsidRDefault="00B07D03">
            <w:pPr>
              <w:spacing w:after="240"/>
              <w:rPr>
                <w:rFonts w:eastAsia="Times New Roman"/>
                <w:i/>
                <w:color w:val="8DB3E2"/>
                <w:sz w:val="18"/>
                <w:szCs w:val="18"/>
                <w:lang w:val="en-US"/>
              </w:rPr>
            </w:pPr>
            <w:r>
              <w:rPr>
                <w:rFonts w:eastAsia="Times New Roman"/>
                <w:i/>
              </w:rPr>
              <w:t>Тематичен приоритет</w:t>
            </w:r>
          </w:p>
        </w:tc>
        <w:tc>
          <w:tcPr>
            <w:tcW w:w="6832" w:type="dxa"/>
            <w:shd w:val="clear" w:color="auto" w:fill="auto"/>
          </w:tcPr>
          <w:p w:rsidR="00A85EB3" w:rsidRDefault="00B07D03" w:rsidP="004E5AB3">
            <w:pPr>
              <w:spacing w:after="240"/>
              <w:jc w:val="left"/>
              <w:rPr>
                <w:rFonts w:eastAsia="Times New Roman"/>
                <w:b/>
                <w:i/>
                <w:color w:val="8DB3E2"/>
                <w:szCs w:val="24"/>
                <w:lang w:val="en-US"/>
              </w:rPr>
            </w:pPr>
            <w:r>
              <w:rPr>
                <w:b/>
                <w:szCs w:val="24"/>
              </w:rPr>
              <w:t>(b): Опазване на околната среда и подпомагане на приспособяването към изменението на климата, предотвратяване и управление на рискове</w:t>
            </w:r>
          </w:p>
        </w:tc>
      </w:tr>
      <w:tr w:rsidR="000B5F72" w:rsidRPr="00981F6F" w:rsidTr="00A628D6">
        <w:trPr>
          <w:trHeight w:val="819"/>
        </w:trPr>
        <w:tc>
          <w:tcPr>
            <w:tcW w:w="9067" w:type="dxa"/>
            <w:gridSpan w:val="2"/>
            <w:shd w:val="clear" w:color="auto" w:fill="auto"/>
          </w:tcPr>
          <w:p w:rsidR="00A85EB3" w:rsidRDefault="00E96571">
            <w:pPr>
              <w:widowControl w:val="0"/>
              <w:spacing w:line="269" w:lineRule="auto"/>
              <w:rPr>
                <w:rFonts w:eastAsia="Times New Roman"/>
                <w:b/>
                <w:szCs w:val="24"/>
                <w:lang w:val="en-US"/>
              </w:rPr>
            </w:pPr>
            <w:r>
              <w:rPr>
                <w:rFonts w:eastAsia="Times New Roman"/>
                <w:b/>
                <w:szCs w:val="24"/>
              </w:rPr>
              <w:t>С</w:t>
            </w:r>
            <w:r w:rsidRPr="00E96571">
              <w:rPr>
                <w:rFonts w:eastAsia="Times New Roman"/>
                <w:b/>
                <w:szCs w:val="24"/>
              </w:rPr>
              <w:t>пецифична</w:t>
            </w:r>
            <w:r w:rsidR="00B07D03">
              <w:rPr>
                <w:rFonts w:eastAsia="Times New Roman"/>
                <w:b/>
                <w:szCs w:val="24"/>
              </w:rPr>
              <w:t xml:space="preserve"> цел 1.1 </w:t>
            </w:r>
            <w:r w:rsidR="00B07D03">
              <w:rPr>
                <w:b/>
                <w:szCs w:val="24"/>
                <w:lang w:eastAsia="ar-SA"/>
              </w:rPr>
              <w:t>Предотвратяване на рисковете и смекчаване на последиците от природните и предизвиканите от човека опасности и бедствия в географския район на ТГС</w:t>
            </w:r>
          </w:p>
          <w:p w:rsidR="00A85EB3" w:rsidRDefault="00B07D03">
            <w:pPr>
              <w:keepNext/>
              <w:widowControl w:val="0"/>
              <w:tabs>
                <w:tab w:val="num" w:pos="2262"/>
              </w:tabs>
              <w:spacing w:before="60" w:after="60"/>
              <w:rPr>
                <w:rFonts w:eastAsia="Times New Roman"/>
                <w:b/>
                <w:i/>
                <w:szCs w:val="24"/>
                <w:u w:val="single"/>
                <w:lang w:val="en-US" w:eastAsia="en-US"/>
              </w:rPr>
            </w:pPr>
            <w:r>
              <w:rPr>
                <w:rFonts w:eastAsia="Times New Roman"/>
                <w:b/>
                <w:i/>
                <w:szCs w:val="24"/>
                <w:u w:val="single"/>
                <w:lang w:eastAsia="en-US"/>
              </w:rPr>
              <w:t>Инвестиционни мерки:</w:t>
            </w:r>
          </w:p>
          <w:p w:rsidR="00A85EB3" w:rsidRDefault="00B07D03">
            <w:pPr>
              <w:widowControl w:val="0"/>
              <w:tabs>
                <w:tab w:val="num" w:pos="318"/>
              </w:tabs>
              <w:spacing w:before="60" w:after="60"/>
              <w:rPr>
                <w:rFonts w:eastAsia="Times New Roman"/>
                <w:b/>
                <w:szCs w:val="24"/>
                <w:lang w:val="en-US" w:eastAsia="en-US"/>
              </w:rPr>
            </w:pPr>
            <w:r>
              <w:rPr>
                <w:rFonts w:eastAsia="Times New Roman"/>
                <w:b/>
                <w:szCs w:val="24"/>
                <w:lang w:eastAsia="en-US"/>
              </w:rPr>
              <w:t>Системи за ранно предупреждение и управление при бедствия, оборудване/дълготрайни активи, интервенции от малък мащаб:</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Развитие на системи за ранно предупреждение и управление при бедствия.</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Инвестиции в доставки на оборудване/дълготрайни активи, свързани с устойчивостта на бедствия: съвременни решения от ИКТ за действие преди, по време на и след пожар; доставка на специализирано противопожарно оборудване; и за дейности по издирване и спасяване; доставка на система за въздушно наблюдение на терена и предаване на данни в реално време и други.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Подпомагане на дейности/инвестиции от малък мащаб: саниране и залесяване на брегове на реки; строеж съоръжения за борба с наводнения (диги, канали и др.); залесяване на временно уязвими земи; разчистване при извънредни ситуации; доставка на специализирано оборудване/дълготрайни активи за предотвратяване на наводнения и други.</w:t>
            </w:r>
          </w:p>
          <w:p w:rsidR="00A85EB3" w:rsidRDefault="00B07D03">
            <w:pPr>
              <w:keepNext/>
              <w:widowControl w:val="0"/>
              <w:tabs>
                <w:tab w:val="num" w:pos="2262"/>
              </w:tabs>
              <w:spacing w:before="60" w:after="60"/>
              <w:rPr>
                <w:rFonts w:eastAsia="Times New Roman"/>
                <w:b/>
                <w:i/>
                <w:szCs w:val="24"/>
                <w:u w:val="single"/>
                <w:lang w:val="en-US" w:eastAsia="en-US"/>
              </w:rPr>
            </w:pPr>
            <w:r>
              <w:rPr>
                <w:rFonts w:eastAsia="Times New Roman"/>
                <w:b/>
                <w:i/>
                <w:szCs w:val="24"/>
                <w:u w:val="single"/>
                <w:lang w:eastAsia="en-US"/>
              </w:rPr>
              <w:t>Меки мерки</w:t>
            </w:r>
          </w:p>
          <w:p w:rsidR="00A85EB3" w:rsidRDefault="00B07D03">
            <w:pPr>
              <w:keepNext/>
              <w:widowControl w:val="0"/>
              <w:tabs>
                <w:tab w:val="num" w:pos="2262"/>
              </w:tabs>
              <w:spacing w:before="60" w:after="60"/>
              <w:ind w:left="34"/>
              <w:rPr>
                <w:rFonts w:eastAsia="Times New Roman"/>
                <w:b/>
                <w:szCs w:val="24"/>
                <w:lang w:val="en-US" w:eastAsia="en-US"/>
              </w:rPr>
            </w:pPr>
            <w:r>
              <w:rPr>
                <w:rFonts w:eastAsia="Times New Roman"/>
                <w:b/>
                <w:szCs w:val="24"/>
                <w:lang w:eastAsia="en-US"/>
              </w:rPr>
              <w:lastRenderedPageBreak/>
              <w:t>Съвместни инициативи, стратегии, обучения, услуги, кампании за повишаване на осведомеността, обмен на опит:</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Разработка на съвместни стратегии/общи указания за предотвратяване на рискове при природни и предизвикани от човека бедствия (за политики и механизми за защита от и предотвратяване на бедствия, за превенция и борба срещу пожари, предотвратяване на наводнения и други).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Информационни кампании в областта на ефективното предотвратяване и управление на рискове.</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 xml:space="preserve">Провеждане на общи теоретико-тактически учения и обучение по места за управление на извънредни ситуации. </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Обучение в използването на ИКТ, в т .ч. въвеждане на нови методи.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 xml:space="preserve"> Обмен на опит и добри практики (посещения с учебна цел, кръгли маси, конференции и др.).</w:t>
            </w:r>
          </w:p>
          <w:p w:rsidR="00A85EB3" w:rsidRDefault="00B07D03">
            <w:pPr>
              <w:pStyle w:val="Tekstkader"/>
              <w:widowControl w:val="0"/>
              <w:numPr>
                <w:ilvl w:val="0"/>
                <w:numId w:val="56"/>
              </w:numPr>
              <w:pBdr>
                <w:left w:val="none" w:sz="0" w:space="0" w:color="auto"/>
              </w:pBdr>
              <w:tabs>
                <w:tab w:val="clear" w:pos="2262"/>
                <w:tab w:val="num" w:pos="376"/>
                <w:tab w:val="num" w:pos="459"/>
              </w:tabs>
              <w:suppressAutoHyphens w:val="0"/>
              <w:overflowPunct/>
              <w:autoSpaceDE/>
              <w:autoSpaceDN/>
              <w:adjustRightInd/>
              <w:spacing w:before="60" w:after="60" w:line="240" w:lineRule="auto"/>
              <w:ind w:left="376" w:hanging="376"/>
              <w:textAlignment w:val="auto"/>
              <w:rPr>
                <w:rFonts w:ascii="Times New Roman" w:hAnsi="Times New Roman"/>
                <w:color w:val="auto"/>
                <w:sz w:val="24"/>
                <w:szCs w:val="24"/>
                <w:lang w:val="en-US" w:eastAsia="en-US"/>
              </w:rPr>
            </w:pPr>
            <w:r>
              <w:rPr>
                <w:rFonts w:ascii="Times New Roman" w:hAnsi="Times New Roman"/>
                <w:color w:val="auto"/>
                <w:sz w:val="24"/>
                <w:szCs w:val="24"/>
                <w:lang w:eastAsia="en-US"/>
              </w:rPr>
              <w:t>Засилване на сътрудничеството в областта на управлението на водите и по-конкретно по въпросите на предотвратяването на наводнения.</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 xml:space="preserve">Съвместно обучение, кампании за подобряване осведомеността на публичните служби, </w:t>
            </w:r>
            <w:proofErr w:type="spellStart"/>
            <w:r>
              <w:rPr>
                <w:rFonts w:eastAsia="Times New Roman"/>
                <w:szCs w:val="24"/>
                <w:lang w:eastAsia="en-US"/>
              </w:rPr>
              <w:t>младежта</w:t>
            </w:r>
            <w:proofErr w:type="spellEnd"/>
            <w:r>
              <w:rPr>
                <w:rFonts w:eastAsia="Times New Roman"/>
                <w:szCs w:val="24"/>
                <w:lang w:eastAsia="en-US"/>
              </w:rPr>
              <w:t>, доброволците и други групи от населението относно устойчивостта на бедствия.</w:t>
            </w:r>
          </w:p>
          <w:p w:rsidR="00A85EB3" w:rsidRDefault="00B07D03">
            <w:pPr>
              <w:keepNext/>
              <w:widowControl w:val="0"/>
              <w:overflowPunct w:val="0"/>
              <w:autoSpaceDE w:val="0"/>
              <w:autoSpaceDN w:val="0"/>
              <w:adjustRightInd w:val="0"/>
              <w:spacing w:before="60" w:after="60" w:line="276" w:lineRule="auto"/>
              <w:textAlignment w:val="baseline"/>
              <w:rPr>
                <w:rFonts w:eastAsia="Times New Roman"/>
                <w:b/>
                <w:szCs w:val="24"/>
                <w:lang w:val="en-US" w:eastAsia="en-US"/>
              </w:rPr>
            </w:pPr>
            <w:r>
              <w:rPr>
                <w:rFonts w:eastAsia="Times New Roman"/>
                <w:b/>
                <w:szCs w:val="24"/>
                <w:lang w:eastAsia="en-US"/>
              </w:rPr>
              <w:t>ЦЕЛЕВИ ГРУПИ: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Всички равнища на местни/регионални органи на властта;</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Сдружения на местни/регионални органи и на други организации;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Регионални/местни служби и структури на централни държавни институции/администрации;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proofErr w:type="spellStart"/>
            <w:r>
              <w:rPr>
                <w:rFonts w:eastAsia="Times New Roman"/>
                <w:szCs w:val="24"/>
                <w:lang w:eastAsia="en-US"/>
              </w:rPr>
              <w:t>Еврорегиони</w:t>
            </w:r>
            <w:proofErr w:type="spellEnd"/>
            <w:r>
              <w:rPr>
                <w:rFonts w:eastAsia="Times New Roman"/>
                <w:szCs w:val="24"/>
                <w:lang w:eastAsia="en-US"/>
              </w:rPr>
              <w:t xml:space="preserve"> и други общи трансгранични структури и институции;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 xml:space="preserve">Администрации на защитени територии; </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Групи от населението на географския район на ТГС;</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Млади хора (на възраст до 29 г.).</w:t>
            </w:r>
          </w:p>
          <w:p w:rsidR="00A85EB3" w:rsidRDefault="00A85EB3">
            <w:pPr>
              <w:keepNext/>
              <w:widowControl w:val="0"/>
              <w:overflowPunct w:val="0"/>
              <w:autoSpaceDE w:val="0"/>
              <w:autoSpaceDN w:val="0"/>
              <w:adjustRightInd w:val="0"/>
              <w:spacing w:before="60" w:after="60" w:line="276" w:lineRule="auto"/>
              <w:textAlignment w:val="baseline"/>
              <w:rPr>
                <w:rFonts w:eastAsia="Times New Roman"/>
                <w:szCs w:val="24"/>
                <w:lang w:val="en-US" w:eastAsia="en-US"/>
              </w:rPr>
            </w:pPr>
          </w:p>
          <w:p w:rsidR="00A85EB3" w:rsidRDefault="00B07D03">
            <w:pPr>
              <w:keepNext/>
              <w:widowControl w:val="0"/>
              <w:overflowPunct w:val="0"/>
              <w:autoSpaceDE w:val="0"/>
              <w:autoSpaceDN w:val="0"/>
              <w:adjustRightInd w:val="0"/>
              <w:spacing w:before="60" w:after="60" w:line="276" w:lineRule="auto"/>
              <w:textAlignment w:val="baseline"/>
              <w:rPr>
                <w:rFonts w:eastAsia="Times New Roman"/>
                <w:b/>
                <w:szCs w:val="24"/>
                <w:lang w:val="en-US" w:eastAsia="en-US"/>
              </w:rPr>
            </w:pPr>
            <w:r>
              <w:rPr>
                <w:rFonts w:eastAsia="Times New Roman"/>
                <w:b/>
                <w:szCs w:val="24"/>
                <w:lang w:eastAsia="en-US"/>
              </w:rPr>
              <w:t>ВЪЗМОЖНИ БЕНЕФИЦИЕНТИ: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Всички равнища на местни/регионални органи на властта;</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Централни и регионални служби и структури на компетентни национални и държавни институции/администрации;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Ведомства за развитие на региони и сектори.</w:t>
            </w:r>
          </w:p>
          <w:p w:rsidR="00A85EB3" w:rsidRDefault="00A85EB3">
            <w:pPr>
              <w:keepNext/>
              <w:widowControl w:val="0"/>
              <w:overflowPunct w:val="0"/>
              <w:autoSpaceDE w:val="0"/>
              <w:autoSpaceDN w:val="0"/>
              <w:adjustRightInd w:val="0"/>
              <w:spacing w:before="60" w:after="60" w:line="276" w:lineRule="auto"/>
              <w:ind w:left="113"/>
              <w:textAlignment w:val="baseline"/>
              <w:rPr>
                <w:rFonts w:eastAsia="Times New Roman"/>
                <w:szCs w:val="24"/>
                <w:lang w:val="en-US" w:eastAsia="en-US"/>
              </w:rPr>
            </w:pPr>
          </w:p>
          <w:p w:rsidR="00A85EB3" w:rsidRDefault="00FC60CC">
            <w:pPr>
              <w:widowControl w:val="0"/>
              <w:spacing w:line="269" w:lineRule="auto"/>
              <w:rPr>
                <w:rFonts w:eastAsia="Times New Roman"/>
                <w:b/>
                <w:szCs w:val="24"/>
                <w:lang w:val="en-US"/>
              </w:rPr>
            </w:pPr>
            <w:r>
              <w:rPr>
                <w:rFonts w:eastAsia="Times New Roman"/>
                <w:b/>
                <w:szCs w:val="24"/>
              </w:rPr>
              <w:t>С</w:t>
            </w:r>
            <w:r w:rsidRPr="00FC60CC">
              <w:rPr>
                <w:rFonts w:eastAsia="Times New Roman"/>
                <w:b/>
                <w:szCs w:val="24"/>
              </w:rPr>
              <w:t>пецифична</w:t>
            </w:r>
            <w:r w:rsidR="00B07D03">
              <w:rPr>
                <w:rFonts w:eastAsia="Times New Roman"/>
                <w:b/>
                <w:szCs w:val="24"/>
              </w:rPr>
              <w:t xml:space="preserve"> цел 1.2: </w:t>
            </w:r>
            <w:r w:rsidR="00B07D03">
              <w:rPr>
                <w:b/>
                <w:szCs w:val="24"/>
                <w:lang w:eastAsia="ar-SA"/>
              </w:rPr>
              <w:t>Подобряване на капацитета за опазване на природата и устойчиво използване на общите природни ресурси в географския район на ТГС</w:t>
            </w:r>
          </w:p>
          <w:p w:rsidR="00A85EB3" w:rsidRDefault="00B07D03">
            <w:pPr>
              <w:keepNext/>
              <w:widowControl w:val="0"/>
              <w:tabs>
                <w:tab w:val="num" w:pos="2262"/>
              </w:tabs>
              <w:spacing w:before="60" w:after="60"/>
              <w:rPr>
                <w:rFonts w:eastAsia="Times New Roman"/>
                <w:b/>
                <w:i/>
                <w:szCs w:val="24"/>
                <w:u w:val="single"/>
                <w:lang w:val="en-US" w:eastAsia="en-US"/>
              </w:rPr>
            </w:pPr>
            <w:r>
              <w:rPr>
                <w:rFonts w:eastAsia="Times New Roman"/>
                <w:b/>
                <w:i/>
                <w:szCs w:val="24"/>
                <w:u w:val="single"/>
                <w:lang w:eastAsia="en-US"/>
              </w:rPr>
              <w:t>Инвестиционни мерки</w:t>
            </w:r>
          </w:p>
          <w:p w:rsidR="00A85EB3" w:rsidRDefault="00B07D03">
            <w:pPr>
              <w:keepNext/>
              <w:widowControl w:val="0"/>
              <w:tabs>
                <w:tab w:val="num" w:pos="2262"/>
              </w:tabs>
              <w:spacing w:before="60" w:after="60"/>
              <w:rPr>
                <w:rFonts w:eastAsia="Times New Roman"/>
                <w:b/>
                <w:szCs w:val="24"/>
                <w:lang w:val="en-US" w:eastAsia="en-US"/>
              </w:rPr>
            </w:pPr>
            <w:proofErr w:type="spellStart"/>
            <w:r>
              <w:rPr>
                <w:rFonts w:eastAsia="Times New Roman"/>
                <w:b/>
                <w:szCs w:val="24"/>
                <w:lang w:eastAsia="en-US"/>
              </w:rPr>
              <w:t>Екосъобразни</w:t>
            </w:r>
            <w:proofErr w:type="spellEnd"/>
            <w:r>
              <w:rPr>
                <w:rFonts w:eastAsia="Times New Roman"/>
                <w:b/>
                <w:szCs w:val="24"/>
                <w:lang w:eastAsia="en-US"/>
              </w:rPr>
              <w:t xml:space="preserve"> малки инвестиции: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proofErr w:type="spellStart"/>
            <w:r>
              <w:rPr>
                <w:rFonts w:eastAsia="Times New Roman"/>
                <w:szCs w:val="24"/>
                <w:lang w:eastAsia="en-US"/>
              </w:rPr>
              <w:t>Екосъобразни</w:t>
            </w:r>
            <w:proofErr w:type="spellEnd"/>
            <w:r>
              <w:rPr>
                <w:rFonts w:eastAsia="Times New Roman"/>
                <w:szCs w:val="24"/>
                <w:lang w:eastAsia="en-US"/>
              </w:rPr>
              <w:t xml:space="preserve"> малки по мащаб инвестиции за подобряване на достъпността на/до защитените природни местности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proofErr w:type="spellStart"/>
            <w:r>
              <w:rPr>
                <w:rFonts w:eastAsia="Times New Roman"/>
                <w:szCs w:val="24"/>
                <w:lang w:eastAsia="en-US"/>
              </w:rPr>
              <w:t>Екосъобразни</w:t>
            </w:r>
            <w:proofErr w:type="spellEnd"/>
            <w:r>
              <w:rPr>
                <w:rFonts w:eastAsia="Times New Roman"/>
                <w:szCs w:val="24"/>
                <w:lang w:eastAsia="en-US"/>
              </w:rPr>
              <w:t xml:space="preserve"> малки по мащаб инвестиции (зелена инфраструктура, опазване, защита и други)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lastRenderedPageBreak/>
              <w:t>Доставка на оборудване за опазване/запазване/наблюдение на екосистемите и контрол на замърсяването на реките/морето</w:t>
            </w:r>
          </w:p>
          <w:p w:rsidR="00A85EB3" w:rsidRDefault="00B07D03">
            <w:pPr>
              <w:keepNext/>
              <w:widowControl w:val="0"/>
              <w:tabs>
                <w:tab w:val="num" w:pos="2262"/>
              </w:tabs>
              <w:spacing w:before="60" w:after="60"/>
              <w:rPr>
                <w:rFonts w:eastAsia="Times New Roman"/>
                <w:b/>
                <w:i/>
                <w:szCs w:val="24"/>
                <w:u w:val="single"/>
                <w:lang w:val="en-US" w:eastAsia="en-US"/>
              </w:rPr>
            </w:pPr>
            <w:r>
              <w:rPr>
                <w:rFonts w:eastAsia="Times New Roman"/>
                <w:b/>
                <w:i/>
                <w:szCs w:val="24"/>
                <w:u w:val="single"/>
                <w:lang w:eastAsia="en-US"/>
              </w:rPr>
              <w:t>Меки мерки</w:t>
            </w:r>
          </w:p>
          <w:p w:rsidR="00A85EB3" w:rsidRDefault="00B07D03">
            <w:pPr>
              <w:keepNext/>
              <w:widowControl w:val="0"/>
              <w:tabs>
                <w:tab w:val="num" w:pos="2262"/>
              </w:tabs>
              <w:spacing w:before="60" w:after="60"/>
              <w:ind w:left="34"/>
              <w:rPr>
                <w:rFonts w:eastAsia="Times New Roman"/>
                <w:b/>
                <w:szCs w:val="24"/>
                <w:lang w:val="en-US" w:eastAsia="en-US"/>
              </w:rPr>
            </w:pPr>
            <w:r>
              <w:rPr>
                <w:rFonts w:eastAsia="Times New Roman"/>
                <w:b/>
                <w:szCs w:val="24"/>
                <w:lang w:eastAsia="en-US"/>
              </w:rPr>
              <w:t xml:space="preserve">Съвместни инициативи и сътрудничество, обмяна на опит и </w:t>
            </w:r>
            <w:proofErr w:type="spellStart"/>
            <w:r>
              <w:rPr>
                <w:rFonts w:eastAsia="Times New Roman"/>
                <w:b/>
                <w:szCs w:val="24"/>
                <w:lang w:eastAsia="en-US"/>
              </w:rPr>
              <w:t>ноу-хау</w:t>
            </w:r>
            <w:proofErr w:type="spellEnd"/>
            <w:r>
              <w:rPr>
                <w:rFonts w:eastAsia="Times New Roman"/>
                <w:b/>
                <w:szCs w:val="24"/>
                <w:lang w:eastAsia="en-US"/>
              </w:rPr>
              <w:t>, обучения и дейности за изграждане на капацитет:</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 xml:space="preserve">Съвместни инициативи, насочени към ефикасно управление на защитените територии </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Съвместни инициативи за защита на природата в Черно море и крайбрежните зони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 xml:space="preserve">Инициативи за изграждане на капацитет, обучение, обмен на опит и </w:t>
            </w:r>
            <w:proofErr w:type="spellStart"/>
            <w:r>
              <w:rPr>
                <w:rFonts w:eastAsia="Times New Roman"/>
                <w:szCs w:val="24"/>
                <w:lang w:eastAsia="en-US"/>
              </w:rPr>
              <w:t>ноу-хау</w:t>
            </w:r>
            <w:proofErr w:type="spellEnd"/>
            <w:r>
              <w:rPr>
                <w:rFonts w:eastAsia="Times New Roman"/>
                <w:szCs w:val="24"/>
                <w:lang w:eastAsia="en-US"/>
              </w:rPr>
              <w:t xml:space="preserve"> по въпроси, свързани с околната среда: опазване и подобряване на качеството на природните ресурси (въздух, почви, води); опазване и възстановяване на екосистеми и застрашени/защитени видове от растителния и животинския свят; устойчиво оползотворяване на ресурсите и рециклиране; управление на отпадъци; други свързани с това въпроси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Инициативи за сътрудничество между органи на местното управление, НПО и свързани с тях институции, образователни и обучителни институции, университети и научни институти в областта на околната среда, опазването на природата, безопасната и устойчива икономика с ниска въглеродна интензивност</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Разработване и изпълнение на съвместни кампании за подобряване на осведомеността в областта на околната среда и опазването на природата, включително екологично етикетиране на местни продукти</w:t>
            </w:r>
          </w:p>
          <w:p w:rsidR="00A85EB3" w:rsidRDefault="00B07D03">
            <w:pPr>
              <w:keepNext/>
              <w:widowControl w:val="0"/>
              <w:overflowPunct w:val="0"/>
              <w:autoSpaceDE w:val="0"/>
              <w:autoSpaceDN w:val="0"/>
              <w:adjustRightInd w:val="0"/>
              <w:spacing w:before="60" w:after="60" w:line="276" w:lineRule="auto"/>
              <w:textAlignment w:val="baseline"/>
              <w:rPr>
                <w:rFonts w:eastAsia="Times New Roman"/>
                <w:b/>
                <w:szCs w:val="24"/>
                <w:lang w:val="en-US" w:eastAsia="en-US"/>
              </w:rPr>
            </w:pPr>
            <w:r>
              <w:rPr>
                <w:rFonts w:eastAsia="Times New Roman"/>
                <w:b/>
                <w:szCs w:val="24"/>
                <w:lang w:eastAsia="en-US"/>
              </w:rPr>
              <w:t>ЦЕЛЕВИ ГРУПИ: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Всички равнища на местни/регионални органи на властта;</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Сдружения на местни/регионални органи и на други организации;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Регионални/местни служби и структури на централни държавни институции/администрации;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proofErr w:type="spellStart"/>
            <w:r>
              <w:rPr>
                <w:rFonts w:eastAsia="Times New Roman"/>
                <w:szCs w:val="24"/>
                <w:lang w:eastAsia="en-US"/>
              </w:rPr>
              <w:t>Еврорегиони</w:t>
            </w:r>
            <w:proofErr w:type="spellEnd"/>
            <w:r>
              <w:rPr>
                <w:rFonts w:eastAsia="Times New Roman"/>
                <w:szCs w:val="24"/>
                <w:lang w:eastAsia="en-US"/>
              </w:rPr>
              <w:t xml:space="preserve"> и други общи трансгранични структури и институции;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Университети и научни институции;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Образователни и учебни институции и организации;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Институции и организации, подкрепящи бизнеса – търговско-промишлени палати, сдружения на занаяти и др.;</w:t>
            </w:r>
          </w:p>
          <w:p w:rsidR="00A85EB3" w:rsidRPr="00EF4FB5"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Администрации на защитени територии;</w:t>
            </w:r>
          </w:p>
          <w:p w:rsidR="00EF4FB5" w:rsidRDefault="001D5571">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НПО</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Младежки организации;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Групи от населението на географския район на ТГС;</w:t>
            </w:r>
          </w:p>
          <w:p w:rsidR="00A85EB3" w:rsidRDefault="00B07D03">
            <w:pPr>
              <w:keepNext/>
              <w:widowControl w:val="0"/>
              <w:overflowPunct w:val="0"/>
              <w:autoSpaceDE w:val="0"/>
              <w:autoSpaceDN w:val="0"/>
              <w:adjustRightInd w:val="0"/>
              <w:spacing w:before="60" w:after="60" w:line="276" w:lineRule="auto"/>
              <w:textAlignment w:val="baseline"/>
              <w:rPr>
                <w:rFonts w:eastAsia="Times New Roman"/>
                <w:b/>
                <w:szCs w:val="24"/>
                <w:lang w:val="en-US" w:eastAsia="en-US"/>
              </w:rPr>
            </w:pPr>
            <w:r>
              <w:rPr>
                <w:rFonts w:eastAsia="Times New Roman"/>
                <w:b/>
                <w:szCs w:val="24"/>
                <w:lang w:eastAsia="en-US"/>
              </w:rPr>
              <w:t>ВЪЗМОЖНИ БЕНЕФИЦИЕНТИ: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Всички равнища на местни/регионални органи на властта;</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Сдружения на местни/регионални органи и на други организации;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Централни и регионални служби и структури на централни държавни институции/администрации;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Администрации на защитени територии;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proofErr w:type="spellStart"/>
            <w:r>
              <w:rPr>
                <w:rFonts w:eastAsia="Times New Roman"/>
                <w:szCs w:val="24"/>
                <w:lang w:eastAsia="en-US"/>
              </w:rPr>
              <w:t>Еврорегиони</w:t>
            </w:r>
            <w:proofErr w:type="spellEnd"/>
            <w:r>
              <w:rPr>
                <w:rFonts w:eastAsia="Times New Roman"/>
                <w:szCs w:val="24"/>
                <w:lang w:eastAsia="en-US"/>
              </w:rPr>
              <w:t xml:space="preserve"> и други общи трансгранични структури и институции;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lastRenderedPageBreak/>
              <w:t>Университети и научни институции;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Образователни и учебни институции и организации;</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Институции и организации, подкрепящи бизнеса – търговско-промишлени палати, сдружения на занаяти и др.;</w:t>
            </w:r>
          </w:p>
          <w:p w:rsidR="00A85EB3" w:rsidRDefault="00B07D03">
            <w:pPr>
              <w:widowControl w:val="0"/>
              <w:numPr>
                <w:ilvl w:val="0"/>
                <w:numId w:val="56"/>
              </w:numPr>
              <w:tabs>
                <w:tab w:val="num" w:pos="376"/>
                <w:tab w:val="num" w:pos="459"/>
              </w:tabs>
              <w:spacing w:before="60" w:after="60"/>
              <w:ind w:left="376" w:hanging="376"/>
              <w:rPr>
                <w:rFonts w:eastAsia="Times New Roman"/>
                <w:szCs w:val="24"/>
                <w:lang w:val="en-US" w:eastAsia="en-US"/>
              </w:rPr>
            </w:pPr>
            <w:r>
              <w:rPr>
                <w:rFonts w:eastAsia="Times New Roman"/>
                <w:szCs w:val="24"/>
                <w:lang w:eastAsia="en-US"/>
              </w:rPr>
              <w:t>НПО;</w:t>
            </w:r>
          </w:p>
          <w:p w:rsidR="00A85EB3" w:rsidRDefault="00B07D03">
            <w:pPr>
              <w:widowControl w:val="0"/>
              <w:numPr>
                <w:ilvl w:val="0"/>
                <w:numId w:val="56"/>
              </w:numPr>
              <w:tabs>
                <w:tab w:val="num" w:pos="376"/>
                <w:tab w:val="num" w:pos="459"/>
              </w:tabs>
              <w:spacing w:before="60" w:after="60"/>
              <w:ind w:left="376" w:hanging="376"/>
              <w:rPr>
                <w:rFonts w:eastAsia="Times New Roman"/>
                <w:i/>
                <w:sz w:val="18"/>
                <w:szCs w:val="18"/>
                <w:lang w:val="en-US"/>
              </w:rPr>
            </w:pPr>
            <w:r>
              <w:rPr>
                <w:rFonts w:eastAsia="Times New Roman"/>
                <w:szCs w:val="24"/>
                <w:lang w:eastAsia="en-US"/>
              </w:rPr>
              <w:t>Младежки организации;</w:t>
            </w:r>
          </w:p>
        </w:tc>
      </w:tr>
    </w:tbl>
    <w:p w:rsidR="00A85EB3" w:rsidRDefault="00A85EB3">
      <w:pPr>
        <w:pStyle w:val="Heading4"/>
        <w:numPr>
          <w:ilvl w:val="0"/>
          <w:numId w:val="0"/>
        </w:numPr>
        <w:rPr>
          <w:b/>
          <w:i/>
          <w:lang w:val="en-US"/>
        </w:rPr>
      </w:pPr>
    </w:p>
    <w:p w:rsidR="00A85EB3" w:rsidRDefault="00B07D03">
      <w:pPr>
        <w:pStyle w:val="Heading4"/>
        <w:numPr>
          <w:ilvl w:val="0"/>
          <w:numId w:val="0"/>
        </w:numPr>
        <w:rPr>
          <w:b/>
          <w:i/>
          <w:lang w:val="en-US"/>
        </w:rPr>
      </w:pPr>
      <w:r>
        <w:rPr>
          <w:b/>
          <w:i/>
        </w:rPr>
        <w:t xml:space="preserve">2.1.5.2. Ръководни принципи за избора на дейности </w:t>
      </w:r>
    </w:p>
    <w:p w:rsidR="00A85EB3" w:rsidRDefault="00B07D03">
      <w:pPr>
        <w:rPr>
          <w:lang w:val="en-US"/>
        </w:rPr>
      </w:pPr>
      <w:r>
        <w:t>(Източник: буква(b)(iii) на чл. 8(2) от Регламент (ЕС) № 1299/2013)</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832"/>
      </w:tblGrid>
      <w:tr w:rsidR="000B5F72" w:rsidRPr="00981F6F" w:rsidTr="00A628D6">
        <w:trPr>
          <w:trHeight w:val="518"/>
        </w:trPr>
        <w:tc>
          <w:tcPr>
            <w:tcW w:w="2235" w:type="dxa"/>
            <w:shd w:val="clear" w:color="auto" w:fill="auto"/>
          </w:tcPr>
          <w:p w:rsidR="00A85EB3" w:rsidRDefault="00B07D03">
            <w:pPr>
              <w:spacing w:after="240"/>
              <w:rPr>
                <w:rFonts w:eastAsia="Times New Roman"/>
                <w:i/>
                <w:color w:val="8DB3E2"/>
                <w:sz w:val="18"/>
                <w:szCs w:val="18"/>
                <w:lang w:val="en-US"/>
              </w:rPr>
            </w:pPr>
            <w:r>
              <w:rPr>
                <w:rFonts w:eastAsia="Times New Roman"/>
                <w:i/>
              </w:rPr>
              <w:t>Тематичен приоритет:</w:t>
            </w:r>
          </w:p>
        </w:tc>
        <w:tc>
          <w:tcPr>
            <w:tcW w:w="6832" w:type="dxa"/>
            <w:shd w:val="clear" w:color="auto" w:fill="auto"/>
          </w:tcPr>
          <w:p w:rsidR="00A85EB3" w:rsidRDefault="00B07D03">
            <w:pPr>
              <w:spacing w:after="240"/>
              <w:rPr>
                <w:rFonts w:eastAsia="Times New Roman"/>
                <w:b/>
                <w:color w:val="8DB3E2"/>
                <w:szCs w:val="24"/>
                <w:lang w:val="en-US"/>
              </w:rPr>
            </w:pPr>
            <w:r>
              <w:rPr>
                <w:b/>
                <w:szCs w:val="24"/>
              </w:rPr>
              <w:t>(b): Опазване на околната среда и подпомагане на приспособяването към изменението на климата, предотвратяване и управление на рискове</w:t>
            </w:r>
          </w:p>
        </w:tc>
      </w:tr>
      <w:tr w:rsidR="000B5F72" w:rsidRPr="00981F6F" w:rsidTr="00A628D6">
        <w:trPr>
          <w:trHeight w:val="1088"/>
        </w:trPr>
        <w:tc>
          <w:tcPr>
            <w:tcW w:w="9067" w:type="dxa"/>
            <w:gridSpan w:val="2"/>
            <w:shd w:val="clear" w:color="auto" w:fill="auto"/>
          </w:tcPr>
          <w:p w:rsidR="00A85EB3" w:rsidRDefault="00B07D03">
            <w:pPr>
              <w:spacing w:line="276" w:lineRule="auto"/>
              <w:rPr>
                <w:rFonts w:eastAsia="Times New Roman"/>
                <w:szCs w:val="24"/>
                <w:lang w:val="en-US"/>
              </w:rPr>
            </w:pPr>
            <w:r>
              <w:rPr>
                <w:szCs w:val="24"/>
              </w:rPr>
              <w:t xml:space="preserve">Изборът на дейностите ще бъде направен </w:t>
            </w:r>
            <w:r>
              <w:rPr>
                <w:i/>
                <w:szCs w:val="24"/>
                <w:u w:val="single"/>
              </w:rPr>
              <w:t>на равнище „конкретни цели“</w:t>
            </w:r>
            <w:r>
              <w:rPr>
                <w:szCs w:val="24"/>
              </w:rPr>
              <w:t xml:space="preserve">, например потенциалните бенефициенти ще кандидатстват със заявления по проекта, като се концентрират върху една </w:t>
            </w:r>
            <w:r w:rsidR="00142891" w:rsidRPr="00142891">
              <w:rPr>
                <w:szCs w:val="24"/>
              </w:rPr>
              <w:t>специфична</w:t>
            </w:r>
            <w:r w:rsidR="00142891">
              <w:rPr>
                <w:szCs w:val="24"/>
              </w:rPr>
              <w:t xml:space="preserve"> цел (С</w:t>
            </w:r>
            <w:r>
              <w:rPr>
                <w:szCs w:val="24"/>
              </w:rPr>
              <w:t>Ц) по Приоритетната ос. Операциите</w:t>
            </w:r>
            <w:r>
              <w:rPr>
                <w:rFonts w:eastAsia="Times New Roman"/>
                <w:szCs w:val="24"/>
              </w:rPr>
              <w:t xml:space="preserve"> по Програмата за трансгранично сътрудничество се избират от СКН (Съвместен комитет за наблюдение)</w:t>
            </w:r>
            <w:r>
              <w:rPr>
                <w:rStyle w:val="FootnoteReference"/>
                <w:rFonts w:eastAsia="Times New Roman"/>
                <w:szCs w:val="24"/>
              </w:rPr>
              <w:footnoteReference w:id="6"/>
            </w:r>
            <w:r>
              <w:rPr>
                <w:rFonts w:eastAsia="Times New Roman"/>
                <w:szCs w:val="24"/>
              </w:rPr>
              <w:t xml:space="preserve">. </w:t>
            </w:r>
            <w:r>
              <w:rPr>
                <w:rFonts w:eastAsia="Times New Roman"/>
                <w:i/>
                <w:szCs w:val="24"/>
                <w:u w:val="single"/>
                <w:lang w:eastAsia="en-US"/>
              </w:rPr>
              <w:t>Изборът на операциите са ръководи от следните общи принципи:</w:t>
            </w:r>
            <w:r>
              <w:rPr>
                <w:rFonts w:eastAsia="Times New Roman"/>
                <w:szCs w:val="24"/>
                <w:lang w:eastAsia="en-US"/>
              </w:rPr>
              <w:t xml:space="preserve"> </w:t>
            </w:r>
            <w:r>
              <w:rPr>
                <w:rFonts w:eastAsia="Times New Roman"/>
                <w:i/>
                <w:szCs w:val="24"/>
                <w:u w:val="single"/>
                <w:lang w:eastAsia="en-US"/>
              </w:rPr>
              <w:t>1) Характер на ТГС</w:t>
            </w:r>
            <w:r>
              <w:rPr>
                <w:rFonts w:eastAsia="Times New Roman"/>
                <w:b/>
                <w:szCs w:val="24"/>
                <w:lang w:eastAsia="en-US"/>
              </w:rPr>
              <w:t>:</w:t>
            </w:r>
            <w:r>
              <w:rPr>
                <w:rFonts w:eastAsia="Times New Roman"/>
                <w:szCs w:val="24"/>
                <w:lang w:eastAsia="en-US"/>
              </w:rPr>
              <w:t xml:space="preserve"> участие на бенефициенти от двете участващи държави; ясно идентифициране на трансграничната полза/влияние, ако дейността се изпълнява в една държава; </w:t>
            </w:r>
            <w:r>
              <w:rPr>
                <w:rFonts w:eastAsia="Times New Roman"/>
                <w:i/>
                <w:szCs w:val="24"/>
                <w:u w:val="single"/>
                <w:lang w:eastAsia="en-US"/>
              </w:rPr>
              <w:t>2) Партньорство:</w:t>
            </w:r>
            <w:r>
              <w:rPr>
                <w:rFonts w:eastAsia="Times New Roman"/>
                <w:szCs w:val="24"/>
                <w:lang w:eastAsia="en-US"/>
              </w:rPr>
              <w:t xml:space="preserve"> ангажираните в проекта партньори са допустими съгласно правилата на програмата; ангажираните с проекта партньори имат капацитет за управление на проекта; </w:t>
            </w:r>
            <w:r>
              <w:rPr>
                <w:rFonts w:eastAsia="Times New Roman"/>
                <w:i/>
                <w:szCs w:val="24"/>
                <w:u w:val="single"/>
                <w:lang w:eastAsia="en-US"/>
              </w:rPr>
              <w:t>3) Регионално значение:</w:t>
            </w:r>
            <w:r>
              <w:rPr>
                <w:rFonts w:eastAsia="Times New Roman"/>
                <w:szCs w:val="24"/>
                <w:lang w:eastAsia="en-US"/>
              </w:rPr>
              <w:t xml:space="preserve"> дейностите съответстват на идентифицираните потребности и предизвикателства в територията на ТГС; дейностите допринасят за икономическо, териториално и социално сближаване (в съответствие със Стратегия „Европа 2020“); </w:t>
            </w:r>
            <w:r>
              <w:rPr>
                <w:rFonts w:eastAsia="Times New Roman"/>
                <w:i/>
                <w:szCs w:val="24"/>
                <w:u w:val="single"/>
                <w:lang w:eastAsia="en-US"/>
              </w:rPr>
              <w:t>4) Стратегическо значение:</w:t>
            </w:r>
            <w:r>
              <w:rPr>
                <w:rFonts w:eastAsia="Times New Roman"/>
                <w:szCs w:val="24"/>
                <w:lang w:eastAsia="en-US"/>
              </w:rPr>
              <w:t xml:space="preserve"> дейностите са в съответствие с конкретните цели на приоритетната ос; дейностите са пряко свързани със стратегии и концепции на регионално и национално ниво; </w:t>
            </w:r>
            <w:r>
              <w:rPr>
                <w:rFonts w:eastAsia="Times New Roman"/>
                <w:i/>
                <w:szCs w:val="24"/>
                <w:u w:val="single"/>
                <w:lang w:eastAsia="en-US"/>
              </w:rPr>
              <w:t>5) Качество на дейностите:</w:t>
            </w:r>
            <w:r>
              <w:rPr>
                <w:rFonts w:eastAsia="Times New Roman"/>
                <w:szCs w:val="24"/>
                <w:lang w:eastAsia="en-US"/>
              </w:rPr>
              <w:t xml:space="preserve"> </w:t>
            </w:r>
            <w:proofErr w:type="spellStart"/>
            <w:r>
              <w:rPr>
                <w:rFonts w:eastAsia="Times New Roman"/>
                <w:szCs w:val="24"/>
                <w:lang w:eastAsia="en-US"/>
              </w:rPr>
              <w:t>дейностите</w:t>
            </w:r>
            <w:proofErr w:type="spellEnd"/>
            <w:r>
              <w:rPr>
                <w:rFonts w:eastAsia="Times New Roman"/>
                <w:szCs w:val="24"/>
                <w:lang w:eastAsia="en-US"/>
              </w:rPr>
              <w:t xml:space="preserve">/проектите са ясни и структурирани (логика на интервенцията); разходите по дейностите са ефективни; проектите се основават на концепцията за устойчиво развитие; </w:t>
            </w:r>
            <w:r>
              <w:rPr>
                <w:rFonts w:eastAsia="Times New Roman"/>
                <w:i/>
                <w:szCs w:val="24"/>
                <w:u w:val="single"/>
                <w:lang w:eastAsia="en-US"/>
              </w:rPr>
              <w:t>6) Хоризонтални принципи: (вж. Раздел 6)</w:t>
            </w:r>
          </w:p>
          <w:p w:rsidR="00A85EB3" w:rsidRDefault="00B07D03">
            <w:pPr>
              <w:keepNext/>
              <w:widowControl w:val="0"/>
              <w:overflowPunct w:val="0"/>
              <w:autoSpaceDE w:val="0"/>
              <w:autoSpaceDN w:val="0"/>
              <w:adjustRightInd w:val="0"/>
              <w:spacing w:before="60" w:after="60" w:line="276" w:lineRule="auto"/>
              <w:textAlignment w:val="baseline"/>
              <w:rPr>
                <w:rFonts w:eastAsia="Times New Roman"/>
                <w:szCs w:val="24"/>
                <w:lang w:val="en-US" w:eastAsia="en-US"/>
              </w:rPr>
            </w:pPr>
            <w:r>
              <w:rPr>
                <w:rFonts w:eastAsia="Times New Roman"/>
                <w:i/>
                <w:szCs w:val="24"/>
                <w:u w:val="single"/>
                <w:lang w:eastAsia="en-US"/>
              </w:rPr>
              <w:t>Тази Приоритетна ос ще бъде изпълнена чрез Покани за представяне на предложения и/или стратегически проекти.</w:t>
            </w:r>
            <w:r>
              <w:rPr>
                <w:rFonts w:eastAsia="Times New Roman"/>
                <w:b/>
                <w:szCs w:val="24"/>
                <w:lang w:eastAsia="en-US"/>
              </w:rPr>
              <w:t xml:space="preserve"> </w:t>
            </w:r>
            <w:r>
              <w:rPr>
                <w:rFonts w:eastAsia="Times New Roman"/>
                <w:i/>
                <w:szCs w:val="24"/>
                <w:u w:val="single"/>
                <w:lang w:eastAsia="en-US"/>
              </w:rPr>
              <w:t>Покани за представяне на предложения:</w:t>
            </w:r>
            <w:r>
              <w:rPr>
                <w:rFonts w:eastAsia="Times New Roman"/>
                <w:szCs w:val="24"/>
                <w:lang w:eastAsia="ar-SA"/>
              </w:rPr>
              <w:t xml:space="preserve"> Поканите за представяне на предложения се отнасят до механизъм, при който процесът на подбор се започва, за да се избере кандидат на конкурсна основа. До потенциалните бенефициенти се отправя покана за представяне на проектни предложения. Поканите за представяне на предложения се обявяват </w:t>
            </w:r>
            <w:r>
              <w:rPr>
                <w:rFonts w:eastAsia="Times New Roman"/>
                <w:szCs w:val="24"/>
                <w:lang w:eastAsia="ar-SA"/>
              </w:rPr>
              <w:lastRenderedPageBreak/>
              <w:t xml:space="preserve">публично. В Указанията за заявителите и анексите се предоставя информация за типа проекти, които ще бъдат разглеждани за финансиране, и за специфичните условия, които трябва да бъдат удовлетворени за всяка Покана за представяне на предложения. Само проекти, които са в пълно съответствие с критериите за подбор и възлагане, ще бъдат финансирани по решение на СКН. </w:t>
            </w:r>
            <w:r>
              <w:rPr>
                <w:i/>
                <w:szCs w:val="24"/>
                <w:u w:val="single"/>
              </w:rPr>
              <w:t>Стратегически проекти:</w:t>
            </w:r>
            <w:r>
              <w:rPr>
                <w:szCs w:val="24"/>
              </w:rPr>
              <w:t xml:space="preserve"> По тази Приоритетна ос могат да бъдат определяни стратегически проекти за постигане на целите на Програмата и специфичните за приоритета цели. Стратегическите проекти помагат за постигане на по-голямо въздействие чрез реално и силно трансгранично въздействие и дългосрочни резултати по отношение на целите на Програмата.</w:t>
            </w:r>
            <w:r>
              <w:rPr>
                <w:rFonts w:eastAsia="Times New Roman"/>
                <w:szCs w:val="24"/>
                <w:lang w:eastAsia="en-US"/>
              </w:rPr>
              <w:t>(вж. също Раздел 5.4).</w:t>
            </w:r>
          </w:p>
          <w:p w:rsidR="00A85EB3" w:rsidRDefault="00B07D03" w:rsidP="008D6ED5">
            <w:pPr>
              <w:spacing w:line="276" w:lineRule="auto"/>
              <w:rPr>
                <w:rFonts w:eastAsia="Times New Roman"/>
                <w:i/>
                <w:sz w:val="18"/>
                <w:szCs w:val="18"/>
                <w:lang w:val="en-US"/>
              </w:rPr>
            </w:pPr>
            <w:bookmarkStart w:id="50" w:name="_Toc386611738"/>
            <w:bookmarkEnd w:id="50"/>
            <w:r>
              <w:rPr>
                <w:rFonts w:eastAsiaTheme="minorHAnsi"/>
                <w:color w:val="000000"/>
                <w:szCs w:val="24"/>
                <w:lang w:eastAsia="en-US"/>
              </w:rPr>
              <w:t xml:space="preserve">Трябва да се осигури също ясно разграничение и взаимна </w:t>
            </w:r>
            <w:proofErr w:type="spellStart"/>
            <w:r>
              <w:rPr>
                <w:rFonts w:eastAsiaTheme="minorHAnsi"/>
                <w:color w:val="000000"/>
                <w:szCs w:val="24"/>
                <w:lang w:eastAsia="en-US"/>
              </w:rPr>
              <w:t>допълняемост</w:t>
            </w:r>
            <w:proofErr w:type="spellEnd"/>
            <w:r>
              <w:rPr>
                <w:rFonts w:eastAsiaTheme="minorHAnsi"/>
                <w:color w:val="000000"/>
                <w:szCs w:val="24"/>
                <w:lang w:eastAsia="en-US"/>
              </w:rPr>
              <w:t xml:space="preserve"> на ОП за ТГС България – Турция 2014–2020 г. и другите програми.  Това се отнася за съгласуване с: 1) други елементи на ЕТС (по-конкретно програмата за ЕТС Гърция – България, Балканско – Средиземноморската програма 2014–2020 г., Програмата за ТГС по ЕИС за Черноморския басейн 2014–2020 г.); 2) други програми или фондове на ЕС (за България: ЕСИФ, ОП „Околна среда </w:t>
            </w:r>
            <w:r w:rsidR="003A6822">
              <w:rPr>
                <w:rFonts w:eastAsiaTheme="minorHAnsi"/>
                <w:color w:val="000000"/>
                <w:szCs w:val="24"/>
                <w:lang w:eastAsia="en-US"/>
              </w:rPr>
              <w:t>2014</w:t>
            </w:r>
            <w:r>
              <w:rPr>
                <w:rFonts w:eastAsiaTheme="minorHAnsi"/>
                <w:color w:val="000000"/>
                <w:szCs w:val="24"/>
                <w:lang w:eastAsia="en-US"/>
              </w:rPr>
              <w:t xml:space="preserve">– </w:t>
            </w:r>
            <w:r w:rsidR="003A6822">
              <w:rPr>
                <w:rFonts w:eastAsiaTheme="minorHAnsi"/>
                <w:color w:val="000000"/>
                <w:szCs w:val="24"/>
                <w:lang w:eastAsia="en-US"/>
              </w:rPr>
              <w:t>2020</w:t>
            </w:r>
            <w:r>
              <w:rPr>
                <w:rFonts w:eastAsiaTheme="minorHAnsi"/>
                <w:color w:val="000000"/>
                <w:szCs w:val="24"/>
                <w:lang w:eastAsia="en-US"/>
              </w:rPr>
              <w:t>г.“, ОП „Програма за развитие на селските райони 2014–2020 г.“; за Турция: ОП „Околна среда 2014–2020 г.“) и 3) други програми/проекти с национално/регионално и друго финансиране от всяка държава–партньор. В това отношение трябва да стане възможно и да се поддържа в основни линии функционално сътрудничество по всички горепосочени програми на всеки етап на управление на програмния цикъл (УПЦ). Ще бъде създаден координационен механизъм, за да се откриват и избягват евентуални припокривания, както и за да се подпомага съгласуването между взаимно допълващите се програми, които се осъществяват през периода 2014–2020 г. (вж. Раздел 5.4).</w:t>
            </w:r>
          </w:p>
        </w:tc>
      </w:tr>
    </w:tbl>
    <w:p w:rsidR="00A85EB3" w:rsidRDefault="00A85EB3">
      <w:pPr>
        <w:rPr>
          <w:rStyle w:val="Heading4Char"/>
          <w:rFonts w:eastAsia="Calibri"/>
          <w:b/>
          <w:i/>
        </w:rPr>
      </w:pPr>
    </w:p>
    <w:p w:rsidR="00A85EB3" w:rsidRDefault="00B07D03">
      <w:pPr>
        <w:rPr>
          <w:lang w:val="en-US"/>
        </w:rPr>
      </w:pPr>
      <w:r>
        <w:rPr>
          <w:rStyle w:val="Heading4Char"/>
          <w:rFonts w:eastAsia="Calibri"/>
          <w:b/>
          <w:i/>
        </w:rPr>
        <w:t xml:space="preserve">2.1.5.3. Планирано използване на финансови инструменти </w:t>
      </w:r>
      <w:r>
        <w:t xml:space="preserve">(ако е уместно) </w:t>
      </w:r>
    </w:p>
    <w:p w:rsidR="00A85EB3" w:rsidRDefault="00B07D03">
      <w:pPr>
        <w:rPr>
          <w:lang w:val="en-US"/>
        </w:rPr>
      </w:pPr>
      <w:r>
        <w:t>(Източник: буква(b)(iii) на чл. 8(2) от Регламент (ЕС) № 1299/2013)</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9"/>
        <w:gridCol w:w="4728"/>
      </w:tblGrid>
      <w:tr w:rsidR="000B5F72" w:rsidRPr="00981F6F" w:rsidTr="00A628D6">
        <w:trPr>
          <w:trHeight w:val="518"/>
        </w:trPr>
        <w:tc>
          <w:tcPr>
            <w:tcW w:w="4339" w:type="dxa"/>
            <w:shd w:val="clear" w:color="auto" w:fill="auto"/>
          </w:tcPr>
          <w:p w:rsidR="00A85EB3" w:rsidRDefault="00B07D03">
            <w:pPr>
              <w:spacing w:before="0" w:after="0"/>
              <w:rPr>
                <w:rFonts w:eastAsia="Times New Roman"/>
                <w:i/>
                <w:color w:val="8DB3E2"/>
                <w:sz w:val="18"/>
                <w:szCs w:val="18"/>
                <w:lang w:val="en-US"/>
              </w:rPr>
            </w:pPr>
            <w:r>
              <w:rPr>
                <w:rFonts w:eastAsia="Times New Roman"/>
                <w:i/>
              </w:rPr>
              <w:t>Тематичен приоритет</w:t>
            </w:r>
          </w:p>
        </w:tc>
        <w:tc>
          <w:tcPr>
            <w:tcW w:w="4728" w:type="dxa"/>
            <w:shd w:val="clear" w:color="auto" w:fill="auto"/>
          </w:tcPr>
          <w:p w:rsidR="00A85EB3" w:rsidRDefault="00B07D03">
            <w:pPr>
              <w:spacing w:before="0" w:after="0"/>
              <w:jc w:val="center"/>
              <w:rPr>
                <w:rFonts w:eastAsia="Times New Roman"/>
                <w:b/>
                <w:i/>
                <w:szCs w:val="24"/>
                <w:lang w:val="en-US"/>
              </w:rPr>
            </w:pPr>
            <w:r>
              <w:rPr>
                <w:rFonts w:eastAsia="Times New Roman"/>
                <w:b/>
                <w:i/>
                <w:szCs w:val="24"/>
              </w:rPr>
              <w:t>н/п</w:t>
            </w:r>
          </w:p>
        </w:tc>
      </w:tr>
      <w:tr w:rsidR="000B5F72" w:rsidRPr="00981F6F" w:rsidTr="00A628D6">
        <w:trPr>
          <w:trHeight w:val="379"/>
        </w:trPr>
        <w:tc>
          <w:tcPr>
            <w:tcW w:w="4339" w:type="dxa"/>
            <w:shd w:val="clear" w:color="auto" w:fill="auto"/>
          </w:tcPr>
          <w:p w:rsidR="00A85EB3" w:rsidRDefault="00B07D03">
            <w:pPr>
              <w:spacing w:before="0" w:after="0"/>
              <w:rPr>
                <w:rFonts w:eastAsia="Times New Roman"/>
                <w:i/>
                <w:color w:val="8DB3E2"/>
                <w:sz w:val="18"/>
                <w:szCs w:val="18"/>
                <w:lang w:val="en-US"/>
              </w:rPr>
            </w:pPr>
            <w:r>
              <w:rPr>
                <w:rFonts w:eastAsia="Times New Roman"/>
                <w:i/>
              </w:rPr>
              <w:t>Планирано използване на финансови инструменти</w:t>
            </w:r>
          </w:p>
        </w:tc>
        <w:tc>
          <w:tcPr>
            <w:tcW w:w="4728" w:type="dxa"/>
            <w:shd w:val="clear" w:color="auto" w:fill="auto"/>
          </w:tcPr>
          <w:p w:rsidR="00A85EB3" w:rsidRDefault="00B07D03">
            <w:pPr>
              <w:spacing w:before="0" w:after="0"/>
              <w:jc w:val="center"/>
              <w:rPr>
                <w:rFonts w:eastAsia="Times New Roman"/>
                <w:b/>
                <w:i/>
                <w:szCs w:val="24"/>
                <w:lang w:val="en-US"/>
              </w:rPr>
            </w:pPr>
            <w:r>
              <w:rPr>
                <w:rFonts w:eastAsia="Times New Roman"/>
                <w:b/>
                <w:i/>
                <w:szCs w:val="24"/>
              </w:rPr>
              <w:t>н/п</w:t>
            </w:r>
          </w:p>
        </w:tc>
      </w:tr>
    </w:tbl>
    <w:p w:rsidR="00A85EB3" w:rsidRDefault="00A85EB3">
      <w:pPr>
        <w:tabs>
          <w:tab w:val="left" w:pos="720"/>
        </w:tabs>
        <w:rPr>
          <w:rFonts w:eastAsia="Times New Roman"/>
          <w:b/>
          <w:lang w:val="en-US"/>
        </w:rPr>
        <w:sectPr w:rsidR="00A85EB3" w:rsidSect="008B2B22">
          <w:headerReference w:type="default" r:id="rId27"/>
          <w:footerReference w:type="default" r:id="rId28"/>
          <w:headerReference w:type="first" r:id="rId29"/>
          <w:footerReference w:type="first" r:id="rId30"/>
          <w:pgSz w:w="11906" w:h="16838"/>
          <w:pgMar w:top="1021" w:right="1418" w:bottom="851" w:left="1418" w:header="601" w:footer="1077" w:gutter="0"/>
          <w:cols w:space="720"/>
          <w:docGrid w:linePitch="326"/>
        </w:sectPr>
      </w:pPr>
    </w:p>
    <w:p w:rsidR="00A85EB3" w:rsidRDefault="00B07D03">
      <w:pPr>
        <w:pStyle w:val="Heading3"/>
        <w:numPr>
          <w:ilvl w:val="0"/>
          <w:numId w:val="0"/>
        </w:numPr>
        <w:ind w:left="850" w:hanging="850"/>
        <w:rPr>
          <w:b/>
          <w:i w:val="0"/>
          <w:lang w:val="en-US"/>
        </w:rPr>
      </w:pPr>
      <w:bookmarkStart w:id="51" w:name="_Toc408234897"/>
      <w:r>
        <w:rPr>
          <w:b/>
          <w:i w:val="0"/>
        </w:rPr>
        <w:lastRenderedPageBreak/>
        <w:t>2.1.6 Общи показатели и показатели за конкретната програма</w:t>
      </w:r>
      <w:bookmarkEnd w:id="51"/>
      <w:r>
        <w:rPr>
          <w:b/>
          <w:i w:val="0"/>
        </w:rPr>
        <w:t xml:space="preserve"> </w:t>
      </w:r>
    </w:p>
    <w:p w:rsidR="00A85EB3" w:rsidRDefault="00B07D03">
      <w:pPr>
        <w:rPr>
          <w:lang w:val="en-US"/>
        </w:rPr>
      </w:pPr>
      <w:r>
        <w:t>(Източник: букви (b) (ii) и (b) (iv) на чл. 8(2) от Регламент (ЕС) № 1299/2013 и чл. 2(</w:t>
      </w:r>
      <w:proofErr w:type="spellStart"/>
      <w:r>
        <w:t>2</w:t>
      </w:r>
      <w:proofErr w:type="spellEnd"/>
      <w:r>
        <w:t>) от Регламента за изпълнение ИПП II)</w:t>
      </w:r>
    </w:p>
    <w:p w:rsidR="00A85EB3" w:rsidRDefault="00A85EB3">
      <w:pPr>
        <w:rPr>
          <w:b/>
          <w:i/>
          <w:lang w:val="en-US"/>
        </w:rPr>
      </w:pPr>
    </w:p>
    <w:p w:rsidR="00A85EB3" w:rsidRDefault="00B07D03">
      <w:pPr>
        <w:pStyle w:val="Heading4"/>
        <w:numPr>
          <w:ilvl w:val="0"/>
          <w:numId w:val="0"/>
        </w:numPr>
        <w:ind w:left="850" w:hanging="850"/>
        <w:rPr>
          <w:b/>
          <w:i/>
          <w:lang w:val="en-US"/>
        </w:rPr>
      </w:pPr>
      <w:r>
        <w:rPr>
          <w:b/>
          <w:i/>
        </w:rPr>
        <w:t>2.1.6.1 Показатели за резултатите за приоритетната ос (специфични за програмата)</w:t>
      </w:r>
    </w:p>
    <w:p w:rsidR="00A85EB3" w:rsidRDefault="00B07D03">
      <w:pPr>
        <w:rPr>
          <w:lang w:val="en-US"/>
        </w:rPr>
      </w:pPr>
      <w:r>
        <w:rPr>
          <w:b/>
        </w:rPr>
        <w:t xml:space="preserve">Таблица 3: Показатели за резултатите за конкретната програма </w:t>
      </w: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406"/>
        <w:gridCol w:w="1308"/>
        <w:gridCol w:w="1244"/>
        <w:gridCol w:w="991"/>
        <w:gridCol w:w="1276"/>
        <w:gridCol w:w="4251"/>
        <w:gridCol w:w="1276"/>
      </w:tblGrid>
      <w:tr w:rsidR="000A3C95" w:rsidRPr="00981F6F" w:rsidTr="00962A12">
        <w:trPr>
          <w:trHeight w:val="531"/>
        </w:trPr>
        <w:tc>
          <w:tcPr>
            <w:tcW w:w="280" w:type="pct"/>
            <w:tcBorders>
              <w:top w:val="single" w:sz="4" w:space="0" w:color="auto"/>
              <w:left w:val="single" w:sz="4" w:space="0" w:color="auto"/>
              <w:bottom w:val="single" w:sz="4" w:space="0" w:color="auto"/>
              <w:right w:val="single" w:sz="4" w:space="0" w:color="auto"/>
            </w:tcBorders>
          </w:tcPr>
          <w:p w:rsidR="00A85EB3" w:rsidRDefault="00B07D03">
            <w:pPr>
              <w:tabs>
                <w:tab w:val="left" w:pos="720"/>
              </w:tabs>
              <w:jc w:val="center"/>
              <w:rPr>
                <w:rFonts w:eastAsia="Times New Roman"/>
                <w:b/>
                <w:sz w:val="18"/>
                <w:szCs w:val="18"/>
                <w:lang w:val="en-US"/>
              </w:rPr>
            </w:pPr>
            <w:r>
              <w:rPr>
                <w:rFonts w:eastAsia="Times New Roman"/>
                <w:b/>
                <w:sz w:val="18"/>
                <w:szCs w:val="18"/>
              </w:rPr>
              <w:t>№</w:t>
            </w:r>
          </w:p>
        </w:tc>
        <w:tc>
          <w:tcPr>
            <w:tcW w:w="1169" w:type="pct"/>
            <w:tcBorders>
              <w:top w:val="single" w:sz="4" w:space="0" w:color="auto"/>
              <w:left w:val="single" w:sz="4" w:space="0" w:color="auto"/>
              <w:bottom w:val="single" w:sz="4" w:space="0" w:color="auto"/>
              <w:right w:val="single" w:sz="4" w:space="0" w:color="auto"/>
            </w:tcBorders>
            <w:hideMark/>
          </w:tcPr>
          <w:p w:rsidR="00A85EB3" w:rsidRDefault="00B07D03">
            <w:pPr>
              <w:tabs>
                <w:tab w:val="left" w:pos="720"/>
              </w:tabs>
              <w:jc w:val="center"/>
              <w:rPr>
                <w:rFonts w:eastAsia="Times New Roman"/>
                <w:b/>
                <w:sz w:val="18"/>
                <w:szCs w:val="18"/>
                <w:lang w:val="en-US"/>
              </w:rPr>
            </w:pPr>
            <w:r>
              <w:rPr>
                <w:rFonts w:eastAsia="Times New Roman"/>
                <w:b/>
                <w:sz w:val="18"/>
                <w:szCs w:val="18"/>
              </w:rPr>
              <w:t>Показател</w:t>
            </w:r>
          </w:p>
        </w:tc>
        <w:tc>
          <w:tcPr>
            <w:tcW w:w="449" w:type="pct"/>
            <w:tcBorders>
              <w:top w:val="single" w:sz="4" w:space="0" w:color="auto"/>
              <w:left w:val="single" w:sz="4" w:space="0" w:color="auto"/>
              <w:bottom w:val="single" w:sz="4" w:space="0" w:color="auto"/>
              <w:right w:val="single" w:sz="4" w:space="0" w:color="auto"/>
            </w:tcBorders>
            <w:hideMark/>
          </w:tcPr>
          <w:p w:rsidR="00A85EB3" w:rsidRDefault="00B07D03">
            <w:pPr>
              <w:snapToGrid w:val="0"/>
              <w:jc w:val="center"/>
              <w:rPr>
                <w:rFonts w:eastAsia="Times New Roman"/>
                <w:b/>
                <w:sz w:val="18"/>
                <w:szCs w:val="18"/>
                <w:lang w:val="en-US"/>
              </w:rPr>
            </w:pPr>
            <w:r>
              <w:rPr>
                <w:rFonts w:eastAsia="Times New Roman"/>
                <w:b/>
                <w:sz w:val="18"/>
                <w:szCs w:val="18"/>
              </w:rPr>
              <w:t>Мерна единица</w:t>
            </w:r>
          </w:p>
        </w:tc>
        <w:tc>
          <w:tcPr>
            <w:tcW w:w="427" w:type="pct"/>
            <w:tcBorders>
              <w:top w:val="single" w:sz="4" w:space="0" w:color="auto"/>
              <w:left w:val="single" w:sz="4" w:space="0" w:color="auto"/>
              <w:bottom w:val="single" w:sz="4" w:space="0" w:color="auto"/>
              <w:right w:val="single" w:sz="4" w:space="0" w:color="auto"/>
            </w:tcBorders>
            <w:hideMark/>
          </w:tcPr>
          <w:p w:rsidR="00A85EB3" w:rsidRDefault="00B07D03">
            <w:pPr>
              <w:tabs>
                <w:tab w:val="left" w:pos="720"/>
              </w:tabs>
              <w:jc w:val="center"/>
              <w:rPr>
                <w:rFonts w:eastAsia="Times New Roman"/>
                <w:b/>
                <w:sz w:val="18"/>
                <w:szCs w:val="18"/>
                <w:lang w:val="en-US"/>
              </w:rPr>
            </w:pPr>
            <w:r>
              <w:rPr>
                <w:rFonts w:eastAsia="Times New Roman"/>
                <w:b/>
                <w:sz w:val="18"/>
                <w:szCs w:val="18"/>
              </w:rPr>
              <w:t>Базова стойност</w:t>
            </w:r>
          </w:p>
        </w:tc>
        <w:tc>
          <w:tcPr>
            <w:tcW w:w="340" w:type="pct"/>
            <w:tcBorders>
              <w:top w:val="single" w:sz="4" w:space="0" w:color="auto"/>
              <w:left w:val="single" w:sz="4" w:space="0" w:color="auto"/>
              <w:bottom w:val="single" w:sz="4" w:space="0" w:color="auto"/>
              <w:right w:val="single" w:sz="4" w:space="0" w:color="auto"/>
            </w:tcBorders>
            <w:hideMark/>
          </w:tcPr>
          <w:p w:rsidR="00A85EB3" w:rsidRDefault="00B07D03">
            <w:pPr>
              <w:snapToGrid w:val="0"/>
              <w:jc w:val="center"/>
              <w:rPr>
                <w:rFonts w:eastAsia="Times New Roman"/>
                <w:b/>
                <w:sz w:val="18"/>
                <w:szCs w:val="18"/>
                <w:lang w:val="en-US"/>
              </w:rPr>
            </w:pPr>
            <w:r>
              <w:rPr>
                <w:rFonts w:eastAsia="Times New Roman"/>
                <w:b/>
                <w:sz w:val="18"/>
                <w:szCs w:val="18"/>
              </w:rPr>
              <w:t>Базова година</w:t>
            </w:r>
          </w:p>
        </w:tc>
        <w:tc>
          <w:tcPr>
            <w:tcW w:w="438" w:type="pct"/>
            <w:tcBorders>
              <w:top w:val="single" w:sz="4" w:space="0" w:color="auto"/>
              <w:left w:val="single" w:sz="4" w:space="0" w:color="auto"/>
              <w:bottom w:val="single" w:sz="4" w:space="0" w:color="auto"/>
              <w:right w:val="single" w:sz="4" w:space="0" w:color="auto"/>
            </w:tcBorders>
            <w:hideMark/>
          </w:tcPr>
          <w:p w:rsidR="00A85EB3" w:rsidRDefault="00B07D03">
            <w:pPr>
              <w:tabs>
                <w:tab w:val="left" w:pos="720"/>
              </w:tabs>
              <w:jc w:val="center"/>
              <w:rPr>
                <w:rFonts w:eastAsia="Times New Roman"/>
                <w:b/>
                <w:sz w:val="18"/>
                <w:szCs w:val="18"/>
                <w:lang w:val="en-US"/>
              </w:rPr>
            </w:pPr>
            <w:r>
              <w:rPr>
                <w:rFonts w:eastAsia="Times New Roman"/>
                <w:b/>
                <w:sz w:val="18"/>
                <w:szCs w:val="18"/>
              </w:rPr>
              <w:t>Целеви показател (2023 г.)</w:t>
            </w:r>
            <w:r>
              <w:rPr>
                <w:rStyle w:val="FootnoteReference"/>
                <w:rFonts w:eastAsia="Times New Roman"/>
                <w:b/>
                <w:sz w:val="18"/>
                <w:szCs w:val="18"/>
              </w:rPr>
              <w:footnoteReference w:id="7"/>
            </w:r>
          </w:p>
        </w:tc>
        <w:tc>
          <w:tcPr>
            <w:tcW w:w="1459" w:type="pct"/>
            <w:tcBorders>
              <w:top w:val="single" w:sz="4" w:space="0" w:color="auto"/>
              <w:left w:val="single" w:sz="4" w:space="0" w:color="auto"/>
              <w:bottom w:val="single" w:sz="4" w:space="0" w:color="auto"/>
              <w:right w:val="single" w:sz="4" w:space="0" w:color="auto"/>
            </w:tcBorders>
            <w:hideMark/>
          </w:tcPr>
          <w:p w:rsidR="00A85EB3" w:rsidRDefault="00B07D03">
            <w:pPr>
              <w:tabs>
                <w:tab w:val="left" w:pos="720"/>
              </w:tabs>
              <w:jc w:val="center"/>
              <w:rPr>
                <w:rFonts w:eastAsia="Times New Roman"/>
                <w:b/>
                <w:sz w:val="18"/>
                <w:szCs w:val="18"/>
                <w:lang w:val="en-US"/>
              </w:rPr>
            </w:pPr>
            <w:r>
              <w:rPr>
                <w:rFonts w:eastAsia="Times New Roman"/>
                <w:b/>
                <w:sz w:val="18"/>
                <w:szCs w:val="18"/>
              </w:rPr>
              <w:t>Източник на данни</w:t>
            </w:r>
          </w:p>
        </w:tc>
        <w:tc>
          <w:tcPr>
            <w:tcW w:w="438" w:type="pct"/>
            <w:tcBorders>
              <w:top w:val="single" w:sz="4" w:space="0" w:color="auto"/>
              <w:left w:val="single" w:sz="4" w:space="0" w:color="auto"/>
              <w:bottom w:val="single" w:sz="4" w:space="0" w:color="auto"/>
              <w:right w:val="single" w:sz="4" w:space="0" w:color="auto"/>
            </w:tcBorders>
          </w:tcPr>
          <w:p w:rsidR="00A85EB3" w:rsidRDefault="00B07D03">
            <w:pPr>
              <w:tabs>
                <w:tab w:val="left" w:pos="720"/>
              </w:tabs>
              <w:jc w:val="center"/>
              <w:rPr>
                <w:rFonts w:eastAsia="Times New Roman"/>
                <w:b/>
                <w:sz w:val="18"/>
                <w:szCs w:val="18"/>
                <w:lang w:val="en-US"/>
              </w:rPr>
            </w:pPr>
            <w:r>
              <w:rPr>
                <w:rFonts w:eastAsia="Times New Roman"/>
                <w:b/>
                <w:sz w:val="18"/>
                <w:szCs w:val="18"/>
              </w:rPr>
              <w:t>Честота на отчитане</w:t>
            </w:r>
          </w:p>
        </w:tc>
      </w:tr>
      <w:tr w:rsidR="000A3C95" w:rsidRPr="00981F6F" w:rsidTr="00962A12">
        <w:trPr>
          <w:trHeight w:val="870"/>
        </w:trPr>
        <w:tc>
          <w:tcPr>
            <w:tcW w:w="280" w:type="pct"/>
            <w:tcBorders>
              <w:top w:val="single" w:sz="4" w:space="0" w:color="auto"/>
              <w:left w:val="single" w:sz="4" w:space="0" w:color="auto"/>
              <w:bottom w:val="single" w:sz="4" w:space="0" w:color="auto"/>
              <w:right w:val="single" w:sz="4" w:space="0" w:color="auto"/>
            </w:tcBorders>
          </w:tcPr>
          <w:p w:rsidR="00A85EB3" w:rsidRDefault="00A85EB3">
            <w:pPr>
              <w:tabs>
                <w:tab w:val="left" w:pos="720"/>
              </w:tabs>
              <w:spacing w:before="0" w:after="0"/>
              <w:jc w:val="center"/>
              <w:rPr>
                <w:rFonts w:eastAsia="Times New Roman"/>
                <w:b/>
                <w:i/>
                <w:sz w:val="18"/>
                <w:szCs w:val="18"/>
                <w:lang w:val="en-US"/>
              </w:rPr>
            </w:pPr>
          </w:p>
          <w:p w:rsidR="00A85EB3" w:rsidRDefault="00A85EB3">
            <w:pPr>
              <w:tabs>
                <w:tab w:val="left" w:pos="720"/>
              </w:tabs>
              <w:spacing w:before="0" w:after="0"/>
              <w:jc w:val="center"/>
              <w:rPr>
                <w:rFonts w:eastAsia="Times New Roman"/>
                <w:b/>
                <w:i/>
                <w:sz w:val="18"/>
                <w:szCs w:val="18"/>
                <w:lang w:val="en-US"/>
              </w:rPr>
            </w:pPr>
          </w:p>
          <w:p w:rsidR="00A85EB3" w:rsidRDefault="00A85EB3">
            <w:pPr>
              <w:tabs>
                <w:tab w:val="left" w:pos="720"/>
              </w:tabs>
              <w:spacing w:before="0" w:after="0"/>
              <w:jc w:val="center"/>
              <w:rPr>
                <w:rFonts w:eastAsia="Times New Roman"/>
                <w:b/>
                <w:i/>
                <w:sz w:val="18"/>
                <w:szCs w:val="18"/>
                <w:lang w:val="en-US"/>
              </w:rPr>
            </w:pPr>
          </w:p>
          <w:p w:rsidR="00A85EB3" w:rsidRDefault="00B07D03">
            <w:pPr>
              <w:tabs>
                <w:tab w:val="left" w:pos="720"/>
              </w:tabs>
              <w:spacing w:before="0" w:after="0"/>
              <w:jc w:val="center"/>
              <w:rPr>
                <w:rFonts w:eastAsia="Times New Roman"/>
                <w:b/>
                <w:sz w:val="18"/>
                <w:szCs w:val="18"/>
                <w:lang w:val="en-US"/>
              </w:rPr>
            </w:pPr>
            <w:r>
              <w:rPr>
                <w:rFonts w:eastAsia="Times New Roman"/>
                <w:b/>
                <w:i/>
                <w:sz w:val="18"/>
                <w:szCs w:val="18"/>
              </w:rPr>
              <w:t>1.</w:t>
            </w:r>
            <w:proofErr w:type="spellStart"/>
            <w:r>
              <w:rPr>
                <w:rFonts w:eastAsia="Times New Roman"/>
                <w:b/>
                <w:i/>
                <w:sz w:val="18"/>
                <w:szCs w:val="18"/>
              </w:rPr>
              <w:t>1</w:t>
            </w:r>
            <w:proofErr w:type="spellEnd"/>
            <w:r>
              <w:rPr>
                <w:rFonts w:eastAsia="Times New Roman"/>
                <w:b/>
                <w:i/>
                <w:sz w:val="18"/>
                <w:szCs w:val="18"/>
              </w:rPr>
              <w:t>.1</w:t>
            </w:r>
          </w:p>
        </w:tc>
        <w:tc>
          <w:tcPr>
            <w:tcW w:w="1169" w:type="pct"/>
            <w:tcBorders>
              <w:top w:val="single" w:sz="4" w:space="0" w:color="auto"/>
              <w:left w:val="single" w:sz="4" w:space="0" w:color="auto"/>
              <w:bottom w:val="single" w:sz="4" w:space="0" w:color="auto"/>
              <w:right w:val="single" w:sz="4" w:space="0" w:color="auto"/>
            </w:tcBorders>
          </w:tcPr>
          <w:p w:rsidR="00A85EB3" w:rsidRDefault="00A85EB3">
            <w:pPr>
              <w:widowControl w:val="0"/>
              <w:overflowPunct w:val="0"/>
              <w:autoSpaceDE w:val="0"/>
              <w:autoSpaceDN w:val="0"/>
              <w:adjustRightInd w:val="0"/>
              <w:spacing w:before="0" w:after="0"/>
              <w:textAlignment w:val="baseline"/>
              <w:rPr>
                <w:sz w:val="18"/>
                <w:szCs w:val="18"/>
                <w:lang w:val="en-US" w:eastAsia="en-US"/>
              </w:rPr>
            </w:pPr>
          </w:p>
          <w:p w:rsidR="00A85EB3" w:rsidRDefault="00A85EB3">
            <w:pPr>
              <w:widowControl w:val="0"/>
              <w:overflowPunct w:val="0"/>
              <w:autoSpaceDE w:val="0"/>
              <w:autoSpaceDN w:val="0"/>
              <w:adjustRightInd w:val="0"/>
              <w:spacing w:before="0" w:after="0"/>
              <w:textAlignment w:val="baseline"/>
              <w:rPr>
                <w:sz w:val="18"/>
                <w:szCs w:val="18"/>
                <w:lang w:val="en-US" w:eastAsia="en-US"/>
              </w:rPr>
            </w:pPr>
          </w:p>
          <w:p w:rsidR="00A85EB3" w:rsidRDefault="00A85EB3">
            <w:pPr>
              <w:widowControl w:val="0"/>
              <w:overflowPunct w:val="0"/>
              <w:autoSpaceDE w:val="0"/>
              <w:autoSpaceDN w:val="0"/>
              <w:adjustRightInd w:val="0"/>
              <w:spacing w:before="0" w:after="0"/>
              <w:textAlignment w:val="baseline"/>
              <w:rPr>
                <w:sz w:val="18"/>
                <w:szCs w:val="18"/>
                <w:lang w:val="en-US" w:eastAsia="en-US"/>
              </w:rPr>
            </w:pPr>
          </w:p>
          <w:p w:rsidR="00A85EB3" w:rsidRDefault="00B07D03">
            <w:pPr>
              <w:widowControl w:val="0"/>
              <w:overflowPunct w:val="0"/>
              <w:autoSpaceDE w:val="0"/>
              <w:autoSpaceDN w:val="0"/>
              <w:adjustRightInd w:val="0"/>
              <w:spacing w:before="0" w:after="0"/>
              <w:textAlignment w:val="baseline"/>
              <w:rPr>
                <w:sz w:val="18"/>
                <w:szCs w:val="18"/>
                <w:lang w:val="en-US" w:eastAsia="en-US"/>
              </w:rPr>
            </w:pPr>
            <w:r>
              <w:rPr>
                <w:sz w:val="18"/>
                <w:szCs w:val="18"/>
                <w:lang w:eastAsia="en-US"/>
              </w:rPr>
              <w:t>Повече съвместни дейности в областта на превенцията и управлението на риска</w:t>
            </w:r>
          </w:p>
          <w:p w:rsidR="00A85EB3" w:rsidRDefault="00B07D03">
            <w:pPr>
              <w:tabs>
                <w:tab w:val="left" w:pos="720"/>
              </w:tabs>
              <w:spacing w:before="0" w:after="0"/>
              <w:rPr>
                <w:rFonts w:eastAsia="Times New Roman"/>
                <w:b/>
                <w:sz w:val="18"/>
                <w:szCs w:val="18"/>
                <w:lang w:val="en-US"/>
              </w:rPr>
            </w:pPr>
            <w:r>
              <w:rPr>
                <w:sz w:val="18"/>
                <w:szCs w:val="18"/>
                <w:lang w:eastAsia="en-US"/>
              </w:rPr>
              <w:t>(количествена цел)</w:t>
            </w:r>
          </w:p>
        </w:tc>
        <w:tc>
          <w:tcPr>
            <w:tcW w:w="449" w:type="pct"/>
            <w:tcBorders>
              <w:top w:val="single" w:sz="4" w:space="0" w:color="auto"/>
              <w:left w:val="single" w:sz="4" w:space="0" w:color="auto"/>
              <w:bottom w:val="single" w:sz="4" w:space="0" w:color="auto"/>
              <w:right w:val="single" w:sz="4" w:space="0" w:color="auto"/>
            </w:tcBorders>
          </w:tcPr>
          <w:p w:rsidR="00A85EB3" w:rsidRDefault="00A85EB3">
            <w:pPr>
              <w:snapToGrid w:val="0"/>
              <w:spacing w:before="0" w:after="0"/>
              <w:jc w:val="center"/>
              <w:rPr>
                <w:rFonts w:eastAsia="Times New Roman"/>
                <w:i/>
                <w:sz w:val="18"/>
                <w:szCs w:val="18"/>
                <w:lang w:val="en-US"/>
              </w:rPr>
            </w:pPr>
          </w:p>
          <w:p w:rsidR="00A85EB3" w:rsidRDefault="00A85EB3">
            <w:pPr>
              <w:snapToGrid w:val="0"/>
              <w:spacing w:before="0" w:after="0"/>
              <w:jc w:val="center"/>
              <w:rPr>
                <w:rFonts w:eastAsia="Times New Roman"/>
                <w:i/>
                <w:sz w:val="18"/>
                <w:szCs w:val="18"/>
                <w:lang w:val="en-US"/>
              </w:rPr>
            </w:pPr>
          </w:p>
          <w:p w:rsidR="00A85EB3" w:rsidRDefault="00A85EB3">
            <w:pPr>
              <w:snapToGrid w:val="0"/>
              <w:spacing w:before="0" w:after="0"/>
              <w:jc w:val="center"/>
              <w:rPr>
                <w:rFonts w:eastAsia="Times New Roman"/>
                <w:i/>
                <w:sz w:val="18"/>
                <w:szCs w:val="18"/>
                <w:lang w:val="en-US"/>
              </w:rPr>
            </w:pPr>
          </w:p>
          <w:p w:rsidR="00A85EB3" w:rsidRDefault="00B07D03">
            <w:pPr>
              <w:snapToGrid w:val="0"/>
              <w:spacing w:before="0" w:after="0"/>
              <w:jc w:val="center"/>
              <w:rPr>
                <w:rFonts w:eastAsia="Times New Roman"/>
                <w:b/>
                <w:sz w:val="18"/>
                <w:szCs w:val="18"/>
                <w:lang w:val="en-US"/>
              </w:rPr>
            </w:pPr>
            <w:r>
              <w:rPr>
                <w:rFonts w:eastAsia="Times New Roman"/>
                <w:i/>
                <w:sz w:val="18"/>
                <w:szCs w:val="18"/>
              </w:rPr>
              <w:t>%</w:t>
            </w:r>
          </w:p>
        </w:tc>
        <w:tc>
          <w:tcPr>
            <w:tcW w:w="427" w:type="pct"/>
            <w:tcBorders>
              <w:top w:val="single" w:sz="4" w:space="0" w:color="auto"/>
              <w:left w:val="single" w:sz="4" w:space="0" w:color="auto"/>
              <w:bottom w:val="single" w:sz="4" w:space="0" w:color="auto"/>
              <w:right w:val="single" w:sz="4" w:space="0" w:color="auto"/>
            </w:tcBorders>
            <w:vAlign w:val="center"/>
          </w:tcPr>
          <w:p w:rsidR="00A85EB3" w:rsidRDefault="00B07D03">
            <w:pPr>
              <w:tabs>
                <w:tab w:val="left" w:pos="720"/>
              </w:tabs>
              <w:spacing w:before="0" w:after="0"/>
              <w:jc w:val="center"/>
              <w:rPr>
                <w:rFonts w:eastAsia="Times New Roman"/>
                <w:sz w:val="18"/>
                <w:szCs w:val="18"/>
                <w:lang w:val="en-US"/>
              </w:rPr>
            </w:pPr>
            <w:r>
              <w:rPr>
                <w:rFonts w:eastAsia="Times New Roman"/>
                <w:sz w:val="18"/>
                <w:szCs w:val="18"/>
              </w:rPr>
              <w:t>9</w:t>
            </w:r>
          </w:p>
        </w:tc>
        <w:tc>
          <w:tcPr>
            <w:tcW w:w="340" w:type="pct"/>
            <w:tcBorders>
              <w:top w:val="single" w:sz="4" w:space="0" w:color="auto"/>
              <w:left w:val="single" w:sz="4" w:space="0" w:color="auto"/>
              <w:bottom w:val="single" w:sz="4" w:space="0" w:color="auto"/>
              <w:right w:val="single" w:sz="4" w:space="0" w:color="auto"/>
            </w:tcBorders>
          </w:tcPr>
          <w:p w:rsidR="00A85EB3" w:rsidRDefault="00A85EB3">
            <w:pPr>
              <w:snapToGrid w:val="0"/>
              <w:spacing w:before="0" w:after="0"/>
              <w:jc w:val="center"/>
              <w:rPr>
                <w:rFonts w:eastAsia="Times New Roman"/>
                <w:sz w:val="18"/>
                <w:szCs w:val="18"/>
                <w:lang w:val="en-US"/>
              </w:rPr>
            </w:pPr>
          </w:p>
          <w:p w:rsidR="00A85EB3" w:rsidRDefault="00A85EB3">
            <w:pPr>
              <w:snapToGrid w:val="0"/>
              <w:spacing w:before="0" w:after="0"/>
              <w:jc w:val="center"/>
              <w:rPr>
                <w:rFonts w:eastAsia="Times New Roman"/>
                <w:sz w:val="18"/>
                <w:szCs w:val="18"/>
                <w:lang w:val="en-US"/>
              </w:rPr>
            </w:pPr>
          </w:p>
          <w:p w:rsidR="00A85EB3" w:rsidRDefault="00A85EB3">
            <w:pPr>
              <w:snapToGrid w:val="0"/>
              <w:spacing w:before="0" w:after="0"/>
              <w:jc w:val="center"/>
              <w:rPr>
                <w:rFonts w:eastAsia="Times New Roman"/>
                <w:sz w:val="18"/>
                <w:szCs w:val="18"/>
                <w:lang w:val="en-US"/>
              </w:rPr>
            </w:pPr>
          </w:p>
          <w:p w:rsidR="00A85EB3" w:rsidRDefault="00B07D03">
            <w:pPr>
              <w:snapToGrid w:val="0"/>
              <w:spacing w:before="0" w:after="0"/>
              <w:jc w:val="center"/>
              <w:rPr>
                <w:rFonts w:eastAsia="Times New Roman"/>
                <w:sz w:val="18"/>
                <w:szCs w:val="18"/>
                <w:lang w:val="en-US"/>
              </w:rPr>
            </w:pPr>
            <w:r>
              <w:rPr>
                <w:rFonts w:eastAsia="Times New Roman"/>
                <w:sz w:val="18"/>
                <w:szCs w:val="18"/>
              </w:rPr>
              <w:t>2013</w:t>
            </w:r>
          </w:p>
        </w:tc>
        <w:tc>
          <w:tcPr>
            <w:tcW w:w="438" w:type="pct"/>
            <w:tcBorders>
              <w:top w:val="single" w:sz="4" w:space="0" w:color="auto"/>
              <w:left w:val="single" w:sz="4" w:space="0" w:color="auto"/>
              <w:bottom w:val="single" w:sz="4" w:space="0" w:color="auto"/>
              <w:right w:val="single" w:sz="4" w:space="0" w:color="auto"/>
            </w:tcBorders>
          </w:tcPr>
          <w:p w:rsidR="00A85EB3" w:rsidRDefault="00A85EB3">
            <w:pPr>
              <w:tabs>
                <w:tab w:val="left" w:pos="720"/>
              </w:tabs>
              <w:spacing w:before="0" w:after="0"/>
              <w:jc w:val="center"/>
              <w:rPr>
                <w:rFonts w:eastAsia="Times New Roman"/>
                <w:sz w:val="18"/>
                <w:szCs w:val="18"/>
                <w:lang w:val="en-US"/>
              </w:rPr>
            </w:pPr>
          </w:p>
          <w:p w:rsidR="00A85EB3" w:rsidRDefault="00A85EB3">
            <w:pPr>
              <w:tabs>
                <w:tab w:val="left" w:pos="720"/>
              </w:tabs>
              <w:spacing w:before="0" w:after="0"/>
              <w:jc w:val="center"/>
              <w:rPr>
                <w:rFonts w:eastAsia="Times New Roman"/>
                <w:sz w:val="18"/>
                <w:szCs w:val="18"/>
                <w:lang w:val="en-US"/>
              </w:rPr>
            </w:pPr>
          </w:p>
          <w:p w:rsidR="00A85EB3" w:rsidRDefault="00A85EB3">
            <w:pPr>
              <w:tabs>
                <w:tab w:val="left" w:pos="720"/>
              </w:tabs>
              <w:spacing w:before="0" w:after="0"/>
              <w:jc w:val="center"/>
              <w:rPr>
                <w:rFonts w:eastAsia="Times New Roman"/>
                <w:sz w:val="18"/>
                <w:szCs w:val="18"/>
                <w:lang w:val="en-US"/>
              </w:rPr>
            </w:pPr>
          </w:p>
          <w:p w:rsidR="00A85EB3" w:rsidRDefault="00B07D03">
            <w:pPr>
              <w:tabs>
                <w:tab w:val="left" w:pos="720"/>
              </w:tabs>
              <w:spacing w:before="0" w:after="0"/>
              <w:jc w:val="center"/>
              <w:rPr>
                <w:rFonts w:eastAsia="Times New Roman"/>
                <w:sz w:val="18"/>
                <w:szCs w:val="18"/>
                <w:lang w:val="en-US"/>
              </w:rPr>
            </w:pPr>
            <w:r>
              <w:rPr>
                <w:rFonts w:eastAsia="Times New Roman"/>
                <w:sz w:val="18"/>
                <w:szCs w:val="18"/>
              </w:rPr>
              <w:t>Увеличение с най-малко 60 %</w:t>
            </w:r>
          </w:p>
        </w:tc>
        <w:tc>
          <w:tcPr>
            <w:tcW w:w="1459" w:type="pct"/>
            <w:tcBorders>
              <w:top w:val="single" w:sz="4" w:space="0" w:color="auto"/>
              <w:left w:val="single" w:sz="4" w:space="0" w:color="auto"/>
              <w:bottom w:val="single" w:sz="4" w:space="0" w:color="auto"/>
              <w:right w:val="single" w:sz="4" w:space="0" w:color="auto"/>
            </w:tcBorders>
          </w:tcPr>
          <w:p w:rsidR="00A85EB3" w:rsidRDefault="00B07D03">
            <w:pPr>
              <w:keepNext/>
              <w:widowControl w:val="0"/>
              <w:overflowPunct w:val="0"/>
              <w:autoSpaceDE w:val="0"/>
              <w:autoSpaceDN w:val="0"/>
              <w:adjustRightInd w:val="0"/>
              <w:spacing w:before="0" w:after="0"/>
              <w:jc w:val="center"/>
              <w:textAlignment w:val="baseline"/>
              <w:rPr>
                <w:rFonts w:eastAsia="Times New Roman"/>
                <w:sz w:val="18"/>
                <w:szCs w:val="18"/>
                <w:u w:val="single"/>
                <w:lang w:val="en-US" w:eastAsia="en-US"/>
              </w:rPr>
            </w:pPr>
            <w:r>
              <w:rPr>
                <w:rFonts w:eastAsia="Times New Roman"/>
                <w:sz w:val="18"/>
                <w:szCs w:val="18"/>
                <w:u w:val="single"/>
                <w:lang w:eastAsia="en-US"/>
              </w:rPr>
              <w:t>Базова стойност:</w:t>
            </w:r>
          </w:p>
          <w:p w:rsidR="00A85EB3" w:rsidRDefault="00B07D03">
            <w:pPr>
              <w:keepNext/>
              <w:widowControl w:val="0"/>
              <w:overflowPunct w:val="0"/>
              <w:autoSpaceDE w:val="0"/>
              <w:autoSpaceDN w:val="0"/>
              <w:adjustRightInd w:val="0"/>
              <w:spacing w:before="0" w:after="0"/>
              <w:jc w:val="center"/>
              <w:textAlignment w:val="baseline"/>
              <w:rPr>
                <w:rFonts w:eastAsia="Times New Roman"/>
                <w:sz w:val="18"/>
                <w:szCs w:val="18"/>
                <w:lang w:val="en-US" w:eastAsia="en-US"/>
              </w:rPr>
            </w:pPr>
            <w:r>
              <w:rPr>
                <w:rFonts w:eastAsia="Times New Roman"/>
                <w:sz w:val="18"/>
                <w:szCs w:val="18"/>
                <w:lang w:eastAsia="en-US"/>
              </w:rPr>
              <w:t>Изпълнение на програма ФАР</w:t>
            </w:r>
          </w:p>
          <w:p w:rsidR="00A85EB3" w:rsidRDefault="00B07D03">
            <w:pPr>
              <w:keepNext/>
              <w:widowControl w:val="0"/>
              <w:overflowPunct w:val="0"/>
              <w:autoSpaceDE w:val="0"/>
              <w:autoSpaceDN w:val="0"/>
              <w:adjustRightInd w:val="0"/>
              <w:spacing w:before="0" w:after="0"/>
              <w:jc w:val="center"/>
              <w:textAlignment w:val="baseline"/>
              <w:rPr>
                <w:rFonts w:eastAsia="Times New Roman"/>
                <w:sz w:val="18"/>
                <w:szCs w:val="18"/>
                <w:lang w:val="en-US" w:eastAsia="nl-NL"/>
              </w:rPr>
            </w:pPr>
            <w:r>
              <w:rPr>
                <w:rFonts w:eastAsia="Times New Roman"/>
                <w:sz w:val="18"/>
                <w:szCs w:val="18"/>
                <w:lang w:eastAsia="nl-NL"/>
              </w:rPr>
              <w:t>Доклади за напредъка и Годишни доклади за изпълнението на ТГС по ИПП България – Турция 2007–2013 г.</w:t>
            </w:r>
          </w:p>
          <w:p w:rsidR="00A85EB3" w:rsidRDefault="00B07D03">
            <w:pPr>
              <w:keepNext/>
              <w:widowControl w:val="0"/>
              <w:overflowPunct w:val="0"/>
              <w:autoSpaceDE w:val="0"/>
              <w:autoSpaceDN w:val="0"/>
              <w:adjustRightInd w:val="0"/>
              <w:spacing w:before="0" w:after="0"/>
              <w:jc w:val="center"/>
              <w:textAlignment w:val="baseline"/>
              <w:rPr>
                <w:rFonts w:eastAsia="Times New Roman"/>
                <w:sz w:val="18"/>
                <w:szCs w:val="18"/>
                <w:u w:val="single"/>
                <w:lang w:val="en-US" w:eastAsia="en-US"/>
              </w:rPr>
            </w:pPr>
            <w:r>
              <w:rPr>
                <w:rFonts w:eastAsia="Times New Roman"/>
                <w:sz w:val="18"/>
                <w:szCs w:val="18"/>
                <w:u w:val="single"/>
                <w:lang w:eastAsia="en-US"/>
              </w:rPr>
              <w:t>Постигнати резултати:</w:t>
            </w:r>
          </w:p>
          <w:p w:rsidR="00A85EB3" w:rsidRDefault="00B07D03">
            <w:pPr>
              <w:keepNext/>
              <w:widowControl w:val="0"/>
              <w:overflowPunct w:val="0"/>
              <w:autoSpaceDE w:val="0"/>
              <w:autoSpaceDN w:val="0"/>
              <w:adjustRightInd w:val="0"/>
              <w:spacing w:before="0" w:after="0"/>
              <w:jc w:val="center"/>
              <w:textAlignment w:val="baseline"/>
              <w:rPr>
                <w:rFonts w:eastAsia="Times New Roman"/>
                <w:b/>
                <w:sz w:val="18"/>
                <w:szCs w:val="18"/>
                <w:lang w:val="en-US"/>
              </w:rPr>
            </w:pPr>
            <w:r>
              <w:rPr>
                <w:rFonts w:eastAsia="Times New Roman"/>
                <w:sz w:val="18"/>
                <w:szCs w:val="18"/>
                <w:lang w:eastAsia="nl-NL"/>
              </w:rPr>
              <w:t>Доклади за напредъка и Годишни доклади за изпълнението на ТГС по ИПП България – Турция 2014–2020 г.</w:t>
            </w:r>
          </w:p>
        </w:tc>
        <w:tc>
          <w:tcPr>
            <w:tcW w:w="438" w:type="pct"/>
            <w:tcBorders>
              <w:top w:val="single" w:sz="4" w:space="0" w:color="auto"/>
              <w:left w:val="single" w:sz="4" w:space="0" w:color="auto"/>
              <w:bottom w:val="single" w:sz="4" w:space="0" w:color="auto"/>
              <w:right w:val="single" w:sz="4" w:space="0" w:color="auto"/>
            </w:tcBorders>
          </w:tcPr>
          <w:p w:rsidR="00A85EB3" w:rsidRDefault="00A85EB3">
            <w:pPr>
              <w:spacing w:before="0" w:after="0"/>
              <w:jc w:val="center"/>
              <w:rPr>
                <w:rFonts w:eastAsia="Times New Roman"/>
                <w:sz w:val="18"/>
                <w:szCs w:val="18"/>
                <w:lang w:val="en-US"/>
              </w:rPr>
            </w:pPr>
          </w:p>
          <w:p w:rsidR="00A85EB3" w:rsidRDefault="00A85EB3">
            <w:pPr>
              <w:spacing w:before="0" w:after="0"/>
              <w:jc w:val="center"/>
              <w:rPr>
                <w:rFonts w:eastAsia="Times New Roman"/>
                <w:sz w:val="18"/>
                <w:szCs w:val="18"/>
                <w:lang w:val="en-US"/>
              </w:rPr>
            </w:pPr>
          </w:p>
          <w:p w:rsidR="00A85EB3" w:rsidRDefault="00B07D03">
            <w:pPr>
              <w:spacing w:before="0" w:after="0"/>
              <w:jc w:val="center"/>
              <w:rPr>
                <w:rFonts w:eastAsia="Times New Roman"/>
                <w:sz w:val="18"/>
                <w:szCs w:val="18"/>
                <w:lang w:val="en-US"/>
              </w:rPr>
            </w:pPr>
            <w:r>
              <w:rPr>
                <w:rFonts w:eastAsia="Times New Roman"/>
                <w:sz w:val="18"/>
                <w:szCs w:val="18"/>
              </w:rPr>
              <w:t>2018</w:t>
            </w:r>
          </w:p>
          <w:p w:rsidR="00A85EB3" w:rsidRDefault="00B07D03">
            <w:pPr>
              <w:spacing w:before="0" w:after="0"/>
              <w:jc w:val="center"/>
              <w:rPr>
                <w:rFonts w:eastAsia="Times New Roman"/>
                <w:b/>
                <w:sz w:val="18"/>
                <w:szCs w:val="18"/>
                <w:lang w:val="en-US"/>
              </w:rPr>
            </w:pPr>
            <w:r>
              <w:rPr>
                <w:rFonts w:eastAsia="Times New Roman"/>
                <w:sz w:val="18"/>
                <w:szCs w:val="18"/>
              </w:rPr>
              <w:t>2023</w:t>
            </w:r>
          </w:p>
        </w:tc>
      </w:tr>
      <w:tr w:rsidR="000A3C95" w:rsidRPr="00981F6F" w:rsidTr="00962A12">
        <w:trPr>
          <w:trHeight w:val="870"/>
        </w:trPr>
        <w:tc>
          <w:tcPr>
            <w:tcW w:w="280" w:type="pct"/>
            <w:tcBorders>
              <w:top w:val="single" w:sz="4" w:space="0" w:color="auto"/>
              <w:left w:val="single" w:sz="4" w:space="0" w:color="auto"/>
              <w:bottom w:val="single" w:sz="4" w:space="0" w:color="auto"/>
              <w:right w:val="single" w:sz="4" w:space="0" w:color="auto"/>
            </w:tcBorders>
          </w:tcPr>
          <w:p w:rsidR="00A85EB3" w:rsidRDefault="00A85EB3">
            <w:pPr>
              <w:tabs>
                <w:tab w:val="left" w:pos="720"/>
              </w:tabs>
              <w:spacing w:before="0" w:after="0"/>
              <w:jc w:val="center"/>
              <w:rPr>
                <w:rFonts w:eastAsia="Times New Roman"/>
                <w:b/>
                <w:i/>
                <w:sz w:val="18"/>
                <w:szCs w:val="18"/>
                <w:lang w:val="en-US"/>
              </w:rPr>
            </w:pPr>
          </w:p>
          <w:p w:rsidR="00A85EB3" w:rsidRDefault="00A85EB3">
            <w:pPr>
              <w:tabs>
                <w:tab w:val="left" w:pos="720"/>
              </w:tabs>
              <w:spacing w:before="0" w:after="0"/>
              <w:jc w:val="center"/>
              <w:rPr>
                <w:rFonts w:eastAsia="Times New Roman"/>
                <w:b/>
                <w:i/>
                <w:sz w:val="18"/>
                <w:szCs w:val="18"/>
                <w:lang w:val="en-US"/>
              </w:rPr>
            </w:pPr>
          </w:p>
          <w:p w:rsidR="00A85EB3" w:rsidRDefault="00B07D03">
            <w:pPr>
              <w:tabs>
                <w:tab w:val="left" w:pos="720"/>
              </w:tabs>
              <w:spacing w:before="0" w:after="0"/>
              <w:jc w:val="center"/>
              <w:rPr>
                <w:rFonts w:eastAsia="Times New Roman"/>
                <w:b/>
                <w:i/>
                <w:sz w:val="18"/>
                <w:szCs w:val="18"/>
                <w:lang w:val="en-US"/>
              </w:rPr>
            </w:pPr>
            <w:r>
              <w:rPr>
                <w:rFonts w:eastAsia="Times New Roman"/>
                <w:b/>
                <w:i/>
                <w:sz w:val="18"/>
                <w:szCs w:val="18"/>
              </w:rPr>
              <w:t>1.</w:t>
            </w:r>
            <w:proofErr w:type="spellStart"/>
            <w:r>
              <w:rPr>
                <w:rFonts w:eastAsia="Times New Roman"/>
                <w:b/>
                <w:i/>
                <w:sz w:val="18"/>
                <w:szCs w:val="18"/>
              </w:rPr>
              <w:t>1</w:t>
            </w:r>
            <w:proofErr w:type="spellEnd"/>
            <w:r>
              <w:rPr>
                <w:rFonts w:eastAsia="Times New Roman"/>
                <w:b/>
                <w:i/>
                <w:sz w:val="18"/>
                <w:szCs w:val="18"/>
              </w:rPr>
              <w:t>.2</w:t>
            </w:r>
          </w:p>
        </w:tc>
        <w:tc>
          <w:tcPr>
            <w:tcW w:w="1169" w:type="pct"/>
            <w:tcBorders>
              <w:top w:val="single" w:sz="4" w:space="0" w:color="auto"/>
              <w:left w:val="single" w:sz="4" w:space="0" w:color="auto"/>
              <w:bottom w:val="single" w:sz="4" w:space="0" w:color="auto"/>
              <w:right w:val="single" w:sz="4" w:space="0" w:color="auto"/>
            </w:tcBorders>
          </w:tcPr>
          <w:p w:rsidR="00A85EB3" w:rsidRDefault="00A85EB3">
            <w:pPr>
              <w:pStyle w:val="ListParagraph"/>
              <w:widowControl w:val="0"/>
              <w:overflowPunct w:val="0"/>
              <w:autoSpaceDE w:val="0"/>
              <w:autoSpaceDN w:val="0"/>
              <w:adjustRightInd w:val="0"/>
              <w:spacing w:after="0"/>
              <w:ind w:left="0"/>
              <w:textAlignment w:val="baseline"/>
              <w:rPr>
                <w:sz w:val="18"/>
                <w:szCs w:val="18"/>
                <w:lang w:val="en-US" w:eastAsia="en-US"/>
              </w:rPr>
            </w:pPr>
          </w:p>
          <w:p w:rsidR="00A85EB3" w:rsidRDefault="00A85EB3">
            <w:pPr>
              <w:pStyle w:val="ListParagraph"/>
              <w:widowControl w:val="0"/>
              <w:overflowPunct w:val="0"/>
              <w:autoSpaceDE w:val="0"/>
              <w:autoSpaceDN w:val="0"/>
              <w:adjustRightInd w:val="0"/>
              <w:spacing w:after="0"/>
              <w:ind w:left="0"/>
              <w:textAlignment w:val="baseline"/>
              <w:rPr>
                <w:sz w:val="18"/>
                <w:szCs w:val="18"/>
                <w:lang w:val="en-US" w:eastAsia="en-US"/>
              </w:rPr>
            </w:pPr>
          </w:p>
          <w:p w:rsidR="00A85EB3" w:rsidRDefault="00B07D03">
            <w:pPr>
              <w:pStyle w:val="ListParagraph"/>
              <w:widowControl w:val="0"/>
              <w:overflowPunct w:val="0"/>
              <w:autoSpaceDE w:val="0"/>
              <w:autoSpaceDN w:val="0"/>
              <w:adjustRightInd w:val="0"/>
              <w:spacing w:after="0"/>
              <w:ind w:left="0"/>
              <w:textAlignment w:val="baseline"/>
              <w:rPr>
                <w:sz w:val="18"/>
                <w:szCs w:val="18"/>
                <w:lang w:val="en-US" w:eastAsia="en-US"/>
              </w:rPr>
            </w:pPr>
            <w:r>
              <w:rPr>
                <w:sz w:val="18"/>
                <w:szCs w:val="18"/>
                <w:lang w:eastAsia="en-US"/>
              </w:rPr>
              <w:t xml:space="preserve">Повече съвместни инициативи в областта на превенцията и управлението на риска </w:t>
            </w:r>
          </w:p>
          <w:p w:rsidR="00A85EB3" w:rsidRDefault="00B07D03">
            <w:pPr>
              <w:widowControl w:val="0"/>
              <w:overflowPunct w:val="0"/>
              <w:autoSpaceDE w:val="0"/>
              <w:autoSpaceDN w:val="0"/>
              <w:adjustRightInd w:val="0"/>
              <w:spacing w:before="0" w:after="0"/>
              <w:textAlignment w:val="baseline"/>
              <w:rPr>
                <w:sz w:val="18"/>
                <w:szCs w:val="18"/>
                <w:lang w:val="en-US" w:eastAsia="en-US"/>
              </w:rPr>
            </w:pPr>
            <w:r>
              <w:rPr>
                <w:sz w:val="18"/>
                <w:szCs w:val="18"/>
                <w:lang w:eastAsia="en-US"/>
              </w:rPr>
              <w:t>(количествена цел)</w:t>
            </w:r>
          </w:p>
        </w:tc>
        <w:tc>
          <w:tcPr>
            <w:tcW w:w="449" w:type="pct"/>
            <w:tcBorders>
              <w:top w:val="single" w:sz="4" w:space="0" w:color="auto"/>
              <w:left w:val="single" w:sz="4" w:space="0" w:color="auto"/>
              <w:bottom w:val="single" w:sz="4" w:space="0" w:color="auto"/>
              <w:right w:val="single" w:sz="4" w:space="0" w:color="auto"/>
            </w:tcBorders>
          </w:tcPr>
          <w:p w:rsidR="00A85EB3" w:rsidRDefault="00A85EB3">
            <w:pPr>
              <w:snapToGrid w:val="0"/>
              <w:spacing w:before="0" w:after="0"/>
              <w:jc w:val="center"/>
              <w:rPr>
                <w:rFonts w:eastAsia="Times New Roman"/>
                <w:i/>
                <w:sz w:val="18"/>
                <w:szCs w:val="18"/>
                <w:lang w:val="en-US"/>
              </w:rPr>
            </w:pPr>
          </w:p>
          <w:p w:rsidR="00A85EB3" w:rsidRDefault="00A85EB3">
            <w:pPr>
              <w:snapToGrid w:val="0"/>
              <w:spacing w:before="0" w:after="0"/>
              <w:jc w:val="center"/>
              <w:rPr>
                <w:rFonts w:eastAsia="Times New Roman"/>
                <w:i/>
                <w:sz w:val="18"/>
                <w:szCs w:val="18"/>
                <w:lang w:val="en-US"/>
              </w:rPr>
            </w:pPr>
          </w:p>
          <w:p w:rsidR="00A85EB3" w:rsidRDefault="00A85EB3">
            <w:pPr>
              <w:snapToGrid w:val="0"/>
              <w:spacing w:before="0" w:after="0"/>
              <w:jc w:val="center"/>
              <w:rPr>
                <w:rFonts w:eastAsia="Times New Roman"/>
                <w:i/>
                <w:sz w:val="18"/>
                <w:szCs w:val="18"/>
                <w:lang w:val="en-US"/>
              </w:rPr>
            </w:pPr>
          </w:p>
          <w:p w:rsidR="00A85EB3" w:rsidRDefault="00B07D03">
            <w:pPr>
              <w:snapToGrid w:val="0"/>
              <w:spacing w:before="0" w:after="0"/>
              <w:jc w:val="center"/>
              <w:rPr>
                <w:rFonts w:eastAsia="Times New Roman"/>
                <w:i/>
                <w:color w:val="8DB3E2"/>
                <w:sz w:val="18"/>
                <w:szCs w:val="18"/>
                <w:lang w:val="en-US"/>
              </w:rPr>
            </w:pPr>
            <w:r>
              <w:rPr>
                <w:rFonts w:eastAsia="Times New Roman"/>
                <w:i/>
                <w:sz w:val="18"/>
                <w:szCs w:val="18"/>
              </w:rPr>
              <w:t>%</w:t>
            </w:r>
          </w:p>
        </w:tc>
        <w:tc>
          <w:tcPr>
            <w:tcW w:w="427" w:type="pct"/>
            <w:tcBorders>
              <w:top w:val="single" w:sz="4" w:space="0" w:color="auto"/>
              <w:left w:val="single" w:sz="4" w:space="0" w:color="auto"/>
              <w:bottom w:val="single" w:sz="4" w:space="0" w:color="auto"/>
              <w:right w:val="single" w:sz="4" w:space="0" w:color="auto"/>
            </w:tcBorders>
            <w:vAlign w:val="center"/>
          </w:tcPr>
          <w:p w:rsidR="00A85EB3" w:rsidRDefault="00B07D03">
            <w:pPr>
              <w:tabs>
                <w:tab w:val="left" w:pos="720"/>
              </w:tabs>
              <w:spacing w:before="0" w:after="0"/>
              <w:jc w:val="center"/>
              <w:rPr>
                <w:rFonts w:eastAsia="Times New Roman"/>
                <w:i/>
                <w:color w:val="8DB3E2"/>
                <w:sz w:val="18"/>
                <w:szCs w:val="18"/>
                <w:lang w:val="en-US"/>
              </w:rPr>
            </w:pPr>
            <w:r>
              <w:rPr>
                <w:rFonts w:eastAsia="Times New Roman"/>
                <w:sz w:val="18"/>
                <w:szCs w:val="18"/>
              </w:rPr>
              <w:t>17</w:t>
            </w:r>
          </w:p>
        </w:tc>
        <w:tc>
          <w:tcPr>
            <w:tcW w:w="340" w:type="pct"/>
            <w:tcBorders>
              <w:top w:val="single" w:sz="4" w:space="0" w:color="auto"/>
              <w:left w:val="single" w:sz="4" w:space="0" w:color="auto"/>
              <w:bottom w:val="single" w:sz="4" w:space="0" w:color="auto"/>
              <w:right w:val="single" w:sz="4" w:space="0" w:color="auto"/>
            </w:tcBorders>
          </w:tcPr>
          <w:p w:rsidR="00A85EB3" w:rsidRDefault="00A85EB3">
            <w:pPr>
              <w:snapToGrid w:val="0"/>
              <w:spacing w:before="0" w:after="0"/>
              <w:jc w:val="center"/>
              <w:rPr>
                <w:rFonts w:eastAsia="Times New Roman"/>
                <w:sz w:val="18"/>
                <w:szCs w:val="18"/>
                <w:lang w:val="en-US"/>
              </w:rPr>
            </w:pPr>
          </w:p>
          <w:p w:rsidR="00A85EB3" w:rsidRDefault="00A85EB3">
            <w:pPr>
              <w:snapToGrid w:val="0"/>
              <w:spacing w:before="0" w:after="0"/>
              <w:jc w:val="center"/>
              <w:rPr>
                <w:rFonts w:eastAsia="Times New Roman"/>
                <w:sz w:val="18"/>
                <w:szCs w:val="18"/>
                <w:lang w:val="en-US"/>
              </w:rPr>
            </w:pPr>
          </w:p>
          <w:p w:rsidR="00A85EB3" w:rsidRDefault="00A85EB3">
            <w:pPr>
              <w:snapToGrid w:val="0"/>
              <w:spacing w:before="0" w:after="0"/>
              <w:jc w:val="center"/>
              <w:rPr>
                <w:rFonts w:eastAsia="Times New Roman"/>
                <w:sz w:val="18"/>
                <w:szCs w:val="18"/>
                <w:lang w:val="en-US"/>
              </w:rPr>
            </w:pPr>
          </w:p>
          <w:p w:rsidR="00A85EB3" w:rsidRDefault="00B07D03">
            <w:pPr>
              <w:snapToGrid w:val="0"/>
              <w:spacing w:before="0" w:after="0"/>
              <w:jc w:val="center"/>
              <w:rPr>
                <w:rFonts w:eastAsia="Times New Roman"/>
                <w:sz w:val="18"/>
                <w:szCs w:val="18"/>
                <w:lang w:val="en-US"/>
              </w:rPr>
            </w:pPr>
            <w:r>
              <w:rPr>
                <w:rFonts w:eastAsia="Times New Roman"/>
                <w:sz w:val="18"/>
                <w:szCs w:val="18"/>
              </w:rPr>
              <w:t>2013</w:t>
            </w:r>
          </w:p>
        </w:tc>
        <w:tc>
          <w:tcPr>
            <w:tcW w:w="438" w:type="pct"/>
            <w:tcBorders>
              <w:top w:val="single" w:sz="4" w:space="0" w:color="auto"/>
              <w:left w:val="single" w:sz="4" w:space="0" w:color="auto"/>
              <w:bottom w:val="single" w:sz="4" w:space="0" w:color="auto"/>
              <w:right w:val="single" w:sz="4" w:space="0" w:color="auto"/>
            </w:tcBorders>
          </w:tcPr>
          <w:p w:rsidR="00A85EB3" w:rsidRDefault="00A85EB3">
            <w:pPr>
              <w:snapToGrid w:val="0"/>
              <w:spacing w:before="0" w:after="0"/>
              <w:rPr>
                <w:rFonts w:eastAsia="Times New Roman"/>
                <w:i/>
                <w:color w:val="8DB3E2"/>
                <w:sz w:val="18"/>
                <w:szCs w:val="18"/>
                <w:lang w:val="en-US"/>
              </w:rPr>
            </w:pPr>
          </w:p>
          <w:p w:rsidR="00A85EB3" w:rsidRDefault="00A85EB3">
            <w:pPr>
              <w:snapToGrid w:val="0"/>
              <w:spacing w:before="0" w:after="0"/>
              <w:rPr>
                <w:rFonts w:eastAsia="Times New Roman"/>
                <w:i/>
                <w:color w:val="8DB3E2"/>
                <w:sz w:val="18"/>
                <w:szCs w:val="18"/>
                <w:lang w:val="en-US"/>
              </w:rPr>
            </w:pPr>
          </w:p>
          <w:p w:rsidR="00A85EB3" w:rsidRDefault="00B07D03">
            <w:pPr>
              <w:tabs>
                <w:tab w:val="left" w:pos="720"/>
              </w:tabs>
              <w:spacing w:before="0" w:after="0"/>
              <w:jc w:val="center"/>
              <w:rPr>
                <w:rFonts w:eastAsia="Times New Roman"/>
                <w:color w:val="8DB3E2"/>
                <w:sz w:val="18"/>
                <w:szCs w:val="18"/>
                <w:lang w:val="en-US"/>
              </w:rPr>
            </w:pPr>
            <w:r>
              <w:rPr>
                <w:rFonts w:eastAsia="Times New Roman"/>
                <w:sz w:val="18"/>
                <w:szCs w:val="18"/>
              </w:rPr>
              <w:t>Увеличение с най-малко 50 %</w:t>
            </w:r>
          </w:p>
        </w:tc>
        <w:tc>
          <w:tcPr>
            <w:tcW w:w="1459" w:type="pct"/>
            <w:tcBorders>
              <w:top w:val="single" w:sz="4" w:space="0" w:color="auto"/>
              <w:left w:val="single" w:sz="4" w:space="0" w:color="auto"/>
              <w:bottom w:val="single" w:sz="4" w:space="0" w:color="auto"/>
              <w:right w:val="single" w:sz="4" w:space="0" w:color="auto"/>
            </w:tcBorders>
          </w:tcPr>
          <w:p w:rsidR="00A85EB3" w:rsidRDefault="00B07D03">
            <w:pPr>
              <w:keepNext/>
              <w:widowControl w:val="0"/>
              <w:overflowPunct w:val="0"/>
              <w:autoSpaceDE w:val="0"/>
              <w:autoSpaceDN w:val="0"/>
              <w:adjustRightInd w:val="0"/>
              <w:spacing w:before="0" w:after="0"/>
              <w:jc w:val="center"/>
              <w:textAlignment w:val="baseline"/>
              <w:rPr>
                <w:rFonts w:eastAsia="Times New Roman"/>
                <w:sz w:val="18"/>
                <w:szCs w:val="18"/>
                <w:u w:val="single"/>
                <w:lang w:val="en-US" w:eastAsia="en-US"/>
              </w:rPr>
            </w:pPr>
            <w:r>
              <w:rPr>
                <w:rFonts w:eastAsia="Times New Roman"/>
                <w:sz w:val="18"/>
                <w:szCs w:val="18"/>
                <w:u w:val="single"/>
                <w:lang w:eastAsia="en-US"/>
              </w:rPr>
              <w:t>Базова стойност:</w:t>
            </w:r>
          </w:p>
          <w:p w:rsidR="00A85EB3" w:rsidRDefault="00B07D03">
            <w:pPr>
              <w:keepNext/>
              <w:widowControl w:val="0"/>
              <w:overflowPunct w:val="0"/>
              <w:autoSpaceDE w:val="0"/>
              <w:autoSpaceDN w:val="0"/>
              <w:adjustRightInd w:val="0"/>
              <w:spacing w:before="0" w:after="0"/>
              <w:jc w:val="center"/>
              <w:textAlignment w:val="baseline"/>
              <w:rPr>
                <w:rFonts w:eastAsia="Times New Roman"/>
                <w:sz w:val="18"/>
                <w:szCs w:val="18"/>
                <w:lang w:val="en-US" w:eastAsia="en-US"/>
              </w:rPr>
            </w:pPr>
            <w:r>
              <w:rPr>
                <w:rFonts w:eastAsia="Times New Roman"/>
                <w:sz w:val="18"/>
                <w:szCs w:val="18"/>
                <w:lang w:eastAsia="en-US"/>
              </w:rPr>
              <w:t>Изпълнение на програма ФАР</w:t>
            </w:r>
          </w:p>
          <w:p w:rsidR="00A85EB3" w:rsidRDefault="00B07D03">
            <w:pPr>
              <w:keepNext/>
              <w:widowControl w:val="0"/>
              <w:overflowPunct w:val="0"/>
              <w:autoSpaceDE w:val="0"/>
              <w:autoSpaceDN w:val="0"/>
              <w:adjustRightInd w:val="0"/>
              <w:spacing w:before="0" w:after="0"/>
              <w:jc w:val="center"/>
              <w:textAlignment w:val="baseline"/>
              <w:rPr>
                <w:rFonts w:eastAsia="Times New Roman"/>
                <w:sz w:val="18"/>
                <w:szCs w:val="18"/>
                <w:lang w:val="en-US" w:eastAsia="nl-NL"/>
              </w:rPr>
            </w:pPr>
            <w:r>
              <w:rPr>
                <w:rFonts w:eastAsia="Times New Roman"/>
                <w:sz w:val="18"/>
                <w:szCs w:val="18"/>
                <w:lang w:eastAsia="nl-NL"/>
              </w:rPr>
              <w:t>Доклади за напредъка и Годишни доклади за изпълнението на ТГС по ИПП България – Турция 2007–2013 г.</w:t>
            </w:r>
          </w:p>
          <w:p w:rsidR="00A85EB3" w:rsidRDefault="00B07D03">
            <w:pPr>
              <w:keepNext/>
              <w:widowControl w:val="0"/>
              <w:overflowPunct w:val="0"/>
              <w:autoSpaceDE w:val="0"/>
              <w:autoSpaceDN w:val="0"/>
              <w:adjustRightInd w:val="0"/>
              <w:spacing w:before="0" w:after="0"/>
              <w:jc w:val="center"/>
              <w:textAlignment w:val="baseline"/>
              <w:rPr>
                <w:rFonts w:eastAsia="Times New Roman"/>
                <w:sz w:val="18"/>
                <w:szCs w:val="18"/>
                <w:u w:val="single"/>
                <w:lang w:val="en-US" w:eastAsia="en-US"/>
              </w:rPr>
            </w:pPr>
            <w:r>
              <w:rPr>
                <w:rFonts w:eastAsia="Times New Roman"/>
                <w:sz w:val="18"/>
                <w:szCs w:val="18"/>
                <w:u w:val="single"/>
                <w:lang w:eastAsia="en-US"/>
              </w:rPr>
              <w:t>Постигнати резултати:</w:t>
            </w:r>
          </w:p>
          <w:p w:rsidR="00A85EB3" w:rsidRDefault="00B07D03">
            <w:pPr>
              <w:spacing w:before="0" w:after="0"/>
              <w:jc w:val="center"/>
              <w:rPr>
                <w:rFonts w:eastAsia="Times New Roman"/>
                <w:i/>
                <w:color w:val="8DB3E2"/>
                <w:sz w:val="18"/>
                <w:szCs w:val="18"/>
                <w:lang w:val="en-US"/>
              </w:rPr>
            </w:pPr>
            <w:r>
              <w:rPr>
                <w:rFonts w:eastAsia="Times New Roman"/>
                <w:sz w:val="18"/>
                <w:szCs w:val="18"/>
                <w:lang w:eastAsia="nl-NL"/>
              </w:rPr>
              <w:t>Доклади за напредъка и Годишни доклади за изпълнението на ТГС по ИПП България – Турция 2014–2020 г.</w:t>
            </w:r>
          </w:p>
        </w:tc>
        <w:tc>
          <w:tcPr>
            <w:tcW w:w="438" w:type="pct"/>
            <w:tcBorders>
              <w:top w:val="single" w:sz="4" w:space="0" w:color="auto"/>
              <w:left w:val="single" w:sz="4" w:space="0" w:color="auto"/>
              <w:bottom w:val="single" w:sz="4" w:space="0" w:color="auto"/>
              <w:right w:val="single" w:sz="4" w:space="0" w:color="auto"/>
            </w:tcBorders>
          </w:tcPr>
          <w:p w:rsidR="00A85EB3" w:rsidRDefault="00A85EB3">
            <w:pPr>
              <w:spacing w:before="0" w:after="0"/>
              <w:jc w:val="center"/>
              <w:rPr>
                <w:rFonts w:eastAsia="Times New Roman"/>
                <w:sz w:val="18"/>
                <w:szCs w:val="18"/>
                <w:lang w:val="en-US"/>
              </w:rPr>
            </w:pPr>
          </w:p>
          <w:p w:rsidR="00A85EB3" w:rsidRDefault="00A85EB3">
            <w:pPr>
              <w:spacing w:before="0" w:after="0"/>
              <w:jc w:val="center"/>
              <w:rPr>
                <w:rFonts w:eastAsia="Times New Roman"/>
                <w:sz w:val="18"/>
                <w:szCs w:val="18"/>
                <w:lang w:val="en-US"/>
              </w:rPr>
            </w:pPr>
          </w:p>
          <w:p w:rsidR="00A85EB3" w:rsidRDefault="00A85EB3">
            <w:pPr>
              <w:spacing w:before="0" w:after="0"/>
              <w:jc w:val="center"/>
              <w:rPr>
                <w:rFonts w:eastAsia="Times New Roman"/>
                <w:sz w:val="18"/>
                <w:szCs w:val="18"/>
                <w:lang w:val="en-US"/>
              </w:rPr>
            </w:pPr>
          </w:p>
          <w:p w:rsidR="00A85EB3" w:rsidRDefault="00B07D03">
            <w:pPr>
              <w:spacing w:before="0" w:after="0"/>
              <w:jc w:val="center"/>
              <w:rPr>
                <w:rFonts w:eastAsia="Times New Roman"/>
                <w:sz w:val="18"/>
                <w:szCs w:val="18"/>
                <w:lang w:val="en-US"/>
              </w:rPr>
            </w:pPr>
            <w:r>
              <w:rPr>
                <w:rFonts w:eastAsia="Times New Roman"/>
                <w:sz w:val="18"/>
                <w:szCs w:val="18"/>
              </w:rPr>
              <w:t>2018</w:t>
            </w:r>
          </w:p>
          <w:p w:rsidR="00A85EB3" w:rsidRDefault="00B07D03">
            <w:pPr>
              <w:spacing w:before="0" w:after="0"/>
              <w:jc w:val="center"/>
              <w:rPr>
                <w:rFonts w:eastAsia="Times New Roman"/>
                <w:i/>
                <w:color w:val="8DB3E2"/>
                <w:sz w:val="18"/>
                <w:szCs w:val="18"/>
                <w:lang w:val="en-US"/>
              </w:rPr>
            </w:pPr>
            <w:r>
              <w:rPr>
                <w:rFonts w:eastAsia="Times New Roman"/>
                <w:sz w:val="18"/>
                <w:szCs w:val="18"/>
              </w:rPr>
              <w:t>2023</w:t>
            </w:r>
          </w:p>
        </w:tc>
      </w:tr>
      <w:tr w:rsidR="000A3C95" w:rsidRPr="00981F6F" w:rsidTr="00962A12">
        <w:trPr>
          <w:trHeight w:val="870"/>
        </w:trPr>
        <w:tc>
          <w:tcPr>
            <w:tcW w:w="280" w:type="pct"/>
            <w:tcBorders>
              <w:top w:val="single" w:sz="4" w:space="0" w:color="auto"/>
              <w:left w:val="single" w:sz="4" w:space="0" w:color="auto"/>
              <w:bottom w:val="single" w:sz="4" w:space="0" w:color="auto"/>
              <w:right w:val="single" w:sz="4" w:space="0" w:color="auto"/>
            </w:tcBorders>
          </w:tcPr>
          <w:p w:rsidR="00A85EB3" w:rsidRDefault="00A85EB3">
            <w:pPr>
              <w:tabs>
                <w:tab w:val="left" w:pos="720"/>
              </w:tabs>
              <w:spacing w:before="0" w:after="0"/>
              <w:jc w:val="center"/>
              <w:rPr>
                <w:rFonts w:eastAsia="Times New Roman"/>
                <w:b/>
                <w:i/>
                <w:sz w:val="18"/>
                <w:szCs w:val="18"/>
                <w:lang w:val="en-US"/>
              </w:rPr>
            </w:pPr>
          </w:p>
          <w:p w:rsidR="00A85EB3" w:rsidRDefault="00B07D03">
            <w:pPr>
              <w:tabs>
                <w:tab w:val="left" w:pos="720"/>
              </w:tabs>
              <w:spacing w:before="0" w:after="0"/>
              <w:jc w:val="center"/>
              <w:rPr>
                <w:rFonts w:eastAsia="Times New Roman"/>
                <w:b/>
                <w:i/>
                <w:sz w:val="18"/>
                <w:szCs w:val="18"/>
                <w:lang w:val="en-US"/>
              </w:rPr>
            </w:pPr>
            <w:r>
              <w:rPr>
                <w:rFonts w:eastAsia="Times New Roman"/>
                <w:b/>
                <w:i/>
                <w:sz w:val="18"/>
                <w:szCs w:val="18"/>
              </w:rPr>
              <w:t>1.2</w:t>
            </w:r>
          </w:p>
        </w:tc>
        <w:tc>
          <w:tcPr>
            <w:tcW w:w="1169" w:type="pct"/>
            <w:tcBorders>
              <w:top w:val="single" w:sz="4" w:space="0" w:color="auto"/>
              <w:left w:val="single" w:sz="4" w:space="0" w:color="auto"/>
              <w:bottom w:val="single" w:sz="4" w:space="0" w:color="auto"/>
              <w:right w:val="single" w:sz="4" w:space="0" w:color="auto"/>
            </w:tcBorders>
          </w:tcPr>
          <w:p w:rsidR="00A85EB3" w:rsidRDefault="00A85EB3">
            <w:pPr>
              <w:pStyle w:val="ListParagraph"/>
              <w:widowControl w:val="0"/>
              <w:overflowPunct w:val="0"/>
              <w:autoSpaceDE w:val="0"/>
              <w:autoSpaceDN w:val="0"/>
              <w:adjustRightInd w:val="0"/>
              <w:spacing w:after="0"/>
              <w:ind w:left="0"/>
              <w:textAlignment w:val="baseline"/>
              <w:rPr>
                <w:sz w:val="18"/>
                <w:szCs w:val="18"/>
                <w:lang w:val="en-US" w:eastAsia="en-US"/>
              </w:rPr>
            </w:pPr>
          </w:p>
          <w:p w:rsidR="00A85EB3" w:rsidRDefault="00B07D03">
            <w:pPr>
              <w:pStyle w:val="ListParagraph"/>
              <w:widowControl w:val="0"/>
              <w:overflowPunct w:val="0"/>
              <w:autoSpaceDE w:val="0"/>
              <w:autoSpaceDN w:val="0"/>
              <w:adjustRightInd w:val="0"/>
              <w:spacing w:after="0"/>
              <w:ind w:left="0"/>
              <w:textAlignment w:val="baseline"/>
              <w:rPr>
                <w:sz w:val="18"/>
                <w:szCs w:val="18"/>
                <w:lang w:val="en-US" w:eastAsia="en-US"/>
              </w:rPr>
            </w:pPr>
            <w:r>
              <w:rPr>
                <w:sz w:val="18"/>
                <w:szCs w:val="18"/>
                <w:lang w:eastAsia="en-US"/>
              </w:rPr>
              <w:t>По-добро изграждане на капацитет за устойчиво използване на общи природни ресурси</w:t>
            </w:r>
          </w:p>
          <w:p w:rsidR="00A85EB3" w:rsidRDefault="00B07D03">
            <w:pPr>
              <w:pStyle w:val="ListParagraph"/>
              <w:widowControl w:val="0"/>
              <w:overflowPunct w:val="0"/>
              <w:autoSpaceDE w:val="0"/>
              <w:autoSpaceDN w:val="0"/>
              <w:adjustRightInd w:val="0"/>
              <w:spacing w:after="0"/>
              <w:ind w:left="0"/>
              <w:textAlignment w:val="baseline"/>
              <w:rPr>
                <w:sz w:val="18"/>
                <w:szCs w:val="18"/>
                <w:lang w:val="en-US" w:eastAsia="en-US"/>
              </w:rPr>
            </w:pPr>
            <w:r>
              <w:rPr>
                <w:sz w:val="18"/>
                <w:szCs w:val="18"/>
                <w:lang w:eastAsia="en-US"/>
              </w:rPr>
              <w:t>(качествена цел)</w:t>
            </w:r>
          </w:p>
          <w:p w:rsidR="00A85EB3" w:rsidRDefault="00A85EB3">
            <w:pPr>
              <w:pStyle w:val="ListParagraph"/>
              <w:widowControl w:val="0"/>
              <w:overflowPunct w:val="0"/>
              <w:autoSpaceDE w:val="0"/>
              <w:autoSpaceDN w:val="0"/>
              <w:adjustRightInd w:val="0"/>
              <w:spacing w:after="0"/>
              <w:ind w:left="0"/>
              <w:textAlignment w:val="baseline"/>
              <w:rPr>
                <w:sz w:val="18"/>
                <w:szCs w:val="18"/>
                <w:lang w:val="en-US" w:eastAsia="en-US"/>
              </w:rPr>
            </w:pPr>
          </w:p>
        </w:tc>
        <w:tc>
          <w:tcPr>
            <w:tcW w:w="449" w:type="pct"/>
            <w:tcBorders>
              <w:top w:val="single" w:sz="4" w:space="0" w:color="auto"/>
              <w:left w:val="single" w:sz="4" w:space="0" w:color="auto"/>
              <w:bottom w:val="single" w:sz="4" w:space="0" w:color="auto"/>
              <w:right w:val="single" w:sz="4" w:space="0" w:color="auto"/>
            </w:tcBorders>
          </w:tcPr>
          <w:p w:rsidR="00A85EB3" w:rsidRDefault="00A85EB3">
            <w:pPr>
              <w:snapToGrid w:val="0"/>
              <w:spacing w:before="0" w:after="0"/>
              <w:jc w:val="center"/>
              <w:rPr>
                <w:rFonts w:eastAsia="Times New Roman"/>
                <w:sz w:val="18"/>
                <w:szCs w:val="18"/>
                <w:lang w:val="en-US"/>
              </w:rPr>
            </w:pPr>
          </w:p>
          <w:p w:rsidR="00A85EB3" w:rsidRDefault="00863CAF">
            <w:pPr>
              <w:snapToGrid w:val="0"/>
              <w:spacing w:before="0" w:after="0"/>
              <w:jc w:val="center"/>
              <w:rPr>
                <w:rFonts w:eastAsia="Times New Roman"/>
                <w:color w:val="8DB3E2"/>
                <w:sz w:val="18"/>
                <w:szCs w:val="18"/>
                <w:lang w:val="en-US"/>
              </w:rPr>
            </w:pPr>
            <w:r>
              <w:rPr>
                <w:rFonts w:eastAsia="Times New Roman"/>
                <w:sz w:val="18"/>
                <w:szCs w:val="18"/>
              </w:rPr>
              <w:t>Скала</w:t>
            </w:r>
          </w:p>
        </w:tc>
        <w:tc>
          <w:tcPr>
            <w:tcW w:w="427" w:type="pct"/>
            <w:tcBorders>
              <w:top w:val="single" w:sz="4" w:space="0" w:color="auto"/>
              <w:left w:val="single" w:sz="4" w:space="0" w:color="auto"/>
              <w:bottom w:val="single" w:sz="4" w:space="0" w:color="auto"/>
              <w:right w:val="single" w:sz="4" w:space="0" w:color="auto"/>
            </w:tcBorders>
          </w:tcPr>
          <w:p w:rsidR="00A85EB3" w:rsidRDefault="00A85EB3">
            <w:pPr>
              <w:snapToGrid w:val="0"/>
              <w:spacing w:before="0" w:after="0"/>
              <w:rPr>
                <w:rFonts w:eastAsia="Times New Roman"/>
                <w:i/>
                <w:color w:val="8DB3E2"/>
                <w:sz w:val="18"/>
                <w:szCs w:val="18"/>
                <w:lang w:val="en-US"/>
              </w:rPr>
            </w:pPr>
          </w:p>
          <w:p w:rsidR="00A85EB3" w:rsidRDefault="00863CAF" w:rsidP="00CC4001">
            <w:pPr>
              <w:snapToGrid w:val="0"/>
              <w:spacing w:before="0" w:after="0"/>
              <w:rPr>
                <w:rFonts w:eastAsia="Times New Roman"/>
                <w:i/>
                <w:color w:val="8DB3E2"/>
                <w:sz w:val="18"/>
                <w:szCs w:val="18"/>
                <w:lang w:val="en-US"/>
              </w:rPr>
            </w:pPr>
            <w:r>
              <w:rPr>
                <w:rFonts w:eastAsia="Times New Roman"/>
                <w:i/>
                <w:sz w:val="18"/>
                <w:szCs w:val="18"/>
              </w:rPr>
              <w:t xml:space="preserve">Ще </w:t>
            </w:r>
            <w:r w:rsidR="00CC4001">
              <w:rPr>
                <w:rFonts w:eastAsia="Times New Roman"/>
                <w:i/>
                <w:sz w:val="18"/>
                <w:szCs w:val="18"/>
              </w:rPr>
              <w:t>бъде</w:t>
            </w:r>
            <w:r>
              <w:rPr>
                <w:rFonts w:eastAsia="Times New Roman"/>
                <w:i/>
                <w:sz w:val="18"/>
                <w:szCs w:val="18"/>
              </w:rPr>
              <w:t xml:space="preserve"> определен</w:t>
            </w:r>
            <w:r w:rsidR="00CC4001">
              <w:rPr>
                <w:rFonts w:eastAsia="Times New Roman"/>
                <w:i/>
                <w:sz w:val="18"/>
                <w:szCs w:val="18"/>
              </w:rPr>
              <w:t>а</w:t>
            </w:r>
          </w:p>
        </w:tc>
        <w:tc>
          <w:tcPr>
            <w:tcW w:w="340" w:type="pct"/>
            <w:tcBorders>
              <w:top w:val="single" w:sz="4" w:space="0" w:color="auto"/>
              <w:left w:val="single" w:sz="4" w:space="0" w:color="auto"/>
              <w:bottom w:val="single" w:sz="4" w:space="0" w:color="auto"/>
              <w:right w:val="single" w:sz="4" w:space="0" w:color="auto"/>
            </w:tcBorders>
          </w:tcPr>
          <w:p w:rsidR="00A85EB3" w:rsidRDefault="00A85EB3">
            <w:pPr>
              <w:snapToGrid w:val="0"/>
              <w:spacing w:before="0" w:after="0"/>
              <w:jc w:val="center"/>
              <w:rPr>
                <w:rFonts w:eastAsia="Times New Roman"/>
                <w:sz w:val="18"/>
                <w:szCs w:val="18"/>
                <w:lang w:val="en-US"/>
              </w:rPr>
            </w:pPr>
          </w:p>
          <w:p w:rsidR="00A85EB3" w:rsidRDefault="00B07D03">
            <w:pPr>
              <w:snapToGrid w:val="0"/>
              <w:spacing w:before="0" w:after="0"/>
              <w:jc w:val="center"/>
              <w:rPr>
                <w:rFonts w:eastAsia="Times New Roman"/>
                <w:i/>
                <w:color w:val="8DB3E2"/>
                <w:sz w:val="18"/>
                <w:szCs w:val="18"/>
                <w:lang w:val="en-US"/>
              </w:rPr>
            </w:pPr>
            <w:r>
              <w:rPr>
                <w:rFonts w:eastAsia="Times New Roman"/>
                <w:sz w:val="18"/>
                <w:szCs w:val="18"/>
              </w:rPr>
              <w:t>2014</w:t>
            </w:r>
          </w:p>
        </w:tc>
        <w:tc>
          <w:tcPr>
            <w:tcW w:w="438" w:type="pct"/>
            <w:tcBorders>
              <w:top w:val="single" w:sz="4" w:space="0" w:color="auto"/>
              <w:left w:val="single" w:sz="4" w:space="0" w:color="auto"/>
              <w:bottom w:val="single" w:sz="4" w:space="0" w:color="auto"/>
              <w:right w:val="single" w:sz="4" w:space="0" w:color="auto"/>
            </w:tcBorders>
          </w:tcPr>
          <w:p w:rsidR="00A85EB3" w:rsidRDefault="00A85EB3">
            <w:pPr>
              <w:snapToGrid w:val="0"/>
              <w:spacing w:before="0" w:after="0"/>
              <w:rPr>
                <w:rFonts w:eastAsia="Times New Roman"/>
                <w:i/>
                <w:color w:val="8DB3E2"/>
                <w:sz w:val="18"/>
                <w:szCs w:val="18"/>
                <w:lang w:val="en-US"/>
              </w:rPr>
            </w:pPr>
          </w:p>
          <w:p w:rsidR="00A85EB3" w:rsidRDefault="00CC4001">
            <w:pPr>
              <w:snapToGrid w:val="0"/>
              <w:spacing w:before="0" w:after="0"/>
              <w:rPr>
                <w:rFonts w:eastAsia="Times New Roman"/>
                <w:i/>
                <w:color w:val="8DB3E2"/>
                <w:sz w:val="18"/>
                <w:szCs w:val="18"/>
                <w:lang w:val="en-US"/>
              </w:rPr>
            </w:pPr>
            <w:r>
              <w:rPr>
                <w:rFonts w:eastAsia="Times New Roman"/>
                <w:i/>
                <w:sz w:val="18"/>
                <w:szCs w:val="18"/>
              </w:rPr>
              <w:t>Ще бъде определена</w:t>
            </w:r>
          </w:p>
        </w:tc>
        <w:tc>
          <w:tcPr>
            <w:tcW w:w="1459" w:type="pct"/>
            <w:tcBorders>
              <w:top w:val="single" w:sz="4" w:space="0" w:color="auto"/>
              <w:left w:val="single" w:sz="4" w:space="0" w:color="auto"/>
              <w:bottom w:val="single" w:sz="4" w:space="0" w:color="auto"/>
              <w:right w:val="single" w:sz="4" w:space="0" w:color="auto"/>
            </w:tcBorders>
          </w:tcPr>
          <w:p w:rsidR="00A85EB3" w:rsidRDefault="00A85EB3">
            <w:pPr>
              <w:keepNext/>
              <w:widowControl w:val="0"/>
              <w:overflowPunct w:val="0"/>
              <w:autoSpaceDE w:val="0"/>
              <w:autoSpaceDN w:val="0"/>
              <w:adjustRightInd w:val="0"/>
              <w:spacing w:before="0" w:after="0"/>
              <w:textAlignment w:val="baseline"/>
              <w:rPr>
                <w:rFonts w:eastAsia="Times New Roman"/>
                <w:sz w:val="18"/>
                <w:szCs w:val="18"/>
                <w:u w:val="single"/>
                <w:lang w:val="en-US" w:eastAsia="en-US"/>
              </w:rPr>
            </w:pPr>
          </w:p>
          <w:p w:rsidR="00A85EB3" w:rsidRDefault="00B07D03">
            <w:pPr>
              <w:keepNext/>
              <w:widowControl w:val="0"/>
              <w:overflowPunct w:val="0"/>
              <w:autoSpaceDE w:val="0"/>
              <w:autoSpaceDN w:val="0"/>
              <w:adjustRightInd w:val="0"/>
              <w:spacing w:before="0" w:after="0"/>
              <w:jc w:val="center"/>
              <w:textAlignment w:val="baseline"/>
              <w:rPr>
                <w:rFonts w:eastAsia="Times New Roman"/>
                <w:sz w:val="18"/>
                <w:szCs w:val="18"/>
                <w:u w:val="single"/>
                <w:lang w:val="en-US" w:eastAsia="en-US"/>
              </w:rPr>
            </w:pPr>
            <w:r>
              <w:rPr>
                <w:rFonts w:eastAsia="Times New Roman"/>
                <w:sz w:val="18"/>
                <w:szCs w:val="18"/>
                <w:u w:val="single"/>
                <w:lang w:eastAsia="en-US"/>
              </w:rPr>
              <w:t>Базова стойност и постигнати резултати</w:t>
            </w:r>
          </w:p>
          <w:p w:rsidR="00A85EB3" w:rsidRDefault="00B07D03">
            <w:pPr>
              <w:keepNext/>
              <w:widowControl w:val="0"/>
              <w:overflowPunct w:val="0"/>
              <w:autoSpaceDE w:val="0"/>
              <w:autoSpaceDN w:val="0"/>
              <w:adjustRightInd w:val="0"/>
              <w:spacing w:before="0" w:after="0"/>
              <w:jc w:val="center"/>
              <w:textAlignment w:val="baseline"/>
              <w:rPr>
                <w:rFonts w:eastAsia="Times New Roman"/>
                <w:sz w:val="18"/>
                <w:szCs w:val="18"/>
                <w:lang w:val="en-US" w:eastAsia="en-US"/>
              </w:rPr>
            </w:pPr>
            <w:r>
              <w:rPr>
                <w:rFonts w:eastAsia="Times New Roman"/>
                <w:sz w:val="18"/>
                <w:szCs w:val="18"/>
                <w:lang w:eastAsia="en-US"/>
              </w:rPr>
              <w:t>Проучване</w:t>
            </w:r>
          </w:p>
          <w:p w:rsidR="00A85EB3" w:rsidRDefault="00A85EB3">
            <w:pPr>
              <w:spacing w:before="0" w:after="0"/>
              <w:rPr>
                <w:rFonts w:eastAsia="Times New Roman"/>
                <w:i/>
                <w:color w:val="8DB3E2"/>
                <w:sz w:val="18"/>
                <w:szCs w:val="18"/>
                <w:lang w:val="en-US"/>
              </w:rPr>
            </w:pPr>
          </w:p>
        </w:tc>
        <w:tc>
          <w:tcPr>
            <w:tcW w:w="438" w:type="pct"/>
            <w:tcBorders>
              <w:top w:val="single" w:sz="4" w:space="0" w:color="auto"/>
              <w:left w:val="single" w:sz="4" w:space="0" w:color="auto"/>
              <w:bottom w:val="single" w:sz="4" w:space="0" w:color="auto"/>
              <w:right w:val="single" w:sz="4" w:space="0" w:color="auto"/>
            </w:tcBorders>
          </w:tcPr>
          <w:p w:rsidR="00A85EB3" w:rsidRDefault="00A85EB3">
            <w:pPr>
              <w:spacing w:before="0" w:after="0"/>
              <w:jc w:val="center"/>
              <w:rPr>
                <w:rFonts w:eastAsia="Times New Roman"/>
                <w:sz w:val="18"/>
                <w:szCs w:val="18"/>
                <w:lang w:val="en-US"/>
              </w:rPr>
            </w:pPr>
          </w:p>
          <w:p w:rsidR="00A85EB3" w:rsidRDefault="00B07D03">
            <w:pPr>
              <w:spacing w:before="0" w:after="0"/>
              <w:jc w:val="center"/>
              <w:rPr>
                <w:rFonts w:eastAsia="Times New Roman"/>
                <w:sz w:val="18"/>
                <w:szCs w:val="18"/>
                <w:lang w:val="en-US"/>
              </w:rPr>
            </w:pPr>
            <w:r>
              <w:rPr>
                <w:rFonts w:eastAsia="Times New Roman"/>
                <w:sz w:val="18"/>
                <w:szCs w:val="18"/>
              </w:rPr>
              <w:t>2018</w:t>
            </w:r>
          </w:p>
          <w:p w:rsidR="00A85EB3" w:rsidRDefault="00B07D03">
            <w:pPr>
              <w:spacing w:before="0" w:after="0"/>
              <w:jc w:val="center"/>
              <w:rPr>
                <w:rFonts w:eastAsia="Times New Roman"/>
                <w:i/>
                <w:color w:val="8DB3E2"/>
                <w:sz w:val="18"/>
                <w:szCs w:val="18"/>
                <w:lang w:val="en-US"/>
              </w:rPr>
            </w:pPr>
            <w:r>
              <w:rPr>
                <w:rFonts w:eastAsia="Times New Roman"/>
                <w:sz w:val="18"/>
                <w:szCs w:val="18"/>
              </w:rPr>
              <w:t>2023</w:t>
            </w:r>
          </w:p>
        </w:tc>
      </w:tr>
    </w:tbl>
    <w:p w:rsidR="00A85EB3" w:rsidRDefault="00A85EB3">
      <w:pPr>
        <w:suppressAutoHyphens/>
        <w:spacing w:after="240"/>
        <w:rPr>
          <w:rFonts w:eastAsia="Times New Roman"/>
          <w:b/>
          <w:lang w:val="en-US"/>
        </w:rPr>
        <w:sectPr w:rsidR="00A85EB3" w:rsidSect="006A4BDD">
          <w:headerReference w:type="default" r:id="rId31"/>
          <w:footerReference w:type="default" r:id="rId32"/>
          <w:headerReference w:type="first" r:id="rId33"/>
          <w:footerReference w:type="first" r:id="rId34"/>
          <w:pgSz w:w="16838" w:h="11906" w:orient="landscape"/>
          <w:pgMar w:top="1418" w:right="1021" w:bottom="1418" w:left="1021" w:header="601" w:footer="1077" w:gutter="0"/>
          <w:cols w:space="720"/>
          <w:docGrid w:linePitch="326"/>
        </w:sectPr>
      </w:pPr>
    </w:p>
    <w:p w:rsidR="00A85EB3" w:rsidRDefault="00B07D03">
      <w:pPr>
        <w:pStyle w:val="Heading4"/>
        <w:numPr>
          <w:ilvl w:val="0"/>
          <w:numId w:val="0"/>
        </w:numPr>
        <w:ind w:left="850" w:hanging="850"/>
        <w:rPr>
          <w:b/>
          <w:i/>
          <w:lang w:val="en-US"/>
        </w:rPr>
      </w:pPr>
      <w:r>
        <w:rPr>
          <w:b/>
          <w:i/>
        </w:rPr>
        <w:lastRenderedPageBreak/>
        <w:t>2.1.6.2. Показатели за работа по Приоритетната ос (общи или специфични за програмата)</w:t>
      </w:r>
    </w:p>
    <w:p w:rsidR="00A85EB3" w:rsidRDefault="00B07D03">
      <w:pPr>
        <w:spacing w:after="0"/>
        <w:rPr>
          <w:rFonts w:eastAsia="Times New Roman"/>
          <w:b/>
          <w:lang w:val="en-US"/>
        </w:rPr>
      </w:pPr>
      <w:r>
        <w:rPr>
          <w:rFonts w:eastAsia="Times New Roman"/>
          <w:b/>
        </w:rPr>
        <w:t xml:space="preserve">Таблица 4: Общи показатели за работа и показатели за работа за конкретната програма </w:t>
      </w:r>
    </w:p>
    <w:p w:rsidR="00A85EB3" w:rsidRDefault="00A85EB3">
      <w:pPr>
        <w:spacing w:after="0"/>
        <w:rPr>
          <w:rFonts w:eastAsia="Times New Roman"/>
          <w:b/>
          <w:lang w:val="en-US"/>
        </w:rPr>
      </w:pPr>
    </w:p>
    <w:tbl>
      <w:tblPr>
        <w:tblW w:w="503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60"/>
        <w:gridCol w:w="6009"/>
        <w:gridCol w:w="1517"/>
        <w:gridCol w:w="1821"/>
        <w:gridCol w:w="2989"/>
        <w:gridCol w:w="1730"/>
      </w:tblGrid>
      <w:tr w:rsidR="003A6822" w:rsidRPr="00981F6F" w:rsidTr="003A6822">
        <w:trPr>
          <w:trHeight w:val="706"/>
          <w:jc w:val="center"/>
        </w:trPr>
        <w:tc>
          <w:tcPr>
            <w:tcW w:w="350" w:type="pct"/>
          </w:tcPr>
          <w:p w:rsidR="00A85EB3" w:rsidRDefault="00B07D03">
            <w:pPr>
              <w:spacing w:after="240"/>
              <w:ind w:left="283" w:hanging="283"/>
              <w:jc w:val="center"/>
              <w:rPr>
                <w:rFonts w:eastAsia="Times New Roman"/>
                <w:b/>
                <w:sz w:val="20"/>
                <w:lang w:val="en-US"/>
              </w:rPr>
            </w:pPr>
            <w:r>
              <w:rPr>
                <w:rFonts w:eastAsia="Times New Roman"/>
                <w:b/>
                <w:sz w:val="20"/>
              </w:rPr>
              <w:t>№</w:t>
            </w:r>
          </w:p>
        </w:tc>
        <w:tc>
          <w:tcPr>
            <w:tcW w:w="1986" w:type="pct"/>
            <w:shd w:val="clear" w:color="auto" w:fill="auto"/>
          </w:tcPr>
          <w:p w:rsidR="00A85EB3" w:rsidRDefault="00B07D03">
            <w:pPr>
              <w:spacing w:after="240"/>
              <w:ind w:left="283" w:hanging="283"/>
              <w:jc w:val="center"/>
              <w:rPr>
                <w:rFonts w:eastAsia="Times New Roman"/>
                <w:b/>
                <w:sz w:val="20"/>
                <w:lang w:val="en-US"/>
              </w:rPr>
            </w:pPr>
            <w:r>
              <w:rPr>
                <w:rFonts w:eastAsia="Times New Roman"/>
                <w:b/>
                <w:sz w:val="20"/>
              </w:rPr>
              <w:t xml:space="preserve">Показател </w:t>
            </w:r>
            <w:r>
              <w:rPr>
                <w:rFonts w:eastAsia="Times New Roman"/>
                <w:b/>
                <w:i/>
                <w:sz w:val="20"/>
              </w:rPr>
              <w:t>(наименование на показателя)</w:t>
            </w:r>
          </w:p>
        </w:tc>
        <w:tc>
          <w:tcPr>
            <w:tcW w:w="501" w:type="pct"/>
            <w:shd w:val="clear" w:color="auto" w:fill="auto"/>
          </w:tcPr>
          <w:p w:rsidR="00A85EB3" w:rsidRDefault="00B07D03">
            <w:pPr>
              <w:spacing w:after="240"/>
              <w:jc w:val="center"/>
              <w:rPr>
                <w:rFonts w:eastAsia="Times New Roman"/>
                <w:b/>
                <w:sz w:val="20"/>
                <w:lang w:val="en-US"/>
              </w:rPr>
            </w:pPr>
            <w:r>
              <w:rPr>
                <w:rFonts w:eastAsia="Times New Roman"/>
                <w:b/>
                <w:sz w:val="20"/>
              </w:rPr>
              <w:t>Мерна единица</w:t>
            </w:r>
          </w:p>
        </w:tc>
        <w:tc>
          <w:tcPr>
            <w:tcW w:w="602" w:type="pct"/>
            <w:shd w:val="clear" w:color="auto" w:fill="auto"/>
          </w:tcPr>
          <w:p w:rsidR="00A85EB3" w:rsidRDefault="00B07D03">
            <w:pPr>
              <w:spacing w:after="240"/>
              <w:jc w:val="center"/>
              <w:rPr>
                <w:rFonts w:eastAsia="Times New Roman"/>
                <w:b/>
                <w:sz w:val="20"/>
                <w:lang w:val="en-US"/>
              </w:rPr>
            </w:pPr>
            <w:r>
              <w:rPr>
                <w:rFonts w:eastAsia="Times New Roman"/>
                <w:b/>
                <w:sz w:val="20"/>
              </w:rPr>
              <w:t>Целеви показател (2023 г.)</w:t>
            </w:r>
          </w:p>
        </w:tc>
        <w:tc>
          <w:tcPr>
            <w:tcW w:w="988" w:type="pct"/>
            <w:shd w:val="clear" w:color="auto" w:fill="auto"/>
          </w:tcPr>
          <w:p w:rsidR="00A85EB3" w:rsidRDefault="00B07D03">
            <w:pPr>
              <w:spacing w:after="240"/>
              <w:jc w:val="center"/>
              <w:rPr>
                <w:rFonts w:eastAsia="Times New Roman"/>
                <w:b/>
                <w:sz w:val="20"/>
                <w:lang w:val="en-US"/>
              </w:rPr>
            </w:pPr>
            <w:r>
              <w:rPr>
                <w:rFonts w:eastAsia="Times New Roman"/>
                <w:b/>
                <w:sz w:val="20"/>
              </w:rPr>
              <w:t>Източник на данни</w:t>
            </w:r>
          </w:p>
        </w:tc>
        <w:tc>
          <w:tcPr>
            <w:tcW w:w="572" w:type="pct"/>
          </w:tcPr>
          <w:p w:rsidR="00A85EB3" w:rsidRDefault="00B07D03">
            <w:pPr>
              <w:spacing w:before="0" w:after="0"/>
              <w:jc w:val="center"/>
              <w:rPr>
                <w:rFonts w:eastAsia="Times New Roman"/>
                <w:b/>
                <w:sz w:val="20"/>
                <w:lang w:val="en-US"/>
              </w:rPr>
            </w:pPr>
            <w:r>
              <w:rPr>
                <w:rFonts w:eastAsia="Times New Roman"/>
                <w:b/>
                <w:sz w:val="20"/>
              </w:rPr>
              <w:t>Честота на отчитане</w:t>
            </w:r>
          </w:p>
        </w:tc>
      </w:tr>
      <w:tr w:rsidR="003A6822" w:rsidRPr="00981F6F" w:rsidTr="003A6822">
        <w:trPr>
          <w:trHeight w:val="706"/>
          <w:jc w:val="center"/>
        </w:trPr>
        <w:tc>
          <w:tcPr>
            <w:tcW w:w="350" w:type="pct"/>
          </w:tcPr>
          <w:p w:rsidR="00A85EB3" w:rsidRDefault="00A85EB3">
            <w:pPr>
              <w:spacing w:before="60" w:after="60"/>
              <w:jc w:val="center"/>
              <w:rPr>
                <w:b/>
                <w:sz w:val="20"/>
                <w:lang w:val="en-US" w:eastAsia="en-US"/>
              </w:rPr>
            </w:pPr>
          </w:p>
          <w:p w:rsidR="00A85EB3" w:rsidRDefault="00B07D03">
            <w:pPr>
              <w:spacing w:before="60" w:after="60"/>
              <w:jc w:val="center"/>
              <w:rPr>
                <w:rFonts w:eastAsia="Times New Roman"/>
                <w:b/>
                <w:sz w:val="20"/>
                <w:lang w:val="en-US"/>
              </w:rPr>
            </w:pPr>
            <w:r>
              <w:rPr>
                <w:b/>
                <w:sz w:val="20"/>
                <w:lang w:eastAsia="en-US"/>
              </w:rPr>
              <w:t>ПР 1.</w:t>
            </w:r>
            <w:proofErr w:type="spellStart"/>
            <w:r>
              <w:rPr>
                <w:b/>
                <w:sz w:val="20"/>
                <w:lang w:eastAsia="en-US"/>
              </w:rPr>
              <w:t>1</w:t>
            </w:r>
            <w:proofErr w:type="spellEnd"/>
            <w:r>
              <w:rPr>
                <w:b/>
                <w:sz w:val="20"/>
                <w:lang w:eastAsia="en-US"/>
              </w:rPr>
              <w:t>.1</w:t>
            </w:r>
          </w:p>
        </w:tc>
        <w:tc>
          <w:tcPr>
            <w:tcW w:w="1986" w:type="pct"/>
            <w:shd w:val="clear" w:color="auto" w:fill="auto"/>
          </w:tcPr>
          <w:p w:rsidR="00A85EB3" w:rsidRDefault="00B07D03">
            <w:pPr>
              <w:spacing w:before="60" w:after="60"/>
              <w:ind w:left="63"/>
              <w:rPr>
                <w:rFonts w:eastAsia="Times New Roman"/>
                <w:b/>
                <w:sz w:val="20"/>
                <w:lang w:val="en-US"/>
              </w:rPr>
            </w:pPr>
            <w:r>
              <w:rPr>
                <w:sz w:val="20"/>
                <w:lang w:eastAsia="en-US"/>
              </w:rPr>
              <w:t xml:space="preserve">Брой интервенции, свързани с превенцията на рискове и управлението на природни и предизвикани от човека опасности и бедствия </w:t>
            </w:r>
          </w:p>
        </w:tc>
        <w:tc>
          <w:tcPr>
            <w:tcW w:w="501" w:type="pct"/>
            <w:shd w:val="clear" w:color="auto" w:fill="auto"/>
          </w:tcPr>
          <w:p w:rsidR="00A85EB3" w:rsidRDefault="00A85EB3">
            <w:pPr>
              <w:spacing w:before="60" w:after="60"/>
              <w:jc w:val="center"/>
              <w:rPr>
                <w:rFonts w:eastAsia="Times New Roman"/>
                <w:sz w:val="20"/>
                <w:lang w:val="en-US"/>
              </w:rPr>
            </w:pPr>
          </w:p>
          <w:p w:rsidR="00A85EB3" w:rsidRDefault="00B07D03">
            <w:pPr>
              <w:spacing w:before="60" w:after="60"/>
              <w:jc w:val="center"/>
              <w:rPr>
                <w:rFonts w:eastAsia="Times New Roman"/>
                <w:b/>
                <w:sz w:val="20"/>
                <w:lang w:val="en-US"/>
              </w:rPr>
            </w:pPr>
            <w:r>
              <w:rPr>
                <w:rFonts w:eastAsia="Times New Roman"/>
                <w:sz w:val="20"/>
              </w:rPr>
              <w:t>Брой</w:t>
            </w:r>
          </w:p>
        </w:tc>
        <w:tc>
          <w:tcPr>
            <w:tcW w:w="602" w:type="pct"/>
            <w:shd w:val="clear" w:color="auto" w:fill="auto"/>
          </w:tcPr>
          <w:p w:rsidR="00A85EB3" w:rsidRDefault="00A85EB3">
            <w:pPr>
              <w:spacing w:before="60" w:after="60"/>
              <w:jc w:val="center"/>
              <w:rPr>
                <w:rFonts w:eastAsia="Times New Roman"/>
                <w:sz w:val="20"/>
                <w:lang w:val="en-US"/>
              </w:rPr>
            </w:pPr>
          </w:p>
          <w:p w:rsidR="00A85EB3" w:rsidRDefault="00B07D03">
            <w:pPr>
              <w:spacing w:before="60" w:after="60"/>
              <w:jc w:val="center"/>
              <w:rPr>
                <w:rFonts w:eastAsia="Times New Roman"/>
                <w:b/>
                <w:sz w:val="20"/>
                <w:lang w:val="en-US"/>
              </w:rPr>
            </w:pPr>
            <w:r>
              <w:rPr>
                <w:rFonts w:eastAsia="Times New Roman"/>
                <w:sz w:val="20"/>
              </w:rPr>
              <w:t>3</w:t>
            </w:r>
          </w:p>
        </w:tc>
        <w:tc>
          <w:tcPr>
            <w:tcW w:w="988" w:type="pct"/>
            <w:shd w:val="clear" w:color="auto" w:fill="auto"/>
          </w:tcPr>
          <w:p w:rsidR="00A85EB3" w:rsidRDefault="00B07D03">
            <w:pPr>
              <w:spacing w:before="60" w:after="60"/>
              <w:jc w:val="center"/>
              <w:rPr>
                <w:rFonts w:eastAsia="Times New Roman"/>
                <w:b/>
                <w:sz w:val="20"/>
                <w:lang w:val="en-US"/>
              </w:rPr>
            </w:pPr>
            <w:r>
              <w:rPr>
                <w:sz w:val="20"/>
              </w:rPr>
              <w:t>Доклади за напредъка и Годишни доклади за изпълнението</w:t>
            </w:r>
          </w:p>
        </w:tc>
        <w:tc>
          <w:tcPr>
            <w:tcW w:w="572" w:type="pct"/>
          </w:tcPr>
          <w:p w:rsidR="00A85EB3" w:rsidRDefault="00A85EB3">
            <w:pPr>
              <w:spacing w:before="60" w:after="60"/>
              <w:jc w:val="center"/>
              <w:rPr>
                <w:rFonts w:eastAsia="Times New Roman"/>
                <w:sz w:val="20"/>
                <w:lang w:val="en-US"/>
              </w:rPr>
            </w:pPr>
          </w:p>
          <w:p w:rsidR="00A85EB3" w:rsidRDefault="00B07D03">
            <w:pPr>
              <w:spacing w:before="60" w:after="60"/>
              <w:jc w:val="center"/>
              <w:rPr>
                <w:rFonts w:eastAsia="Times New Roman"/>
                <w:i/>
                <w:color w:val="8DB3E2"/>
                <w:sz w:val="20"/>
                <w:lang w:val="en-US"/>
              </w:rPr>
            </w:pPr>
            <w:r>
              <w:rPr>
                <w:rFonts w:eastAsia="Times New Roman"/>
                <w:sz w:val="20"/>
              </w:rPr>
              <w:t xml:space="preserve">Ежегодно </w:t>
            </w:r>
          </w:p>
        </w:tc>
      </w:tr>
      <w:tr w:rsidR="003A6822" w:rsidRPr="00981F6F" w:rsidTr="003A6822">
        <w:trPr>
          <w:trHeight w:val="79"/>
          <w:jc w:val="center"/>
        </w:trPr>
        <w:tc>
          <w:tcPr>
            <w:tcW w:w="350" w:type="pct"/>
          </w:tcPr>
          <w:p w:rsidR="00A85EB3" w:rsidRDefault="00A85EB3">
            <w:pPr>
              <w:spacing w:before="60" w:after="60"/>
              <w:jc w:val="center"/>
              <w:rPr>
                <w:b/>
                <w:sz w:val="20"/>
                <w:lang w:val="en-US" w:eastAsia="en-US"/>
              </w:rPr>
            </w:pPr>
          </w:p>
          <w:p w:rsidR="00A85EB3" w:rsidRDefault="00B07D03">
            <w:pPr>
              <w:spacing w:before="60" w:after="60"/>
              <w:jc w:val="center"/>
              <w:rPr>
                <w:rFonts w:eastAsia="Times New Roman"/>
                <w:sz w:val="20"/>
                <w:lang w:val="en-US"/>
              </w:rPr>
            </w:pPr>
            <w:r>
              <w:rPr>
                <w:b/>
                <w:sz w:val="20"/>
                <w:lang w:eastAsia="en-US"/>
              </w:rPr>
              <w:t>ПР 1.</w:t>
            </w:r>
            <w:proofErr w:type="spellStart"/>
            <w:r>
              <w:rPr>
                <w:b/>
                <w:sz w:val="20"/>
                <w:lang w:eastAsia="en-US"/>
              </w:rPr>
              <w:t>1</w:t>
            </w:r>
            <w:proofErr w:type="spellEnd"/>
            <w:r>
              <w:rPr>
                <w:b/>
                <w:sz w:val="20"/>
                <w:lang w:eastAsia="en-US"/>
              </w:rPr>
              <w:t>.2</w:t>
            </w:r>
          </w:p>
        </w:tc>
        <w:tc>
          <w:tcPr>
            <w:tcW w:w="1986" w:type="pct"/>
            <w:shd w:val="clear" w:color="auto" w:fill="auto"/>
          </w:tcPr>
          <w:p w:rsidR="00A85EB3" w:rsidRDefault="00B07D03">
            <w:pPr>
              <w:spacing w:before="60" w:after="60"/>
              <w:rPr>
                <w:rFonts w:eastAsia="Times New Roman"/>
                <w:sz w:val="20"/>
                <w:lang w:val="en-US"/>
              </w:rPr>
            </w:pPr>
            <w:r>
              <w:rPr>
                <w:sz w:val="20"/>
                <w:lang w:eastAsia="en-US"/>
              </w:rPr>
              <w:t xml:space="preserve">Брой на доставеното специализирано оборудване/дълготрайни активи; създадени или подобрени съвместни средства/услуги, свързани с превенцията на рискове и управлението на природни и предизвикани от човека опасности и бедствия </w:t>
            </w:r>
          </w:p>
        </w:tc>
        <w:tc>
          <w:tcPr>
            <w:tcW w:w="501" w:type="pct"/>
            <w:shd w:val="clear" w:color="auto" w:fill="auto"/>
          </w:tcPr>
          <w:p w:rsidR="00A85EB3" w:rsidRDefault="00A85EB3">
            <w:pPr>
              <w:spacing w:before="60" w:after="60"/>
              <w:jc w:val="center"/>
              <w:rPr>
                <w:rFonts w:eastAsia="Times New Roman"/>
                <w:sz w:val="20"/>
                <w:lang w:val="en-US"/>
              </w:rPr>
            </w:pPr>
          </w:p>
          <w:p w:rsidR="00A85EB3" w:rsidRDefault="00B07D03">
            <w:pPr>
              <w:spacing w:before="60" w:after="60"/>
              <w:jc w:val="center"/>
              <w:rPr>
                <w:rFonts w:eastAsia="Times New Roman"/>
                <w:sz w:val="20"/>
                <w:lang w:val="en-US"/>
              </w:rPr>
            </w:pPr>
            <w:r>
              <w:rPr>
                <w:rFonts w:eastAsia="Times New Roman"/>
                <w:sz w:val="20"/>
              </w:rPr>
              <w:t>Брой</w:t>
            </w:r>
          </w:p>
        </w:tc>
        <w:tc>
          <w:tcPr>
            <w:tcW w:w="602" w:type="pct"/>
            <w:shd w:val="clear" w:color="auto" w:fill="auto"/>
          </w:tcPr>
          <w:p w:rsidR="00A85EB3" w:rsidRDefault="00A85EB3">
            <w:pPr>
              <w:spacing w:before="60" w:after="60"/>
              <w:jc w:val="center"/>
              <w:rPr>
                <w:rFonts w:eastAsia="Times New Roman"/>
                <w:sz w:val="20"/>
                <w:lang w:val="en-US"/>
              </w:rPr>
            </w:pPr>
          </w:p>
          <w:p w:rsidR="00A85EB3" w:rsidRDefault="00B07D03">
            <w:pPr>
              <w:spacing w:before="60" w:after="60"/>
              <w:jc w:val="center"/>
              <w:rPr>
                <w:rFonts w:eastAsia="Times New Roman"/>
                <w:sz w:val="20"/>
                <w:lang w:val="en-US"/>
              </w:rPr>
            </w:pPr>
            <w:r>
              <w:rPr>
                <w:rFonts w:eastAsia="Times New Roman"/>
                <w:sz w:val="20"/>
              </w:rPr>
              <w:t>3</w:t>
            </w:r>
          </w:p>
        </w:tc>
        <w:tc>
          <w:tcPr>
            <w:tcW w:w="988" w:type="pct"/>
            <w:shd w:val="clear" w:color="auto" w:fill="auto"/>
          </w:tcPr>
          <w:p w:rsidR="00A85EB3" w:rsidRDefault="00B07D03">
            <w:pPr>
              <w:spacing w:before="60" w:after="60"/>
              <w:jc w:val="center"/>
              <w:rPr>
                <w:rFonts w:eastAsia="Times New Roman"/>
                <w:sz w:val="20"/>
                <w:lang w:val="en-US"/>
              </w:rPr>
            </w:pPr>
            <w:r>
              <w:rPr>
                <w:sz w:val="20"/>
              </w:rPr>
              <w:t>Доклади за напредъка и Годишни доклади за изпълнението</w:t>
            </w:r>
          </w:p>
        </w:tc>
        <w:tc>
          <w:tcPr>
            <w:tcW w:w="572" w:type="pct"/>
          </w:tcPr>
          <w:p w:rsidR="00A85EB3" w:rsidRDefault="00A85EB3">
            <w:pPr>
              <w:spacing w:before="60" w:after="60"/>
              <w:jc w:val="center"/>
              <w:rPr>
                <w:rFonts w:eastAsia="Times New Roman"/>
                <w:sz w:val="20"/>
                <w:lang w:val="en-US"/>
              </w:rPr>
            </w:pPr>
          </w:p>
          <w:p w:rsidR="00A85EB3" w:rsidRDefault="00B07D03">
            <w:pPr>
              <w:spacing w:before="60" w:after="60"/>
              <w:jc w:val="center"/>
              <w:rPr>
                <w:rFonts w:eastAsia="Times New Roman"/>
                <w:sz w:val="20"/>
                <w:lang w:val="en-US"/>
              </w:rPr>
            </w:pPr>
            <w:r>
              <w:rPr>
                <w:rFonts w:eastAsia="Times New Roman"/>
                <w:sz w:val="20"/>
              </w:rPr>
              <w:t xml:space="preserve">Ежегодно </w:t>
            </w:r>
          </w:p>
        </w:tc>
      </w:tr>
      <w:tr w:rsidR="003A6822" w:rsidRPr="00981F6F" w:rsidTr="003A6822">
        <w:trPr>
          <w:trHeight w:val="79"/>
          <w:jc w:val="center"/>
        </w:trPr>
        <w:tc>
          <w:tcPr>
            <w:tcW w:w="350" w:type="pct"/>
            <w:vAlign w:val="center"/>
          </w:tcPr>
          <w:p w:rsidR="00A85EB3" w:rsidRDefault="00B07D03">
            <w:pPr>
              <w:keepNext/>
              <w:spacing w:before="60" w:after="60"/>
              <w:jc w:val="center"/>
              <w:rPr>
                <w:b/>
                <w:sz w:val="20"/>
                <w:lang w:val="en-US" w:eastAsia="en-US"/>
              </w:rPr>
            </w:pPr>
            <w:r>
              <w:rPr>
                <w:b/>
                <w:sz w:val="20"/>
                <w:lang w:eastAsia="en-US"/>
              </w:rPr>
              <w:t>ПР 1.</w:t>
            </w:r>
            <w:proofErr w:type="spellStart"/>
            <w:r>
              <w:rPr>
                <w:b/>
                <w:sz w:val="20"/>
                <w:lang w:eastAsia="en-US"/>
              </w:rPr>
              <w:t>1</w:t>
            </w:r>
            <w:proofErr w:type="spellEnd"/>
            <w:r>
              <w:rPr>
                <w:b/>
                <w:sz w:val="20"/>
                <w:lang w:eastAsia="en-US"/>
              </w:rPr>
              <w:t>.3</w:t>
            </w:r>
          </w:p>
        </w:tc>
        <w:tc>
          <w:tcPr>
            <w:tcW w:w="1986" w:type="pct"/>
            <w:shd w:val="clear" w:color="auto" w:fill="auto"/>
          </w:tcPr>
          <w:p w:rsidR="00A85EB3" w:rsidRDefault="00B07D03">
            <w:pPr>
              <w:spacing w:before="60" w:after="60"/>
              <w:rPr>
                <w:rFonts w:eastAsia="Times New Roman"/>
                <w:sz w:val="20"/>
                <w:lang w:val="en-US"/>
              </w:rPr>
            </w:pPr>
            <w:r>
              <w:rPr>
                <w:sz w:val="20"/>
                <w:lang w:eastAsia="en-US"/>
              </w:rPr>
              <w:t>Брой съвместни стратегии/общи указания, обучения, кампании за повишаване на осведомеността, обмен на опит за превенцията на рискове и управлението на природни и предизвикани от човека опасности и бедствия</w:t>
            </w:r>
          </w:p>
        </w:tc>
        <w:tc>
          <w:tcPr>
            <w:tcW w:w="501" w:type="pct"/>
            <w:shd w:val="clear" w:color="auto" w:fill="auto"/>
          </w:tcPr>
          <w:p w:rsidR="00A85EB3" w:rsidRDefault="00A85EB3">
            <w:pPr>
              <w:spacing w:before="60" w:after="60"/>
              <w:jc w:val="center"/>
              <w:rPr>
                <w:rFonts w:eastAsia="Times New Roman"/>
                <w:sz w:val="20"/>
                <w:lang w:val="en-US"/>
              </w:rPr>
            </w:pPr>
          </w:p>
          <w:p w:rsidR="00A85EB3" w:rsidRDefault="00B07D03">
            <w:pPr>
              <w:spacing w:before="60" w:after="60"/>
              <w:jc w:val="center"/>
              <w:rPr>
                <w:rFonts w:eastAsia="Times New Roman"/>
                <w:sz w:val="20"/>
                <w:lang w:val="en-US"/>
              </w:rPr>
            </w:pPr>
            <w:r>
              <w:rPr>
                <w:rFonts w:eastAsia="Times New Roman"/>
                <w:sz w:val="20"/>
              </w:rPr>
              <w:t>Брой</w:t>
            </w:r>
          </w:p>
        </w:tc>
        <w:tc>
          <w:tcPr>
            <w:tcW w:w="602" w:type="pct"/>
            <w:shd w:val="clear" w:color="auto" w:fill="auto"/>
          </w:tcPr>
          <w:p w:rsidR="00A85EB3" w:rsidRDefault="00A85EB3">
            <w:pPr>
              <w:spacing w:before="60" w:after="60"/>
              <w:jc w:val="center"/>
              <w:rPr>
                <w:rFonts w:eastAsia="Times New Roman"/>
                <w:sz w:val="20"/>
                <w:lang w:val="en-US"/>
              </w:rPr>
            </w:pPr>
          </w:p>
          <w:p w:rsidR="00A85EB3" w:rsidRDefault="00B07D03">
            <w:pPr>
              <w:spacing w:before="60" w:after="60"/>
              <w:jc w:val="center"/>
              <w:rPr>
                <w:rFonts w:eastAsia="Times New Roman"/>
                <w:sz w:val="20"/>
                <w:lang w:val="en-US"/>
              </w:rPr>
            </w:pPr>
            <w:r>
              <w:rPr>
                <w:rFonts w:eastAsia="Times New Roman"/>
                <w:sz w:val="20"/>
              </w:rPr>
              <w:t>6</w:t>
            </w:r>
          </w:p>
        </w:tc>
        <w:tc>
          <w:tcPr>
            <w:tcW w:w="988" w:type="pct"/>
            <w:shd w:val="clear" w:color="auto" w:fill="auto"/>
          </w:tcPr>
          <w:p w:rsidR="00A85EB3" w:rsidRDefault="00B07D03">
            <w:pPr>
              <w:spacing w:before="60" w:after="60"/>
              <w:jc w:val="center"/>
              <w:rPr>
                <w:rFonts w:eastAsia="Times New Roman"/>
                <w:sz w:val="20"/>
                <w:lang w:val="en-US"/>
              </w:rPr>
            </w:pPr>
            <w:r>
              <w:rPr>
                <w:sz w:val="20"/>
              </w:rPr>
              <w:t>Доклади за напредъка и Годишни доклади за изпълнението</w:t>
            </w:r>
          </w:p>
        </w:tc>
        <w:tc>
          <w:tcPr>
            <w:tcW w:w="572" w:type="pct"/>
          </w:tcPr>
          <w:p w:rsidR="00A85EB3" w:rsidRDefault="00A85EB3">
            <w:pPr>
              <w:spacing w:before="60" w:after="60"/>
              <w:jc w:val="center"/>
              <w:rPr>
                <w:rFonts w:eastAsia="Times New Roman"/>
                <w:sz w:val="20"/>
                <w:lang w:val="en-US"/>
              </w:rPr>
            </w:pPr>
          </w:p>
          <w:p w:rsidR="00A85EB3" w:rsidRDefault="00B07D03">
            <w:pPr>
              <w:spacing w:before="60" w:after="60"/>
              <w:jc w:val="center"/>
              <w:rPr>
                <w:rFonts w:eastAsia="Times New Roman"/>
                <w:sz w:val="20"/>
                <w:lang w:val="en-US"/>
              </w:rPr>
            </w:pPr>
            <w:r>
              <w:rPr>
                <w:rFonts w:eastAsia="Times New Roman"/>
                <w:sz w:val="20"/>
              </w:rPr>
              <w:t xml:space="preserve">Ежегодно </w:t>
            </w:r>
          </w:p>
        </w:tc>
      </w:tr>
      <w:tr w:rsidR="003A6822" w:rsidRPr="00981F6F" w:rsidTr="003A6822">
        <w:trPr>
          <w:trHeight w:val="79"/>
          <w:jc w:val="center"/>
        </w:trPr>
        <w:tc>
          <w:tcPr>
            <w:tcW w:w="350" w:type="pct"/>
            <w:vAlign w:val="center"/>
          </w:tcPr>
          <w:p w:rsidR="00A85EB3" w:rsidRDefault="00B07D03">
            <w:pPr>
              <w:keepNext/>
              <w:spacing w:before="60" w:after="60"/>
              <w:jc w:val="center"/>
              <w:rPr>
                <w:b/>
                <w:sz w:val="20"/>
                <w:lang w:val="en-US" w:eastAsia="en-US"/>
              </w:rPr>
            </w:pPr>
            <w:r>
              <w:rPr>
                <w:b/>
                <w:sz w:val="20"/>
                <w:lang w:eastAsia="en-US"/>
              </w:rPr>
              <w:t>ПР 1.2.1</w:t>
            </w:r>
          </w:p>
        </w:tc>
        <w:tc>
          <w:tcPr>
            <w:tcW w:w="1986" w:type="pct"/>
            <w:shd w:val="clear" w:color="auto" w:fill="auto"/>
          </w:tcPr>
          <w:p w:rsidR="00A85EB3" w:rsidRDefault="00A85EB3">
            <w:pPr>
              <w:spacing w:before="60" w:after="60"/>
              <w:rPr>
                <w:sz w:val="20"/>
                <w:lang w:val="en-US" w:eastAsia="en-US"/>
              </w:rPr>
            </w:pPr>
          </w:p>
          <w:p w:rsidR="00A85EB3" w:rsidRDefault="00B07D03">
            <w:pPr>
              <w:spacing w:before="60" w:after="60"/>
              <w:rPr>
                <w:sz w:val="20"/>
                <w:lang w:val="en-US" w:eastAsia="en-US"/>
              </w:rPr>
            </w:pPr>
            <w:r>
              <w:rPr>
                <w:sz w:val="20"/>
                <w:lang w:eastAsia="en-US"/>
              </w:rPr>
              <w:t xml:space="preserve">Брой защитени природни територии, повлияни от подкрепените действия  </w:t>
            </w:r>
          </w:p>
          <w:p w:rsidR="00A85EB3" w:rsidRDefault="00A85EB3">
            <w:pPr>
              <w:spacing w:before="60" w:after="60"/>
              <w:rPr>
                <w:sz w:val="20"/>
                <w:lang w:val="en-US" w:eastAsia="en-US"/>
              </w:rPr>
            </w:pPr>
          </w:p>
        </w:tc>
        <w:tc>
          <w:tcPr>
            <w:tcW w:w="501" w:type="pct"/>
            <w:shd w:val="clear" w:color="auto" w:fill="auto"/>
          </w:tcPr>
          <w:p w:rsidR="00A85EB3" w:rsidRDefault="00A85EB3">
            <w:pPr>
              <w:spacing w:before="60" w:after="60"/>
              <w:jc w:val="center"/>
              <w:rPr>
                <w:rFonts w:eastAsia="Times New Roman"/>
                <w:sz w:val="20"/>
                <w:lang w:val="en-US"/>
              </w:rPr>
            </w:pPr>
          </w:p>
          <w:p w:rsidR="00A85EB3" w:rsidRDefault="00B07D03">
            <w:pPr>
              <w:spacing w:before="60" w:after="60"/>
              <w:jc w:val="center"/>
              <w:rPr>
                <w:rFonts w:eastAsia="Times New Roman"/>
                <w:sz w:val="20"/>
                <w:lang w:val="en-US"/>
              </w:rPr>
            </w:pPr>
            <w:r>
              <w:rPr>
                <w:rFonts w:eastAsia="Times New Roman"/>
                <w:sz w:val="20"/>
              </w:rPr>
              <w:t>Брой</w:t>
            </w:r>
          </w:p>
        </w:tc>
        <w:tc>
          <w:tcPr>
            <w:tcW w:w="602" w:type="pct"/>
            <w:shd w:val="clear" w:color="auto" w:fill="auto"/>
          </w:tcPr>
          <w:p w:rsidR="00A85EB3" w:rsidRDefault="00A85EB3">
            <w:pPr>
              <w:spacing w:before="60" w:after="60"/>
              <w:jc w:val="center"/>
              <w:rPr>
                <w:rFonts w:eastAsia="Times New Roman"/>
                <w:sz w:val="20"/>
                <w:lang w:val="en-US"/>
              </w:rPr>
            </w:pPr>
          </w:p>
          <w:p w:rsidR="00A85EB3" w:rsidRDefault="00B07D03">
            <w:pPr>
              <w:spacing w:before="60" w:after="60"/>
              <w:jc w:val="center"/>
              <w:rPr>
                <w:rFonts w:eastAsia="Times New Roman"/>
                <w:sz w:val="20"/>
                <w:lang w:val="en-US"/>
              </w:rPr>
            </w:pPr>
            <w:r>
              <w:rPr>
                <w:rFonts w:eastAsia="Times New Roman"/>
                <w:sz w:val="20"/>
              </w:rPr>
              <w:t>5</w:t>
            </w:r>
          </w:p>
        </w:tc>
        <w:tc>
          <w:tcPr>
            <w:tcW w:w="988" w:type="pct"/>
            <w:shd w:val="clear" w:color="auto" w:fill="auto"/>
          </w:tcPr>
          <w:p w:rsidR="00A85EB3" w:rsidRDefault="00B07D03">
            <w:pPr>
              <w:spacing w:before="60" w:after="60"/>
              <w:jc w:val="center"/>
              <w:rPr>
                <w:lang w:val="en-US"/>
              </w:rPr>
            </w:pPr>
            <w:r>
              <w:rPr>
                <w:sz w:val="20"/>
              </w:rPr>
              <w:t>Доклади за напредъка и Годишни доклади за изпълнението</w:t>
            </w:r>
          </w:p>
        </w:tc>
        <w:tc>
          <w:tcPr>
            <w:tcW w:w="572" w:type="pct"/>
          </w:tcPr>
          <w:p w:rsidR="00A85EB3" w:rsidRDefault="00B07D03">
            <w:pPr>
              <w:spacing w:before="60" w:after="60"/>
              <w:jc w:val="center"/>
              <w:rPr>
                <w:lang w:val="en-US"/>
              </w:rPr>
            </w:pPr>
            <w:r>
              <w:rPr>
                <w:rFonts w:eastAsia="Times New Roman"/>
                <w:sz w:val="20"/>
              </w:rPr>
              <w:t xml:space="preserve">Ежегодно </w:t>
            </w:r>
          </w:p>
        </w:tc>
      </w:tr>
      <w:tr w:rsidR="003A6822" w:rsidRPr="00981F6F" w:rsidTr="003A6822">
        <w:trPr>
          <w:trHeight w:val="79"/>
          <w:jc w:val="center"/>
        </w:trPr>
        <w:tc>
          <w:tcPr>
            <w:tcW w:w="350" w:type="pct"/>
            <w:vAlign w:val="center"/>
          </w:tcPr>
          <w:p w:rsidR="00A85EB3" w:rsidRDefault="00B07D03">
            <w:pPr>
              <w:keepNext/>
              <w:spacing w:before="60" w:after="60"/>
              <w:jc w:val="center"/>
              <w:rPr>
                <w:b/>
                <w:sz w:val="20"/>
                <w:lang w:val="en-US" w:eastAsia="en-US"/>
              </w:rPr>
            </w:pPr>
            <w:r>
              <w:rPr>
                <w:b/>
                <w:sz w:val="20"/>
                <w:lang w:eastAsia="en-US"/>
              </w:rPr>
              <w:t>ПР 1.2.2</w:t>
            </w:r>
          </w:p>
        </w:tc>
        <w:tc>
          <w:tcPr>
            <w:tcW w:w="1986" w:type="pct"/>
            <w:shd w:val="clear" w:color="auto" w:fill="auto"/>
          </w:tcPr>
          <w:p w:rsidR="00A85EB3" w:rsidRDefault="00B07D03">
            <w:pPr>
              <w:spacing w:before="60" w:after="60"/>
              <w:rPr>
                <w:sz w:val="20"/>
                <w:lang w:val="en-US" w:eastAsia="en-US"/>
              </w:rPr>
            </w:pPr>
            <w:r>
              <w:rPr>
                <w:sz w:val="20"/>
                <w:lang w:eastAsia="en-US"/>
              </w:rPr>
              <w:t xml:space="preserve">Брой инициативи за опазване на природата, обучения, обмен на опит и </w:t>
            </w:r>
            <w:proofErr w:type="spellStart"/>
            <w:r>
              <w:rPr>
                <w:sz w:val="20"/>
                <w:lang w:eastAsia="en-US"/>
              </w:rPr>
              <w:t>ноу-хау</w:t>
            </w:r>
            <w:proofErr w:type="spellEnd"/>
            <w:r>
              <w:rPr>
                <w:sz w:val="20"/>
                <w:lang w:eastAsia="en-US"/>
              </w:rPr>
              <w:t>, съвместни кампании за повишаване на осведомеността, планове за управление на защитени територии</w:t>
            </w:r>
          </w:p>
        </w:tc>
        <w:tc>
          <w:tcPr>
            <w:tcW w:w="501" w:type="pct"/>
            <w:shd w:val="clear" w:color="auto" w:fill="auto"/>
          </w:tcPr>
          <w:p w:rsidR="00A85EB3" w:rsidRDefault="00B07D03">
            <w:pPr>
              <w:spacing w:before="60" w:after="60"/>
              <w:jc w:val="center"/>
              <w:rPr>
                <w:rFonts w:eastAsia="Times New Roman"/>
                <w:sz w:val="20"/>
                <w:lang w:val="en-US"/>
              </w:rPr>
            </w:pPr>
            <w:r>
              <w:rPr>
                <w:rFonts w:eastAsia="Times New Roman"/>
                <w:sz w:val="20"/>
              </w:rPr>
              <w:t xml:space="preserve"> </w:t>
            </w:r>
          </w:p>
          <w:p w:rsidR="00A85EB3" w:rsidRDefault="00B07D03">
            <w:pPr>
              <w:spacing w:before="60" w:after="60"/>
              <w:jc w:val="center"/>
              <w:rPr>
                <w:rFonts w:eastAsia="Times New Roman"/>
                <w:sz w:val="20"/>
                <w:lang w:val="en-US"/>
              </w:rPr>
            </w:pPr>
            <w:r>
              <w:rPr>
                <w:rFonts w:eastAsia="Times New Roman"/>
                <w:sz w:val="20"/>
              </w:rPr>
              <w:t>Брой</w:t>
            </w:r>
          </w:p>
        </w:tc>
        <w:tc>
          <w:tcPr>
            <w:tcW w:w="602" w:type="pct"/>
            <w:shd w:val="clear" w:color="auto" w:fill="auto"/>
          </w:tcPr>
          <w:p w:rsidR="00A85EB3" w:rsidRDefault="00A85EB3">
            <w:pPr>
              <w:spacing w:before="60" w:after="60"/>
              <w:jc w:val="center"/>
              <w:rPr>
                <w:rFonts w:eastAsia="Times New Roman"/>
                <w:sz w:val="20"/>
                <w:lang w:val="en-US"/>
              </w:rPr>
            </w:pPr>
          </w:p>
          <w:p w:rsidR="00A85EB3" w:rsidRDefault="00B07D03">
            <w:pPr>
              <w:spacing w:before="60" w:after="60"/>
              <w:jc w:val="center"/>
              <w:rPr>
                <w:rFonts w:eastAsia="Times New Roman"/>
                <w:sz w:val="20"/>
                <w:lang w:val="en-US"/>
              </w:rPr>
            </w:pPr>
            <w:r>
              <w:rPr>
                <w:rFonts w:eastAsia="Times New Roman"/>
                <w:sz w:val="20"/>
              </w:rPr>
              <w:t>28</w:t>
            </w:r>
          </w:p>
        </w:tc>
        <w:tc>
          <w:tcPr>
            <w:tcW w:w="988" w:type="pct"/>
            <w:shd w:val="clear" w:color="auto" w:fill="auto"/>
          </w:tcPr>
          <w:p w:rsidR="00A85EB3" w:rsidRDefault="00B07D03">
            <w:pPr>
              <w:spacing w:before="60" w:after="60"/>
              <w:jc w:val="center"/>
              <w:rPr>
                <w:lang w:val="en-US"/>
              </w:rPr>
            </w:pPr>
            <w:r>
              <w:rPr>
                <w:sz w:val="20"/>
              </w:rPr>
              <w:t>Доклади за напредъка и Годишни доклади за изпълнението</w:t>
            </w:r>
          </w:p>
        </w:tc>
        <w:tc>
          <w:tcPr>
            <w:tcW w:w="572" w:type="pct"/>
          </w:tcPr>
          <w:p w:rsidR="00A85EB3" w:rsidRDefault="00B07D03">
            <w:pPr>
              <w:spacing w:before="60" w:after="60"/>
              <w:jc w:val="center"/>
              <w:rPr>
                <w:lang w:val="en-US"/>
              </w:rPr>
            </w:pPr>
            <w:r>
              <w:rPr>
                <w:rFonts w:eastAsia="Times New Roman"/>
                <w:sz w:val="20"/>
              </w:rPr>
              <w:t xml:space="preserve">Ежегодно </w:t>
            </w:r>
          </w:p>
        </w:tc>
      </w:tr>
      <w:tr w:rsidR="003A6822" w:rsidRPr="00981F6F" w:rsidTr="003A6822">
        <w:trPr>
          <w:trHeight w:val="79"/>
          <w:jc w:val="center"/>
        </w:trPr>
        <w:tc>
          <w:tcPr>
            <w:tcW w:w="350" w:type="pct"/>
            <w:vAlign w:val="center"/>
          </w:tcPr>
          <w:p w:rsidR="00A85EB3" w:rsidRDefault="00B07D03">
            <w:pPr>
              <w:keepNext/>
              <w:spacing w:before="60" w:after="60"/>
              <w:jc w:val="center"/>
              <w:rPr>
                <w:b/>
                <w:sz w:val="20"/>
                <w:lang w:val="en-US" w:eastAsia="en-US"/>
              </w:rPr>
            </w:pPr>
            <w:r>
              <w:rPr>
                <w:b/>
                <w:sz w:val="20"/>
                <w:lang w:eastAsia="en-US"/>
              </w:rPr>
              <w:t>ПР 1.2.3</w:t>
            </w:r>
          </w:p>
        </w:tc>
        <w:tc>
          <w:tcPr>
            <w:tcW w:w="1986" w:type="pct"/>
            <w:shd w:val="clear" w:color="auto" w:fill="auto"/>
          </w:tcPr>
          <w:p w:rsidR="00A85EB3" w:rsidRDefault="00B07D03">
            <w:pPr>
              <w:spacing w:before="60" w:after="60"/>
              <w:rPr>
                <w:sz w:val="20"/>
                <w:lang w:val="en-US" w:eastAsia="en-US"/>
              </w:rPr>
            </w:pPr>
            <w:r>
              <w:rPr>
                <w:sz w:val="20"/>
                <w:lang w:eastAsia="en-US"/>
              </w:rPr>
              <w:t>Брой лица, ангажирани в дейности за обучение и изграждане на капацитет в областта на опазването на природата</w:t>
            </w:r>
          </w:p>
          <w:p w:rsidR="00A85EB3" w:rsidRDefault="00A85EB3">
            <w:pPr>
              <w:spacing w:before="60" w:after="60"/>
              <w:rPr>
                <w:sz w:val="20"/>
                <w:lang w:val="en-US" w:eastAsia="en-US"/>
              </w:rPr>
            </w:pPr>
          </w:p>
        </w:tc>
        <w:tc>
          <w:tcPr>
            <w:tcW w:w="501" w:type="pct"/>
            <w:shd w:val="clear" w:color="auto" w:fill="auto"/>
          </w:tcPr>
          <w:p w:rsidR="00A85EB3" w:rsidRDefault="00A85EB3">
            <w:pPr>
              <w:spacing w:before="60" w:after="60"/>
              <w:jc w:val="center"/>
              <w:rPr>
                <w:rFonts w:eastAsia="Times New Roman"/>
                <w:sz w:val="20"/>
                <w:lang w:val="en-US"/>
              </w:rPr>
            </w:pPr>
          </w:p>
          <w:p w:rsidR="00A85EB3" w:rsidRDefault="00B07D03">
            <w:pPr>
              <w:spacing w:before="60" w:after="60"/>
              <w:jc w:val="center"/>
              <w:rPr>
                <w:rFonts w:eastAsia="Times New Roman"/>
                <w:sz w:val="20"/>
                <w:lang w:val="en-US"/>
              </w:rPr>
            </w:pPr>
            <w:r>
              <w:rPr>
                <w:rFonts w:eastAsia="Times New Roman"/>
                <w:sz w:val="20"/>
              </w:rPr>
              <w:t>Брой</w:t>
            </w:r>
          </w:p>
        </w:tc>
        <w:tc>
          <w:tcPr>
            <w:tcW w:w="602" w:type="pct"/>
            <w:shd w:val="clear" w:color="auto" w:fill="auto"/>
          </w:tcPr>
          <w:p w:rsidR="00A85EB3" w:rsidRDefault="00A85EB3">
            <w:pPr>
              <w:spacing w:before="60" w:after="60"/>
              <w:jc w:val="center"/>
              <w:rPr>
                <w:rFonts w:eastAsia="Times New Roman"/>
                <w:sz w:val="20"/>
                <w:lang w:val="en-US"/>
              </w:rPr>
            </w:pPr>
          </w:p>
          <w:p w:rsidR="00A85EB3" w:rsidRDefault="00B07D03">
            <w:pPr>
              <w:spacing w:before="60" w:after="60"/>
              <w:jc w:val="center"/>
              <w:rPr>
                <w:rFonts w:eastAsia="Times New Roman"/>
                <w:sz w:val="20"/>
                <w:lang w:val="en-US"/>
              </w:rPr>
            </w:pPr>
            <w:r>
              <w:rPr>
                <w:rFonts w:eastAsia="Times New Roman"/>
                <w:sz w:val="20"/>
              </w:rPr>
              <w:t>300</w:t>
            </w:r>
          </w:p>
        </w:tc>
        <w:tc>
          <w:tcPr>
            <w:tcW w:w="988" w:type="pct"/>
            <w:shd w:val="clear" w:color="auto" w:fill="auto"/>
          </w:tcPr>
          <w:p w:rsidR="00A85EB3" w:rsidRDefault="00B07D03">
            <w:pPr>
              <w:spacing w:before="60" w:after="60"/>
              <w:jc w:val="center"/>
              <w:rPr>
                <w:sz w:val="20"/>
                <w:lang w:val="en-US"/>
              </w:rPr>
            </w:pPr>
            <w:r>
              <w:rPr>
                <w:sz w:val="20"/>
              </w:rPr>
              <w:t>Доклади за напредъка и Годишни доклади за изпълнението</w:t>
            </w:r>
          </w:p>
        </w:tc>
        <w:tc>
          <w:tcPr>
            <w:tcW w:w="572" w:type="pct"/>
          </w:tcPr>
          <w:p w:rsidR="00A85EB3" w:rsidRDefault="00B07D03">
            <w:pPr>
              <w:spacing w:before="60" w:after="60"/>
              <w:jc w:val="center"/>
              <w:rPr>
                <w:rFonts w:eastAsia="Times New Roman"/>
                <w:sz w:val="20"/>
                <w:lang w:val="en-US"/>
              </w:rPr>
            </w:pPr>
            <w:r>
              <w:rPr>
                <w:rFonts w:eastAsia="Times New Roman"/>
                <w:sz w:val="20"/>
              </w:rPr>
              <w:t xml:space="preserve">Ежегодно </w:t>
            </w:r>
          </w:p>
        </w:tc>
      </w:tr>
    </w:tbl>
    <w:p w:rsidR="00A85EB3" w:rsidRDefault="00A85EB3">
      <w:pPr>
        <w:suppressAutoHyphens/>
        <w:spacing w:after="240"/>
        <w:rPr>
          <w:rFonts w:eastAsia="Times New Roman"/>
          <w:b/>
          <w:lang w:val="en-US"/>
        </w:rPr>
        <w:sectPr w:rsidR="00A85EB3" w:rsidSect="006A4BDD">
          <w:pgSz w:w="16838" w:h="11906" w:orient="landscape"/>
          <w:pgMar w:top="1418" w:right="1021" w:bottom="1418" w:left="1021" w:header="601" w:footer="1077" w:gutter="0"/>
          <w:cols w:space="720"/>
          <w:docGrid w:linePitch="326"/>
        </w:sectPr>
      </w:pPr>
    </w:p>
    <w:p w:rsidR="00A85EB3" w:rsidRDefault="00B07D03">
      <w:pPr>
        <w:pStyle w:val="Heading3"/>
        <w:numPr>
          <w:ilvl w:val="0"/>
          <w:numId w:val="0"/>
        </w:numPr>
        <w:ind w:left="850" w:hanging="850"/>
        <w:rPr>
          <w:b/>
          <w:lang w:val="en-US"/>
        </w:rPr>
      </w:pPr>
      <w:bookmarkStart w:id="52" w:name="_Toc408234898"/>
      <w:r>
        <w:rPr>
          <w:b/>
        </w:rPr>
        <w:lastRenderedPageBreak/>
        <w:t>2.1.7. Категории на интервенциите</w:t>
      </w:r>
      <w:bookmarkEnd w:id="52"/>
      <w:r>
        <w:rPr>
          <w:b/>
        </w:rPr>
        <w:t xml:space="preserve"> </w:t>
      </w:r>
    </w:p>
    <w:p w:rsidR="00A85EB3" w:rsidRDefault="00B07D03">
      <w:pPr>
        <w:rPr>
          <w:lang w:val="en-US"/>
        </w:rPr>
      </w:pPr>
      <w:r>
        <w:t>(Източник: буква(b)(vii) на чл. 8(2) от Регламент (ЕС) № 1299/2013)</w:t>
      </w:r>
    </w:p>
    <w:p w:rsidR="00A85EB3" w:rsidRDefault="00B07D03">
      <w:pPr>
        <w:suppressAutoHyphens/>
        <w:spacing w:after="240"/>
        <w:rPr>
          <w:rFonts w:eastAsia="Times New Roman"/>
          <w:lang w:val="en-US"/>
        </w:rPr>
      </w:pPr>
      <w:r>
        <w:rPr>
          <w:rFonts w:eastAsia="Times New Roman"/>
        </w:rPr>
        <w:t xml:space="preserve">Категории на дейностите, съответстващи на съдържанието на приоритетната ос, на основата на номенклатура, приета от Комисията, и индикативна разбивка на помощта от Съюза </w:t>
      </w:r>
    </w:p>
    <w:p w:rsidR="00A85EB3" w:rsidRDefault="00B07D03">
      <w:pPr>
        <w:suppressAutoHyphens/>
        <w:spacing w:after="240"/>
        <w:rPr>
          <w:rFonts w:eastAsia="Times New Roman"/>
          <w:szCs w:val="24"/>
          <w:lang w:val="en-US"/>
        </w:rPr>
      </w:pPr>
      <w:r>
        <w:rPr>
          <w:rFonts w:eastAsia="Times New Roman"/>
          <w:b/>
          <w:szCs w:val="24"/>
        </w:rPr>
        <w:t>Таблици 5–8: Категории на интервенциите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5904"/>
        <w:gridCol w:w="1709"/>
      </w:tblGrid>
      <w:tr w:rsidR="00FB701A" w:rsidRPr="00981F6F" w:rsidTr="00523BE4">
        <w:trPr>
          <w:trHeight w:val="364"/>
        </w:trPr>
        <w:tc>
          <w:tcPr>
            <w:tcW w:w="5000" w:type="pct"/>
            <w:gridSpan w:val="3"/>
            <w:shd w:val="clear" w:color="auto" w:fill="auto"/>
          </w:tcPr>
          <w:p w:rsidR="00A85EB3" w:rsidRDefault="00B07D03">
            <w:pPr>
              <w:autoSpaceDE w:val="0"/>
              <w:autoSpaceDN w:val="0"/>
              <w:adjustRightInd w:val="0"/>
              <w:spacing w:after="0"/>
              <w:rPr>
                <w:rFonts w:ascii="TimesNewRoman" w:eastAsia="Times New Roman" w:hAnsi="TimesNewRoman" w:cs="TimesNewRoman"/>
                <w:b/>
                <w:color w:val="000000"/>
                <w:sz w:val="20"/>
                <w:lang w:val="en-US"/>
              </w:rPr>
            </w:pPr>
            <w:r>
              <w:rPr>
                <w:rFonts w:ascii="TimesNewRoman,Bold" w:eastAsia="Times New Roman" w:hAnsi="TimesNewRoman,Bold" w:cs="TimesNewRoman,Bold"/>
                <w:b/>
                <w:bCs/>
                <w:color w:val="000000"/>
                <w:sz w:val="20"/>
              </w:rPr>
              <w:t xml:space="preserve">Таблица 5: Измерение 1 </w:t>
            </w:r>
            <w:r>
              <w:rPr>
                <w:rFonts w:ascii="TimesNewRoman" w:eastAsia="Times New Roman" w:hAnsi="TimesNewRoman" w:cs="TimesNewRoman"/>
                <w:b/>
                <w:color w:val="000000"/>
                <w:sz w:val="20"/>
              </w:rPr>
              <w:t>Област на интервенция</w:t>
            </w:r>
          </w:p>
        </w:tc>
      </w:tr>
      <w:tr w:rsidR="00FB701A" w:rsidRPr="00981F6F" w:rsidTr="00523BE4">
        <w:trPr>
          <w:trHeight w:val="267"/>
        </w:trPr>
        <w:tc>
          <w:tcPr>
            <w:tcW w:w="901" w:type="pct"/>
            <w:shd w:val="clear" w:color="auto" w:fill="auto"/>
          </w:tcPr>
          <w:p w:rsidR="00A85EB3" w:rsidRDefault="00B07D03">
            <w:pPr>
              <w:spacing w:after="240"/>
              <w:jc w:val="center"/>
              <w:rPr>
                <w:rFonts w:eastAsia="Times New Roman"/>
                <w:b/>
                <w:sz w:val="18"/>
                <w:szCs w:val="18"/>
                <w:lang w:val="en-US"/>
              </w:rPr>
            </w:pPr>
            <w:r>
              <w:rPr>
                <w:rFonts w:eastAsia="Times New Roman"/>
                <w:b/>
                <w:sz w:val="18"/>
                <w:szCs w:val="18"/>
              </w:rPr>
              <w:t>Приоритетна ос</w:t>
            </w:r>
          </w:p>
        </w:tc>
        <w:tc>
          <w:tcPr>
            <w:tcW w:w="3179" w:type="pct"/>
            <w:shd w:val="clear" w:color="auto" w:fill="auto"/>
          </w:tcPr>
          <w:p w:rsidR="00A85EB3" w:rsidRDefault="00B07D03">
            <w:pPr>
              <w:spacing w:after="240"/>
              <w:jc w:val="center"/>
              <w:rPr>
                <w:rFonts w:eastAsia="Times New Roman"/>
                <w:sz w:val="20"/>
                <w:lang w:val="en-US"/>
              </w:rPr>
            </w:pPr>
            <w:r>
              <w:rPr>
                <w:rFonts w:eastAsia="Times New Roman"/>
                <w:b/>
                <w:sz w:val="18"/>
                <w:szCs w:val="18"/>
              </w:rPr>
              <w:t>Код</w:t>
            </w:r>
          </w:p>
        </w:tc>
        <w:tc>
          <w:tcPr>
            <w:tcW w:w="921" w:type="pct"/>
            <w:shd w:val="clear" w:color="auto" w:fill="auto"/>
          </w:tcPr>
          <w:p w:rsidR="00A85EB3" w:rsidRDefault="00B07D03">
            <w:pPr>
              <w:spacing w:after="240"/>
              <w:jc w:val="center"/>
              <w:rPr>
                <w:rFonts w:eastAsia="Times New Roman"/>
                <w:sz w:val="20"/>
                <w:lang w:val="en-US"/>
              </w:rPr>
            </w:pPr>
            <w:r>
              <w:rPr>
                <w:b/>
                <w:sz w:val="18"/>
                <w:szCs w:val="18"/>
              </w:rPr>
              <w:t>Сума (евро)</w:t>
            </w:r>
          </w:p>
        </w:tc>
      </w:tr>
      <w:tr w:rsidR="002B27E6" w:rsidRPr="00981F6F" w:rsidTr="00523BE4">
        <w:tc>
          <w:tcPr>
            <w:tcW w:w="901" w:type="pct"/>
            <w:vMerge w:val="restart"/>
            <w:shd w:val="clear" w:color="auto" w:fill="auto"/>
          </w:tcPr>
          <w:p w:rsidR="00A85EB3" w:rsidRDefault="00A85EB3">
            <w:pPr>
              <w:suppressAutoHyphens/>
              <w:spacing w:after="240"/>
              <w:rPr>
                <w:rFonts w:eastAsia="Times New Roman"/>
                <w:i/>
                <w:color w:val="8DB3E2"/>
                <w:sz w:val="18"/>
                <w:szCs w:val="18"/>
                <w:lang w:val="en-US"/>
              </w:rPr>
            </w:pPr>
          </w:p>
          <w:p w:rsidR="00A85EB3" w:rsidRDefault="00B07D03">
            <w:pPr>
              <w:suppressAutoHyphens/>
              <w:spacing w:after="240"/>
              <w:rPr>
                <w:rFonts w:eastAsia="Times New Roman"/>
                <w:i/>
                <w:color w:val="8DB3E2"/>
                <w:sz w:val="18"/>
                <w:szCs w:val="18"/>
                <w:lang w:val="en-US"/>
              </w:rPr>
            </w:pPr>
            <w:r>
              <w:rPr>
                <w:b/>
                <w:spacing w:val="20"/>
                <w:sz w:val="18"/>
                <w:szCs w:val="18"/>
                <w:lang w:eastAsia="en-US"/>
              </w:rPr>
              <w:t>Околна среда</w:t>
            </w:r>
          </w:p>
        </w:tc>
        <w:tc>
          <w:tcPr>
            <w:tcW w:w="3179" w:type="pct"/>
            <w:shd w:val="clear" w:color="auto" w:fill="auto"/>
          </w:tcPr>
          <w:p w:rsidR="00A85EB3" w:rsidRDefault="00B07D03">
            <w:pPr>
              <w:suppressAutoHyphens/>
              <w:spacing w:after="240"/>
              <w:rPr>
                <w:rFonts w:eastAsia="Times New Roman"/>
                <w:sz w:val="20"/>
                <w:lang w:val="en-US"/>
              </w:rPr>
            </w:pPr>
            <w:r>
              <w:rPr>
                <w:spacing w:val="20"/>
                <w:sz w:val="18"/>
                <w:szCs w:val="18"/>
                <w:lang w:eastAsia="en-US"/>
              </w:rPr>
              <w:t xml:space="preserve">085 </w:t>
            </w:r>
            <w:r w:rsidRPr="00CC4001">
              <w:rPr>
                <w:sz w:val="18"/>
                <w:szCs w:val="18"/>
                <w:lang w:eastAsia="en-US"/>
              </w:rPr>
              <w:t>Опазване и подобряване на биоразнообразието, опазване на природата и зелена инфраструктура</w:t>
            </w:r>
          </w:p>
        </w:tc>
        <w:tc>
          <w:tcPr>
            <w:tcW w:w="921" w:type="pct"/>
            <w:shd w:val="clear" w:color="auto" w:fill="auto"/>
          </w:tcPr>
          <w:p w:rsidR="00A85EB3" w:rsidRDefault="00B07D03">
            <w:pPr>
              <w:suppressAutoHyphens/>
              <w:spacing w:after="240"/>
              <w:jc w:val="center"/>
              <w:rPr>
                <w:rFonts w:eastAsia="Times New Roman"/>
                <w:sz w:val="20"/>
                <w:lang w:val="en-US"/>
              </w:rPr>
            </w:pPr>
            <w:r>
              <w:rPr>
                <w:b/>
                <w:spacing w:val="20"/>
                <w:sz w:val="18"/>
                <w:szCs w:val="18"/>
                <w:lang w:eastAsia="en-US"/>
              </w:rPr>
              <w:t>4 535 362,80</w:t>
            </w:r>
          </w:p>
        </w:tc>
      </w:tr>
      <w:tr w:rsidR="002B27E6" w:rsidRPr="00981F6F" w:rsidTr="00523BE4">
        <w:tc>
          <w:tcPr>
            <w:tcW w:w="901" w:type="pct"/>
            <w:vMerge/>
            <w:shd w:val="clear" w:color="auto" w:fill="auto"/>
          </w:tcPr>
          <w:p w:rsidR="00A85EB3" w:rsidRDefault="00A85EB3">
            <w:pPr>
              <w:spacing w:after="240"/>
              <w:rPr>
                <w:rFonts w:eastAsia="Times New Roman"/>
                <w:sz w:val="18"/>
                <w:szCs w:val="18"/>
                <w:lang w:val="en-US"/>
              </w:rPr>
            </w:pPr>
          </w:p>
        </w:tc>
        <w:tc>
          <w:tcPr>
            <w:tcW w:w="3179" w:type="pct"/>
            <w:shd w:val="clear" w:color="auto" w:fill="auto"/>
          </w:tcPr>
          <w:p w:rsidR="00A85EB3" w:rsidRDefault="00B07D03">
            <w:pPr>
              <w:spacing w:after="240"/>
              <w:rPr>
                <w:rFonts w:eastAsia="Times New Roman"/>
                <w:sz w:val="18"/>
                <w:szCs w:val="18"/>
                <w:lang w:val="en-US"/>
              </w:rPr>
            </w:pPr>
            <w:r>
              <w:rPr>
                <w:sz w:val="18"/>
                <w:szCs w:val="18"/>
                <w:lang w:eastAsia="en-US"/>
              </w:rPr>
              <w:t>087 Мерки за приспособяване към измененията на климата и управление на рисковете, свързани с климата, например ерозия, пожари, наводнения, бури и засушаване, включително повишаване на осведомеността, гражданска защита и системи за управление на бедствия и инфраструктура.</w:t>
            </w:r>
          </w:p>
        </w:tc>
        <w:tc>
          <w:tcPr>
            <w:tcW w:w="921" w:type="pct"/>
            <w:shd w:val="clear" w:color="auto" w:fill="auto"/>
          </w:tcPr>
          <w:p w:rsidR="00A85EB3" w:rsidRDefault="00B07D03">
            <w:pPr>
              <w:spacing w:after="240"/>
              <w:jc w:val="center"/>
              <w:rPr>
                <w:rFonts w:eastAsia="Times New Roman"/>
                <w:sz w:val="18"/>
                <w:szCs w:val="18"/>
                <w:lang w:val="en-US"/>
              </w:rPr>
            </w:pPr>
            <w:r>
              <w:rPr>
                <w:b/>
                <w:spacing w:val="20"/>
                <w:sz w:val="18"/>
                <w:szCs w:val="18"/>
                <w:lang w:eastAsia="en-US"/>
              </w:rPr>
              <w:t>6 803 044,20</w:t>
            </w:r>
          </w:p>
        </w:tc>
      </w:tr>
    </w:tbl>
    <w:p w:rsidR="00A85EB3" w:rsidRDefault="00A85EB3">
      <w:pPr>
        <w:suppressAutoHyphens/>
        <w:spacing w:after="240"/>
        <w:rPr>
          <w:rFonts w:eastAsia="Times New Roman"/>
          <w:b/>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5904"/>
        <w:gridCol w:w="1709"/>
      </w:tblGrid>
      <w:tr w:rsidR="00FB701A" w:rsidRPr="00981F6F" w:rsidTr="00523BE4">
        <w:trPr>
          <w:trHeight w:val="364"/>
        </w:trPr>
        <w:tc>
          <w:tcPr>
            <w:tcW w:w="5000" w:type="pct"/>
            <w:gridSpan w:val="3"/>
            <w:shd w:val="clear" w:color="auto" w:fill="auto"/>
          </w:tcPr>
          <w:p w:rsidR="00A85EB3" w:rsidRDefault="00B07D03">
            <w:pPr>
              <w:autoSpaceDE w:val="0"/>
              <w:autoSpaceDN w:val="0"/>
              <w:adjustRightInd w:val="0"/>
              <w:spacing w:after="0"/>
              <w:rPr>
                <w:rFonts w:ascii="TimesNewRoman" w:eastAsia="Times New Roman" w:hAnsi="TimesNewRoman" w:cs="TimesNewRoman"/>
                <w:b/>
                <w:color w:val="000000"/>
                <w:sz w:val="20"/>
                <w:lang w:val="en-US"/>
              </w:rPr>
            </w:pPr>
            <w:r>
              <w:rPr>
                <w:rFonts w:ascii="TimesNewRoman,Bold" w:eastAsia="Times New Roman" w:hAnsi="TimesNewRoman,Bold" w:cs="TimesNewRoman,Bold"/>
                <w:b/>
                <w:bCs/>
                <w:color w:val="000000"/>
                <w:sz w:val="20"/>
              </w:rPr>
              <w:t xml:space="preserve">Таблица 6: Измерение 2 </w:t>
            </w:r>
            <w:r>
              <w:rPr>
                <w:rFonts w:ascii="TimesNewRoman" w:eastAsia="Times New Roman" w:hAnsi="TimesNewRoman" w:cs="TimesNewRoman"/>
                <w:b/>
                <w:color w:val="000000"/>
                <w:sz w:val="20"/>
              </w:rPr>
              <w:t>Форма на финансиране</w:t>
            </w:r>
          </w:p>
        </w:tc>
      </w:tr>
      <w:tr w:rsidR="00FB701A" w:rsidRPr="00981F6F" w:rsidTr="00523BE4">
        <w:trPr>
          <w:trHeight w:val="267"/>
        </w:trPr>
        <w:tc>
          <w:tcPr>
            <w:tcW w:w="901" w:type="pct"/>
            <w:shd w:val="clear" w:color="auto" w:fill="auto"/>
          </w:tcPr>
          <w:p w:rsidR="00A85EB3" w:rsidRDefault="00B07D03">
            <w:pPr>
              <w:spacing w:after="240"/>
              <w:jc w:val="center"/>
              <w:rPr>
                <w:rFonts w:eastAsia="Times New Roman"/>
                <w:b/>
                <w:sz w:val="18"/>
                <w:szCs w:val="18"/>
                <w:lang w:val="en-US"/>
              </w:rPr>
            </w:pPr>
            <w:r>
              <w:rPr>
                <w:rFonts w:eastAsia="Times New Roman"/>
                <w:b/>
                <w:sz w:val="18"/>
                <w:szCs w:val="18"/>
              </w:rPr>
              <w:t>Приоритетна ос</w:t>
            </w:r>
          </w:p>
        </w:tc>
        <w:tc>
          <w:tcPr>
            <w:tcW w:w="3179" w:type="pct"/>
            <w:shd w:val="clear" w:color="auto" w:fill="auto"/>
          </w:tcPr>
          <w:p w:rsidR="00A85EB3" w:rsidRDefault="00B07D03">
            <w:pPr>
              <w:spacing w:after="240"/>
              <w:jc w:val="center"/>
              <w:rPr>
                <w:rFonts w:eastAsia="Times New Roman"/>
                <w:sz w:val="20"/>
                <w:lang w:val="en-US"/>
              </w:rPr>
            </w:pPr>
            <w:r>
              <w:rPr>
                <w:rFonts w:eastAsia="Times New Roman"/>
                <w:b/>
                <w:sz w:val="18"/>
                <w:szCs w:val="18"/>
              </w:rPr>
              <w:t>Код</w:t>
            </w:r>
          </w:p>
        </w:tc>
        <w:tc>
          <w:tcPr>
            <w:tcW w:w="921" w:type="pct"/>
            <w:shd w:val="clear" w:color="auto" w:fill="auto"/>
          </w:tcPr>
          <w:p w:rsidR="00A85EB3" w:rsidRDefault="00B07D03">
            <w:pPr>
              <w:spacing w:after="240"/>
              <w:jc w:val="center"/>
              <w:rPr>
                <w:rFonts w:eastAsia="Times New Roman"/>
                <w:sz w:val="20"/>
                <w:lang w:val="en-US"/>
              </w:rPr>
            </w:pPr>
            <w:r>
              <w:rPr>
                <w:b/>
                <w:sz w:val="18"/>
                <w:szCs w:val="18"/>
              </w:rPr>
              <w:t>Сума (евро)</w:t>
            </w:r>
          </w:p>
        </w:tc>
      </w:tr>
      <w:tr w:rsidR="00FB701A" w:rsidRPr="00981F6F" w:rsidTr="00523BE4">
        <w:tc>
          <w:tcPr>
            <w:tcW w:w="901" w:type="pct"/>
            <w:shd w:val="clear" w:color="auto" w:fill="auto"/>
          </w:tcPr>
          <w:p w:rsidR="00A85EB3" w:rsidRDefault="00B07D03">
            <w:pPr>
              <w:suppressAutoHyphens/>
              <w:spacing w:after="240"/>
              <w:rPr>
                <w:rFonts w:eastAsia="Times New Roman"/>
                <w:i/>
                <w:color w:val="8DB3E2"/>
                <w:sz w:val="18"/>
                <w:szCs w:val="18"/>
                <w:lang w:val="en-US"/>
              </w:rPr>
            </w:pPr>
            <w:r>
              <w:rPr>
                <w:b/>
                <w:spacing w:val="20"/>
                <w:sz w:val="18"/>
                <w:szCs w:val="18"/>
                <w:lang w:eastAsia="en-US"/>
              </w:rPr>
              <w:t>Околна среда</w:t>
            </w:r>
          </w:p>
        </w:tc>
        <w:tc>
          <w:tcPr>
            <w:tcW w:w="3179" w:type="pct"/>
            <w:shd w:val="clear" w:color="auto" w:fill="auto"/>
          </w:tcPr>
          <w:p w:rsidR="00A85EB3" w:rsidRDefault="00B07D03">
            <w:pPr>
              <w:suppressAutoHyphens/>
              <w:spacing w:after="240"/>
              <w:rPr>
                <w:rFonts w:eastAsia="Times New Roman"/>
                <w:sz w:val="18"/>
                <w:szCs w:val="18"/>
                <w:lang w:val="en-US"/>
              </w:rPr>
            </w:pPr>
            <w:r>
              <w:rPr>
                <w:sz w:val="18"/>
                <w:szCs w:val="18"/>
                <w:lang w:eastAsia="en-US"/>
              </w:rPr>
              <w:t>01 Безвъзмездна помощ</w:t>
            </w:r>
          </w:p>
        </w:tc>
        <w:tc>
          <w:tcPr>
            <w:tcW w:w="921" w:type="pct"/>
            <w:shd w:val="clear" w:color="auto" w:fill="auto"/>
          </w:tcPr>
          <w:p w:rsidR="00A85EB3" w:rsidRDefault="00B07D03">
            <w:pPr>
              <w:suppressAutoHyphens/>
              <w:spacing w:after="240"/>
              <w:jc w:val="center"/>
              <w:rPr>
                <w:rFonts w:eastAsia="Times New Roman"/>
                <w:sz w:val="18"/>
                <w:szCs w:val="18"/>
                <w:lang w:val="en-US"/>
              </w:rPr>
            </w:pPr>
            <w:r>
              <w:rPr>
                <w:b/>
                <w:spacing w:val="20"/>
                <w:sz w:val="18"/>
                <w:szCs w:val="18"/>
                <w:lang w:eastAsia="en-US"/>
              </w:rPr>
              <w:t>11 338 407,00</w:t>
            </w:r>
          </w:p>
        </w:tc>
      </w:tr>
    </w:tbl>
    <w:p w:rsidR="00A85EB3" w:rsidRDefault="00A85EB3">
      <w:pPr>
        <w:suppressAutoHyphens/>
        <w:spacing w:after="240"/>
        <w:rPr>
          <w:rFonts w:eastAsia="Times New Roman"/>
          <w:b/>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5904"/>
        <w:gridCol w:w="1709"/>
      </w:tblGrid>
      <w:tr w:rsidR="00FB701A" w:rsidRPr="00981F6F" w:rsidTr="00523BE4">
        <w:trPr>
          <w:trHeight w:val="364"/>
        </w:trPr>
        <w:tc>
          <w:tcPr>
            <w:tcW w:w="5000" w:type="pct"/>
            <w:gridSpan w:val="3"/>
            <w:shd w:val="clear" w:color="auto" w:fill="auto"/>
          </w:tcPr>
          <w:p w:rsidR="00A85EB3" w:rsidRDefault="00B07D03">
            <w:pPr>
              <w:autoSpaceDE w:val="0"/>
              <w:autoSpaceDN w:val="0"/>
              <w:adjustRightInd w:val="0"/>
              <w:spacing w:after="0"/>
              <w:rPr>
                <w:rFonts w:eastAsia="Times New Roman"/>
                <w:b/>
                <w:color w:val="000000"/>
                <w:sz w:val="18"/>
                <w:szCs w:val="18"/>
                <w:lang w:val="en-US"/>
              </w:rPr>
            </w:pPr>
            <w:r>
              <w:rPr>
                <w:rFonts w:eastAsia="Times New Roman"/>
                <w:b/>
                <w:bCs/>
                <w:color w:val="000000"/>
                <w:sz w:val="18"/>
                <w:szCs w:val="18"/>
              </w:rPr>
              <w:t>Таблица 7: Измерение 3 Тип на територията</w:t>
            </w:r>
          </w:p>
        </w:tc>
      </w:tr>
      <w:tr w:rsidR="00FB701A" w:rsidRPr="00981F6F" w:rsidTr="00523BE4">
        <w:trPr>
          <w:trHeight w:val="267"/>
        </w:trPr>
        <w:tc>
          <w:tcPr>
            <w:tcW w:w="901" w:type="pct"/>
            <w:shd w:val="clear" w:color="auto" w:fill="auto"/>
          </w:tcPr>
          <w:p w:rsidR="00A85EB3" w:rsidRDefault="00B07D03">
            <w:pPr>
              <w:spacing w:after="240"/>
              <w:jc w:val="center"/>
              <w:rPr>
                <w:rFonts w:eastAsia="Times New Roman"/>
                <w:b/>
                <w:sz w:val="18"/>
                <w:szCs w:val="18"/>
                <w:lang w:val="en-US"/>
              </w:rPr>
            </w:pPr>
            <w:r>
              <w:rPr>
                <w:rFonts w:eastAsia="Times New Roman"/>
                <w:b/>
                <w:sz w:val="18"/>
                <w:szCs w:val="18"/>
              </w:rPr>
              <w:t>Приоритетна ос</w:t>
            </w:r>
          </w:p>
        </w:tc>
        <w:tc>
          <w:tcPr>
            <w:tcW w:w="3179" w:type="pct"/>
            <w:shd w:val="clear" w:color="auto" w:fill="auto"/>
          </w:tcPr>
          <w:p w:rsidR="00A85EB3" w:rsidRDefault="00B07D03">
            <w:pPr>
              <w:spacing w:after="240"/>
              <w:jc w:val="center"/>
              <w:rPr>
                <w:rFonts w:eastAsia="Times New Roman"/>
                <w:sz w:val="18"/>
                <w:szCs w:val="18"/>
                <w:lang w:val="en-US"/>
              </w:rPr>
            </w:pPr>
            <w:r>
              <w:rPr>
                <w:rFonts w:eastAsia="Times New Roman"/>
                <w:b/>
                <w:sz w:val="18"/>
                <w:szCs w:val="18"/>
              </w:rPr>
              <w:t>Код</w:t>
            </w:r>
          </w:p>
        </w:tc>
        <w:tc>
          <w:tcPr>
            <w:tcW w:w="921" w:type="pct"/>
            <w:shd w:val="clear" w:color="auto" w:fill="auto"/>
          </w:tcPr>
          <w:p w:rsidR="00A85EB3" w:rsidRDefault="00B07D03">
            <w:pPr>
              <w:spacing w:after="240"/>
              <w:jc w:val="center"/>
              <w:rPr>
                <w:rFonts w:eastAsia="Times New Roman"/>
                <w:sz w:val="18"/>
                <w:szCs w:val="18"/>
                <w:lang w:val="en-US"/>
              </w:rPr>
            </w:pPr>
            <w:r>
              <w:rPr>
                <w:b/>
                <w:sz w:val="18"/>
                <w:szCs w:val="18"/>
              </w:rPr>
              <w:t>Сума (евро)</w:t>
            </w:r>
          </w:p>
        </w:tc>
      </w:tr>
      <w:tr w:rsidR="00FB701A" w:rsidRPr="00981F6F" w:rsidTr="00523BE4">
        <w:tc>
          <w:tcPr>
            <w:tcW w:w="901" w:type="pct"/>
            <w:shd w:val="clear" w:color="auto" w:fill="auto"/>
          </w:tcPr>
          <w:p w:rsidR="00A85EB3" w:rsidRDefault="00B07D03">
            <w:pPr>
              <w:suppressAutoHyphens/>
              <w:spacing w:after="240"/>
              <w:rPr>
                <w:rFonts w:eastAsia="Times New Roman"/>
                <w:i/>
                <w:color w:val="8DB3E2"/>
                <w:sz w:val="18"/>
                <w:szCs w:val="18"/>
                <w:lang w:val="en-US"/>
              </w:rPr>
            </w:pPr>
            <w:r>
              <w:rPr>
                <w:b/>
                <w:spacing w:val="20"/>
                <w:sz w:val="18"/>
                <w:szCs w:val="18"/>
                <w:lang w:eastAsia="en-US"/>
              </w:rPr>
              <w:t>Околна среда</w:t>
            </w:r>
          </w:p>
        </w:tc>
        <w:tc>
          <w:tcPr>
            <w:tcW w:w="3179" w:type="pct"/>
            <w:shd w:val="clear" w:color="auto" w:fill="auto"/>
          </w:tcPr>
          <w:p w:rsidR="00A85EB3" w:rsidRDefault="00B07D03">
            <w:pPr>
              <w:suppressAutoHyphens/>
              <w:spacing w:after="240"/>
              <w:rPr>
                <w:rFonts w:eastAsia="Times New Roman"/>
                <w:sz w:val="18"/>
                <w:szCs w:val="18"/>
                <w:lang w:val="en-US"/>
              </w:rPr>
            </w:pPr>
            <w:r>
              <w:rPr>
                <w:sz w:val="18"/>
                <w:szCs w:val="18"/>
              </w:rPr>
              <w:t>05 – Сътрудничество през национални или регионални програмни области в национален контекст</w:t>
            </w:r>
          </w:p>
        </w:tc>
        <w:tc>
          <w:tcPr>
            <w:tcW w:w="921" w:type="pct"/>
            <w:shd w:val="clear" w:color="auto" w:fill="auto"/>
          </w:tcPr>
          <w:p w:rsidR="00A85EB3" w:rsidRDefault="00B07D03">
            <w:pPr>
              <w:suppressAutoHyphens/>
              <w:spacing w:after="240"/>
              <w:jc w:val="center"/>
              <w:rPr>
                <w:rFonts w:eastAsia="Times New Roman"/>
                <w:sz w:val="18"/>
                <w:szCs w:val="18"/>
                <w:lang w:val="en-US"/>
              </w:rPr>
            </w:pPr>
            <w:r>
              <w:rPr>
                <w:b/>
                <w:spacing w:val="20"/>
                <w:sz w:val="18"/>
                <w:szCs w:val="18"/>
                <w:lang w:eastAsia="en-US"/>
              </w:rPr>
              <w:t>11 338 407,00</w:t>
            </w:r>
          </w:p>
        </w:tc>
      </w:tr>
    </w:tbl>
    <w:p w:rsidR="00A85EB3" w:rsidRDefault="00A85EB3">
      <w:pPr>
        <w:suppressAutoHyphens/>
        <w:spacing w:after="240"/>
        <w:rPr>
          <w:rFonts w:eastAsia="Times New Roman"/>
          <w:b/>
          <w:sz w:val="18"/>
          <w:szCs w:val="18"/>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2951"/>
        <w:gridCol w:w="3263"/>
      </w:tblGrid>
      <w:tr w:rsidR="00FB701A" w:rsidRPr="00981F6F" w:rsidTr="00523BE4">
        <w:trPr>
          <w:trHeight w:val="364"/>
        </w:trPr>
        <w:tc>
          <w:tcPr>
            <w:tcW w:w="5000" w:type="pct"/>
            <w:gridSpan w:val="3"/>
            <w:shd w:val="clear" w:color="auto" w:fill="auto"/>
          </w:tcPr>
          <w:p w:rsidR="00A85EB3" w:rsidRDefault="00B07D03">
            <w:pPr>
              <w:autoSpaceDE w:val="0"/>
              <w:autoSpaceDN w:val="0"/>
              <w:adjustRightInd w:val="0"/>
              <w:spacing w:after="0"/>
              <w:rPr>
                <w:rFonts w:ascii="TimesNewRoman" w:eastAsia="Times New Roman" w:hAnsi="TimesNewRoman" w:cs="TimesNewRoman"/>
                <w:b/>
                <w:color w:val="000000"/>
                <w:sz w:val="20"/>
                <w:lang w:val="en-US"/>
              </w:rPr>
            </w:pPr>
            <w:r>
              <w:rPr>
                <w:rFonts w:ascii="TimesNewRoman,Bold" w:eastAsia="Times New Roman" w:hAnsi="TimesNewRoman,Bold" w:cs="TimesNewRoman,Bold"/>
                <w:b/>
                <w:bCs/>
                <w:color w:val="000000"/>
                <w:sz w:val="20"/>
              </w:rPr>
              <w:t xml:space="preserve">Таблица 8: Измерение 6 </w:t>
            </w:r>
            <w:r>
              <w:rPr>
                <w:rFonts w:ascii="TimesNewRoman" w:eastAsia="Times New Roman" w:hAnsi="TimesNewRoman" w:cs="TimesNewRoman"/>
                <w:b/>
                <w:color w:val="000000"/>
                <w:sz w:val="20"/>
              </w:rPr>
              <w:t>Механизъм за териториално измерение</w:t>
            </w:r>
          </w:p>
        </w:tc>
      </w:tr>
      <w:tr w:rsidR="00FB701A" w:rsidRPr="00981F6F" w:rsidTr="00523BE4">
        <w:trPr>
          <w:trHeight w:val="267"/>
        </w:trPr>
        <w:tc>
          <w:tcPr>
            <w:tcW w:w="1654" w:type="pct"/>
            <w:shd w:val="clear" w:color="auto" w:fill="auto"/>
          </w:tcPr>
          <w:p w:rsidR="00A85EB3" w:rsidRDefault="00B07D03">
            <w:pPr>
              <w:spacing w:after="240"/>
              <w:jc w:val="center"/>
              <w:rPr>
                <w:rFonts w:eastAsia="Times New Roman"/>
                <w:b/>
                <w:sz w:val="18"/>
                <w:szCs w:val="18"/>
                <w:lang w:val="en-US"/>
              </w:rPr>
            </w:pPr>
            <w:r>
              <w:rPr>
                <w:rFonts w:eastAsia="Times New Roman"/>
                <w:b/>
                <w:sz w:val="18"/>
                <w:szCs w:val="18"/>
              </w:rPr>
              <w:t>Приоритетна ос</w:t>
            </w:r>
          </w:p>
        </w:tc>
        <w:tc>
          <w:tcPr>
            <w:tcW w:w="1589" w:type="pct"/>
            <w:shd w:val="clear" w:color="auto" w:fill="auto"/>
          </w:tcPr>
          <w:p w:rsidR="00A85EB3" w:rsidRDefault="00B07D03">
            <w:pPr>
              <w:spacing w:after="240"/>
              <w:jc w:val="center"/>
              <w:rPr>
                <w:rFonts w:eastAsia="Times New Roman"/>
                <w:sz w:val="20"/>
                <w:lang w:val="en-US"/>
              </w:rPr>
            </w:pPr>
            <w:r>
              <w:rPr>
                <w:rFonts w:eastAsia="Times New Roman"/>
                <w:b/>
                <w:sz w:val="18"/>
                <w:szCs w:val="18"/>
              </w:rPr>
              <w:t>Код</w:t>
            </w:r>
          </w:p>
        </w:tc>
        <w:tc>
          <w:tcPr>
            <w:tcW w:w="1757" w:type="pct"/>
            <w:shd w:val="clear" w:color="auto" w:fill="auto"/>
          </w:tcPr>
          <w:p w:rsidR="00A85EB3" w:rsidRDefault="00B07D03">
            <w:pPr>
              <w:spacing w:after="240"/>
              <w:jc w:val="center"/>
              <w:rPr>
                <w:rFonts w:eastAsia="Times New Roman"/>
                <w:sz w:val="20"/>
                <w:lang w:val="en-US"/>
              </w:rPr>
            </w:pPr>
            <w:r>
              <w:rPr>
                <w:b/>
                <w:sz w:val="18"/>
                <w:szCs w:val="18"/>
              </w:rPr>
              <w:t>Сума (евро)</w:t>
            </w:r>
          </w:p>
        </w:tc>
      </w:tr>
      <w:tr w:rsidR="00FB701A" w:rsidRPr="00981F6F" w:rsidTr="00523BE4">
        <w:tc>
          <w:tcPr>
            <w:tcW w:w="1654" w:type="pct"/>
            <w:shd w:val="clear" w:color="auto" w:fill="auto"/>
          </w:tcPr>
          <w:p w:rsidR="00A85EB3" w:rsidRDefault="00B07D03">
            <w:pPr>
              <w:suppressAutoHyphens/>
              <w:spacing w:after="240"/>
              <w:jc w:val="center"/>
              <w:rPr>
                <w:rFonts w:eastAsia="Times New Roman"/>
                <w:i/>
                <w:color w:val="8DB3E2"/>
                <w:szCs w:val="24"/>
                <w:lang w:val="en-US"/>
              </w:rPr>
            </w:pPr>
            <w:r>
              <w:rPr>
                <w:rFonts w:eastAsia="Times New Roman"/>
                <w:i/>
                <w:szCs w:val="24"/>
              </w:rPr>
              <w:t>н/п</w:t>
            </w:r>
          </w:p>
        </w:tc>
        <w:tc>
          <w:tcPr>
            <w:tcW w:w="1589" w:type="pct"/>
            <w:shd w:val="clear" w:color="auto" w:fill="auto"/>
          </w:tcPr>
          <w:p w:rsidR="00A85EB3" w:rsidRDefault="00B07D03">
            <w:pPr>
              <w:suppressAutoHyphens/>
              <w:spacing w:after="240"/>
              <w:jc w:val="center"/>
              <w:rPr>
                <w:rFonts w:eastAsia="Times New Roman"/>
                <w:sz w:val="20"/>
                <w:lang w:val="en-US"/>
              </w:rPr>
            </w:pPr>
            <w:r>
              <w:rPr>
                <w:rFonts w:eastAsia="Times New Roman"/>
                <w:i/>
                <w:szCs w:val="24"/>
              </w:rPr>
              <w:t>н/п</w:t>
            </w:r>
          </w:p>
        </w:tc>
        <w:tc>
          <w:tcPr>
            <w:tcW w:w="1757" w:type="pct"/>
            <w:shd w:val="clear" w:color="auto" w:fill="auto"/>
          </w:tcPr>
          <w:p w:rsidR="00A85EB3" w:rsidRDefault="00B07D03">
            <w:pPr>
              <w:suppressAutoHyphens/>
              <w:spacing w:after="240"/>
              <w:jc w:val="center"/>
              <w:rPr>
                <w:rFonts w:eastAsia="Times New Roman"/>
                <w:sz w:val="20"/>
                <w:lang w:val="en-US"/>
              </w:rPr>
            </w:pPr>
            <w:r>
              <w:rPr>
                <w:rFonts w:eastAsia="Times New Roman"/>
                <w:i/>
                <w:szCs w:val="24"/>
              </w:rPr>
              <w:t>н/п</w:t>
            </w:r>
          </w:p>
        </w:tc>
      </w:tr>
    </w:tbl>
    <w:p w:rsidR="00A85EB3" w:rsidRDefault="00A85EB3">
      <w:pPr>
        <w:spacing w:after="240"/>
        <w:rPr>
          <w:rFonts w:eastAsia="Times New Roman"/>
          <w:i/>
          <w:lang w:val="en-US"/>
        </w:rPr>
      </w:pPr>
    </w:p>
    <w:p w:rsidR="00A85EB3" w:rsidRDefault="00A85EB3">
      <w:pPr>
        <w:spacing w:after="240"/>
        <w:rPr>
          <w:rFonts w:eastAsia="Times New Roman"/>
          <w:i/>
          <w:lang w:val="en-US"/>
        </w:rPr>
      </w:pPr>
    </w:p>
    <w:p w:rsidR="00A85EB3" w:rsidRDefault="00B07D03">
      <w:pPr>
        <w:spacing w:after="240"/>
        <w:ind w:left="709" w:hanging="709"/>
        <w:rPr>
          <w:lang w:val="en-US"/>
        </w:rPr>
      </w:pPr>
      <w:bookmarkStart w:id="53" w:name="_Toc408234899"/>
      <w:r>
        <w:rPr>
          <w:rStyle w:val="Heading3Char"/>
          <w:rFonts w:eastAsia="Calibri"/>
          <w:b/>
          <w:i w:val="0"/>
        </w:rPr>
        <w:lastRenderedPageBreak/>
        <w:t>2.1.8. Кратко изложение на планираното използване на техническа помощ, включително, когато е необходимо, мерки за укрепване на административния капацитет на органите, участващи в управлението и контрола на програмите и бенефициентите, и, когато е необходимо, действия за повишаване на административния капацитет на съответните партньори за участие в изпълнението на програми</w:t>
      </w:r>
      <w:bookmarkEnd w:id="53"/>
      <w:r>
        <w:t xml:space="preserve"> (когато е необходимо)</w:t>
      </w:r>
    </w:p>
    <w:p w:rsidR="00A85EB3" w:rsidRDefault="00B07D03">
      <w:pPr>
        <w:rPr>
          <w:lang w:val="en-US"/>
        </w:rPr>
      </w:pPr>
      <w:r>
        <w:t>(Източник: буква(b)(vi) на чл. 8(2) от Регламент (ЕС) № 1299/2013)</w:t>
      </w:r>
    </w:p>
    <w:p w:rsidR="00A85EB3" w:rsidRDefault="00A85EB3">
      <w:pPr>
        <w:spacing w:after="240"/>
        <w:rPr>
          <w:rFonts w:eastAsia="Times New Roman"/>
          <w:b/>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6916"/>
      </w:tblGrid>
      <w:tr w:rsidR="00FB701A" w:rsidRPr="00981F6F" w:rsidTr="00523BE4">
        <w:trPr>
          <w:trHeight w:val="518"/>
        </w:trPr>
        <w:tc>
          <w:tcPr>
            <w:tcW w:w="1276" w:type="pct"/>
            <w:shd w:val="clear" w:color="auto" w:fill="auto"/>
          </w:tcPr>
          <w:p w:rsidR="00A85EB3" w:rsidRDefault="00B07D03">
            <w:pPr>
              <w:spacing w:after="240"/>
              <w:rPr>
                <w:rFonts w:eastAsia="Times New Roman"/>
                <w:i/>
                <w:color w:val="8DB3E2"/>
                <w:sz w:val="18"/>
                <w:szCs w:val="18"/>
                <w:lang w:val="en-US"/>
              </w:rPr>
            </w:pPr>
            <w:r>
              <w:rPr>
                <w:rFonts w:eastAsia="Times New Roman"/>
                <w:i/>
              </w:rPr>
              <w:t>Приоритетна ос</w:t>
            </w:r>
          </w:p>
        </w:tc>
        <w:tc>
          <w:tcPr>
            <w:tcW w:w="3724" w:type="pct"/>
            <w:shd w:val="clear" w:color="auto" w:fill="auto"/>
          </w:tcPr>
          <w:p w:rsidR="00A85EB3" w:rsidRDefault="00B07D03">
            <w:pPr>
              <w:spacing w:after="240"/>
              <w:jc w:val="center"/>
              <w:rPr>
                <w:rFonts w:eastAsia="Times New Roman"/>
                <w:b/>
                <w:i/>
                <w:color w:val="8DB3E2"/>
                <w:szCs w:val="24"/>
                <w:lang w:val="en-US"/>
              </w:rPr>
            </w:pPr>
            <w:r>
              <w:rPr>
                <w:rFonts w:eastAsia="Times New Roman"/>
                <w:b/>
                <w:i/>
                <w:szCs w:val="24"/>
              </w:rPr>
              <w:t>Околна среда</w:t>
            </w:r>
          </w:p>
        </w:tc>
      </w:tr>
      <w:tr w:rsidR="00FB701A" w:rsidRPr="00981F6F" w:rsidTr="00523BE4">
        <w:trPr>
          <w:trHeight w:val="1662"/>
        </w:trPr>
        <w:tc>
          <w:tcPr>
            <w:tcW w:w="5000" w:type="pct"/>
            <w:gridSpan w:val="2"/>
            <w:shd w:val="clear" w:color="auto" w:fill="auto"/>
          </w:tcPr>
          <w:p w:rsidR="00A85EB3" w:rsidRDefault="00B07D03" w:rsidP="009B7D77">
            <w:pPr>
              <w:spacing w:line="276" w:lineRule="auto"/>
              <w:rPr>
                <w:rFonts w:eastAsia="Times New Roman"/>
                <w:i/>
                <w:szCs w:val="24"/>
                <w:lang w:val="en-US"/>
              </w:rPr>
            </w:pPr>
            <w:r>
              <w:rPr>
                <w:rFonts w:cs="Arial"/>
                <w:color w:val="000000"/>
                <w:szCs w:val="24"/>
                <w:lang w:eastAsia="en-US"/>
              </w:rPr>
              <w:t xml:space="preserve">Общата цел на Приоритетна ос „Техническа помощ“ е да осигури ефективно и ефикасно администриране и изпълнение на Програмата за ТГС. </w:t>
            </w:r>
            <w:r w:rsidR="00305528">
              <w:rPr>
                <w:rFonts w:eastAsia="Times New Roman"/>
              </w:rPr>
              <w:t>Специфична</w:t>
            </w:r>
            <w:r>
              <w:rPr>
                <w:rFonts w:cs="Arial"/>
                <w:i/>
                <w:color w:val="000000"/>
                <w:szCs w:val="24"/>
                <w:u w:val="single"/>
                <w:lang w:eastAsia="en-US"/>
              </w:rPr>
              <w:t xml:space="preserve"> цел 3.1 на ТП: Усъвършенстване на цялостното администриране и оценка на Програмата има за цел</w:t>
            </w:r>
            <w:r>
              <w:rPr>
                <w:rFonts w:cs="Arial"/>
                <w:b/>
                <w:bCs/>
                <w:color w:val="000000"/>
                <w:szCs w:val="24"/>
                <w:lang w:eastAsia="en-US"/>
              </w:rPr>
              <w:t xml:space="preserve">: </w:t>
            </w:r>
            <w:r>
              <w:rPr>
                <w:rFonts w:cs="Arial"/>
                <w:bCs/>
                <w:color w:val="000000"/>
                <w:szCs w:val="24"/>
                <w:lang w:eastAsia="en-US"/>
              </w:rPr>
              <w:t xml:space="preserve">1) Предоставяне на подкрепа на Управляващия орган, Националния орган и Съвместния секретариат (в главния офис и в клона) за задачи, свързани с подготвянето на необходимите документи, оценката и подбора на проекти, наблюдението и оценяването на дейностите, контрола и одита на Програмата; 2) Предоставяне на подкрепа на Съвместния комитет за наблюдение и всички други структури, участващи в надзора на Програмата; 3) Предоставяне на подкрепа за оценяване на Програмата, в това число оценки по конкретни поводи, средносрочна и </w:t>
            </w:r>
            <w:proofErr w:type="spellStart"/>
            <w:r>
              <w:rPr>
                <w:rFonts w:cs="Arial"/>
                <w:bCs/>
                <w:color w:val="000000"/>
                <w:szCs w:val="24"/>
                <w:lang w:eastAsia="en-US"/>
              </w:rPr>
              <w:t>последваща</w:t>
            </w:r>
            <w:proofErr w:type="spellEnd"/>
            <w:r>
              <w:rPr>
                <w:rFonts w:cs="Arial"/>
                <w:bCs/>
                <w:color w:val="000000"/>
                <w:szCs w:val="24"/>
                <w:lang w:eastAsia="en-US"/>
              </w:rPr>
              <w:t xml:space="preserve"> оценка; 4) Разработване на специфични проучвания и изследвания за програмата; 5) Външна експертна помощ за разработване на процедури за изпълнение и наблюдение на Програмата, информационна система за администриране на програмата и оценяване и </w:t>
            </w:r>
            <w:r w:rsidR="009B7D77">
              <w:rPr>
                <w:rFonts w:cs="Arial"/>
                <w:bCs/>
                <w:color w:val="000000"/>
                <w:szCs w:val="24"/>
                <w:lang w:eastAsia="en-US"/>
              </w:rPr>
              <w:t>Първо ниво на контрол</w:t>
            </w:r>
            <w:r>
              <w:rPr>
                <w:rFonts w:cs="Arial"/>
                <w:bCs/>
                <w:color w:val="000000"/>
                <w:szCs w:val="24"/>
                <w:lang w:eastAsia="en-US"/>
              </w:rPr>
              <w:t xml:space="preserve"> на проектите; 6) Инициативи за изграждане на капацитет за Управляващия орган, Националния орган и Съвместния секретариат (в главния офис и в клона) за ефективно и ефикасно администриране на програмата. </w:t>
            </w:r>
            <w:r w:rsidR="00AC34E4">
              <w:rPr>
                <w:rFonts w:cs="Arial"/>
                <w:i/>
                <w:color w:val="000000"/>
                <w:szCs w:val="24"/>
                <w:u w:val="single"/>
                <w:lang w:eastAsia="en-US"/>
              </w:rPr>
              <w:t>С</w:t>
            </w:r>
            <w:r w:rsidR="00AC34E4" w:rsidRPr="00AC34E4">
              <w:rPr>
                <w:rFonts w:cs="Arial"/>
                <w:i/>
                <w:color w:val="000000"/>
                <w:szCs w:val="24"/>
                <w:u w:val="single"/>
                <w:lang w:eastAsia="en-US"/>
              </w:rPr>
              <w:t>пецифична</w:t>
            </w:r>
            <w:r>
              <w:rPr>
                <w:rFonts w:cs="Arial"/>
                <w:i/>
                <w:color w:val="000000"/>
                <w:szCs w:val="24"/>
                <w:u w:val="single"/>
                <w:lang w:eastAsia="en-US"/>
              </w:rPr>
              <w:t xml:space="preserve"> цел 3.2 на ТП: Подобрени разпоредби за публичност и комуникация има за цел:</w:t>
            </w:r>
            <w:r>
              <w:rPr>
                <w:rFonts w:cs="Arial"/>
                <w:bCs/>
                <w:color w:val="000000"/>
                <w:szCs w:val="24"/>
                <w:lang w:eastAsia="en-US"/>
              </w:rPr>
              <w:t xml:space="preserve"> 1) Информация и публичност – подготвяне, превод и разпространение на свързани с Програмата документи и рекламни материали.    2) Разпространяване на информация и обучения за бенефициентите. </w:t>
            </w:r>
          </w:p>
        </w:tc>
      </w:tr>
    </w:tbl>
    <w:p w:rsidR="00A85EB3" w:rsidRDefault="00A85EB3">
      <w:pPr>
        <w:ind w:left="709" w:hanging="709"/>
        <w:rPr>
          <w:lang w:val="en-US"/>
        </w:rPr>
      </w:pPr>
    </w:p>
    <w:p w:rsidR="00A85EB3" w:rsidRDefault="00B07D03">
      <w:pPr>
        <w:pStyle w:val="Heading3"/>
        <w:numPr>
          <w:ilvl w:val="0"/>
          <w:numId w:val="0"/>
        </w:numPr>
        <w:rPr>
          <w:b/>
          <w:i w:val="0"/>
          <w:lang w:val="en-US"/>
        </w:rPr>
      </w:pPr>
      <w:bookmarkStart w:id="54" w:name="_Toc408234900"/>
      <w:r>
        <w:rPr>
          <w:b/>
          <w:i w:val="0"/>
        </w:rPr>
        <w:t>2.</w:t>
      </w:r>
      <w:proofErr w:type="spellStart"/>
      <w:r>
        <w:rPr>
          <w:b/>
          <w:i w:val="0"/>
        </w:rPr>
        <w:t>2</w:t>
      </w:r>
      <w:proofErr w:type="spellEnd"/>
      <w:r>
        <w:rPr>
          <w:b/>
          <w:i w:val="0"/>
        </w:rPr>
        <w:t>.1 Приоритетна ос 2</w:t>
      </w:r>
      <w:bookmarkEnd w:id="54"/>
      <w:r>
        <w:rPr>
          <w:b/>
          <w:i w:val="0"/>
        </w:rPr>
        <w:t xml:space="preserve">  </w:t>
      </w:r>
    </w:p>
    <w:tbl>
      <w:tblPr>
        <w:tblpPr w:leftFromText="180" w:rightFromText="180" w:vertAnchor="text" w:horzAnchor="margin" w:tblpY="22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76"/>
      </w:tblGrid>
      <w:tr w:rsidR="00D4426D" w:rsidRPr="00981F6F" w:rsidTr="00296FAA">
        <w:trPr>
          <w:trHeight w:val="491"/>
        </w:trPr>
        <w:tc>
          <w:tcPr>
            <w:tcW w:w="1890" w:type="pct"/>
            <w:shd w:val="clear" w:color="auto" w:fill="auto"/>
          </w:tcPr>
          <w:p w:rsidR="00A85EB3" w:rsidRDefault="00B07D03">
            <w:pPr>
              <w:spacing w:after="240"/>
              <w:rPr>
                <w:rFonts w:eastAsia="Times New Roman"/>
                <w:i/>
                <w:lang w:val="en-US"/>
              </w:rPr>
            </w:pPr>
            <w:r>
              <w:rPr>
                <w:rFonts w:eastAsia="Times New Roman"/>
                <w:i/>
              </w:rPr>
              <w:t>№ на приоритетната ос</w:t>
            </w:r>
          </w:p>
        </w:tc>
        <w:tc>
          <w:tcPr>
            <w:tcW w:w="3110" w:type="pct"/>
            <w:shd w:val="clear" w:color="auto" w:fill="auto"/>
          </w:tcPr>
          <w:p w:rsidR="00A85EB3" w:rsidRDefault="00B07D03">
            <w:pPr>
              <w:spacing w:after="240"/>
              <w:rPr>
                <w:rFonts w:eastAsia="Times New Roman"/>
                <w:b/>
                <w:i/>
                <w:szCs w:val="24"/>
                <w:lang w:val="en-US"/>
              </w:rPr>
            </w:pPr>
            <w:r>
              <w:rPr>
                <w:rFonts w:eastAsia="Times New Roman"/>
                <w:b/>
                <w:i/>
                <w:szCs w:val="24"/>
              </w:rPr>
              <w:t>2</w:t>
            </w:r>
          </w:p>
        </w:tc>
      </w:tr>
      <w:tr w:rsidR="00D4426D" w:rsidRPr="00981F6F" w:rsidTr="00296FAA">
        <w:trPr>
          <w:trHeight w:val="422"/>
        </w:trPr>
        <w:tc>
          <w:tcPr>
            <w:tcW w:w="1890" w:type="pct"/>
            <w:shd w:val="clear" w:color="auto" w:fill="auto"/>
          </w:tcPr>
          <w:p w:rsidR="00A85EB3" w:rsidRDefault="00B07D03">
            <w:pPr>
              <w:spacing w:after="240"/>
              <w:rPr>
                <w:rFonts w:eastAsia="Times New Roman"/>
                <w:i/>
                <w:lang w:val="en-US"/>
              </w:rPr>
            </w:pPr>
            <w:r>
              <w:rPr>
                <w:rFonts w:eastAsia="Times New Roman"/>
                <w:i/>
              </w:rPr>
              <w:t xml:space="preserve">Название на приоритетната ос </w:t>
            </w:r>
          </w:p>
        </w:tc>
        <w:tc>
          <w:tcPr>
            <w:tcW w:w="3110" w:type="pct"/>
            <w:shd w:val="clear" w:color="auto" w:fill="auto"/>
          </w:tcPr>
          <w:p w:rsidR="00A85EB3" w:rsidRDefault="00B07D03">
            <w:pPr>
              <w:spacing w:after="240"/>
              <w:rPr>
                <w:rFonts w:eastAsia="Times New Roman"/>
                <w:b/>
                <w:i/>
                <w:szCs w:val="24"/>
                <w:lang w:val="en-US"/>
              </w:rPr>
            </w:pPr>
            <w:r>
              <w:rPr>
                <w:rFonts w:eastAsia="Times New Roman"/>
                <w:b/>
                <w:i/>
                <w:szCs w:val="24"/>
              </w:rPr>
              <w:t>Устойчив туризъм</w:t>
            </w:r>
          </w:p>
        </w:tc>
      </w:tr>
    </w:tbl>
    <w:p w:rsidR="00A85EB3" w:rsidRDefault="00A85EB3">
      <w:pPr>
        <w:spacing w:before="60" w:after="60"/>
        <w:rPr>
          <w:rFonts w:eastAsia="Times New Roman"/>
          <w:sz w:val="16"/>
          <w:szCs w:val="16"/>
          <w:lang w:val="en-US"/>
        </w:rPr>
      </w:pPr>
    </w:p>
    <w:tbl>
      <w:tblPr>
        <w:tblpPr w:leftFromText="180" w:rightFromText="180" w:vertAnchor="text" w:horzAnchor="margin" w:tblpY="5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776"/>
      </w:tblGrid>
      <w:tr w:rsidR="00D4426D" w:rsidRPr="00981F6F" w:rsidTr="00E41001">
        <w:tc>
          <w:tcPr>
            <w:tcW w:w="3510" w:type="dxa"/>
            <w:shd w:val="clear" w:color="auto" w:fill="auto"/>
          </w:tcPr>
          <w:p w:rsidR="00A85EB3" w:rsidRDefault="00B07D03">
            <w:pPr>
              <w:spacing w:after="240"/>
              <w:ind w:left="480" w:hanging="480"/>
              <w:rPr>
                <w:rFonts w:eastAsia="Times New Roman"/>
                <w:lang w:val="en-US"/>
              </w:rPr>
            </w:pPr>
            <w:r>
              <w:rPr>
                <w:rFonts w:eastAsia="Times New Roman"/>
              </w:rPr>
              <w:lastRenderedPageBreak/>
              <w:fldChar w:fldCharType="begin">
                <w:ffData>
                  <w:name w:val="Check1"/>
                  <w:enabled/>
                  <w:calcOnExit w:val="0"/>
                  <w:checkBox>
                    <w:sizeAuto/>
                    <w:default w:val="0"/>
                  </w:checkBox>
                </w:ffData>
              </w:fldChar>
            </w:r>
            <w:r>
              <w:rPr>
                <w:rFonts w:eastAsia="Times New Roman"/>
              </w:rPr>
              <w:instrText xml:space="preserve"> FORMCHECKBOX </w:instrText>
            </w:r>
            <w:r w:rsidR="00F81407">
              <w:rPr>
                <w:rFonts w:eastAsia="Times New Roman"/>
              </w:rPr>
            </w:r>
            <w:r w:rsidR="00F81407">
              <w:rPr>
                <w:rFonts w:eastAsia="Times New Roman"/>
              </w:rPr>
              <w:fldChar w:fldCharType="separate"/>
            </w:r>
            <w:r>
              <w:rPr>
                <w:rFonts w:eastAsia="Times New Roman"/>
              </w:rPr>
              <w:fldChar w:fldCharType="end"/>
            </w:r>
            <w:r>
              <w:rPr>
                <w:rFonts w:eastAsia="Times New Roman"/>
              </w:rPr>
              <w:tab/>
              <w:t>Цялата приоритетна ос ще се изпълнява единствено чрез финансови инструменти</w:t>
            </w:r>
          </w:p>
        </w:tc>
        <w:tc>
          <w:tcPr>
            <w:tcW w:w="5776" w:type="dxa"/>
            <w:shd w:val="clear" w:color="auto" w:fill="auto"/>
          </w:tcPr>
          <w:p w:rsidR="00A85EB3" w:rsidRDefault="00B07D03">
            <w:pPr>
              <w:tabs>
                <w:tab w:val="left" w:pos="2302"/>
              </w:tabs>
              <w:spacing w:after="240"/>
              <w:jc w:val="center"/>
              <w:rPr>
                <w:rFonts w:eastAsia="Times New Roman"/>
                <w:szCs w:val="24"/>
                <w:lang w:val="en-US"/>
              </w:rPr>
            </w:pPr>
            <w:r>
              <w:rPr>
                <w:rFonts w:eastAsia="Times New Roman"/>
                <w:i/>
                <w:szCs w:val="24"/>
              </w:rPr>
              <w:t>н/п</w:t>
            </w:r>
          </w:p>
        </w:tc>
      </w:tr>
      <w:tr w:rsidR="00D4426D" w:rsidRPr="00981F6F" w:rsidTr="00E41001">
        <w:tc>
          <w:tcPr>
            <w:tcW w:w="3510" w:type="dxa"/>
            <w:shd w:val="clear" w:color="auto" w:fill="auto"/>
          </w:tcPr>
          <w:p w:rsidR="00A85EB3" w:rsidRDefault="00B07D03">
            <w:pPr>
              <w:tabs>
                <w:tab w:val="left" w:pos="2302"/>
              </w:tabs>
              <w:spacing w:after="240"/>
              <w:ind w:left="480" w:hanging="480"/>
              <w:rPr>
                <w:rFonts w:eastAsia="Times New Roman"/>
                <w:lang w:val="en-US"/>
              </w:rPr>
            </w:pPr>
            <w:r>
              <w:rPr>
                <w:rFonts w:eastAsia="Times New Roman"/>
              </w:rPr>
              <w:fldChar w:fldCharType="begin">
                <w:ffData>
                  <w:name w:val="Check2"/>
                  <w:enabled/>
                  <w:calcOnExit w:val="0"/>
                  <w:checkBox>
                    <w:sizeAuto/>
                    <w:default w:val="0"/>
                  </w:checkBox>
                </w:ffData>
              </w:fldChar>
            </w:r>
            <w:r>
              <w:rPr>
                <w:rFonts w:eastAsia="Times New Roman"/>
              </w:rPr>
              <w:instrText xml:space="preserve"> FORMCHECKBOX </w:instrText>
            </w:r>
            <w:r w:rsidR="00F81407">
              <w:rPr>
                <w:rFonts w:eastAsia="Times New Roman"/>
              </w:rPr>
            </w:r>
            <w:r w:rsidR="00F81407">
              <w:rPr>
                <w:rFonts w:eastAsia="Times New Roman"/>
              </w:rPr>
              <w:fldChar w:fldCharType="separate"/>
            </w:r>
            <w:r>
              <w:rPr>
                <w:rFonts w:eastAsia="Times New Roman"/>
              </w:rPr>
              <w:fldChar w:fldCharType="end"/>
            </w:r>
            <w:r>
              <w:rPr>
                <w:rFonts w:eastAsia="Times New Roman"/>
              </w:rPr>
              <w:tab/>
              <w:t>Цялата приоритетна ос ще се изпълнява единствено чрез финансови инструменти, създадени на равнище ЕС</w:t>
            </w:r>
          </w:p>
        </w:tc>
        <w:tc>
          <w:tcPr>
            <w:tcW w:w="5776" w:type="dxa"/>
            <w:shd w:val="clear" w:color="auto" w:fill="auto"/>
          </w:tcPr>
          <w:p w:rsidR="00A85EB3" w:rsidRDefault="00B07D03">
            <w:pPr>
              <w:tabs>
                <w:tab w:val="left" w:pos="2302"/>
              </w:tabs>
              <w:spacing w:after="240"/>
              <w:jc w:val="center"/>
              <w:rPr>
                <w:rFonts w:eastAsia="Times New Roman"/>
                <w:lang w:val="en-US"/>
              </w:rPr>
            </w:pPr>
            <w:r>
              <w:rPr>
                <w:rFonts w:eastAsia="Times New Roman"/>
                <w:i/>
                <w:szCs w:val="24"/>
              </w:rPr>
              <w:t>н/п</w:t>
            </w:r>
          </w:p>
        </w:tc>
      </w:tr>
      <w:tr w:rsidR="00D4426D" w:rsidRPr="00981F6F" w:rsidTr="00E41001">
        <w:tc>
          <w:tcPr>
            <w:tcW w:w="3510" w:type="dxa"/>
            <w:shd w:val="clear" w:color="auto" w:fill="auto"/>
          </w:tcPr>
          <w:p w:rsidR="00A85EB3" w:rsidRDefault="00B07D03">
            <w:pPr>
              <w:tabs>
                <w:tab w:val="left" w:pos="2302"/>
              </w:tabs>
              <w:spacing w:after="240"/>
              <w:ind w:left="480" w:hanging="480"/>
              <w:rPr>
                <w:rFonts w:eastAsia="Times New Roman"/>
                <w:lang w:val="en-US"/>
              </w:rPr>
            </w:pPr>
            <w:r>
              <w:rPr>
                <w:rFonts w:eastAsia="Times New Roman"/>
              </w:rPr>
              <w:fldChar w:fldCharType="begin">
                <w:ffData>
                  <w:name w:val="Check3"/>
                  <w:enabled/>
                  <w:calcOnExit w:val="0"/>
                  <w:checkBox>
                    <w:sizeAuto/>
                    <w:default w:val="0"/>
                  </w:checkBox>
                </w:ffData>
              </w:fldChar>
            </w:r>
            <w:r>
              <w:rPr>
                <w:rFonts w:eastAsia="Times New Roman"/>
              </w:rPr>
              <w:instrText xml:space="preserve"> FORMCHECKBOX </w:instrText>
            </w:r>
            <w:r w:rsidR="00F81407">
              <w:rPr>
                <w:rFonts w:eastAsia="Times New Roman"/>
              </w:rPr>
            </w:r>
            <w:r w:rsidR="00F81407">
              <w:rPr>
                <w:rFonts w:eastAsia="Times New Roman"/>
              </w:rPr>
              <w:fldChar w:fldCharType="separate"/>
            </w:r>
            <w:r>
              <w:rPr>
                <w:rFonts w:eastAsia="Times New Roman"/>
              </w:rPr>
              <w:fldChar w:fldCharType="end"/>
            </w:r>
            <w:r>
              <w:rPr>
                <w:rFonts w:eastAsia="Times New Roman"/>
              </w:rPr>
              <w:tab/>
              <w:t xml:space="preserve">Цялата приоритетна ос ще се изпълнява чрез водено от общностите местно развитие </w:t>
            </w:r>
          </w:p>
        </w:tc>
        <w:tc>
          <w:tcPr>
            <w:tcW w:w="5776" w:type="dxa"/>
            <w:shd w:val="clear" w:color="auto" w:fill="auto"/>
          </w:tcPr>
          <w:p w:rsidR="00A85EB3" w:rsidRDefault="00B07D03">
            <w:pPr>
              <w:tabs>
                <w:tab w:val="left" w:pos="2302"/>
              </w:tabs>
              <w:spacing w:after="240"/>
              <w:jc w:val="center"/>
              <w:rPr>
                <w:rFonts w:eastAsia="Times New Roman"/>
                <w:lang w:val="en-US"/>
              </w:rPr>
            </w:pPr>
            <w:r>
              <w:rPr>
                <w:rFonts w:eastAsia="Times New Roman"/>
                <w:i/>
                <w:szCs w:val="24"/>
              </w:rPr>
              <w:t>н/п</w:t>
            </w:r>
          </w:p>
        </w:tc>
      </w:tr>
    </w:tbl>
    <w:p w:rsidR="00A85EB3" w:rsidRDefault="00A85EB3">
      <w:pPr>
        <w:spacing w:after="240"/>
        <w:ind w:left="720" w:firstLine="720"/>
        <w:rPr>
          <w:rFonts w:eastAsia="Times New Roman"/>
          <w:b/>
          <w:lang w:val="en-US"/>
        </w:rPr>
      </w:pPr>
    </w:p>
    <w:p w:rsidR="00A85EB3" w:rsidRDefault="00B07D03">
      <w:pPr>
        <w:pStyle w:val="Heading3"/>
        <w:numPr>
          <w:ilvl w:val="0"/>
          <w:numId w:val="0"/>
        </w:numPr>
        <w:ind w:left="567" w:hanging="567"/>
        <w:rPr>
          <w:b/>
          <w:i w:val="0"/>
          <w:lang w:val="en-US"/>
        </w:rPr>
      </w:pPr>
      <w:bookmarkStart w:id="55" w:name="_Toc408234901"/>
      <w:r>
        <w:rPr>
          <w:b/>
          <w:i w:val="0"/>
        </w:rPr>
        <w:t>2.</w:t>
      </w:r>
      <w:proofErr w:type="spellStart"/>
      <w:r>
        <w:rPr>
          <w:b/>
          <w:i w:val="0"/>
        </w:rPr>
        <w:t>2</w:t>
      </w:r>
      <w:proofErr w:type="spellEnd"/>
      <w:r>
        <w:rPr>
          <w:b/>
          <w:i w:val="0"/>
        </w:rPr>
        <w:t>.2 Фонд, база за изчисление на подкрепата от ЕС и обосновка на избора на базата за изчисление</w:t>
      </w:r>
      <w:bookmarkEnd w:id="55"/>
    </w:p>
    <w:p w:rsidR="00A85EB3" w:rsidRDefault="00A85EB3">
      <w:pPr>
        <w:rPr>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5737"/>
      </w:tblGrid>
      <w:tr w:rsidR="00D4426D" w:rsidRPr="00981F6F" w:rsidTr="00E41001">
        <w:trPr>
          <w:jc w:val="center"/>
        </w:trPr>
        <w:tc>
          <w:tcPr>
            <w:tcW w:w="3471" w:type="dxa"/>
            <w:shd w:val="clear" w:color="auto" w:fill="auto"/>
          </w:tcPr>
          <w:p w:rsidR="00A85EB3" w:rsidRDefault="00B07D03">
            <w:pPr>
              <w:spacing w:after="240"/>
              <w:rPr>
                <w:rFonts w:eastAsia="Times New Roman"/>
                <w:i/>
                <w:lang w:val="en-US"/>
              </w:rPr>
            </w:pPr>
            <w:r>
              <w:rPr>
                <w:rFonts w:eastAsia="Times New Roman"/>
                <w:i/>
              </w:rPr>
              <w:t>Фонд</w:t>
            </w:r>
          </w:p>
        </w:tc>
        <w:tc>
          <w:tcPr>
            <w:tcW w:w="5737" w:type="dxa"/>
            <w:shd w:val="clear" w:color="auto" w:fill="auto"/>
          </w:tcPr>
          <w:p w:rsidR="00A85EB3" w:rsidRDefault="00B07D03">
            <w:pPr>
              <w:spacing w:line="276" w:lineRule="auto"/>
              <w:jc w:val="center"/>
              <w:rPr>
                <w:rFonts w:eastAsia="Times New Roman"/>
                <w:i/>
                <w:color w:val="8DB3E2"/>
                <w:szCs w:val="24"/>
                <w:lang w:val="en-US"/>
              </w:rPr>
            </w:pPr>
            <w:r>
              <w:rPr>
                <w:b/>
                <w:spacing w:val="20"/>
                <w:szCs w:val="24"/>
                <w:lang w:eastAsia="en-US"/>
              </w:rPr>
              <w:t>ЕС (ЕФРР + ИПП II)</w:t>
            </w:r>
          </w:p>
        </w:tc>
      </w:tr>
      <w:tr w:rsidR="00D4426D" w:rsidRPr="00981F6F" w:rsidTr="00E41001">
        <w:trPr>
          <w:jc w:val="center"/>
        </w:trPr>
        <w:tc>
          <w:tcPr>
            <w:tcW w:w="3471" w:type="dxa"/>
            <w:tcBorders>
              <w:top w:val="single" w:sz="4" w:space="0" w:color="auto"/>
              <w:left w:val="single" w:sz="4" w:space="0" w:color="auto"/>
              <w:bottom w:val="single" w:sz="4" w:space="0" w:color="auto"/>
              <w:right w:val="single" w:sz="4" w:space="0" w:color="auto"/>
            </w:tcBorders>
            <w:shd w:val="clear" w:color="auto" w:fill="auto"/>
          </w:tcPr>
          <w:p w:rsidR="00A85EB3" w:rsidRDefault="00B07D03">
            <w:pPr>
              <w:spacing w:after="240"/>
              <w:rPr>
                <w:rFonts w:eastAsia="Times New Roman"/>
                <w:i/>
                <w:lang w:val="en-US"/>
              </w:rPr>
            </w:pPr>
            <w:r>
              <w:rPr>
                <w:rFonts w:eastAsia="Times New Roman"/>
                <w:i/>
              </w:rPr>
              <w:t xml:space="preserve">База за изчисление (общо допустими разходи или публични допустими разходи) </w:t>
            </w:r>
          </w:p>
        </w:tc>
        <w:tc>
          <w:tcPr>
            <w:tcW w:w="5737" w:type="dxa"/>
            <w:tcBorders>
              <w:top w:val="single" w:sz="4" w:space="0" w:color="auto"/>
              <w:left w:val="single" w:sz="4" w:space="0" w:color="auto"/>
              <w:bottom w:val="single" w:sz="4" w:space="0" w:color="auto"/>
              <w:right w:val="single" w:sz="4" w:space="0" w:color="auto"/>
            </w:tcBorders>
            <w:shd w:val="clear" w:color="auto" w:fill="auto"/>
          </w:tcPr>
          <w:p w:rsidR="00A85EB3" w:rsidRDefault="00B07D03">
            <w:pPr>
              <w:spacing w:line="276" w:lineRule="auto"/>
              <w:jc w:val="center"/>
              <w:rPr>
                <w:b/>
                <w:color w:val="000000"/>
                <w:szCs w:val="24"/>
                <w:lang w:val="en-US" w:eastAsia="bg-BG"/>
              </w:rPr>
            </w:pPr>
            <w:r>
              <w:rPr>
                <w:b/>
                <w:color w:val="000000"/>
                <w:szCs w:val="24"/>
                <w:lang w:eastAsia="bg-BG"/>
              </w:rPr>
              <w:t xml:space="preserve"> 11 338 407,00 евро</w:t>
            </w:r>
          </w:p>
          <w:p w:rsidR="00A85EB3" w:rsidRDefault="00B07D03">
            <w:pPr>
              <w:spacing w:line="276" w:lineRule="auto"/>
              <w:jc w:val="center"/>
              <w:rPr>
                <w:rFonts w:eastAsia="Times New Roman"/>
                <w:b/>
                <w:i/>
                <w:color w:val="8DB3E2"/>
                <w:szCs w:val="24"/>
                <w:lang w:val="en-US"/>
              </w:rPr>
            </w:pPr>
            <w:r>
              <w:rPr>
                <w:rFonts w:eastAsia="Times New Roman"/>
                <w:b/>
                <w:i/>
                <w:szCs w:val="24"/>
              </w:rPr>
              <w:t>Общо допустими разходи</w:t>
            </w:r>
          </w:p>
        </w:tc>
      </w:tr>
      <w:tr w:rsidR="00D4426D" w:rsidRPr="00981F6F" w:rsidTr="00E41001">
        <w:trPr>
          <w:jc w:val="center"/>
        </w:trPr>
        <w:tc>
          <w:tcPr>
            <w:tcW w:w="3471" w:type="dxa"/>
            <w:tcBorders>
              <w:top w:val="single" w:sz="4" w:space="0" w:color="auto"/>
              <w:left w:val="single" w:sz="4" w:space="0" w:color="auto"/>
              <w:bottom w:val="single" w:sz="4" w:space="0" w:color="auto"/>
              <w:right w:val="single" w:sz="4" w:space="0" w:color="auto"/>
            </w:tcBorders>
            <w:shd w:val="clear" w:color="auto" w:fill="auto"/>
          </w:tcPr>
          <w:p w:rsidR="00A85EB3" w:rsidRDefault="00B07D03">
            <w:pPr>
              <w:spacing w:after="240"/>
              <w:rPr>
                <w:rFonts w:eastAsia="Times New Roman"/>
                <w:i/>
                <w:lang w:val="en-US"/>
              </w:rPr>
            </w:pPr>
            <w:r>
              <w:rPr>
                <w:rFonts w:eastAsia="Times New Roman"/>
                <w:i/>
              </w:rPr>
              <w:t>Съображения за избора на база за изчисление</w:t>
            </w:r>
          </w:p>
        </w:tc>
        <w:tc>
          <w:tcPr>
            <w:tcW w:w="5737" w:type="dxa"/>
            <w:tcBorders>
              <w:top w:val="single" w:sz="4" w:space="0" w:color="auto"/>
              <w:left w:val="single" w:sz="4" w:space="0" w:color="auto"/>
              <w:bottom w:val="single" w:sz="4" w:space="0" w:color="auto"/>
              <w:right w:val="single" w:sz="4" w:space="0" w:color="auto"/>
            </w:tcBorders>
            <w:shd w:val="clear" w:color="auto" w:fill="auto"/>
          </w:tcPr>
          <w:p w:rsidR="00A85EB3" w:rsidRDefault="00B07D03">
            <w:pPr>
              <w:spacing w:line="276" w:lineRule="auto"/>
              <w:rPr>
                <w:rFonts w:eastAsia="Times New Roman"/>
                <w:szCs w:val="24"/>
                <w:lang w:val="en-US"/>
              </w:rPr>
            </w:pPr>
            <w:r>
              <w:rPr>
                <w:rFonts w:eastAsia="Times New Roman"/>
                <w:szCs w:val="24"/>
              </w:rPr>
              <w:t>Целта на отпуснатите финансови средства за тази Приоритетна ос е предвижданите резултати да се постигнат ефективно с ограничените ресурси на разположение през периода 2014–2020 г.</w:t>
            </w:r>
          </w:p>
          <w:p w:rsidR="00A85EB3" w:rsidRDefault="00B07D03">
            <w:pPr>
              <w:spacing w:line="276" w:lineRule="auto"/>
              <w:rPr>
                <w:rFonts w:eastAsia="Times New Roman"/>
                <w:szCs w:val="24"/>
                <w:lang w:val="en-US"/>
              </w:rPr>
            </w:pPr>
            <w:r>
              <w:rPr>
                <w:rFonts w:eastAsia="Times New Roman"/>
                <w:szCs w:val="24"/>
              </w:rPr>
              <w:t>В рамките на процеса на подбор беше оценено значението на различните теми в областта на ТГС – туризъм, природно и културно наследство. В областта на устойчивия туризъм се планира по-високо равнище на оценяването на природното и културното наследство в контекста на туризма и по-голям брой трансгранични мрежи в областта на устойчивия туризъм.</w:t>
            </w:r>
          </w:p>
          <w:p w:rsidR="00A85EB3" w:rsidRDefault="00B07D03">
            <w:pPr>
              <w:spacing w:line="276" w:lineRule="auto"/>
              <w:rPr>
                <w:rFonts w:eastAsia="Times New Roman"/>
                <w:szCs w:val="24"/>
                <w:lang w:val="en-US"/>
              </w:rPr>
            </w:pPr>
            <w:r>
              <w:rPr>
                <w:rFonts w:eastAsia="Times New Roman"/>
                <w:szCs w:val="24"/>
              </w:rPr>
              <w:t xml:space="preserve"> Поради голямото ѝ значение за трансграничното сътрудничество, за тази приоритетна ос се отпускат 45% от бюджета на програмата. В допълнение към това разпределянето на финансовите средства между </w:t>
            </w:r>
            <w:r>
              <w:rPr>
                <w:rFonts w:eastAsia="Times New Roman"/>
                <w:szCs w:val="24"/>
              </w:rPr>
              <w:lastRenderedPageBreak/>
              <w:t>конкретните цели се основава на задълбочен анализ на очакваните примерни дейности, които ще бъдат изпълнявани.</w:t>
            </w:r>
          </w:p>
          <w:p w:rsidR="00A85EB3" w:rsidRDefault="00B07D03">
            <w:pPr>
              <w:spacing w:line="276" w:lineRule="auto"/>
              <w:rPr>
                <w:rFonts w:eastAsia="Times New Roman"/>
                <w:i/>
                <w:color w:val="8DB3E2"/>
                <w:szCs w:val="24"/>
                <w:lang w:val="en-US"/>
              </w:rPr>
            </w:pPr>
            <w:r>
              <w:rPr>
                <w:rFonts w:eastAsia="Times New Roman"/>
                <w:szCs w:val="24"/>
              </w:rPr>
              <w:t>Целта на тази приоритетна ос е да бъде укрепен туристическият сектор чрез използване на културното и природното наследство в района на ТГС България – Турция (Приоритетна ос 2). Финансовата тежест е зададена в съответствие с поуките от сегашната програма, анализа на потребностите, както и анализа на очакванията и потребностите на съответните заинтересовани страни в територията на ТГС.</w:t>
            </w:r>
          </w:p>
        </w:tc>
      </w:tr>
    </w:tbl>
    <w:p w:rsidR="00A85EB3" w:rsidRDefault="00A85EB3">
      <w:pPr>
        <w:spacing w:after="240"/>
        <w:ind w:firstLine="720"/>
        <w:rPr>
          <w:rFonts w:eastAsia="Times New Roman"/>
          <w:b/>
          <w:lang w:val="en-US"/>
        </w:rPr>
      </w:pPr>
    </w:p>
    <w:p w:rsidR="00A85EB3" w:rsidRDefault="00B07D03">
      <w:pPr>
        <w:pStyle w:val="Heading3"/>
        <w:numPr>
          <w:ilvl w:val="0"/>
          <w:numId w:val="0"/>
        </w:numPr>
        <w:ind w:left="850" w:hanging="850"/>
        <w:rPr>
          <w:b/>
          <w:i w:val="0"/>
          <w:lang w:val="en-US"/>
        </w:rPr>
      </w:pPr>
      <w:bookmarkStart w:id="56" w:name="_Toc408234902"/>
      <w:r>
        <w:rPr>
          <w:b/>
          <w:i w:val="0"/>
        </w:rPr>
        <w:t>2.</w:t>
      </w:r>
      <w:proofErr w:type="spellStart"/>
      <w:r>
        <w:rPr>
          <w:b/>
          <w:i w:val="0"/>
        </w:rPr>
        <w:t>2</w:t>
      </w:r>
      <w:proofErr w:type="spellEnd"/>
      <w:r>
        <w:rPr>
          <w:b/>
          <w:i w:val="0"/>
        </w:rPr>
        <w:t>.3. Конкретни цели на тематичния приоритет и очаквани резултати</w:t>
      </w:r>
      <w:bookmarkEnd w:id="56"/>
      <w:r>
        <w:rPr>
          <w:b/>
          <w:i w:val="0"/>
        </w:rPr>
        <w:t xml:space="preserve"> </w:t>
      </w:r>
    </w:p>
    <w:p w:rsidR="00A85EB3" w:rsidRDefault="00B07D03">
      <w:pPr>
        <w:rPr>
          <w:lang w:val="en-US"/>
        </w:rPr>
      </w:pPr>
      <w:r>
        <w:t xml:space="preserve"> (Източник: буква (b)(i) и (ii) на чл. 8(2) от Регламент (ЕС) № 1299/2013)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662"/>
      </w:tblGrid>
      <w:tr w:rsidR="00D4426D" w:rsidRPr="00981F6F" w:rsidTr="00691A5F">
        <w:trPr>
          <w:trHeight w:val="491"/>
          <w:jc w:val="center"/>
        </w:trPr>
        <w:tc>
          <w:tcPr>
            <w:tcW w:w="3510" w:type="dxa"/>
            <w:shd w:val="clear" w:color="auto" w:fill="auto"/>
          </w:tcPr>
          <w:p w:rsidR="00A85EB3" w:rsidRDefault="00B07D03">
            <w:pPr>
              <w:spacing w:after="240"/>
              <w:rPr>
                <w:rFonts w:eastAsia="Times New Roman"/>
                <w:i/>
                <w:lang w:val="en-US"/>
              </w:rPr>
            </w:pPr>
            <w:r>
              <w:rPr>
                <w:rFonts w:eastAsia="Times New Roman"/>
                <w:i/>
              </w:rPr>
              <w:t>№</w:t>
            </w:r>
          </w:p>
        </w:tc>
        <w:tc>
          <w:tcPr>
            <w:tcW w:w="5662" w:type="dxa"/>
            <w:shd w:val="clear" w:color="auto" w:fill="auto"/>
          </w:tcPr>
          <w:p w:rsidR="00A85EB3" w:rsidRDefault="00B07D03">
            <w:pPr>
              <w:spacing w:line="276" w:lineRule="auto"/>
              <w:rPr>
                <w:rFonts w:eastAsia="Times New Roman"/>
                <w:b/>
                <w:color w:val="8DB3E2"/>
                <w:szCs w:val="24"/>
                <w:lang w:val="en-US"/>
              </w:rPr>
            </w:pPr>
            <w:r>
              <w:rPr>
                <w:rFonts w:eastAsia="Times New Roman"/>
                <w:b/>
                <w:szCs w:val="24"/>
              </w:rPr>
              <w:t>2.1</w:t>
            </w:r>
          </w:p>
        </w:tc>
      </w:tr>
      <w:tr w:rsidR="00D4426D" w:rsidRPr="00981F6F" w:rsidTr="00691A5F">
        <w:trPr>
          <w:trHeight w:val="360"/>
          <w:jc w:val="center"/>
        </w:trPr>
        <w:tc>
          <w:tcPr>
            <w:tcW w:w="3510" w:type="dxa"/>
            <w:shd w:val="clear" w:color="auto" w:fill="auto"/>
          </w:tcPr>
          <w:p w:rsidR="00A85EB3" w:rsidRDefault="00AC1FA5">
            <w:pPr>
              <w:spacing w:after="240"/>
              <w:rPr>
                <w:rFonts w:eastAsia="Times New Roman"/>
                <w:i/>
                <w:lang w:val="en-US"/>
              </w:rPr>
            </w:pPr>
            <w:r>
              <w:rPr>
                <w:rFonts w:eastAsia="Times New Roman"/>
                <w:i/>
              </w:rPr>
              <w:t>С</w:t>
            </w:r>
            <w:r w:rsidRPr="00AC1FA5">
              <w:rPr>
                <w:rFonts w:eastAsia="Times New Roman"/>
                <w:i/>
              </w:rPr>
              <w:t xml:space="preserve">пецифична </w:t>
            </w:r>
            <w:r w:rsidR="00B07D03">
              <w:rPr>
                <w:rFonts w:eastAsia="Times New Roman"/>
                <w:i/>
              </w:rPr>
              <w:t xml:space="preserve">цел </w:t>
            </w:r>
          </w:p>
        </w:tc>
        <w:tc>
          <w:tcPr>
            <w:tcW w:w="5662" w:type="dxa"/>
            <w:shd w:val="clear" w:color="auto" w:fill="auto"/>
          </w:tcPr>
          <w:p w:rsidR="00A85EB3" w:rsidRDefault="00B07D03">
            <w:pPr>
              <w:spacing w:line="276" w:lineRule="auto"/>
              <w:rPr>
                <w:rFonts w:eastAsia="Times New Roman"/>
                <w:b/>
                <w:color w:val="8DB3E2"/>
                <w:szCs w:val="24"/>
                <w:lang w:val="en-US"/>
              </w:rPr>
            </w:pPr>
            <w:r>
              <w:rPr>
                <w:b/>
                <w:szCs w:val="24"/>
                <w:lang w:eastAsia="ar-SA"/>
              </w:rPr>
              <w:t>Повишаване привлекателността за туризъм на трансграничния район чрез по-добро използване на природното, културното и историческото наследство и свързаната с него инфраструктура</w:t>
            </w:r>
          </w:p>
        </w:tc>
      </w:tr>
      <w:tr w:rsidR="00D4426D" w:rsidRPr="00981F6F" w:rsidTr="00691A5F">
        <w:trPr>
          <w:trHeight w:val="360"/>
          <w:jc w:val="center"/>
        </w:trPr>
        <w:tc>
          <w:tcPr>
            <w:tcW w:w="3510" w:type="dxa"/>
            <w:shd w:val="clear" w:color="auto" w:fill="auto"/>
          </w:tcPr>
          <w:p w:rsidR="00A85EB3" w:rsidRDefault="00B07D03" w:rsidP="004E5AB3">
            <w:pPr>
              <w:spacing w:after="240"/>
              <w:jc w:val="left"/>
              <w:rPr>
                <w:rFonts w:eastAsia="Times New Roman"/>
                <w:i/>
                <w:lang w:val="en-US"/>
              </w:rPr>
            </w:pPr>
            <w:r>
              <w:rPr>
                <w:rFonts w:eastAsia="Times New Roman"/>
                <w:i/>
              </w:rPr>
              <w:t>Резултати, които партниращите си държави се стремят да постигнат с помощта на Съюза</w:t>
            </w:r>
          </w:p>
        </w:tc>
        <w:tc>
          <w:tcPr>
            <w:tcW w:w="5662" w:type="dxa"/>
            <w:shd w:val="clear" w:color="auto" w:fill="auto"/>
          </w:tcPr>
          <w:p w:rsidR="00A85EB3" w:rsidRDefault="00B07D03">
            <w:pPr>
              <w:tabs>
                <w:tab w:val="left" w:pos="34"/>
              </w:tabs>
              <w:autoSpaceDE w:val="0"/>
              <w:autoSpaceDN w:val="0"/>
              <w:adjustRightInd w:val="0"/>
              <w:spacing w:line="276" w:lineRule="auto"/>
              <w:rPr>
                <w:rFonts w:eastAsia="Times New Roman"/>
                <w:szCs w:val="24"/>
                <w:lang w:val="en-US" w:eastAsia="bg-BG"/>
              </w:rPr>
            </w:pPr>
            <w:r>
              <w:rPr>
                <w:rFonts w:eastAsia="Times New Roman"/>
                <w:szCs w:val="24"/>
                <w:lang w:eastAsia="bg-BG"/>
              </w:rPr>
              <w:t>Развитието на устойчив трансграничен туризъм като средство за социално-икономически растеж е тясно свързано с инициативи за подобряване на достъпността, транспорта и комуникациите на регионално и местно равнище.</w:t>
            </w:r>
          </w:p>
          <w:p w:rsidR="00A85EB3" w:rsidRPr="004164DA" w:rsidRDefault="00B07D03">
            <w:pPr>
              <w:tabs>
                <w:tab w:val="left" w:pos="0"/>
              </w:tabs>
              <w:autoSpaceDE w:val="0"/>
              <w:autoSpaceDN w:val="0"/>
              <w:adjustRightInd w:val="0"/>
              <w:spacing w:line="276" w:lineRule="auto"/>
              <w:rPr>
                <w:rFonts w:eastAsia="Times New Roman"/>
                <w:szCs w:val="24"/>
                <w:lang w:eastAsia="bg-BG"/>
              </w:rPr>
            </w:pPr>
            <w:r>
              <w:rPr>
                <w:rFonts w:eastAsia="Times New Roman"/>
                <w:szCs w:val="24"/>
                <w:lang w:eastAsia="bg-BG"/>
              </w:rPr>
              <w:t>От друга страна, туризмът е система, която е функция на взаимодействието между предлагане и търсене. Един от основните акценти в та</w:t>
            </w:r>
            <w:r w:rsidR="004164DA">
              <w:rPr>
                <w:rFonts w:eastAsia="Times New Roman"/>
                <w:szCs w:val="24"/>
                <w:lang w:eastAsia="bg-BG"/>
              </w:rPr>
              <w:t>зи система е привлекателността.</w:t>
            </w:r>
            <w:r>
              <w:rPr>
                <w:rFonts w:eastAsia="Times New Roman"/>
                <w:szCs w:val="24"/>
                <w:lang w:eastAsia="bg-BG"/>
              </w:rPr>
              <w:t>Туристическата привлекателност е широко призната и определяна като ключов фактор за конкурентоспособността на дестинациите. Световният туристически пазар се превръща в изключително конкурентна среда и туристическите дестинации са под огромен натиск да се подмладят и да повишат своята привлекателност, за да останат конкурентоспособни. От друга страна, устойчивият туризъм е туризъм, който е отворен за всички и разчупва бариерите</w:t>
            </w:r>
            <w:r>
              <w:rPr>
                <w:color w:val="000000"/>
                <w:szCs w:val="24"/>
                <w:lang w:eastAsia="en-US"/>
              </w:rPr>
              <w:t xml:space="preserve"> пред достъпа.  Провеждането на </w:t>
            </w:r>
            <w:r>
              <w:rPr>
                <w:color w:val="000000"/>
                <w:szCs w:val="24"/>
                <w:lang w:eastAsia="en-US"/>
              </w:rPr>
              <w:lastRenderedPageBreak/>
              <w:t xml:space="preserve">анкета за удовлетвореността на посетителите от достъпа осигурява допълнителна дълбочина на информацията.   </w:t>
            </w:r>
            <w:r>
              <w:rPr>
                <w:rFonts w:eastAsia="Times New Roman"/>
                <w:szCs w:val="24"/>
              </w:rPr>
              <w:t>Поради това Програмата ще бъде насочена към преодоляване на съществуващите предизвикателства в определения географски район, по-специално чрез: 1) Подкрепа за опазване на природното, културното и историческото наследство, свързано с туризма; 2) Подобряване на достъпа до туристически обекти в региона, в съответствие с цялостната концепция за устойчиво развитие на туризма; 3) Подобряване на интеграцията между различните видове транспортни услуги и улесняване на използването им от туристите; 4) Осигуряване на широк достъп до туристическа информация от обществения сектор (включително отворени данни Е-туризъм)</w:t>
            </w:r>
          </w:p>
          <w:p w:rsidR="00A85EB3" w:rsidRDefault="00B07D03">
            <w:pPr>
              <w:spacing w:line="276" w:lineRule="auto"/>
              <w:rPr>
                <w:rFonts w:eastAsia="Times New Roman"/>
                <w:color w:val="8DB3E2"/>
                <w:szCs w:val="24"/>
                <w:lang w:val="en-US"/>
              </w:rPr>
            </w:pPr>
            <w:r>
              <w:rPr>
                <w:rFonts w:eastAsia="Times New Roman"/>
                <w:szCs w:val="24"/>
                <w:lang w:eastAsia="bg-BG"/>
              </w:rPr>
              <w:t>Резултатите ще бъдат постигнати от държавите–партньори чрез комбинация от инвестиционни и меки мерки.</w:t>
            </w:r>
          </w:p>
        </w:tc>
      </w:tr>
      <w:tr w:rsidR="00D4426D" w:rsidRPr="00981F6F" w:rsidTr="00691A5F">
        <w:trPr>
          <w:trHeight w:val="360"/>
          <w:jc w:val="center"/>
        </w:trPr>
        <w:tc>
          <w:tcPr>
            <w:tcW w:w="3510" w:type="dxa"/>
            <w:shd w:val="clear" w:color="auto" w:fill="auto"/>
          </w:tcPr>
          <w:p w:rsidR="00A85EB3" w:rsidRDefault="00B07D03">
            <w:pPr>
              <w:spacing w:after="240"/>
              <w:rPr>
                <w:rFonts w:eastAsia="Times New Roman"/>
                <w:i/>
                <w:lang w:val="en-US"/>
              </w:rPr>
            </w:pPr>
            <w:r>
              <w:rPr>
                <w:rFonts w:eastAsia="Times New Roman"/>
                <w:i/>
              </w:rPr>
              <w:lastRenderedPageBreak/>
              <w:t>№</w:t>
            </w:r>
          </w:p>
        </w:tc>
        <w:tc>
          <w:tcPr>
            <w:tcW w:w="5662" w:type="dxa"/>
            <w:shd w:val="clear" w:color="auto" w:fill="auto"/>
          </w:tcPr>
          <w:p w:rsidR="00A85EB3" w:rsidRDefault="00B07D03">
            <w:pPr>
              <w:widowControl w:val="0"/>
              <w:overflowPunct w:val="0"/>
              <w:autoSpaceDE w:val="0"/>
              <w:autoSpaceDN w:val="0"/>
              <w:adjustRightInd w:val="0"/>
              <w:spacing w:line="276" w:lineRule="auto"/>
              <w:textAlignment w:val="baseline"/>
              <w:rPr>
                <w:rFonts w:eastAsia="Times New Roman"/>
                <w:b/>
                <w:szCs w:val="24"/>
                <w:lang w:val="en-US" w:eastAsia="en-US"/>
              </w:rPr>
            </w:pPr>
            <w:r>
              <w:rPr>
                <w:rFonts w:eastAsia="Times New Roman"/>
                <w:b/>
                <w:szCs w:val="24"/>
                <w:lang w:eastAsia="en-US"/>
              </w:rPr>
              <w:t>2.</w:t>
            </w:r>
            <w:proofErr w:type="spellStart"/>
            <w:r>
              <w:rPr>
                <w:rFonts w:eastAsia="Times New Roman"/>
                <w:b/>
                <w:szCs w:val="24"/>
                <w:lang w:eastAsia="en-US"/>
              </w:rPr>
              <w:t>2</w:t>
            </w:r>
            <w:proofErr w:type="spellEnd"/>
            <w:r>
              <w:rPr>
                <w:rFonts w:eastAsia="Times New Roman"/>
                <w:b/>
                <w:szCs w:val="24"/>
                <w:lang w:eastAsia="en-US"/>
              </w:rPr>
              <w:t>.</w:t>
            </w:r>
          </w:p>
        </w:tc>
      </w:tr>
      <w:tr w:rsidR="00D4426D" w:rsidRPr="00981F6F" w:rsidTr="00691A5F">
        <w:trPr>
          <w:trHeight w:val="360"/>
          <w:jc w:val="center"/>
        </w:trPr>
        <w:tc>
          <w:tcPr>
            <w:tcW w:w="3510" w:type="dxa"/>
            <w:shd w:val="clear" w:color="auto" w:fill="auto"/>
          </w:tcPr>
          <w:p w:rsidR="00A85EB3" w:rsidRDefault="00C56E54">
            <w:pPr>
              <w:spacing w:after="240"/>
              <w:rPr>
                <w:rFonts w:eastAsia="Times New Roman"/>
                <w:i/>
                <w:lang w:val="en-US"/>
              </w:rPr>
            </w:pPr>
            <w:r>
              <w:rPr>
                <w:rFonts w:eastAsia="Times New Roman"/>
                <w:i/>
              </w:rPr>
              <w:t>Специфична</w:t>
            </w:r>
            <w:r w:rsidR="00B07D03">
              <w:rPr>
                <w:rFonts w:eastAsia="Times New Roman"/>
                <w:i/>
              </w:rPr>
              <w:t xml:space="preserve"> цел</w:t>
            </w:r>
          </w:p>
        </w:tc>
        <w:tc>
          <w:tcPr>
            <w:tcW w:w="5662" w:type="dxa"/>
            <w:shd w:val="clear" w:color="auto" w:fill="auto"/>
          </w:tcPr>
          <w:p w:rsidR="00A85EB3" w:rsidRDefault="00B07D03">
            <w:pPr>
              <w:widowControl w:val="0"/>
              <w:overflowPunct w:val="0"/>
              <w:autoSpaceDE w:val="0"/>
              <w:autoSpaceDN w:val="0"/>
              <w:adjustRightInd w:val="0"/>
              <w:spacing w:line="276" w:lineRule="auto"/>
              <w:textAlignment w:val="baseline"/>
              <w:rPr>
                <w:rFonts w:eastAsia="Times New Roman"/>
                <w:b/>
                <w:szCs w:val="24"/>
                <w:lang w:val="en-US" w:eastAsia="en-US"/>
              </w:rPr>
            </w:pPr>
            <w:r>
              <w:rPr>
                <w:b/>
                <w:szCs w:val="24"/>
                <w:lang w:eastAsia="ar-SA"/>
              </w:rPr>
              <w:t>Повишаване на потенциала за трансграничен туризъм чрез развиване на общи дестинации</w:t>
            </w:r>
          </w:p>
        </w:tc>
      </w:tr>
      <w:tr w:rsidR="00D4426D" w:rsidRPr="00981F6F" w:rsidTr="00691A5F">
        <w:trPr>
          <w:trHeight w:val="360"/>
          <w:jc w:val="center"/>
        </w:trPr>
        <w:tc>
          <w:tcPr>
            <w:tcW w:w="3510" w:type="dxa"/>
            <w:shd w:val="clear" w:color="auto" w:fill="auto"/>
          </w:tcPr>
          <w:p w:rsidR="00A85EB3" w:rsidRDefault="00B07D03" w:rsidP="004E5AB3">
            <w:pPr>
              <w:spacing w:after="240"/>
              <w:jc w:val="left"/>
              <w:rPr>
                <w:rFonts w:eastAsia="Times New Roman"/>
                <w:i/>
                <w:lang w:val="en-US"/>
              </w:rPr>
            </w:pPr>
            <w:r>
              <w:rPr>
                <w:rFonts w:eastAsia="Times New Roman"/>
                <w:i/>
              </w:rPr>
              <w:t>Резултати, които партниращите си държави се стремят да постигнат с помощта на Съюза</w:t>
            </w:r>
          </w:p>
        </w:tc>
        <w:tc>
          <w:tcPr>
            <w:tcW w:w="5662" w:type="dxa"/>
            <w:shd w:val="clear" w:color="auto" w:fill="auto"/>
          </w:tcPr>
          <w:p w:rsidR="00A85EB3" w:rsidRDefault="00B07D03">
            <w:pPr>
              <w:keepNext/>
              <w:widowControl w:val="0"/>
              <w:tabs>
                <w:tab w:val="num" w:pos="376"/>
                <w:tab w:val="num" w:pos="459"/>
                <w:tab w:val="num" w:pos="502"/>
              </w:tabs>
              <w:spacing w:line="276" w:lineRule="auto"/>
              <w:rPr>
                <w:rFonts w:eastAsia="Times New Roman"/>
                <w:szCs w:val="24"/>
                <w:lang w:val="en-US" w:eastAsia="en-US"/>
              </w:rPr>
            </w:pPr>
            <w:r>
              <w:rPr>
                <w:rFonts w:eastAsia="Times New Roman"/>
                <w:szCs w:val="24"/>
                <w:lang w:eastAsia="bg-BG"/>
              </w:rPr>
              <w:t>Като правило туристическите дестинации трябва непрекъснато да търсят нови източници на конкурентни предимства. Тези конкурентни предимства под формата на туристически ресурси и чрез подходящо управление на дестинацията и маркетингови стратегии могат да бъдат превърнати в туристически атракции и да станат конкурентни предимства, които могат да осигурят дългосрочен устойчив ръст на туризма и развитие за туристическата дестинация и, оттам, да подобрят пазарните ѝ позиции.</w:t>
            </w:r>
          </w:p>
          <w:p w:rsidR="00A85EB3" w:rsidRDefault="00B07D03">
            <w:pPr>
              <w:keepNext/>
              <w:widowControl w:val="0"/>
              <w:tabs>
                <w:tab w:val="num" w:pos="376"/>
                <w:tab w:val="num" w:pos="459"/>
                <w:tab w:val="num" w:pos="502"/>
              </w:tabs>
              <w:spacing w:line="276" w:lineRule="auto"/>
              <w:rPr>
                <w:rFonts w:eastAsia="Times New Roman"/>
                <w:szCs w:val="24"/>
                <w:lang w:val="en-US" w:eastAsia="en-US"/>
              </w:rPr>
            </w:pPr>
            <w:r>
              <w:rPr>
                <w:rFonts w:eastAsia="Times New Roman"/>
                <w:szCs w:val="24"/>
                <w:lang w:eastAsia="en-US"/>
              </w:rPr>
              <w:t xml:space="preserve">Подобрените възможности за устойчиви туристически дестинации в региона на ТГС са основен резултат, който държавите–партньори се стремят да постигнат с помощта на Съюза. Посоченият резултат ще бъде постигнат чрез разнообразни меки дейности:  1) Разработване на стратегии/планове за действие за трансграничен </w:t>
            </w:r>
            <w:r>
              <w:rPr>
                <w:rFonts w:eastAsia="Times New Roman"/>
                <w:szCs w:val="24"/>
                <w:lang w:eastAsia="en-US"/>
              </w:rPr>
              <w:lastRenderedPageBreak/>
              <w:t xml:space="preserve">устойчив туризъм; 2) Съвместни проучвания на потенциалните </w:t>
            </w:r>
            <w:proofErr w:type="spellStart"/>
            <w:r>
              <w:rPr>
                <w:rFonts w:eastAsia="Times New Roman"/>
                <w:szCs w:val="24"/>
                <w:lang w:eastAsia="en-US"/>
              </w:rPr>
              <w:t>нишови</w:t>
            </w:r>
            <w:proofErr w:type="spellEnd"/>
            <w:r>
              <w:rPr>
                <w:rFonts w:eastAsia="Times New Roman"/>
                <w:szCs w:val="24"/>
                <w:lang w:eastAsia="en-US"/>
              </w:rPr>
              <w:t xml:space="preserve"> туристически дейности и/или на търсенето на нови туристически дестинации и преживявания; 3) Изследователски дейности за идентифициране на туристически продукти с потенциал за трансгранични туристически дестинации; 4) Развитие на местни туристически дестинации, основани на природното, културното и историческото наследство на региона; 5) Подкрепа за развитие на нови продукти и услуги, които да бъдат предоставяни в обектите; 6) Услуги по обучение и консултантска помощ за туристически предприятия/заведения за подобряване на уменията и резултатите в работата; и други. </w:t>
            </w:r>
          </w:p>
          <w:p w:rsidR="00A85EB3" w:rsidRDefault="00B07D03">
            <w:pPr>
              <w:spacing w:line="276" w:lineRule="auto"/>
              <w:rPr>
                <w:rFonts w:eastAsia="Times New Roman"/>
                <w:szCs w:val="24"/>
                <w:lang w:val="en-US" w:eastAsia="en-US"/>
              </w:rPr>
            </w:pPr>
            <w:r>
              <w:rPr>
                <w:rFonts w:eastAsia="Times New Roman"/>
                <w:color w:val="000000"/>
                <w:szCs w:val="24"/>
              </w:rPr>
              <w:t>Важно е работата по Програмата за насърчаване на устойчивостта да се основава на солидни доказателства за взаимовръзката между туризъм и устойчивост и потребността на посетителите и бизнеса от устойчивост. Поради това иновацията е от възлово значение за трансграничния туризъм, тъй като тя оказва влияние както върху туристическото търсене, така и върху предлагането.  Иновацията на туристическите предприятия в определената географска територия на Програмата трябва да има за цел намаляване на разходите и повишаване на качеството на обслужване и, по този начин, повишаване на конкурентоспособността. Същото се отнася и за непрекъснатото увеличаване на онлайн туризма, който не само променя навиците на потребителите, но също така благоприятства за нови маркетингови стратегии в туроператорския сектор.</w:t>
            </w:r>
          </w:p>
        </w:tc>
      </w:tr>
      <w:tr w:rsidR="0052415C" w:rsidRPr="00981F6F" w:rsidTr="00691A5F">
        <w:trPr>
          <w:trHeight w:val="360"/>
          <w:jc w:val="center"/>
        </w:trPr>
        <w:tc>
          <w:tcPr>
            <w:tcW w:w="3510" w:type="dxa"/>
            <w:shd w:val="clear" w:color="auto" w:fill="auto"/>
          </w:tcPr>
          <w:p w:rsidR="00A85EB3" w:rsidRDefault="00B07D03">
            <w:pPr>
              <w:spacing w:after="240"/>
              <w:rPr>
                <w:rFonts w:eastAsia="Times New Roman"/>
                <w:i/>
                <w:lang w:val="en-US"/>
              </w:rPr>
            </w:pPr>
            <w:r>
              <w:rPr>
                <w:rFonts w:eastAsia="Times New Roman"/>
                <w:i/>
              </w:rPr>
              <w:lastRenderedPageBreak/>
              <w:t>№</w:t>
            </w:r>
          </w:p>
        </w:tc>
        <w:tc>
          <w:tcPr>
            <w:tcW w:w="5662" w:type="dxa"/>
            <w:shd w:val="clear" w:color="auto" w:fill="auto"/>
          </w:tcPr>
          <w:p w:rsidR="00A85EB3" w:rsidRDefault="00B07D03">
            <w:pPr>
              <w:spacing w:line="276" w:lineRule="auto"/>
              <w:rPr>
                <w:rFonts w:eastAsia="Times New Roman"/>
                <w:b/>
                <w:szCs w:val="24"/>
                <w:lang w:val="en-US" w:eastAsia="en-US"/>
              </w:rPr>
            </w:pPr>
            <w:r>
              <w:rPr>
                <w:rFonts w:eastAsia="Times New Roman"/>
                <w:b/>
                <w:szCs w:val="24"/>
                <w:lang w:eastAsia="en-US"/>
              </w:rPr>
              <w:t>2.3</w:t>
            </w:r>
          </w:p>
        </w:tc>
      </w:tr>
      <w:tr w:rsidR="0052415C" w:rsidRPr="00981F6F" w:rsidTr="00691A5F">
        <w:trPr>
          <w:trHeight w:val="360"/>
          <w:jc w:val="center"/>
        </w:trPr>
        <w:tc>
          <w:tcPr>
            <w:tcW w:w="3510" w:type="dxa"/>
            <w:shd w:val="clear" w:color="auto" w:fill="auto"/>
          </w:tcPr>
          <w:p w:rsidR="00A85EB3" w:rsidRDefault="00C56E54" w:rsidP="004E5AB3">
            <w:pPr>
              <w:spacing w:after="240"/>
              <w:jc w:val="left"/>
              <w:rPr>
                <w:rFonts w:eastAsia="Times New Roman"/>
                <w:i/>
                <w:lang w:val="en-US"/>
              </w:rPr>
            </w:pPr>
            <w:r>
              <w:rPr>
                <w:rFonts w:eastAsia="Times New Roman"/>
                <w:i/>
              </w:rPr>
              <w:t>Специфична</w:t>
            </w:r>
            <w:r w:rsidR="00B07D03">
              <w:rPr>
                <w:rFonts w:eastAsia="Times New Roman"/>
                <w:i/>
              </w:rPr>
              <w:t xml:space="preserve"> цел</w:t>
            </w:r>
          </w:p>
        </w:tc>
        <w:tc>
          <w:tcPr>
            <w:tcW w:w="5662" w:type="dxa"/>
            <w:shd w:val="clear" w:color="auto" w:fill="auto"/>
          </w:tcPr>
          <w:p w:rsidR="00A85EB3" w:rsidRDefault="00B07D03">
            <w:pPr>
              <w:spacing w:line="276" w:lineRule="auto"/>
              <w:rPr>
                <w:rFonts w:eastAsia="Times New Roman"/>
                <w:b/>
                <w:szCs w:val="24"/>
                <w:lang w:val="en-US" w:eastAsia="en-US"/>
              </w:rPr>
            </w:pPr>
            <w:r>
              <w:rPr>
                <w:b/>
                <w:szCs w:val="24"/>
                <w:lang w:eastAsia="ar-SA"/>
              </w:rPr>
              <w:t>Повишаване на използването на мрежи за обмен за устойчиво развитие на потенциала за туризъм</w:t>
            </w:r>
          </w:p>
        </w:tc>
      </w:tr>
      <w:tr w:rsidR="0052415C" w:rsidRPr="00981F6F" w:rsidTr="00691A5F">
        <w:trPr>
          <w:trHeight w:val="360"/>
          <w:jc w:val="center"/>
        </w:trPr>
        <w:tc>
          <w:tcPr>
            <w:tcW w:w="3510" w:type="dxa"/>
            <w:shd w:val="clear" w:color="auto" w:fill="auto"/>
          </w:tcPr>
          <w:p w:rsidR="00A85EB3" w:rsidRDefault="00B07D03" w:rsidP="004E5AB3">
            <w:pPr>
              <w:spacing w:after="240"/>
              <w:jc w:val="left"/>
              <w:rPr>
                <w:rFonts w:eastAsia="Times New Roman"/>
                <w:i/>
                <w:lang w:val="en-US"/>
              </w:rPr>
            </w:pPr>
            <w:r>
              <w:rPr>
                <w:rFonts w:eastAsia="Times New Roman"/>
                <w:i/>
              </w:rPr>
              <w:t>Резултати, които партниращите си държави се стремят да постигнат с помощта на Съюза</w:t>
            </w:r>
          </w:p>
        </w:tc>
        <w:tc>
          <w:tcPr>
            <w:tcW w:w="5662" w:type="dxa"/>
            <w:shd w:val="clear" w:color="auto" w:fill="auto"/>
          </w:tcPr>
          <w:p w:rsidR="00A85EB3" w:rsidRDefault="00B07D03">
            <w:pPr>
              <w:spacing w:line="276" w:lineRule="auto"/>
              <w:rPr>
                <w:rFonts w:eastAsia="Times New Roman"/>
                <w:szCs w:val="24"/>
                <w:lang w:val="en-US"/>
              </w:rPr>
            </w:pPr>
            <w:r>
              <w:rPr>
                <w:rFonts w:eastAsia="Times New Roman"/>
                <w:szCs w:val="24"/>
              </w:rPr>
              <w:t xml:space="preserve">Засиленото сътрудничество, свързано с устойчивия туризъм, сред регионалните участници е крайният основен резултат, който държавите–партньори се стремят да постигнат с подкрепата на Съюза. </w:t>
            </w:r>
          </w:p>
          <w:p w:rsidR="00A85EB3" w:rsidRDefault="00B07D03">
            <w:pPr>
              <w:suppressAutoHyphens/>
              <w:autoSpaceDE w:val="0"/>
              <w:autoSpaceDN w:val="0"/>
              <w:spacing w:line="276" w:lineRule="auto"/>
              <w:textAlignment w:val="baseline"/>
              <w:rPr>
                <w:rFonts w:eastAsia="Times New Roman"/>
                <w:szCs w:val="24"/>
                <w:lang w:val="en-US"/>
              </w:rPr>
            </w:pPr>
            <w:r>
              <w:rPr>
                <w:rFonts w:eastAsia="Times New Roman"/>
                <w:szCs w:val="24"/>
              </w:rPr>
              <w:t xml:space="preserve">Развитието на чувство на отговорност и </w:t>
            </w:r>
            <w:r>
              <w:rPr>
                <w:rFonts w:eastAsia="Times New Roman"/>
                <w:szCs w:val="24"/>
              </w:rPr>
              <w:lastRenderedPageBreak/>
              <w:t xml:space="preserve">ангажираност за устойчив туризъм в приемащите общности е от ключово значение за мениджърите в туризма и планиращите органи в пограничния регион. Никой от тези елементи няма да бъде постигнат лесно в краткосрочен план без ясна насоченост към информиране и ангажиране на общността и в крайна сметка без даване на права на хората, така че те да могат да отчетат и осмислят преките и косвените ползи от устойчивия подход към туризма и как да се включат в него. От ключово значение е да се прилага съвместен подход, който дава права на местната общност и туристическия бранш, за да могат те да изградят оценка и познания за местните и отделните въпроси и разходи, свързани с развитието на туризма. </w:t>
            </w:r>
          </w:p>
          <w:p w:rsidR="00A85EB3" w:rsidRDefault="00B07D03">
            <w:pPr>
              <w:spacing w:line="276" w:lineRule="auto"/>
              <w:rPr>
                <w:rFonts w:eastAsia="Times New Roman"/>
                <w:szCs w:val="24"/>
                <w:lang w:val="en-US" w:eastAsia="en-US"/>
              </w:rPr>
            </w:pPr>
            <w:r>
              <w:rPr>
                <w:rFonts w:eastAsia="Times New Roman"/>
                <w:szCs w:val="24"/>
              </w:rPr>
              <w:t>Посочените резултати ще бъдат постигнати посредством разнообразни меки действия, като: 1) Организиране на прояви, учебни курсове, възможности за работа в мрежа за обмен на добри практики в устойчивото управление на туризма, в т.ч. онлайн форуми; 2) Организиране на прояви за общуване в мрежи, в т.ч. инициативи за укрепване на съществуващите и изграждане на нови партньорства в областта на устойчивия туризъм; 3) Проучване на вътрешното и международното търсене на трансгранични туристически занимания, проучване на качеството на съществуващите услуги, проекти за наблюдение на устойчивото развитие на туризма и свързаните с това услуги и др.; 4) Организиране на съвместни прояви за реклама на трансграничното природно и културно наследство, като еднодневни фестивали, изложения, представления и др.; 5) Реклама и развитие на общите традиции от двата погранични района; и други.</w:t>
            </w:r>
          </w:p>
        </w:tc>
      </w:tr>
    </w:tbl>
    <w:p w:rsidR="004E5AB3" w:rsidRDefault="004E5AB3">
      <w:pPr>
        <w:tabs>
          <w:tab w:val="left" w:pos="720"/>
        </w:tabs>
        <w:rPr>
          <w:rFonts w:eastAsia="Times New Roman"/>
          <w:b/>
        </w:rPr>
      </w:pPr>
    </w:p>
    <w:p w:rsidR="003F5BF4" w:rsidRDefault="003F5BF4">
      <w:pPr>
        <w:tabs>
          <w:tab w:val="left" w:pos="720"/>
        </w:tabs>
        <w:rPr>
          <w:rFonts w:eastAsia="Times New Roman"/>
          <w:b/>
        </w:rPr>
      </w:pPr>
    </w:p>
    <w:p w:rsidR="003F5BF4" w:rsidRPr="003F5BF4" w:rsidRDefault="003F5BF4">
      <w:pPr>
        <w:tabs>
          <w:tab w:val="left" w:pos="720"/>
        </w:tabs>
        <w:rPr>
          <w:rFonts w:eastAsia="Times New Roman"/>
          <w:b/>
        </w:rPr>
      </w:pPr>
    </w:p>
    <w:p w:rsidR="00A85EB3" w:rsidRDefault="00B07D03">
      <w:pPr>
        <w:pStyle w:val="Heading3"/>
        <w:numPr>
          <w:ilvl w:val="0"/>
          <w:numId w:val="0"/>
        </w:numPr>
        <w:ind w:left="850" w:hanging="850"/>
        <w:rPr>
          <w:b/>
          <w:i w:val="0"/>
          <w:lang w:val="en-US"/>
        </w:rPr>
      </w:pPr>
      <w:bookmarkStart w:id="57" w:name="_Toc408234903"/>
      <w:r>
        <w:rPr>
          <w:b/>
          <w:i w:val="0"/>
        </w:rPr>
        <w:t>2.</w:t>
      </w:r>
      <w:proofErr w:type="spellStart"/>
      <w:r>
        <w:rPr>
          <w:b/>
          <w:i w:val="0"/>
        </w:rPr>
        <w:t>2</w:t>
      </w:r>
      <w:proofErr w:type="spellEnd"/>
      <w:r>
        <w:rPr>
          <w:b/>
          <w:i w:val="0"/>
        </w:rPr>
        <w:t>.4. Елементи на други тематични приоритети, добавени към приоритетната ос</w:t>
      </w:r>
      <w:bookmarkEnd w:id="57"/>
    </w:p>
    <w:p w:rsidR="00A85EB3" w:rsidRDefault="00B07D03">
      <w:pPr>
        <w:tabs>
          <w:tab w:val="left" w:pos="720"/>
        </w:tabs>
        <w:rPr>
          <w:rFonts w:eastAsia="Times New Roman"/>
          <w:lang w:val="en-US"/>
        </w:rPr>
      </w:pPr>
      <w:r>
        <w:rPr>
          <w:rFonts w:eastAsia="Times New Roman"/>
        </w:rPr>
        <w:t>(Източник: чл. 35(1) от Регламента за изпълнение ИПП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650"/>
      </w:tblGrid>
      <w:tr w:rsidR="00D4426D" w:rsidRPr="00981F6F" w:rsidTr="00E342B6">
        <w:trPr>
          <w:trHeight w:val="491"/>
          <w:jc w:val="center"/>
        </w:trPr>
        <w:tc>
          <w:tcPr>
            <w:tcW w:w="4395" w:type="dxa"/>
            <w:shd w:val="clear" w:color="auto" w:fill="auto"/>
          </w:tcPr>
          <w:p w:rsidR="00A85EB3" w:rsidRDefault="00B07D03">
            <w:pPr>
              <w:spacing w:after="240"/>
              <w:rPr>
                <w:rFonts w:eastAsia="Times New Roman"/>
                <w:i/>
                <w:lang w:val="en-US"/>
              </w:rPr>
            </w:pPr>
            <w:r>
              <w:rPr>
                <w:rFonts w:eastAsia="Times New Roman"/>
                <w:i/>
              </w:rPr>
              <w:lastRenderedPageBreak/>
              <w:t>№</w:t>
            </w:r>
          </w:p>
        </w:tc>
        <w:tc>
          <w:tcPr>
            <w:tcW w:w="4650" w:type="dxa"/>
            <w:shd w:val="clear" w:color="auto" w:fill="auto"/>
          </w:tcPr>
          <w:p w:rsidR="00A85EB3" w:rsidRDefault="00B07D03">
            <w:pPr>
              <w:spacing w:after="240"/>
              <w:jc w:val="center"/>
              <w:rPr>
                <w:rFonts w:eastAsia="Times New Roman"/>
                <w:i/>
                <w:szCs w:val="24"/>
                <w:lang w:val="en-US"/>
              </w:rPr>
            </w:pPr>
            <w:r>
              <w:rPr>
                <w:rFonts w:eastAsia="Times New Roman"/>
                <w:i/>
                <w:szCs w:val="24"/>
              </w:rPr>
              <w:t>н/п</w:t>
            </w:r>
          </w:p>
        </w:tc>
      </w:tr>
      <w:tr w:rsidR="00D4426D" w:rsidRPr="00981F6F" w:rsidTr="00E342B6">
        <w:trPr>
          <w:trHeight w:val="360"/>
          <w:jc w:val="center"/>
        </w:trPr>
        <w:tc>
          <w:tcPr>
            <w:tcW w:w="4395" w:type="dxa"/>
            <w:shd w:val="clear" w:color="auto" w:fill="auto"/>
          </w:tcPr>
          <w:p w:rsidR="00A85EB3" w:rsidRDefault="00B07D03" w:rsidP="00C56E54">
            <w:pPr>
              <w:spacing w:after="240"/>
              <w:rPr>
                <w:rFonts w:eastAsia="Times New Roman"/>
                <w:i/>
                <w:lang w:val="en-US"/>
              </w:rPr>
            </w:pPr>
            <w:r>
              <w:rPr>
                <w:rFonts w:eastAsia="Times New Roman"/>
                <w:i/>
              </w:rPr>
              <w:t xml:space="preserve">Принос към </w:t>
            </w:r>
            <w:r w:rsidR="00C56E54">
              <w:rPr>
                <w:rFonts w:eastAsia="Times New Roman"/>
                <w:i/>
              </w:rPr>
              <w:t>специфична</w:t>
            </w:r>
            <w:r>
              <w:rPr>
                <w:rFonts w:eastAsia="Times New Roman"/>
                <w:i/>
              </w:rPr>
              <w:t>та цел на приоритетната ос</w:t>
            </w:r>
          </w:p>
        </w:tc>
        <w:tc>
          <w:tcPr>
            <w:tcW w:w="4650" w:type="dxa"/>
            <w:shd w:val="clear" w:color="auto" w:fill="auto"/>
          </w:tcPr>
          <w:p w:rsidR="00A85EB3" w:rsidRDefault="00B07D03">
            <w:pPr>
              <w:spacing w:after="240"/>
              <w:jc w:val="center"/>
              <w:rPr>
                <w:rFonts w:eastAsia="Times New Roman"/>
                <w:i/>
                <w:szCs w:val="24"/>
                <w:lang w:val="en-US"/>
              </w:rPr>
            </w:pPr>
            <w:r>
              <w:rPr>
                <w:rFonts w:eastAsia="Times New Roman"/>
                <w:i/>
                <w:szCs w:val="24"/>
              </w:rPr>
              <w:t>н/п</w:t>
            </w:r>
          </w:p>
        </w:tc>
      </w:tr>
      <w:tr w:rsidR="00D4426D" w:rsidRPr="00981F6F" w:rsidTr="00E342B6">
        <w:trPr>
          <w:trHeight w:val="360"/>
          <w:jc w:val="center"/>
        </w:trPr>
        <w:tc>
          <w:tcPr>
            <w:tcW w:w="4395" w:type="dxa"/>
            <w:shd w:val="clear" w:color="auto" w:fill="auto"/>
          </w:tcPr>
          <w:p w:rsidR="00A85EB3" w:rsidRDefault="00B07D03">
            <w:pPr>
              <w:spacing w:after="240"/>
              <w:rPr>
                <w:rFonts w:eastAsia="Times New Roman"/>
                <w:i/>
                <w:lang w:val="en-US"/>
              </w:rPr>
            </w:pPr>
            <w:r>
              <w:rPr>
                <w:rFonts w:eastAsia="Times New Roman"/>
                <w:i/>
              </w:rPr>
              <w:t>Резултати, които партниращите си държави се стремят да постигнат с помощта на Съюза</w:t>
            </w:r>
          </w:p>
        </w:tc>
        <w:tc>
          <w:tcPr>
            <w:tcW w:w="4650" w:type="dxa"/>
            <w:shd w:val="clear" w:color="auto" w:fill="auto"/>
          </w:tcPr>
          <w:p w:rsidR="00A85EB3" w:rsidRDefault="00B07D03">
            <w:pPr>
              <w:spacing w:after="240"/>
              <w:jc w:val="center"/>
              <w:rPr>
                <w:rFonts w:eastAsia="Times New Roman"/>
                <w:i/>
                <w:szCs w:val="24"/>
                <w:lang w:val="en-US"/>
              </w:rPr>
            </w:pPr>
            <w:r>
              <w:rPr>
                <w:rFonts w:eastAsia="Times New Roman"/>
                <w:i/>
                <w:szCs w:val="24"/>
              </w:rPr>
              <w:t>н/п</w:t>
            </w:r>
          </w:p>
        </w:tc>
      </w:tr>
    </w:tbl>
    <w:p w:rsidR="00A85EB3" w:rsidRDefault="00B07D03">
      <w:pPr>
        <w:suppressAutoHyphens/>
        <w:spacing w:after="240"/>
        <w:ind w:left="851" w:hanging="851"/>
        <w:rPr>
          <w:rFonts w:eastAsia="Times New Roman"/>
          <w:b/>
          <w:lang w:val="en-US"/>
        </w:rPr>
      </w:pPr>
      <w:bookmarkStart w:id="58" w:name="_Toc408234904"/>
      <w:r>
        <w:rPr>
          <w:rStyle w:val="Heading3Char"/>
          <w:rFonts w:eastAsia="Calibri"/>
          <w:b/>
          <w:i w:val="0"/>
        </w:rPr>
        <w:t>2.</w:t>
      </w:r>
      <w:proofErr w:type="spellStart"/>
      <w:r>
        <w:rPr>
          <w:rStyle w:val="Heading3Char"/>
          <w:rFonts w:eastAsia="Calibri"/>
          <w:b/>
          <w:i w:val="0"/>
        </w:rPr>
        <w:t>2</w:t>
      </w:r>
      <w:proofErr w:type="spellEnd"/>
      <w:r>
        <w:rPr>
          <w:rStyle w:val="Heading3Char"/>
          <w:rFonts w:eastAsia="Calibri"/>
          <w:b/>
          <w:i w:val="0"/>
        </w:rPr>
        <w:t>.5. Дейности, които ще бъдат подкрепяни по тематичния приоритет</w:t>
      </w:r>
      <w:bookmarkEnd w:id="58"/>
      <w:r>
        <w:rPr>
          <w:rFonts w:eastAsia="Times New Roman"/>
        </w:rPr>
        <w:t xml:space="preserve"> (по тематични приоритети)</w:t>
      </w:r>
    </w:p>
    <w:p w:rsidR="00A85EB3" w:rsidRDefault="00B07D03">
      <w:pPr>
        <w:pStyle w:val="Heading4"/>
        <w:numPr>
          <w:ilvl w:val="0"/>
          <w:numId w:val="0"/>
        </w:numPr>
        <w:ind w:left="850" w:hanging="850"/>
        <w:rPr>
          <w:b/>
          <w:i/>
          <w:lang w:val="en-US"/>
        </w:rPr>
      </w:pPr>
      <w:r>
        <w:rPr>
          <w:b/>
          <w:i/>
        </w:rPr>
        <w:t>2.</w:t>
      </w:r>
      <w:proofErr w:type="spellStart"/>
      <w:r>
        <w:rPr>
          <w:b/>
          <w:i/>
        </w:rPr>
        <w:t>2</w:t>
      </w:r>
      <w:proofErr w:type="spellEnd"/>
      <w:r>
        <w:rPr>
          <w:b/>
          <w:i/>
        </w:rPr>
        <w:t>.5.1. Описание на вида и примери за дейности, които ще бъдат подпомогнати, и очакваният им принос към конкретните цели, включително, когато това е подходящо, определяне на основните целеви групи, конкретни целеви територии и видовете бенефициенти</w:t>
      </w:r>
    </w:p>
    <w:p w:rsidR="00A85EB3" w:rsidRDefault="00B07D03">
      <w:pPr>
        <w:rPr>
          <w:lang w:val="en-US"/>
        </w:rPr>
      </w:pPr>
      <w:r>
        <w:t>(Източник: буква(b)(iii) на чл. 8(2) от Регламент (ЕС) № 1299/2013)</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832"/>
      </w:tblGrid>
      <w:tr w:rsidR="00D4426D" w:rsidRPr="00981F6F" w:rsidTr="00A628D6">
        <w:trPr>
          <w:trHeight w:val="518"/>
        </w:trPr>
        <w:tc>
          <w:tcPr>
            <w:tcW w:w="2235" w:type="dxa"/>
            <w:shd w:val="clear" w:color="auto" w:fill="auto"/>
          </w:tcPr>
          <w:p w:rsidR="00A85EB3" w:rsidRDefault="00B07D03">
            <w:pPr>
              <w:spacing w:line="276" w:lineRule="auto"/>
              <w:rPr>
                <w:rFonts w:eastAsia="Times New Roman"/>
                <w:i/>
                <w:color w:val="8DB3E2"/>
                <w:szCs w:val="24"/>
                <w:lang w:val="en-US"/>
              </w:rPr>
            </w:pPr>
            <w:r>
              <w:rPr>
                <w:rFonts w:eastAsia="Times New Roman"/>
                <w:i/>
                <w:szCs w:val="24"/>
              </w:rPr>
              <w:t>Тематичен приоритет</w:t>
            </w:r>
          </w:p>
        </w:tc>
        <w:tc>
          <w:tcPr>
            <w:tcW w:w="6832" w:type="dxa"/>
            <w:shd w:val="clear" w:color="auto" w:fill="auto"/>
          </w:tcPr>
          <w:p w:rsidR="00A85EB3" w:rsidRDefault="00B07D03">
            <w:pPr>
              <w:spacing w:line="276" w:lineRule="auto"/>
              <w:rPr>
                <w:rFonts w:eastAsia="Times New Roman"/>
                <w:b/>
                <w:i/>
                <w:color w:val="8DB3E2"/>
                <w:szCs w:val="24"/>
                <w:lang w:val="en-US"/>
              </w:rPr>
            </w:pPr>
            <w:r>
              <w:rPr>
                <w:b/>
                <w:szCs w:val="24"/>
                <w:lang w:eastAsia="en-US"/>
              </w:rPr>
              <w:t>(d): Насърчаване на туризма и културното и природното наследство</w:t>
            </w:r>
          </w:p>
        </w:tc>
      </w:tr>
      <w:tr w:rsidR="00D4426D" w:rsidRPr="00981F6F" w:rsidTr="00780AD3">
        <w:trPr>
          <w:trHeight w:val="3109"/>
        </w:trPr>
        <w:tc>
          <w:tcPr>
            <w:tcW w:w="9067" w:type="dxa"/>
            <w:gridSpan w:val="2"/>
            <w:shd w:val="clear" w:color="auto" w:fill="auto"/>
          </w:tcPr>
          <w:p w:rsidR="00A85EB3" w:rsidRPr="004E5AB3" w:rsidRDefault="00EB2A11">
            <w:pPr>
              <w:widowControl w:val="0"/>
              <w:spacing w:line="276" w:lineRule="auto"/>
              <w:rPr>
                <w:b/>
                <w:szCs w:val="24"/>
                <w:lang w:val="en-US" w:eastAsia="ar-SA"/>
              </w:rPr>
            </w:pPr>
            <w:r>
              <w:rPr>
                <w:rFonts w:eastAsia="Times New Roman"/>
                <w:b/>
                <w:szCs w:val="24"/>
              </w:rPr>
              <w:t>Специфична</w:t>
            </w:r>
            <w:r w:rsidR="00B07D03">
              <w:rPr>
                <w:rFonts w:eastAsia="Times New Roman"/>
                <w:b/>
                <w:szCs w:val="24"/>
              </w:rPr>
              <w:t xml:space="preserve"> цел 2.1:</w:t>
            </w:r>
            <w:r w:rsidR="00B07D03">
              <w:rPr>
                <w:b/>
                <w:szCs w:val="24"/>
                <w:lang w:eastAsia="ar-SA"/>
              </w:rPr>
              <w:t xml:space="preserve"> Повишаване привлекателността за туризъм на трансграничния район чрез по-добро използване на природното, културното и историческото наследство и свързаната с него инфраструктура</w:t>
            </w:r>
          </w:p>
          <w:p w:rsidR="00A85EB3" w:rsidRDefault="00B07D03">
            <w:pPr>
              <w:keepNext/>
              <w:widowControl w:val="0"/>
              <w:tabs>
                <w:tab w:val="num" w:pos="2262"/>
              </w:tabs>
              <w:spacing w:line="276" w:lineRule="auto"/>
              <w:rPr>
                <w:rFonts w:eastAsia="Times New Roman"/>
                <w:b/>
                <w:i/>
                <w:szCs w:val="24"/>
                <w:u w:val="single"/>
                <w:lang w:val="en-US" w:eastAsia="en-US"/>
              </w:rPr>
            </w:pPr>
            <w:r>
              <w:rPr>
                <w:rFonts w:eastAsia="Times New Roman"/>
                <w:b/>
                <w:i/>
                <w:szCs w:val="24"/>
                <w:u w:val="single"/>
                <w:lang w:eastAsia="en-US"/>
              </w:rPr>
              <w:t>Инвестиционни мерки</w:t>
            </w:r>
          </w:p>
          <w:p w:rsidR="00A85EB3" w:rsidRDefault="00B07D03">
            <w:pPr>
              <w:keepNext/>
              <w:widowControl w:val="0"/>
              <w:tabs>
                <w:tab w:val="num" w:pos="2262"/>
              </w:tabs>
              <w:spacing w:line="276" w:lineRule="auto"/>
              <w:rPr>
                <w:rFonts w:eastAsia="Times New Roman"/>
                <w:b/>
                <w:szCs w:val="24"/>
                <w:lang w:val="en-US" w:eastAsia="en-US"/>
              </w:rPr>
            </w:pPr>
            <w:r>
              <w:rPr>
                <w:rFonts w:eastAsia="Times New Roman"/>
                <w:b/>
                <w:szCs w:val="24"/>
                <w:lang w:eastAsia="en-US"/>
              </w:rPr>
              <w:t>Малки инвестиции и създаване на съоръжения за ИКТ:</w:t>
            </w:r>
          </w:p>
          <w:p w:rsidR="00A85EB3" w:rsidRDefault="00B07D03">
            <w:pPr>
              <w:keepNext/>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 xml:space="preserve">Малки инвестиции за подобряване на достъпа до природни, културни и исторически туристически обекти, включително: рехабилитация на пътища за достъп, велосипедни и пешеходни алеи </w:t>
            </w:r>
          </w:p>
          <w:p w:rsidR="00A85EB3" w:rsidRDefault="00B07D03" w:rsidP="00A628D6">
            <w:pPr>
              <w:keepNext/>
              <w:widowControl w:val="0"/>
              <w:numPr>
                <w:ilvl w:val="0"/>
                <w:numId w:val="56"/>
              </w:numPr>
              <w:tabs>
                <w:tab w:val="num" w:pos="376"/>
                <w:tab w:val="num" w:pos="459"/>
              </w:tabs>
              <w:spacing w:before="0" w:line="276" w:lineRule="auto"/>
              <w:ind w:left="374" w:hanging="374"/>
              <w:rPr>
                <w:rFonts w:eastAsia="Times New Roman"/>
                <w:szCs w:val="24"/>
                <w:lang w:val="en-US" w:eastAsia="en-US"/>
              </w:rPr>
            </w:pPr>
            <w:r>
              <w:rPr>
                <w:rFonts w:eastAsia="Times New Roman"/>
                <w:szCs w:val="24"/>
                <w:lang w:eastAsia="en-US"/>
              </w:rPr>
              <w:t xml:space="preserve">Малки инвестиции за подобряване на условията на природни, културни и исторически туристически обекти, включително: възстановяване, </w:t>
            </w:r>
            <w:r w:rsidR="00782EE1">
              <w:rPr>
                <w:rFonts w:eastAsia="Times New Roman"/>
                <w:szCs w:val="24"/>
                <w:lang w:eastAsia="en-US"/>
              </w:rPr>
              <w:t>поддръжка,</w:t>
            </w:r>
            <w:r w:rsidR="00782EE1">
              <w:rPr>
                <w:rFonts w:eastAsia="Times New Roman"/>
                <w:szCs w:val="24"/>
                <w:lang w:val="en-US" w:eastAsia="en-US"/>
              </w:rPr>
              <w:t xml:space="preserve"> </w:t>
            </w:r>
            <w:r w:rsidR="00782EE1">
              <w:rPr>
                <w:rFonts w:eastAsia="Times New Roman"/>
                <w:szCs w:val="24"/>
                <w:lang w:eastAsia="en-US"/>
              </w:rPr>
              <w:t>опазване</w:t>
            </w:r>
            <w:r>
              <w:rPr>
                <w:rFonts w:eastAsia="Times New Roman"/>
                <w:szCs w:val="24"/>
                <w:lang w:eastAsia="en-US"/>
              </w:rPr>
              <w:t>, както и осигуряване на достъп за хора с увреждания до туристически обекти</w:t>
            </w:r>
          </w:p>
          <w:p w:rsidR="00A85EB3" w:rsidRDefault="00B07D03" w:rsidP="00A628D6">
            <w:pPr>
              <w:keepNext/>
              <w:widowControl w:val="0"/>
              <w:numPr>
                <w:ilvl w:val="0"/>
                <w:numId w:val="56"/>
              </w:numPr>
              <w:tabs>
                <w:tab w:val="num" w:pos="376"/>
                <w:tab w:val="num" w:pos="459"/>
              </w:tabs>
              <w:spacing w:before="0" w:after="0" w:line="276" w:lineRule="auto"/>
              <w:ind w:left="374" w:hanging="374"/>
              <w:rPr>
                <w:rFonts w:eastAsia="Times New Roman"/>
                <w:szCs w:val="24"/>
                <w:lang w:val="en-US" w:eastAsia="en-US"/>
              </w:rPr>
            </w:pPr>
            <w:r>
              <w:rPr>
                <w:rFonts w:eastAsia="Times New Roman"/>
                <w:szCs w:val="24"/>
                <w:lang w:eastAsia="en-US"/>
              </w:rPr>
              <w:t xml:space="preserve">Подобряване на комуналните услуги (електроснабдяване, водоснабдяване, канализация и др.) в природни, културни и исторически туристически обекти </w:t>
            </w:r>
          </w:p>
          <w:p w:rsidR="00A85EB3" w:rsidRDefault="00B07D03" w:rsidP="00A628D6">
            <w:pPr>
              <w:keepNext/>
              <w:widowControl w:val="0"/>
              <w:numPr>
                <w:ilvl w:val="0"/>
                <w:numId w:val="56"/>
              </w:numPr>
              <w:tabs>
                <w:tab w:val="num" w:pos="376"/>
                <w:tab w:val="num" w:pos="459"/>
              </w:tabs>
              <w:spacing w:before="0" w:after="0" w:line="276" w:lineRule="auto"/>
              <w:ind w:left="374" w:hanging="374"/>
              <w:rPr>
                <w:rFonts w:eastAsia="Times New Roman"/>
                <w:szCs w:val="24"/>
                <w:lang w:val="en-US" w:eastAsia="en-US"/>
              </w:rPr>
            </w:pPr>
            <w:r>
              <w:rPr>
                <w:rFonts w:eastAsia="Times New Roman"/>
                <w:szCs w:val="24"/>
                <w:lang w:eastAsia="en-US"/>
              </w:rPr>
              <w:t>Малки туристически гранични преходи и свързани с тях съоръжения</w:t>
            </w:r>
          </w:p>
          <w:p w:rsidR="00A85EB3" w:rsidRDefault="00B07D03" w:rsidP="00A628D6">
            <w:pPr>
              <w:keepNext/>
              <w:widowControl w:val="0"/>
              <w:numPr>
                <w:ilvl w:val="0"/>
                <w:numId w:val="56"/>
              </w:numPr>
              <w:tabs>
                <w:tab w:val="num" w:pos="376"/>
                <w:tab w:val="num" w:pos="459"/>
              </w:tabs>
              <w:spacing w:before="0" w:after="0" w:line="276" w:lineRule="auto"/>
              <w:ind w:left="374" w:hanging="374"/>
              <w:rPr>
                <w:rFonts w:eastAsia="Times New Roman"/>
                <w:szCs w:val="24"/>
                <w:lang w:val="en-US" w:eastAsia="en-US"/>
              </w:rPr>
            </w:pPr>
            <w:r>
              <w:rPr>
                <w:rFonts w:eastAsia="Times New Roman"/>
                <w:szCs w:val="24"/>
                <w:lang w:eastAsia="en-US"/>
              </w:rPr>
              <w:t>Създаване/развитие/подобряване на туристически съоръжения за ИКТ, включително информационни центрове и/или павилиони за насочване на потенциалните посетители</w:t>
            </w:r>
          </w:p>
          <w:p w:rsidR="00A85EB3" w:rsidRDefault="00B07D03">
            <w:pPr>
              <w:keepNext/>
              <w:widowControl w:val="0"/>
              <w:tabs>
                <w:tab w:val="num" w:pos="2262"/>
              </w:tabs>
              <w:spacing w:line="276" w:lineRule="auto"/>
              <w:rPr>
                <w:rFonts w:eastAsia="Times New Roman"/>
                <w:b/>
                <w:i/>
                <w:szCs w:val="24"/>
                <w:u w:val="single"/>
                <w:lang w:val="en-US" w:eastAsia="en-US"/>
              </w:rPr>
            </w:pPr>
            <w:r>
              <w:rPr>
                <w:rFonts w:eastAsia="Times New Roman"/>
                <w:b/>
                <w:i/>
                <w:szCs w:val="24"/>
                <w:u w:val="single"/>
                <w:lang w:eastAsia="en-US"/>
              </w:rPr>
              <w:t>Меки мерки</w:t>
            </w:r>
          </w:p>
          <w:p w:rsidR="00A85EB3" w:rsidRDefault="00B07D03">
            <w:pPr>
              <w:keepNext/>
              <w:widowControl w:val="0"/>
              <w:tabs>
                <w:tab w:val="num" w:pos="2262"/>
              </w:tabs>
              <w:spacing w:line="276" w:lineRule="auto"/>
              <w:ind w:left="34" w:hanging="34"/>
              <w:rPr>
                <w:rFonts w:eastAsia="Times New Roman"/>
                <w:szCs w:val="24"/>
                <w:lang w:val="en-US" w:eastAsia="en-US"/>
              </w:rPr>
            </w:pPr>
            <w:r>
              <w:rPr>
                <w:rFonts w:eastAsia="Times New Roman"/>
                <w:b/>
                <w:szCs w:val="24"/>
                <w:lang w:eastAsia="en-US"/>
              </w:rPr>
              <w:t>Платформи за ИКТ и ГИС, туристически транспортни схеми:</w:t>
            </w:r>
          </w:p>
          <w:p w:rsidR="00A85EB3" w:rsidRDefault="00B07D03">
            <w:pPr>
              <w:keepNext/>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lastRenderedPageBreak/>
              <w:t>Разработка на общи платформи за ГИС</w:t>
            </w:r>
          </w:p>
          <w:p w:rsidR="00A85EB3" w:rsidRDefault="00B07D03">
            <w:pPr>
              <w:keepNext/>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Разработка на общи платформи за резервации и плащане онлайн и др.</w:t>
            </w:r>
          </w:p>
          <w:p w:rsidR="00A85EB3" w:rsidRDefault="00B07D03">
            <w:pPr>
              <w:keepNext/>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Разработка на схеми за превоз на туристи и свързани с това дейности в крайбрежните зони на Черно море</w:t>
            </w:r>
          </w:p>
          <w:p w:rsidR="00A85EB3" w:rsidRDefault="00B07D03">
            <w:pPr>
              <w:keepNext/>
              <w:widowControl w:val="0"/>
              <w:overflowPunct w:val="0"/>
              <w:autoSpaceDE w:val="0"/>
              <w:autoSpaceDN w:val="0"/>
              <w:adjustRightInd w:val="0"/>
              <w:spacing w:line="276" w:lineRule="auto"/>
              <w:textAlignment w:val="baseline"/>
              <w:rPr>
                <w:rFonts w:eastAsia="Times New Roman"/>
                <w:b/>
                <w:i/>
                <w:szCs w:val="24"/>
                <w:u w:val="single"/>
                <w:lang w:val="en-US" w:eastAsia="en-US"/>
              </w:rPr>
            </w:pPr>
            <w:r>
              <w:rPr>
                <w:rFonts w:eastAsia="Times New Roman"/>
                <w:b/>
                <w:i/>
                <w:szCs w:val="24"/>
                <w:u w:val="single"/>
                <w:lang w:eastAsia="en-US"/>
              </w:rPr>
              <w:t>ЦЕЛЕВИ ГРУПИ:</w:t>
            </w:r>
          </w:p>
          <w:p w:rsidR="00A85EB3" w:rsidRDefault="00B07D03">
            <w:pPr>
              <w:keepNext/>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Всички равнища на местни/регионални органи на властта;</w:t>
            </w:r>
          </w:p>
          <w:p w:rsidR="00A85EB3" w:rsidRDefault="00B07D03">
            <w:pPr>
              <w:keepNext/>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Администрации на защитени територии;</w:t>
            </w:r>
          </w:p>
          <w:p w:rsidR="00A85EB3" w:rsidRDefault="00B07D03">
            <w:pPr>
              <w:keepNext/>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Туристически организации и сдружения;</w:t>
            </w:r>
          </w:p>
          <w:p w:rsidR="00A85EB3" w:rsidRDefault="00B07D03">
            <w:pPr>
              <w:keepNext/>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Жители и посетители (туристи) на пограничния регион.</w:t>
            </w:r>
          </w:p>
          <w:p w:rsidR="00A85EB3" w:rsidRDefault="00B07D03">
            <w:pPr>
              <w:keepNext/>
              <w:widowControl w:val="0"/>
              <w:overflowPunct w:val="0"/>
              <w:autoSpaceDE w:val="0"/>
              <w:autoSpaceDN w:val="0"/>
              <w:adjustRightInd w:val="0"/>
              <w:spacing w:line="276" w:lineRule="auto"/>
              <w:textAlignment w:val="baseline"/>
              <w:rPr>
                <w:rFonts w:eastAsia="Times New Roman"/>
                <w:b/>
                <w:i/>
                <w:szCs w:val="24"/>
                <w:u w:val="single"/>
                <w:lang w:val="en-US" w:eastAsia="en-US"/>
              </w:rPr>
            </w:pPr>
            <w:r>
              <w:rPr>
                <w:rFonts w:eastAsia="Times New Roman"/>
                <w:b/>
                <w:i/>
                <w:szCs w:val="24"/>
                <w:u w:val="single"/>
                <w:lang w:eastAsia="en-US"/>
              </w:rPr>
              <w:t>ВЪЗМОЖНИ БЕНЕФИЦИЕНТИ:</w:t>
            </w:r>
          </w:p>
          <w:p w:rsidR="00A85EB3" w:rsidRDefault="00B07D03">
            <w:pPr>
              <w:keepNext/>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Всички равнища на регионални/местни органи на властта;</w:t>
            </w:r>
          </w:p>
          <w:p w:rsidR="00A85EB3" w:rsidRDefault="00B07D03">
            <w:pPr>
              <w:keepNext/>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Ведомства за развитие на региони и сектори;</w:t>
            </w:r>
          </w:p>
          <w:p w:rsidR="00A85EB3" w:rsidRDefault="00B07D03">
            <w:pPr>
              <w:keepNext/>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Централни и регионални/местни служби и структури на компетентни държавни институции/администрации;</w:t>
            </w:r>
          </w:p>
          <w:p w:rsidR="00A85EB3" w:rsidRDefault="00B07D03">
            <w:pPr>
              <w:keepNext/>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Публични културни институции (музеи, библиотеки, читалища и др.);</w:t>
            </w:r>
          </w:p>
          <w:p w:rsidR="00A85EB3" w:rsidRDefault="00B07D03">
            <w:pPr>
              <w:keepNext/>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Регистрирани регионални туристически сдружения;</w:t>
            </w:r>
          </w:p>
          <w:p w:rsidR="00A85EB3" w:rsidRDefault="00B07D03">
            <w:pPr>
              <w:keepNext/>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 xml:space="preserve">Институции и организации, подкрепящи бизнеса – търговско-промишлени палати, сдружения на занаяти; </w:t>
            </w:r>
          </w:p>
          <w:p w:rsidR="00A85EB3" w:rsidRDefault="00B07D03">
            <w:pPr>
              <w:keepNext/>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НПО;</w:t>
            </w:r>
          </w:p>
          <w:p w:rsidR="00A85EB3" w:rsidRDefault="00B07D03">
            <w:pPr>
              <w:keepNext/>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 xml:space="preserve"> Образователни и учебни институции и организации;</w:t>
            </w:r>
          </w:p>
          <w:p w:rsidR="00A85EB3" w:rsidRDefault="00B07D03">
            <w:pPr>
              <w:keepNext/>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Университети и научни институции;</w:t>
            </w:r>
          </w:p>
          <w:p w:rsidR="00A85EB3" w:rsidRDefault="00A85EB3">
            <w:pPr>
              <w:spacing w:line="276" w:lineRule="auto"/>
              <w:rPr>
                <w:rFonts w:eastAsia="Times New Roman"/>
                <w:b/>
                <w:szCs w:val="24"/>
                <w:lang w:val="en-US"/>
              </w:rPr>
            </w:pPr>
          </w:p>
          <w:p w:rsidR="00A85EB3" w:rsidRDefault="00EB2A11">
            <w:pPr>
              <w:spacing w:line="276" w:lineRule="auto"/>
              <w:rPr>
                <w:rFonts w:eastAsia="Times New Roman"/>
                <w:b/>
                <w:szCs w:val="24"/>
                <w:lang w:val="en-US"/>
              </w:rPr>
            </w:pPr>
            <w:r>
              <w:rPr>
                <w:rFonts w:eastAsia="Times New Roman"/>
                <w:b/>
                <w:szCs w:val="24"/>
              </w:rPr>
              <w:t>Специфична</w:t>
            </w:r>
            <w:r w:rsidR="00B07D03">
              <w:rPr>
                <w:rFonts w:eastAsia="Times New Roman"/>
                <w:b/>
                <w:szCs w:val="24"/>
              </w:rPr>
              <w:t xml:space="preserve"> цел 2.2: </w:t>
            </w:r>
            <w:r w:rsidR="00B07D03">
              <w:rPr>
                <w:b/>
                <w:szCs w:val="24"/>
                <w:lang w:eastAsia="ar-SA"/>
              </w:rPr>
              <w:t>Повишаване на потенциала за трансграничен туризъм чрез развиване на общи дестинации</w:t>
            </w:r>
          </w:p>
          <w:p w:rsidR="00A85EB3" w:rsidRDefault="00B07D03">
            <w:pPr>
              <w:keepNext/>
              <w:widowControl w:val="0"/>
              <w:tabs>
                <w:tab w:val="num" w:pos="2262"/>
              </w:tabs>
              <w:spacing w:line="276" w:lineRule="auto"/>
              <w:rPr>
                <w:rFonts w:eastAsia="Times New Roman"/>
                <w:b/>
                <w:i/>
                <w:szCs w:val="24"/>
                <w:u w:val="single"/>
                <w:lang w:val="en-US" w:eastAsia="en-US"/>
              </w:rPr>
            </w:pPr>
            <w:r>
              <w:rPr>
                <w:rFonts w:eastAsia="Times New Roman"/>
                <w:b/>
                <w:i/>
                <w:szCs w:val="24"/>
                <w:u w:val="single"/>
                <w:lang w:eastAsia="en-US"/>
              </w:rPr>
              <w:t>Меки мерки</w:t>
            </w:r>
          </w:p>
          <w:p w:rsidR="00A85EB3" w:rsidRDefault="00B07D03">
            <w:pPr>
              <w:spacing w:line="276" w:lineRule="auto"/>
              <w:ind w:left="34"/>
              <w:rPr>
                <w:rFonts w:eastAsia="Times New Roman"/>
                <w:b/>
                <w:szCs w:val="24"/>
                <w:lang w:val="en-US" w:eastAsia="en-US"/>
              </w:rPr>
            </w:pPr>
            <w:r>
              <w:rPr>
                <w:rFonts w:eastAsia="Times New Roman"/>
                <w:b/>
                <w:szCs w:val="24"/>
                <w:lang w:eastAsia="en-US"/>
              </w:rPr>
              <w:t>Стратегии/планове за действие за устойчив туризъм, маркетингови и рекламни инициативи и средства, обучение и консултантски услуги:</w:t>
            </w:r>
          </w:p>
          <w:p w:rsidR="00A85EB3" w:rsidRDefault="00B07D03">
            <w:pPr>
              <w:keepNext/>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Разработване и изпълнение на стратегии/планове за действие за общи туристически дестинации, основани на природното, културното и историческото наследство в трансграничния район</w:t>
            </w:r>
          </w:p>
          <w:p w:rsidR="00A85EB3" w:rsidRDefault="00B07D03">
            <w:pPr>
              <w:keepNext/>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Маркетинг и реклама на общи туристически дестинации, организиране на и участие в панаири и свързани с тях публични дейности (например изложби, конференции, семинари, кръгли маси, презентации, обмен на добри практики) и др.</w:t>
            </w:r>
          </w:p>
          <w:p w:rsidR="00A85EB3" w:rsidRDefault="00B07D03">
            <w:pPr>
              <w:keepNext/>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lastRenderedPageBreak/>
              <w:t>Създаване на многоезични онлайн туристически платформи и онагледяване на местните марки (триизмерно представяне, мобилни приложения, социални мрежи, платформи в интернет, разработени за индивидуални нужди) и други новаторски средства</w:t>
            </w:r>
          </w:p>
          <w:p w:rsidR="00A85EB3" w:rsidRDefault="00B07D03">
            <w:pPr>
              <w:keepNext/>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 xml:space="preserve">Услуги по обучение и консултантска помощ за туристически организации за подобряване на техните продукти, услуги и резултати и уменията на техния персонал  </w:t>
            </w:r>
          </w:p>
          <w:p w:rsidR="00A85EB3" w:rsidRDefault="00B07D03">
            <w:pPr>
              <w:keepNext/>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Разработка и реклама на алтернативни форми на туризъм, напр. „</w:t>
            </w:r>
            <w:proofErr w:type="spellStart"/>
            <w:r>
              <w:rPr>
                <w:rFonts w:eastAsia="Times New Roman"/>
                <w:szCs w:val="24"/>
                <w:lang w:eastAsia="en-US"/>
              </w:rPr>
              <w:t>гурме</w:t>
            </w:r>
            <w:proofErr w:type="spellEnd"/>
            <w:r>
              <w:rPr>
                <w:rFonts w:eastAsia="Times New Roman"/>
                <w:szCs w:val="24"/>
                <w:lang w:eastAsia="en-US"/>
              </w:rPr>
              <w:t>“, „</w:t>
            </w:r>
            <w:proofErr w:type="spellStart"/>
            <w:r>
              <w:rPr>
                <w:rFonts w:eastAsia="Times New Roman"/>
                <w:szCs w:val="24"/>
                <w:lang w:eastAsia="en-US"/>
              </w:rPr>
              <w:t>еко</w:t>
            </w:r>
            <w:proofErr w:type="spellEnd"/>
            <w:r>
              <w:rPr>
                <w:rFonts w:eastAsia="Times New Roman"/>
                <w:szCs w:val="24"/>
                <w:lang w:eastAsia="en-US"/>
              </w:rPr>
              <w:t>“, „СПА“, „селски“ и др.</w:t>
            </w:r>
          </w:p>
          <w:p w:rsidR="00A85EB3" w:rsidRDefault="00B07D03">
            <w:pPr>
              <w:keepNext/>
              <w:widowControl w:val="0"/>
              <w:overflowPunct w:val="0"/>
              <w:autoSpaceDE w:val="0"/>
              <w:autoSpaceDN w:val="0"/>
              <w:adjustRightInd w:val="0"/>
              <w:spacing w:line="276" w:lineRule="auto"/>
              <w:textAlignment w:val="baseline"/>
              <w:rPr>
                <w:rFonts w:eastAsia="Times New Roman"/>
                <w:b/>
                <w:szCs w:val="24"/>
                <w:u w:val="single"/>
                <w:lang w:val="en-US" w:eastAsia="en-US"/>
              </w:rPr>
            </w:pPr>
            <w:r>
              <w:rPr>
                <w:rFonts w:eastAsia="Times New Roman"/>
                <w:b/>
                <w:szCs w:val="24"/>
                <w:u w:val="single"/>
                <w:lang w:eastAsia="en-US"/>
              </w:rPr>
              <w:t>ЦЕЛЕВИ ГРУПИ:</w:t>
            </w:r>
          </w:p>
          <w:p w:rsidR="00A85EB3" w:rsidRDefault="00B07D03">
            <w:pPr>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Всички равнища на местни/регионални органи на властта;</w:t>
            </w:r>
          </w:p>
          <w:p w:rsidR="00A85EB3" w:rsidRDefault="00B07D03">
            <w:pPr>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Централни и регионални/местни служби и структури на компетентни държавни институции/администрации;</w:t>
            </w:r>
          </w:p>
          <w:p w:rsidR="00A85EB3" w:rsidRDefault="00B07D03">
            <w:pPr>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Администрации на защитени територии;</w:t>
            </w:r>
          </w:p>
          <w:p w:rsidR="00A85EB3" w:rsidRDefault="00B07D03">
            <w:pPr>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Регистрирани НПО в областта на туризма;</w:t>
            </w:r>
          </w:p>
          <w:p w:rsidR="00A85EB3" w:rsidRDefault="00B07D03">
            <w:pPr>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Институции и организации, подкрепящи бизнеса – търговско-промишлени палати, сдружения на занаяти и др.;</w:t>
            </w:r>
          </w:p>
          <w:p w:rsidR="00A85EB3" w:rsidRDefault="00B07D03">
            <w:pPr>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Туристически съвети и сдружения;</w:t>
            </w:r>
          </w:p>
          <w:p w:rsidR="00A85EB3" w:rsidRDefault="00B07D03">
            <w:pPr>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Младежки организации;</w:t>
            </w:r>
          </w:p>
          <w:p w:rsidR="00A85EB3" w:rsidRDefault="00B07D03">
            <w:pPr>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НПО.</w:t>
            </w:r>
          </w:p>
          <w:p w:rsidR="00A85EB3" w:rsidRDefault="00B07D03">
            <w:pPr>
              <w:keepNext/>
              <w:widowControl w:val="0"/>
              <w:overflowPunct w:val="0"/>
              <w:autoSpaceDE w:val="0"/>
              <w:autoSpaceDN w:val="0"/>
              <w:adjustRightInd w:val="0"/>
              <w:spacing w:line="276" w:lineRule="auto"/>
              <w:textAlignment w:val="baseline"/>
              <w:rPr>
                <w:rFonts w:eastAsia="Times New Roman"/>
                <w:b/>
                <w:szCs w:val="24"/>
                <w:u w:val="single"/>
                <w:lang w:val="en-US" w:eastAsia="en-US"/>
              </w:rPr>
            </w:pPr>
            <w:r>
              <w:rPr>
                <w:rFonts w:eastAsia="Times New Roman"/>
                <w:b/>
                <w:szCs w:val="24"/>
                <w:u w:val="single"/>
                <w:lang w:eastAsia="en-US"/>
              </w:rPr>
              <w:t>ВЪЗМОЖНИ БЕНЕФИЦИЕНТИ:</w:t>
            </w:r>
          </w:p>
          <w:p w:rsidR="00A85EB3" w:rsidRDefault="00B07D03">
            <w:pPr>
              <w:keepNext/>
              <w:widowControl w:val="0"/>
              <w:numPr>
                <w:ilvl w:val="0"/>
                <w:numId w:val="56"/>
              </w:numPr>
              <w:tabs>
                <w:tab w:val="num" w:pos="376"/>
                <w:tab w:val="num" w:pos="459"/>
                <w:tab w:val="num" w:pos="502"/>
              </w:tabs>
              <w:spacing w:line="276" w:lineRule="auto"/>
              <w:ind w:left="376" w:hanging="376"/>
              <w:jc w:val="left"/>
              <w:rPr>
                <w:rFonts w:eastAsia="Times New Roman"/>
                <w:szCs w:val="24"/>
                <w:lang w:val="en-US" w:eastAsia="en-US"/>
              </w:rPr>
            </w:pPr>
            <w:r>
              <w:rPr>
                <w:rFonts w:eastAsia="Times New Roman"/>
                <w:szCs w:val="24"/>
                <w:lang w:eastAsia="en-US"/>
              </w:rPr>
              <w:t>Всички равнища на регионални/местни органи на властта;</w:t>
            </w:r>
          </w:p>
          <w:p w:rsidR="00A85EB3" w:rsidRDefault="00B07D03">
            <w:pPr>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Централни и регионални/местни служби и структури на компетентни държавни институции/администрации;</w:t>
            </w:r>
          </w:p>
          <w:p w:rsidR="00A85EB3" w:rsidRDefault="00B07D03">
            <w:pPr>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Администрации на защитени територии;</w:t>
            </w:r>
          </w:p>
          <w:p w:rsidR="00A85EB3" w:rsidRDefault="00B07D03">
            <w:pPr>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Регистрирани НПО в областта на туризма;</w:t>
            </w:r>
          </w:p>
          <w:p w:rsidR="00A85EB3" w:rsidRDefault="00B07D03">
            <w:pPr>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Институции и организации, подкрепящи бизнеса – търговско-промишлени палати, сдружения на занаяти и др.;</w:t>
            </w:r>
          </w:p>
          <w:p w:rsidR="00A85EB3" w:rsidRDefault="00B07D03">
            <w:pPr>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Туристически съвети и сдружения;</w:t>
            </w:r>
          </w:p>
          <w:p w:rsidR="00A85EB3" w:rsidRDefault="00B07D03">
            <w:pPr>
              <w:widowControl w:val="0"/>
              <w:numPr>
                <w:ilvl w:val="0"/>
                <w:numId w:val="56"/>
              </w:numPr>
              <w:tabs>
                <w:tab w:val="num" w:pos="376"/>
                <w:tab w:val="num" w:pos="459"/>
                <w:tab w:val="num" w:pos="502"/>
              </w:tabs>
              <w:spacing w:line="276" w:lineRule="auto"/>
              <w:ind w:left="376" w:hanging="376"/>
              <w:rPr>
                <w:rFonts w:eastAsia="Times New Roman"/>
                <w:szCs w:val="24"/>
                <w:lang w:val="en-US" w:eastAsia="en-US"/>
              </w:rPr>
            </w:pPr>
            <w:r>
              <w:rPr>
                <w:rFonts w:eastAsia="Times New Roman"/>
                <w:szCs w:val="24"/>
                <w:lang w:eastAsia="en-US"/>
              </w:rPr>
              <w:t>Образователни и учебни институции и организации;</w:t>
            </w:r>
          </w:p>
          <w:p w:rsidR="00A85EB3" w:rsidRDefault="00B07D03">
            <w:pPr>
              <w:keepNext/>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Университети и научни институции;</w:t>
            </w:r>
          </w:p>
          <w:p w:rsidR="00A85EB3" w:rsidRDefault="00B07D03">
            <w:pPr>
              <w:keepNext/>
              <w:widowControl w:val="0"/>
              <w:numPr>
                <w:ilvl w:val="0"/>
                <w:numId w:val="56"/>
              </w:numPr>
              <w:tabs>
                <w:tab w:val="num" w:pos="376"/>
                <w:tab w:val="num" w:pos="459"/>
                <w:tab w:val="num" w:pos="502"/>
              </w:tabs>
              <w:spacing w:line="276" w:lineRule="auto"/>
              <w:ind w:left="376" w:hanging="376"/>
              <w:jc w:val="left"/>
              <w:rPr>
                <w:rFonts w:eastAsia="Times New Roman"/>
                <w:szCs w:val="24"/>
                <w:lang w:val="en-US" w:eastAsia="en-US"/>
              </w:rPr>
            </w:pPr>
            <w:r>
              <w:rPr>
                <w:rFonts w:eastAsia="Times New Roman"/>
                <w:szCs w:val="24"/>
                <w:lang w:eastAsia="en-US"/>
              </w:rPr>
              <w:t>Публични културни институции (музеи, библиотеки, читалища и др.).</w:t>
            </w:r>
          </w:p>
          <w:p w:rsidR="00A85EB3" w:rsidRDefault="00780AD3">
            <w:pPr>
              <w:widowControl w:val="0"/>
              <w:spacing w:line="276" w:lineRule="auto"/>
              <w:rPr>
                <w:rFonts w:eastAsia="Times New Roman"/>
                <w:b/>
                <w:szCs w:val="24"/>
                <w:lang w:val="en-US"/>
              </w:rPr>
            </w:pPr>
            <w:r>
              <w:rPr>
                <w:rFonts w:eastAsia="Times New Roman"/>
                <w:b/>
                <w:szCs w:val="24"/>
              </w:rPr>
              <w:t>Специфична цел</w:t>
            </w:r>
            <w:r w:rsidR="00B07D03">
              <w:rPr>
                <w:rFonts w:eastAsia="Times New Roman"/>
                <w:b/>
                <w:szCs w:val="24"/>
              </w:rPr>
              <w:t xml:space="preserve"> 2.3:</w:t>
            </w:r>
            <w:r w:rsidR="00B07D03">
              <w:rPr>
                <w:b/>
                <w:szCs w:val="24"/>
                <w:lang w:eastAsia="ar-SA"/>
              </w:rPr>
              <w:t xml:space="preserve"> Повишаване на използването на мрежи за обмен за устойчиво развитие на потенциала за туризъм</w:t>
            </w:r>
          </w:p>
          <w:p w:rsidR="00A85EB3" w:rsidRDefault="00B07D03">
            <w:pPr>
              <w:keepNext/>
              <w:widowControl w:val="0"/>
              <w:tabs>
                <w:tab w:val="num" w:pos="2262"/>
              </w:tabs>
              <w:spacing w:line="276" w:lineRule="auto"/>
              <w:rPr>
                <w:rFonts w:eastAsia="Times New Roman"/>
                <w:b/>
                <w:i/>
                <w:szCs w:val="24"/>
                <w:u w:val="single"/>
                <w:lang w:val="en-US" w:eastAsia="en-US"/>
              </w:rPr>
            </w:pPr>
            <w:r>
              <w:rPr>
                <w:rFonts w:eastAsia="Times New Roman"/>
                <w:b/>
                <w:i/>
                <w:szCs w:val="24"/>
                <w:u w:val="single"/>
                <w:lang w:eastAsia="en-US"/>
              </w:rPr>
              <w:lastRenderedPageBreak/>
              <w:t>Меки мерки:</w:t>
            </w:r>
          </w:p>
          <w:p w:rsidR="00A85EB3" w:rsidRDefault="00B07D03">
            <w:pPr>
              <w:keepNext/>
              <w:widowControl w:val="0"/>
              <w:tabs>
                <w:tab w:val="num" w:pos="2262"/>
              </w:tabs>
              <w:spacing w:line="276" w:lineRule="auto"/>
              <w:ind w:left="34"/>
              <w:rPr>
                <w:rFonts w:eastAsia="Times New Roman"/>
                <w:b/>
                <w:szCs w:val="24"/>
                <w:lang w:val="en-US" w:eastAsia="en-US"/>
              </w:rPr>
            </w:pPr>
            <w:r>
              <w:rPr>
                <w:rFonts w:eastAsia="Times New Roman"/>
                <w:b/>
                <w:szCs w:val="24"/>
                <w:lang w:eastAsia="en-US"/>
              </w:rPr>
              <w:t>Съвместни прояви за общуване в мрежи и събития за повишаване на осведомеността:</w:t>
            </w:r>
          </w:p>
          <w:p w:rsidR="00A85EB3" w:rsidRDefault="00B07D03">
            <w:pPr>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Организиране на прояви за общуване в мрежи, в т.ч. инициативи за укрепване на съществуващите и изграждане на нови партньорства в областта на устойчивия туризъм – обучения, обмен на добри практики, проучване на правната рамка в областта на туризма, онлайн форуми, конференции, семинари, кръгли маси, презентации, фестивали, изложби, изпълнения и други</w:t>
            </w:r>
          </w:p>
          <w:p w:rsidR="00A85EB3" w:rsidRDefault="00B07D03">
            <w:pPr>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 xml:space="preserve">Кампании за повишаване на осведомеността и инициативи за местно развитие във връзка със стойността на трансграничното културно, природно и историческо наследство за свързани целеви групи </w:t>
            </w:r>
          </w:p>
          <w:p w:rsidR="00A85EB3" w:rsidRDefault="00B07D03">
            <w:pPr>
              <w:keepNext/>
              <w:widowControl w:val="0"/>
              <w:overflowPunct w:val="0"/>
              <w:autoSpaceDE w:val="0"/>
              <w:autoSpaceDN w:val="0"/>
              <w:adjustRightInd w:val="0"/>
              <w:spacing w:line="276" w:lineRule="auto"/>
              <w:textAlignment w:val="baseline"/>
              <w:rPr>
                <w:rFonts w:eastAsia="Times New Roman"/>
                <w:b/>
                <w:szCs w:val="24"/>
                <w:u w:val="single"/>
                <w:lang w:val="en-US" w:eastAsia="en-US"/>
              </w:rPr>
            </w:pPr>
            <w:r>
              <w:rPr>
                <w:rFonts w:eastAsia="Times New Roman"/>
                <w:b/>
                <w:szCs w:val="24"/>
                <w:u w:val="single"/>
                <w:lang w:eastAsia="en-US"/>
              </w:rPr>
              <w:t>ЦЕЛЕВИ ГРУПИ:</w:t>
            </w:r>
          </w:p>
          <w:p w:rsidR="00A85EB3" w:rsidRDefault="00B07D03">
            <w:pPr>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Всички равнища на местни/регионални органи на властта;</w:t>
            </w:r>
          </w:p>
          <w:p w:rsidR="00A85EB3" w:rsidRDefault="00B07D03">
            <w:pPr>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Сдружения на местни/регионални органи и на други организации;</w:t>
            </w:r>
          </w:p>
          <w:p w:rsidR="00A85EB3" w:rsidRDefault="00B07D03">
            <w:pPr>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Централни и регионални/местни служби и структури на компетентни държавни институции/администрации;</w:t>
            </w:r>
          </w:p>
          <w:p w:rsidR="00A85EB3" w:rsidRDefault="00B07D03">
            <w:pPr>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Администрации на защитени територии;</w:t>
            </w:r>
          </w:p>
          <w:p w:rsidR="00A85EB3" w:rsidRDefault="00B07D03">
            <w:pPr>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Регистрирани НПО в областта на туризма;</w:t>
            </w:r>
          </w:p>
          <w:p w:rsidR="00A85EB3" w:rsidRDefault="00B07D03">
            <w:pPr>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Институции и организации, подкрепящи бизнеса – търговско-промишлени палати, сдружения на занаяти и др.;</w:t>
            </w:r>
          </w:p>
          <w:p w:rsidR="00A85EB3" w:rsidRDefault="00B07D03">
            <w:pPr>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Туристически съвети и сдружения;</w:t>
            </w:r>
          </w:p>
          <w:p w:rsidR="00A85EB3" w:rsidRDefault="00B07D03">
            <w:pPr>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Образователни и учебни институции и организации;</w:t>
            </w:r>
          </w:p>
          <w:p w:rsidR="00A85EB3" w:rsidRDefault="00B07D03">
            <w:pPr>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Организации и институции в общностите, занимаващи се с развитие на гражданското общество и/или подпомагането на образованието, културата и спорта;</w:t>
            </w:r>
          </w:p>
          <w:p w:rsidR="00A85EB3" w:rsidRDefault="00B07D03">
            <w:pPr>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Младежки организации;</w:t>
            </w:r>
          </w:p>
          <w:p w:rsidR="00A85EB3" w:rsidRDefault="00B07D03">
            <w:pPr>
              <w:widowControl w:val="0"/>
              <w:numPr>
                <w:ilvl w:val="0"/>
                <w:numId w:val="56"/>
              </w:numP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Жители и посетители (туристи) на пограничния регион.</w:t>
            </w:r>
          </w:p>
          <w:p w:rsidR="00A85EB3" w:rsidRDefault="00B07D03">
            <w:pPr>
              <w:keepNext/>
              <w:widowControl w:val="0"/>
              <w:overflowPunct w:val="0"/>
              <w:autoSpaceDE w:val="0"/>
              <w:autoSpaceDN w:val="0"/>
              <w:adjustRightInd w:val="0"/>
              <w:spacing w:line="276" w:lineRule="auto"/>
              <w:textAlignment w:val="baseline"/>
              <w:rPr>
                <w:rFonts w:eastAsia="Times New Roman"/>
                <w:b/>
                <w:szCs w:val="24"/>
                <w:u w:val="single"/>
                <w:lang w:val="en-US" w:eastAsia="en-US"/>
              </w:rPr>
            </w:pPr>
            <w:r>
              <w:rPr>
                <w:rFonts w:eastAsia="Times New Roman"/>
                <w:b/>
                <w:szCs w:val="24"/>
                <w:u w:val="single"/>
                <w:lang w:eastAsia="en-US"/>
              </w:rPr>
              <w:t>ВЪЗМОЖНИ БЕНЕФИЦИЕНТИ:</w:t>
            </w:r>
          </w:p>
          <w:p w:rsidR="00A85EB3" w:rsidRDefault="00B07D03">
            <w:pPr>
              <w:widowControl w:val="0"/>
              <w:numPr>
                <w:ilvl w:val="0"/>
                <w:numId w:val="56"/>
              </w:numPr>
              <w:pBdr>
                <w:left w:val="single" w:sz="4" w:space="4" w:color="006487"/>
              </w:pBd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Всички равнища на местни/регионални органи на властта;</w:t>
            </w:r>
          </w:p>
          <w:p w:rsidR="00A85EB3" w:rsidRDefault="00B07D03">
            <w:pPr>
              <w:widowControl w:val="0"/>
              <w:numPr>
                <w:ilvl w:val="0"/>
                <w:numId w:val="56"/>
              </w:numPr>
              <w:pBdr>
                <w:left w:val="single" w:sz="4" w:space="4" w:color="006487"/>
              </w:pBd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Централни и регионални/местни служби и структури на компетентни държавни институции/администрации;</w:t>
            </w:r>
          </w:p>
          <w:p w:rsidR="00A85EB3" w:rsidRDefault="00B07D03">
            <w:pPr>
              <w:widowControl w:val="0"/>
              <w:numPr>
                <w:ilvl w:val="0"/>
                <w:numId w:val="56"/>
              </w:numPr>
              <w:pBdr>
                <w:left w:val="single" w:sz="4" w:space="4" w:color="006487"/>
              </w:pBd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Администрации на защитени територии;</w:t>
            </w:r>
          </w:p>
          <w:p w:rsidR="00A85EB3" w:rsidRDefault="00B07D03">
            <w:pPr>
              <w:widowControl w:val="0"/>
              <w:numPr>
                <w:ilvl w:val="0"/>
                <w:numId w:val="56"/>
              </w:numPr>
              <w:pBdr>
                <w:left w:val="single" w:sz="4" w:space="4" w:color="006487"/>
              </w:pBd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 xml:space="preserve">Регистрирани НПО; </w:t>
            </w:r>
          </w:p>
          <w:p w:rsidR="00A85EB3" w:rsidRDefault="00B07D03">
            <w:pPr>
              <w:widowControl w:val="0"/>
              <w:numPr>
                <w:ilvl w:val="0"/>
                <w:numId w:val="56"/>
              </w:numPr>
              <w:pBdr>
                <w:left w:val="single" w:sz="4" w:space="4" w:color="006487"/>
              </w:pBd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Институции и организации, подкрепящи бизнеса – търговско-промишлени палати, сдружения на занаяти и др.;</w:t>
            </w:r>
          </w:p>
          <w:p w:rsidR="00A85EB3" w:rsidRDefault="00B07D03">
            <w:pPr>
              <w:widowControl w:val="0"/>
              <w:numPr>
                <w:ilvl w:val="0"/>
                <w:numId w:val="56"/>
              </w:numPr>
              <w:pBdr>
                <w:left w:val="single" w:sz="4" w:space="4" w:color="006487"/>
              </w:pBd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lastRenderedPageBreak/>
              <w:t>Туристически съвети и сдружения;</w:t>
            </w:r>
          </w:p>
          <w:p w:rsidR="00A85EB3" w:rsidRDefault="00B07D03">
            <w:pPr>
              <w:widowControl w:val="0"/>
              <w:numPr>
                <w:ilvl w:val="0"/>
                <w:numId w:val="56"/>
              </w:numPr>
              <w:pBdr>
                <w:left w:val="single" w:sz="4" w:space="4" w:color="006487"/>
              </w:pBd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Образователни и учебни институции и организации;</w:t>
            </w:r>
          </w:p>
          <w:p w:rsidR="00A85EB3" w:rsidRDefault="00B07D03">
            <w:pPr>
              <w:widowControl w:val="0"/>
              <w:numPr>
                <w:ilvl w:val="0"/>
                <w:numId w:val="56"/>
              </w:numPr>
              <w:pBdr>
                <w:left w:val="single" w:sz="4" w:space="4" w:color="006487"/>
              </w:pBd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Университети и научни организации;</w:t>
            </w:r>
          </w:p>
          <w:p w:rsidR="00780AD3" w:rsidRPr="00780AD3" w:rsidRDefault="00B07D03" w:rsidP="00780AD3">
            <w:pPr>
              <w:widowControl w:val="0"/>
              <w:numPr>
                <w:ilvl w:val="0"/>
                <w:numId w:val="56"/>
              </w:numPr>
              <w:pBdr>
                <w:left w:val="single" w:sz="4" w:space="4" w:color="006487"/>
              </w:pBdr>
              <w:tabs>
                <w:tab w:val="num" w:pos="376"/>
                <w:tab w:val="num" w:pos="459"/>
              </w:tabs>
              <w:spacing w:line="276" w:lineRule="auto"/>
              <w:ind w:left="376" w:hanging="376"/>
              <w:rPr>
                <w:rFonts w:eastAsia="Times New Roman"/>
                <w:szCs w:val="24"/>
                <w:lang w:val="en-US" w:eastAsia="en-US"/>
              </w:rPr>
            </w:pPr>
            <w:r>
              <w:rPr>
                <w:rFonts w:eastAsia="Times New Roman"/>
                <w:szCs w:val="24"/>
                <w:lang w:eastAsia="en-US"/>
              </w:rPr>
              <w:t>Организации и институции в общностите, занимаващи се с развитие на гражданското общество и/или подпомагането на образованието, културата и спорта;</w:t>
            </w:r>
          </w:p>
          <w:p w:rsidR="00A85EB3" w:rsidRPr="00780AD3" w:rsidRDefault="00B07D03" w:rsidP="00780AD3">
            <w:pPr>
              <w:widowControl w:val="0"/>
              <w:numPr>
                <w:ilvl w:val="0"/>
                <w:numId w:val="56"/>
              </w:numPr>
              <w:pBdr>
                <w:left w:val="single" w:sz="4" w:space="4" w:color="006487"/>
              </w:pBdr>
              <w:tabs>
                <w:tab w:val="num" w:pos="376"/>
                <w:tab w:val="num" w:pos="459"/>
              </w:tabs>
              <w:spacing w:line="276" w:lineRule="auto"/>
              <w:ind w:left="376" w:hanging="376"/>
              <w:rPr>
                <w:rFonts w:eastAsia="Times New Roman"/>
                <w:szCs w:val="24"/>
                <w:lang w:val="en-US" w:eastAsia="en-US"/>
              </w:rPr>
            </w:pPr>
            <w:r w:rsidRPr="00780AD3">
              <w:rPr>
                <w:rFonts w:eastAsia="Times New Roman"/>
                <w:szCs w:val="24"/>
                <w:lang w:eastAsia="en-US"/>
              </w:rPr>
              <w:t>Младежки организации.</w:t>
            </w:r>
          </w:p>
        </w:tc>
      </w:tr>
    </w:tbl>
    <w:p w:rsidR="00A85EB3" w:rsidRDefault="00A85EB3">
      <w:pPr>
        <w:keepNext/>
        <w:spacing w:after="240"/>
        <w:ind w:left="720" w:hanging="720"/>
        <w:outlineLvl w:val="2"/>
        <w:rPr>
          <w:rFonts w:eastAsia="Times New Roman"/>
          <w:b/>
          <w:i/>
          <w:lang w:val="en-US"/>
        </w:rPr>
      </w:pPr>
    </w:p>
    <w:p w:rsidR="00A85EB3" w:rsidRDefault="00B07D03">
      <w:pPr>
        <w:pStyle w:val="Heading4"/>
        <w:numPr>
          <w:ilvl w:val="0"/>
          <w:numId w:val="0"/>
        </w:numPr>
        <w:ind w:left="850" w:hanging="850"/>
        <w:rPr>
          <w:b/>
          <w:i/>
          <w:lang w:val="en-US"/>
        </w:rPr>
      </w:pPr>
      <w:r>
        <w:rPr>
          <w:b/>
          <w:i/>
        </w:rPr>
        <w:t>2.</w:t>
      </w:r>
      <w:proofErr w:type="spellStart"/>
      <w:r>
        <w:rPr>
          <w:b/>
          <w:i/>
        </w:rPr>
        <w:t>2</w:t>
      </w:r>
      <w:proofErr w:type="spellEnd"/>
      <w:r>
        <w:rPr>
          <w:b/>
          <w:i/>
        </w:rPr>
        <w:t xml:space="preserve">.5.2. Ръководни принципи за избора на дейности </w:t>
      </w:r>
    </w:p>
    <w:p w:rsidR="00A85EB3" w:rsidRDefault="00B07D03">
      <w:pPr>
        <w:rPr>
          <w:lang w:val="en-US"/>
        </w:rPr>
      </w:pPr>
      <w:r>
        <w:t>(Източник: буква(b)(iii) на чл. 8(2) от Регламент (ЕС) № 1299/2013)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6896"/>
      </w:tblGrid>
      <w:tr w:rsidR="00D4426D" w:rsidRPr="00981F6F" w:rsidTr="00A628D6">
        <w:trPr>
          <w:trHeight w:val="518"/>
        </w:trPr>
        <w:tc>
          <w:tcPr>
            <w:tcW w:w="1287" w:type="pct"/>
            <w:shd w:val="clear" w:color="auto" w:fill="auto"/>
          </w:tcPr>
          <w:p w:rsidR="00A85EB3" w:rsidRDefault="00B07D03">
            <w:pPr>
              <w:spacing w:after="240"/>
              <w:rPr>
                <w:rFonts w:eastAsia="Times New Roman"/>
                <w:i/>
                <w:color w:val="8DB3E2"/>
                <w:sz w:val="18"/>
                <w:szCs w:val="18"/>
                <w:lang w:val="en-US"/>
              </w:rPr>
            </w:pPr>
            <w:r>
              <w:rPr>
                <w:rFonts w:eastAsia="Times New Roman"/>
                <w:i/>
              </w:rPr>
              <w:t>Тематичен приоритет</w:t>
            </w:r>
          </w:p>
        </w:tc>
        <w:tc>
          <w:tcPr>
            <w:tcW w:w="3713" w:type="pct"/>
            <w:shd w:val="clear" w:color="auto" w:fill="auto"/>
          </w:tcPr>
          <w:p w:rsidR="00A85EB3" w:rsidRDefault="00B07D03">
            <w:pPr>
              <w:spacing w:after="240"/>
              <w:rPr>
                <w:rFonts w:eastAsia="Times New Roman"/>
                <w:i/>
                <w:color w:val="8DB3E2"/>
                <w:sz w:val="18"/>
                <w:szCs w:val="18"/>
                <w:lang w:val="en-US"/>
              </w:rPr>
            </w:pPr>
            <w:r>
              <w:rPr>
                <w:b/>
                <w:szCs w:val="22"/>
                <w:lang w:eastAsia="en-US"/>
              </w:rPr>
              <w:t>(d): Насърчаване на туризма и културното и природното наследство</w:t>
            </w:r>
          </w:p>
        </w:tc>
      </w:tr>
      <w:tr w:rsidR="00D4426D" w:rsidRPr="00981F6F" w:rsidTr="00A628D6">
        <w:trPr>
          <w:trHeight w:val="1088"/>
        </w:trPr>
        <w:tc>
          <w:tcPr>
            <w:tcW w:w="5000" w:type="pct"/>
            <w:gridSpan w:val="2"/>
            <w:shd w:val="clear" w:color="auto" w:fill="auto"/>
          </w:tcPr>
          <w:p w:rsidR="00A85EB3" w:rsidRDefault="00B07D03">
            <w:pPr>
              <w:spacing w:line="276" w:lineRule="auto"/>
              <w:rPr>
                <w:rFonts w:eastAsia="Times New Roman"/>
                <w:szCs w:val="24"/>
                <w:lang w:val="en-US"/>
              </w:rPr>
            </w:pPr>
            <w:r>
              <w:rPr>
                <w:szCs w:val="24"/>
              </w:rPr>
              <w:t xml:space="preserve">Изборът на дейностите ще бъде направен </w:t>
            </w:r>
            <w:r w:rsidR="004A5852">
              <w:rPr>
                <w:i/>
                <w:szCs w:val="24"/>
                <w:u w:val="single"/>
              </w:rPr>
              <w:t>на равнище „специфични</w:t>
            </w:r>
            <w:r>
              <w:rPr>
                <w:i/>
                <w:szCs w:val="24"/>
                <w:u w:val="single"/>
              </w:rPr>
              <w:t xml:space="preserve"> цели“</w:t>
            </w:r>
            <w:r>
              <w:rPr>
                <w:szCs w:val="24"/>
              </w:rPr>
              <w:t xml:space="preserve">, например потенциалните бенефициенти ще кандидатстват със заявления по проекта, като се концентрират върху една </w:t>
            </w:r>
            <w:r w:rsidR="00EB2A11">
              <w:rPr>
                <w:szCs w:val="24"/>
              </w:rPr>
              <w:t>специфична</w:t>
            </w:r>
            <w:r>
              <w:rPr>
                <w:szCs w:val="24"/>
              </w:rPr>
              <w:t xml:space="preserve"> цел (</w:t>
            </w:r>
            <w:r w:rsidR="00EB2A11">
              <w:rPr>
                <w:szCs w:val="24"/>
              </w:rPr>
              <w:t>С</w:t>
            </w:r>
            <w:r>
              <w:rPr>
                <w:szCs w:val="24"/>
              </w:rPr>
              <w:t>Ц) по Приоритетната ос. О</w:t>
            </w:r>
            <w:r>
              <w:rPr>
                <w:rFonts w:eastAsia="Times New Roman"/>
                <w:szCs w:val="24"/>
              </w:rPr>
              <w:t>перациите по Програмата за трансгранично сътрудничество се избират от СКН (Съвместен комитет за наблюдение)</w:t>
            </w:r>
            <w:r>
              <w:rPr>
                <w:rStyle w:val="FootnoteReference"/>
                <w:rFonts w:eastAsia="Times New Roman"/>
                <w:szCs w:val="24"/>
              </w:rPr>
              <w:footnoteReference w:id="8"/>
            </w:r>
            <w:r>
              <w:rPr>
                <w:rFonts w:eastAsia="Times New Roman"/>
                <w:szCs w:val="24"/>
              </w:rPr>
              <w:t xml:space="preserve">. </w:t>
            </w:r>
          </w:p>
          <w:p w:rsidR="00A85EB3" w:rsidRDefault="00B07D03">
            <w:pPr>
              <w:spacing w:line="276" w:lineRule="auto"/>
              <w:rPr>
                <w:rFonts w:eastAsia="Times New Roman"/>
                <w:szCs w:val="24"/>
                <w:lang w:val="en-US"/>
              </w:rPr>
            </w:pPr>
            <w:r>
              <w:rPr>
                <w:rFonts w:eastAsia="Times New Roman"/>
                <w:i/>
                <w:szCs w:val="24"/>
                <w:u w:val="single"/>
                <w:lang w:eastAsia="en-US"/>
              </w:rPr>
              <w:t>Изборът на операциите са ръководи от следните общи принципи:</w:t>
            </w:r>
            <w:r>
              <w:rPr>
                <w:rFonts w:eastAsia="Times New Roman"/>
                <w:szCs w:val="24"/>
                <w:lang w:eastAsia="en-US"/>
              </w:rPr>
              <w:t xml:space="preserve"> </w:t>
            </w:r>
            <w:r>
              <w:rPr>
                <w:rFonts w:eastAsia="Times New Roman"/>
                <w:i/>
                <w:szCs w:val="24"/>
                <w:u w:val="single"/>
                <w:lang w:eastAsia="en-US"/>
              </w:rPr>
              <w:t>1) Характер на ТГС</w:t>
            </w:r>
            <w:r>
              <w:rPr>
                <w:rFonts w:eastAsia="Times New Roman"/>
                <w:b/>
                <w:szCs w:val="24"/>
                <w:lang w:eastAsia="en-US"/>
              </w:rPr>
              <w:t>:</w:t>
            </w:r>
            <w:r>
              <w:rPr>
                <w:rFonts w:eastAsia="Times New Roman"/>
                <w:szCs w:val="24"/>
                <w:lang w:eastAsia="en-US"/>
              </w:rPr>
              <w:t xml:space="preserve"> участие на бенефициенти от двете участващи държави; ясно идентифициране на трансграничната полза/влияние, ако дейността се изпълнява в една държава; </w:t>
            </w:r>
            <w:r>
              <w:rPr>
                <w:rFonts w:eastAsia="Times New Roman"/>
                <w:i/>
                <w:szCs w:val="24"/>
                <w:u w:val="single"/>
                <w:lang w:eastAsia="en-US"/>
              </w:rPr>
              <w:t>2) Партньорство:</w:t>
            </w:r>
            <w:r>
              <w:rPr>
                <w:rFonts w:eastAsia="Times New Roman"/>
                <w:szCs w:val="24"/>
                <w:lang w:eastAsia="en-US"/>
              </w:rPr>
              <w:t xml:space="preserve"> ангажираните в проекта партньори са допустими съгласно правилата на програмата; ангажираните с проекта партньори имат капацитет за управление на проекта; </w:t>
            </w:r>
            <w:r>
              <w:rPr>
                <w:rFonts w:eastAsia="Times New Roman"/>
                <w:i/>
                <w:szCs w:val="24"/>
                <w:u w:val="single"/>
                <w:lang w:eastAsia="en-US"/>
              </w:rPr>
              <w:t>3) Регионално значение:</w:t>
            </w:r>
            <w:r>
              <w:rPr>
                <w:rFonts w:eastAsia="Times New Roman"/>
                <w:szCs w:val="24"/>
                <w:lang w:eastAsia="en-US"/>
              </w:rPr>
              <w:t xml:space="preserve"> дейностите съответстват на идентифицираните потребности и предизвикателства в територията на ТГС; дейностите допринасят за икономическо, териториално и социално сближаване (в съответствие със Стратегия „Европа 2020“); </w:t>
            </w:r>
            <w:r>
              <w:rPr>
                <w:rFonts w:eastAsia="Times New Roman"/>
                <w:i/>
                <w:szCs w:val="24"/>
                <w:u w:val="single"/>
                <w:lang w:eastAsia="en-US"/>
              </w:rPr>
              <w:t>4) Стратегическо значение:</w:t>
            </w:r>
            <w:r>
              <w:rPr>
                <w:rFonts w:eastAsia="Times New Roman"/>
                <w:szCs w:val="24"/>
                <w:lang w:eastAsia="en-US"/>
              </w:rPr>
              <w:t xml:space="preserve"> дейностите са в съответствие с </w:t>
            </w:r>
            <w:r w:rsidR="0009031B">
              <w:rPr>
                <w:rFonts w:eastAsia="Times New Roman"/>
                <w:szCs w:val="24"/>
                <w:lang w:eastAsia="en-US"/>
              </w:rPr>
              <w:t>специфичните</w:t>
            </w:r>
            <w:r>
              <w:rPr>
                <w:rFonts w:eastAsia="Times New Roman"/>
                <w:szCs w:val="24"/>
                <w:lang w:eastAsia="en-US"/>
              </w:rPr>
              <w:t xml:space="preserve"> цели на приоритетната ос; дейностите са пряко свързани със стратегии и концепции на регионално и национално ниво; </w:t>
            </w:r>
            <w:r>
              <w:rPr>
                <w:rFonts w:eastAsia="Times New Roman"/>
                <w:i/>
                <w:szCs w:val="24"/>
                <w:u w:val="single"/>
                <w:lang w:eastAsia="en-US"/>
              </w:rPr>
              <w:t>5) Качество на дейностите:</w:t>
            </w:r>
            <w:r>
              <w:rPr>
                <w:rFonts w:eastAsia="Times New Roman"/>
                <w:szCs w:val="24"/>
                <w:lang w:eastAsia="en-US"/>
              </w:rPr>
              <w:t xml:space="preserve"> </w:t>
            </w:r>
            <w:proofErr w:type="spellStart"/>
            <w:r>
              <w:rPr>
                <w:rFonts w:eastAsia="Times New Roman"/>
                <w:szCs w:val="24"/>
                <w:lang w:eastAsia="en-US"/>
              </w:rPr>
              <w:t>дейностите</w:t>
            </w:r>
            <w:proofErr w:type="spellEnd"/>
            <w:r>
              <w:rPr>
                <w:rFonts w:eastAsia="Times New Roman"/>
                <w:szCs w:val="24"/>
                <w:lang w:eastAsia="en-US"/>
              </w:rPr>
              <w:t xml:space="preserve">/проектите са ясни и структурирани (логика на интервенцията); разходите по дейностите са ефективни; проектите се основават на концепцията за устойчиво развитие; </w:t>
            </w:r>
            <w:r>
              <w:rPr>
                <w:rFonts w:eastAsia="Times New Roman"/>
                <w:i/>
                <w:szCs w:val="24"/>
                <w:u w:val="single"/>
                <w:lang w:eastAsia="en-US"/>
              </w:rPr>
              <w:t>6) Хоризонтални принципи: (вж. Раздел 6)</w:t>
            </w:r>
          </w:p>
          <w:p w:rsidR="00A85EB3" w:rsidRDefault="00B07D03">
            <w:pPr>
              <w:keepNext/>
              <w:widowControl w:val="0"/>
              <w:overflowPunct w:val="0"/>
              <w:autoSpaceDE w:val="0"/>
              <w:autoSpaceDN w:val="0"/>
              <w:adjustRightInd w:val="0"/>
              <w:spacing w:before="60" w:after="60" w:line="276" w:lineRule="auto"/>
              <w:textAlignment w:val="baseline"/>
              <w:rPr>
                <w:rFonts w:eastAsia="Times New Roman"/>
                <w:szCs w:val="24"/>
                <w:lang w:val="en-US" w:eastAsia="en-US"/>
              </w:rPr>
            </w:pPr>
            <w:r>
              <w:rPr>
                <w:rFonts w:eastAsia="Times New Roman"/>
                <w:i/>
                <w:szCs w:val="24"/>
                <w:u w:val="single"/>
                <w:lang w:eastAsia="en-US"/>
              </w:rPr>
              <w:t>Тази Приоритетна ос ще бъде изпълнена чрез Покани за представяне на предложения и/или стратегически проекти.</w:t>
            </w:r>
            <w:r>
              <w:rPr>
                <w:rFonts w:eastAsia="Times New Roman"/>
                <w:b/>
                <w:szCs w:val="24"/>
                <w:lang w:eastAsia="en-US"/>
              </w:rPr>
              <w:t xml:space="preserve"> </w:t>
            </w:r>
            <w:r>
              <w:rPr>
                <w:rFonts w:eastAsia="Times New Roman"/>
                <w:i/>
                <w:szCs w:val="24"/>
                <w:u w:val="single"/>
                <w:lang w:eastAsia="en-US"/>
              </w:rPr>
              <w:t>Покани за представяне на предложения:</w:t>
            </w:r>
            <w:r>
              <w:rPr>
                <w:rFonts w:eastAsia="Times New Roman"/>
                <w:szCs w:val="24"/>
                <w:lang w:eastAsia="ar-SA"/>
              </w:rPr>
              <w:t xml:space="preserve"> Поканите за представяне на предложения се отнасят до механизъм, при който процесът на подбор се </w:t>
            </w:r>
            <w:r>
              <w:rPr>
                <w:rFonts w:eastAsia="Times New Roman"/>
                <w:szCs w:val="24"/>
                <w:lang w:eastAsia="ar-SA"/>
              </w:rPr>
              <w:lastRenderedPageBreak/>
              <w:t xml:space="preserve">започва, за да се избере кандидат на конкурсна основа. До потенциалните бенефициенти се отправя покана за представяне на проектни предложения. Поканите за представяне на предложения се обявяват публично. В Указанията за заявителите и анексите се предоставя информация за типа проекти, които ще бъдат разглеждани за финансиране, и за специфичните условия, които трябва да бъдат удовлетворени за всяка Покана за представяне на предложения. Само проекти, които са в пълно съответствие с критериите за подбор и възлагане, ще бъдат финансирани по решение на СКН. </w:t>
            </w:r>
            <w:r>
              <w:rPr>
                <w:i/>
                <w:szCs w:val="24"/>
                <w:u w:val="single"/>
              </w:rPr>
              <w:t>Стратегически проекти:</w:t>
            </w:r>
            <w:r>
              <w:rPr>
                <w:szCs w:val="24"/>
              </w:rPr>
              <w:t xml:space="preserve"> По тази Приоритетна ос могат да бъдат определяни стратегически проекти за постигане на целите на Програмата и специфичните за приоритета цели. Стратегическите проекти помагат за постигане на по-голямо въздействие чрез реално и силно трансгранично въздействие и дългосрочни резултати по отношение на целите на Програмата.</w:t>
            </w:r>
            <w:r>
              <w:rPr>
                <w:rFonts w:eastAsia="Times New Roman"/>
                <w:szCs w:val="24"/>
                <w:lang w:eastAsia="en-US"/>
              </w:rPr>
              <w:t>(вж. също Раздел 5.4).</w:t>
            </w:r>
          </w:p>
          <w:p w:rsidR="00A85EB3" w:rsidRDefault="00B07D03">
            <w:pPr>
              <w:spacing w:line="276" w:lineRule="auto"/>
              <w:rPr>
                <w:rFonts w:eastAsia="Times New Roman"/>
                <w:i/>
                <w:sz w:val="18"/>
                <w:szCs w:val="18"/>
                <w:lang w:val="en-US"/>
              </w:rPr>
            </w:pPr>
            <w:r>
              <w:rPr>
                <w:rFonts w:eastAsiaTheme="minorHAnsi"/>
                <w:color w:val="000000"/>
                <w:szCs w:val="24"/>
                <w:lang w:eastAsia="en-US"/>
              </w:rPr>
              <w:t xml:space="preserve">Трябва да се осигури също ясно разграничение и взаимна </w:t>
            </w:r>
            <w:proofErr w:type="spellStart"/>
            <w:r>
              <w:rPr>
                <w:rFonts w:eastAsiaTheme="minorHAnsi"/>
                <w:color w:val="000000"/>
                <w:szCs w:val="24"/>
                <w:lang w:eastAsia="en-US"/>
              </w:rPr>
              <w:t>допълняемост</w:t>
            </w:r>
            <w:proofErr w:type="spellEnd"/>
            <w:r>
              <w:rPr>
                <w:rFonts w:eastAsiaTheme="minorHAnsi"/>
                <w:color w:val="000000"/>
                <w:szCs w:val="24"/>
                <w:lang w:eastAsia="en-US"/>
              </w:rPr>
              <w:t xml:space="preserve"> на ОП за ТГС България – Турция 2014–2020 г. и другите програми.  Това се отнася за съгласуване с: 1) други елементи на ЕТС (по-конкретно програмата за ЕТС Гърция – България); 2) други програми или фондове на ЕС (за България: ЕСИФ, ОП „Региони в растеж 2014–2020 г.“, ОП „Програма за развитие на селските райони 2014–2020 г.“; за Турция: ОП „Регионално развитие 2014–2020 г.“) и 3) други програми/проекти с национално/регионално финансиране от всяка страна-партньор. В това отношение трябва да стане възможно и да се поддържа в основни линии функционално сътрудничество по всички горепосочени програми на всеки етап на управление на програмния цикъл (УПЦ). Ще бъде създаден координационен механизъм, за да се откриват и избягват евентуални припокривания, както и за да се подпомага съгласуването между взаимно допълващите се програми, които се осъществяват през периода 2014–2020 г. (вж. Раздел 5.4).</w:t>
            </w:r>
          </w:p>
        </w:tc>
      </w:tr>
    </w:tbl>
    <w:p w:rsidR="00A85EB3" w:rsidRDefault="00A85EB3">
      <w:pPr>
        <w:rPr>
          <w:rStyle w:val="Heading4Char"/>
          <w:rFonts w:eastAsia="Calibri"/>
          <w:b/>
          <w:i/>
        </w:rPr>
      </w:pPr>
    </w:p>
    <w:p w:rsidR="00A85EB3" w:rsidRDefault="00B07D03">
      <w:pPr>
        <w:rPr>
          <w:lang w:val="en-US"/>
        </w:rPr>
      </w:pPr>
      <w:r>
        <w:rPr>
          <w:rStyle w:val="Heading4Char"/>
          <w:rFonts w:eastAsia="Calibri"/>
          <w:b/>
          <w:i/>
        </w:rPr>
        <w:t>2.</w:t>
      </w:r>
      <w:proofErr w:type="spellStart"/>
      <w:r>
        <w:rPr>
          <w:rStyle w:val="Heading4Char"/>
          <w:rFonts w:eastAsia="Calibri"/>
          <w:b/>
          <w:i/>
        </w:rPr>
        <w:t>2</w:t>
      </w:r>
      <w:proofErr w:type="spellEnd"/>
      <w:r>
        <w:rPr>
          <w:rStyle w:val="Heading4Char"/>
          <w:rFonts w:eastAsia="Calibri"/>
          <w:b/>
          <w:i/>
        </w:rPr>
        <w:t xml:space="preserve">.5.3. Планирано използване на финансови инструменти </w:t>
      </w:r>
      <w:r>
        <w:t xml:space="preserve">(ако е уместно) </w:t>
      </w:r>
    </w:p>
    <w:p w:rsidR="00A85EB3" w:rsidRDefault="00B07D03">
      <w:pPr>
        <w:rPr>
          <w:lang w:val="en-US"/>
        </w:rPr>
      </w:pPr>
      <w:r>
        <w:t>(Източник: буква(b)(iii) на чл. 8(2) от Регламент (ЕС) № 1299/2013)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9"/>
        <w:gridCol w:w="4647"/>
      </w:tblGrid>
      <w:tr w:rsidR="00D4426D" w:rsidRPr="00981F6F" w:rsidTr="00A628D6">
        <w:trPr>
          <w:trHeight w:val="518"/>
        </w:trPr>
        <w:tc>
          <w:tcPr>
            <w:tcW w:w="2498" w:type="pct"/>
            <w:shd w:val="clear" w:color="auto" w:fill="auto"/>
          </w:tcPr>
          <w:p w:rsidR="00A85EB3" w:rsidRDefault="00B07D03">
            <w:pPr>
              <w:spacing w:after="240"/>
              <w:rPr>
                <w:rFonts w:eastAsia="Times New Roman"/>
                <w:i/>
                <w:color w:val="8DB3E2"/>
                <w:sz w:val="18"/>
                <w:szCs w:val="18"/>
                <w:lang w:val="en-US"/>
              </w:rPr>
            </w:pPr>
            <w:r>
              <w:rPr>
                <w:rFonts w:eastAsia="Times New Roman"/>
                <w:i/>
              </w:rPr>
              <w:t>Тематичен приоритет</w:t>
            </w:r>
          </w:p>
        </w:tc>
        <w:tc>
          <w:tcPr>
            <w:tcW w:w="2502" w:type="pct"/>
            <w:shd w:val="clear" w:color="auto" w:fill="auto"/>
          </w:tcPr>
          <w:p w:rsidR="00A85EB3" w:rsidRDefault="00B07D03">
            <w:pPr>
              <w:spacing w:after="240"/>
              <w:jc w:val="center"/>
              <w:rPr>
                <w:rFonts w:eastAsia="Times New Roman"/>
                <w:b/>
                <w:i/>
                <w:szCs w:val="24"/>
                <w:lang w:val="en-US"/>
              </w:rPr>
            </w:pPr>
            <w:r>
              <w:rPr>
                <w:rFonts w:eastAsia="Times New Roman"/>
                <w:b/>
                <w:i/>
                <w:szCs w:val="24"/>
              </w:rPr>
              <w:t>н/п</w:t>
            </w:r>
          </w:p>
        </w:tc>
      </w:tr>
      <w:tr w:rsidR="00D4426D" w:rsidRPr="00981F6F" w:rsidTr="00A628D6">
        <w:tc>
          <w:tcPr>
            <w:tcW w:w="2498" w:type="pct"/>
            <w:shd w:val="clear" w:color="auto" w:fill="auto"/>
          </w:tcPr>
          <w:p w:rsidR="00A85EB3" w:rsidRDefault="00B07D03">
            <w:pPr>
              <w:spacing w:after="240"/>
              <w:rPr>
                <w:rFonts w:eastAsia="Times New Roman"/>
                <w:i/>
                <w:color w:val="8DB3E2"/>
                <w:sz w:val="18"/>
                <w:szCs w:val="18"/>
                <w:lang w:val="en-US"/>
              </w:rPr>
            </w:pPr>
            <w:r>
              <w:rPr>
                <w:rFonts w:eastAsia="Times New Roman"/>
                <w:i/>
              </w:rPr>
              <w:t>Планирано използване на финансови инструменти</w:t>
            </w:r>
          </w:p>
        </w:tc>
        <w:tc>
          <w:tcPr>
            <w:tcW w:w="2502" w:type="pct"/>
            <w:shd w:val="clear" w:color="auto" w:fill="auto"/>
          </w:tcPr>
          <w:p w:rsidR="00A85EB3" w:rsidRDefault="00B07D03">
            <w:pPr>
              <w:spacing w:after="240"/>
              <w:jc w:val="center"/>
              <w:rPr>
                <w:rFonts w:eastAsia="Times New Roman"/>
                <w:b/>
                <w:i/>
                <w:szCs w:val="24"/>
                <w:lang w:val="en-US"/>
              </w:rPr>
            </w:pPr>
            <w:r>
              <w:rPr>
                <w:rFonts w:eastAsia="Times New Roman"/>
                <w:b/>
                <w:i/>
                <w:szCs w:val="24"/>
              </w:rPr>
              <w:t>н/п</w:t>
            </w:r>
          </w:p>
        </w:tc>
      </w:tr>
    </w:tbl>
    <w:p w:rsidR="00A85EB3" w:rsidRDefault="00A85EB3">
      <w:pPr>
        <w:keepNext/>
        <w:spacing w:after="240"/>
        <w:ind w:left="851" w:hanging="851"/>
        <w:outlineLvl w:val="2"/>
        <w:rPr>
          <w:rFonts w:eastAsia="Times New Roman"/>
          <w:b/>
          <w:i/>
          <w:lang w:val="en-US"/>
        </w:rPr>
      </w:pPr>
    </w:p>
    <w:p w:rsidR="00A85EB3" w:rsidRDefault="00A85EB3">
      <w:pPr>
        <w:tabs>
          <w:tab w:val="left" w:pos="720"/>
        </w:tabs>
        <w:rPr>
          <w:rFonts w:eastAsia="Times New Roman"/>
          <w:b/>
          <w:lang w:val="en-US"/>
        </w:rPr>
        <w:sectPr w:rsidR="00A85EB3" w:rsidSect="006A4BDD">
          <w:headerReference w:type="default" r:id="rId35"/>
          <w:footerReference w:type="default" r:id="rId36"/>
          <w:headerReference w:type="first" r:id="rId37"/>
          <w:footerReference w:type="first" r:id="rId38"/>
          <w:pgSz w:w="11906" w:h="16838"/>
          <w:pgMar w:top="1021" w:right="1418" w:bottom="1021" w:left="1418" w:header="601" w:footer="1077" w:gutter="0"/>
          <w:cols w:space="720"/>
          <w:docGrid w:linePitch="326"/>
        </w:sectPr>
      </w:pPr>
    </w:p>
    <w:p w:rsidR="00A85EB3" w:rsidRDefault="00B07D03">
      <w:pPr>
        <w:pStyle w:val="Heading3"/>
        <w:numPr>
          <w:ilvl w:val="0"/>
          <w:numId w:val="0"/>
        </w:numPr>
        <w:ind w:left="850" w:hanging="850"/>
        <w:rPr>
          <w:b/>
          <w:i w:val="0"/>
          <w:lang w:val="en-US"/>
        </w:rPr>
      </w:pPr>
      <w:bookmarkStart w:id="59" w:name="_Toc408234905"/>
      <w:r>
        <w:rPr>
          <w:b/>
          <w:i w:val="0"/>
        </w:rPr>
        <w:lastRenderedPageBreak/>
        <w:t>2.</w:t>
      </w:r>
      <w:proofErr w:type="spellStart"/>
      <w:r>
        <w:rPr>
          <w:b/>
          <w:i w:val="0"/>
        </w:rPr>
        <w:t>2</w:t>
      </w:r>
      <w:proofErr w:type="spellEnd"/>
      <w:r>
        <w:rPr>
          <w:b/>
          <w:i w:val="0"/>
        </w:rPr>
        <w:t>.6 Общи показатели и показатели за конкретната програма</w:t>
      </w:r>
      <w:bookmarkEnd w:id="59"/>
      <w:r>
        <w:rPr>
          <w:b/>
          <w:i w:val="0"/>
        </w:rPr>
        <w:t xml:space="preserve"> </w:t>
      </w:r>
    </w:p>
    <w:p w:rsidR="00A85EB3" w:rsidRDefault="00B07D03">
      <w:pPr>
        <w:rPr>
          <w:lang w:val="en-US"/>
        </w:rPr>
      </w:pPr>
      <w:r>
        <w:t>(Източник: букви (b) (ii) и (b) (iv) на чл. 8(2) от Регламент (ЕС) № 1299/2013 и чл. 2(</w:t>
      </w:r>
      <w:proofErr w:type="spellStart"/>
      <w:r>
        <w:t>2</w:t>
      </w:r>
      <w:proofErr w:type="spellEnd"/>
      <w:r>
        <w:t>) от Регламента за изпълнение ИПП II)</w:t>
      </w:r>
    </w:p>
    <w:p w:rsidR="00A85EB3" w:rsidRDefault="00B07D03">
      <w:pPr>
        <w:pStyle w:val="Heading4"/>
        <w:rPr>
          <w:b/>
          <w:i/>
          <w:lang w:val="en-US"/>
        </w:rPr>
      </w:pPr>
      <w:r>
        <w:rPr>
          <w:b/>
          <w:i/>
        </w:rPr>
        <w:t>2.</w:t>
      </w:r>
      <w:proofErr w:type="spellStart"/>
      <w:r>
        <w:rPr>
          <w:b/>
          <w:i/>
        </w:rPr>
        <w:t>2</w:t>
      </w:r>
      <w:proofErr w:type="spellEnd"/>
      <w:r>
        <w:rPr>
          <w:b/>
          <w:i/>
        </w:rPr>
        <w:t>.6.1 Показатели за резултатите за приоритетната ос (специфични за програмата)</w:t>
      </w:r>
    </w:p>
    <w:p w:rsidR="00A85EB3" w:rsidRDefault="00B07D03">
      <w:pPr>
        <w:rPr>
          <w:lang w:val="en-US"/>
        </w:rPr>
      </w:pPr>
      <w:r>
        <w:rPr>
          <w:b/>
        </w:rPr>
        <w:t xml:space="preserve">Таблица 3: Показатели за резултатите за конкретната програма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
        <w:gridCol w:w="2891"/>
        <w:gridCol w:w="953"/>
        <w:gridCol w:w="1583"/>
        <w:gridCol w:w="1583"/>
        <w:gridCol w:w="1405"/>
        <w:gridCol w:w="4063"/>
        <w:gridCol w:w="1040"/>
      </w:tblGrid>
      <w:tr w:rsidR="003A6822" w:rsidRPr="00981F6F" w:rsidTr="003A6822">
        <w:trPr>
          <w:trHeight w:val="1239"/>
        </w:trPr>
        <w:tc>
          <w:tcPr>
            <w:tcW w:w="448" w:type="pct"/>
            <w:tcBorders>
              <w:top w:val="single" w:sz="4" w:space="0" w:color="auto"/>
              <w:left w:val="single" w:sz="4" w:space="0" w:color="auto"/>
              <w:bottom w:val="single" w:sz="4" w:space="0" w:color="auto"/>
              <w:right w:val="single" w:sz="4" w:space="0" w:color="auto"/>
            </w:tcBorders>
          </w:tcPr>
          <w:p w:rsidR="00A85EB3" w:rsidRDefault="00B07D03">
            <w:pPr>
              <w:tabs>
                <w:tab w:val="left" w:pos="720"/>
              </w:tabs>
              <w:jc w:val="center"/>
              <w:rPr>
                <w:rFonts w:eastAsia="Times New Roman"/>
                <w:b/>
                <w:sz w:val="18"/>
                <w:szCs w:val="18"/>
                <w:lang w:val="en-US"/>
              </w:rPr>
            </w:pPr>
            <w:r>
              <w:rPr>
                <w:rFonts w:eastAsia="Times New Roman"/>
                <w:b/>
                <w:sz w:val="18"/>
                <w:szCs w:val="18"/>
              </w:rPr>
              <w:t>№</w:t>
            </w:r>
          </w:p>
        </w:tc>
        <w:tc>
          <w:tcPr>
            <w:tcW w:w="973" w:type="pct"/>
            <w:tcBorders>
              <w:top w:val="single" w:sz="4" w:space="0" w:color="auto"/>
              <w:left w:val="single" w:sz="4" w:space="0" w:color="auto"/>
              <w:bottom w:val="single" w:sz="4" w:space="0" w:color="auto"/>
              <w:right w:val="single" w:sz="4" w:space="0" w:color="auto"/>
            </w:tcBorders>
            <w:hideMark/>
          </w:tcPr>
          <w:p w:rsidR="00A85EB3" w:rsidRDefault="00B07D03">
            <w:pPr>
              <w:tabs>
                <w:tab w:val="left" w:pos="720"/>
              </w:tabs>
              <w:jc w:val="center"/>
              <w:rPr>
                <w:rFonts w:eastAsia="Times New Roman"/>
                <w:b/>
                <w:sz w:val="18"/>
                <w:szCs w:val="18"/>
                <w:lang w:val="en-US"/>
              </w:rPr>
            </w:pPr>
            <w:r>
              <w:rPr>
                <w:rFonts w:eastAsia="Times New Roman"/>
                <w:b/>
                <w:sz w:val="18"/>
                <w:szCs w:val="18"/>
              </w:rPr>
              <w:t>Показател</w:t>
            </w:r>
          </w:p>
        </w:tc>
        <w:tc>
          <w:tcPr>
            <w:tcW w:w="321" w:type="pct"/>
            <w:tcBorders>
              <w:top w:val="single" w:sz="4" w:space="0" w:color="auto"/>
              <w:left w:val="single" w:sz="4" w:space="0" w:color="auto"/>
              <w:bottom w:val="single" w:sz="4" w:space="0" w:color="auto"/>
              <w:right w:val="single" w:sz="4" w:space="0" w:color="auto"/>
            </w:tcBorders>
            <w:hideMark/>
          </w:tcPr>
          <w:p w:rsidR="00A85EB3" w:rsidRDefault="00B07D03">
            <w:pPr>
              <w:snapToGrid w:val="0"/>
              <w:jc w:val="center"/>
              <w:rPr>
                <w:rFonts w:eastAsia="Times New Roman"/>
                <w:b/>
                <w:sz w:val="18"/>
                <w:szCs w:val="18"/>
                <w:lang w:val="en-US"/>
              </w:rPr>
            </w:pPr>
            <w:r>
              <w:rPr>
                <w:rFonts w:eastAsia="Times New Roman"/>
                <w:b/>
                <w:sz w:val="18"/>
                <w:szCs w:val="18"/>
              </w:rPr>
              <w:t>Мерна единица</w:t>
            </w:r>
          </w:p>
        </w:tc>
        <w:tc>
          <w:tcPr>
            <w:tcW w:w="533" w:type="pct"/>
            <w:tcBorders>
              <w:top w:val="single" w:sz="4" w:space="0" w:color="auto"/>
              <w:left w:val="single" w:sz="4" w:space="0" w:color="auto"/>
              <w:bottom w:val="single" w:sz="4" w:space="0" w:color="auto"/>
              <w:right w:val="single" w:sz="4" w:space="0" w:color="auto"/>
            </w:tcBorders>
            <w:hideMark/>
          </w:tcPr>
          <w:p w:rsidR="00A85EB3" w:rsidRDefault="00B07D03">
            <w:pPr>
              <w:tabs>
                <w:tab w:val="left" w:pos="720"/>
              </w:tabs>
              <w:jc w:val="center"/>
              <w:rPr>
                <w:rFonts w:eastAsia="Times New Roman"/>
                <w:b/>
                <w:sz w:val="18"/>
                <w:szCs w:val="18"/>
                <w:lang w:val="en-US"/>
              </w:rPr>
            </w:pPr>
            <w:r>
              <w:rPr>
                <w:rFonts w:eastAsia="Times New Roman"/>
                <w:b/>
                <w:sz w:val="18"/>
                <w:szCs w:val="18"/>
              </w:rPr>
              <w:t>Съществуващо състояние</w:t>
            </w:r>
          </w:p>
          <w:p w:rsidR="00A85EB3" w:rsidRDefault="00B07D03">
            <w:pPr>
              <w:tabs>
                <w:tab w:val="left" w:pos="720"/>
              </w:tabs>
              <w:jc w:val="center"/>
              <w:rPr>
                <w:rFonts w:eastAsia="Times New Roman"/>
                <w:b/>
                <w:sz w:val="18"/>
                <w:szCs w:val="18"/>
                <w:lang w:val="en-US"/>
              </w:rPr>
            </w:pPr>
            <w:r>
              <w:rPr>
                <w:rFonts w:eastAsia="Times New Roman"/>
                <w:b/>
                <w:sz w:val="18"/>
                <w:szCs w:val="18"/>
              </w:rPr>
              <w:t>стойност</w:t>
            </w:r>
          </w:p>
        </w:tc>
        <w:tc>
          <w:tcPr>
            <w:tcW w:w="533" w:type="pct"/>
            <w:tcBorders>
              <w:top w:val="single" w:sz="4" w:space="0" w:color="auto"/>
              <w:left w:val="single" w:sz="4" w:space="0" w:color="auto"/>
              <w:bottom w:val="single" w:sz="4" w:space="0" w:color="auto"/>
              <w:right w:val="single" w:sz="4" w:space="0" w:color="auto"/>
            </w:tcBorders>
            <w:hideMark/>
          </w:tcPr>
          <w:p w:rsidR="00A85EB3" w:rsidRDefault="00B07D03">
            <w:pPr>
              <w:snapToGrid w:val="0"/>
              <w:jc w:val="center"/>
              <w:rPr>
                <w:rFonts w:eastAsia="Times New Roman"/>
                <w:b/>
                <w:sz w:val="18"/>
                <w:szCs w:val="18"/>
                <w:lang w:val="en-US"/>
              </w:rPr>
            </w:pPr>
            <w:r>
              <w:rPr>
                <w:rFonts w:eastAsia="Times New Roman"/>
                <w:b/>
                <w:sz w:val="18"/>
                <w:szCs w:val="18"/>
              </w:rPr>
              <w:t>Съществуващо състояние</w:t>
            </w:r>
          </w:p>
          <w:p w:rsidR="00A85EB3" w:rsidRDefault="00B07D03">
            <w:pPr>
              <w:snapToGrid w:val="0"/>
              <w:jc w:val="center"/>
              <w:rPr>
                <w:rFonts w:eastAsia="Times New Roman"/>
                <w:b/>
                <w:sz w:val="18"/>
                <w:szCs w:val="18"/>
                <w:lang w:val="en-US"/>
              </w:rPr>
            </w:pPr>
            <w:r>
              <w:rPr>
                <w:rFonts w:eastAsia="Times New Roman"/>
                <w:b/>
                <w:sz w:val="18"/>
                <w:szCs w:val="18"/>
              </w:rPr>
              <w:t>Година</w:t>
            </w:r>
          </w:p>
        </w:tc>
        <w:tc>
          <w:tcPr>
            <w:tcW w:w="473" w:type="pct"/>
            <w:tcBorders>
              <w:top w:val="single" w:sz="4" w:space="0" w:color="auto"/>
              <w:left w:val="single" w:sz="4" w:space="0" w:color="auto"/>
              <w:bottom w:val="single" w:sz="4" w:space="0" w:color="auto"/>
              <w:right w:val="single" w:sz="4" w:space="0" w:color="auto"/>
            </w:tcBorders>
            <w:hideMark/>
          </w:tcPr>
          <w:p w:rsidR="00A85EB3" w:rsidRDefault="00B07D03">
            <w:pPr>
              <w:tabs>
                <w:tab w:val="left" w:pos="720"/>
              </w:tabs>
              <w:jc w:val="center"/>
              <w:rPr>
                <w:rFonts w:eastAsia="Times New Roman"/>
                <w:b/>
                <w:sz w:val="18"/>
                <w:szCs w:val="18"/>
                <w:lang w:val="en-US"/>
              </w:rPr>
            </w:pPr>
            <w:r>
              <w:rPr>
                <w:rFonts w:eastAsia="Times New Roman"/>
                <w:b/>
                <w:sz w:val="18"/>
                <w:szCs w:val="18"/>
              </w:rPr>
              <w:t>Цел</w:t>
            </w:r>
          </w:p>
          <w:p w:rsidR="00A85EB3" w:rsidRDefault="00B07D03">
            <w:pPr>
              <w:tabs>
                <w:tab w:val="left" w:pos="720"/>
              </w:tabs>
              <w:jc w:val="center"/>
              <w:rPr>
                <w:rFonts w:eastAsia="Times New Roman"/>
                <w:b/>
                <w:sz w:val="18"/>
                <w:szCs w:val="18"/>
                <w:lang w:val="en-US"/>
              </w:rPr>
            </w:pPr>
            <w:r>
              <w:rPr>
                <w:rFonts w:eastAsia="Times New Roman"/>
                <w:b/>
                <w:sz w:val="18"/>
                <w:szCs w:val="18"/>
              </w:rPr>
              <w:t>стойност (2023 г.)</w:t>
            </w:r>
            <w:r>
              <w:rPr>
                <w:rStyle w:val="FootnoteReference"/>
                <w:rFonts w:eastAsia="Times New Roman"/>
                <w:b/>
                <w:sz w:val="18"/>
                <w:szCs w:val="18"/>
              </w:rPr>
              <w:footnoteReference w:id="9"/>
            </w:r>
          </w:p>
        </w:tc>
        <w:tc>
          <w:tcPr>
            <w:tcW w:w="1368" w:type="pct"/>
            <w:tcBorders>
              <w:top w:val="single" w:sz="4" w:space="0" w:color="auto"/>
              <w:left w:val="single" w:sz="4" w:space="0" w:color="auto"/>
              <w:bottom w:val="single" w:sz="4" w:space="0" w:color="auto"/>
              <w:right w:val="single" w:sz="4" w:space="0" w:color="auto"/>
            </w:tcBorders>
            <w:hideMark/>
          </w:tcPr>
          <w:p w:rsidR="00A85EB3" w:rsidRDefault="00B07D03">
            <w:pPr>
              <w:tabs>
                <w:tab w:val="left" w:pos="720"/>
              </w:tabs>
              <w:jc w:val="center"/>
              <w:rPr>
                <w:rFonts w:eastAsia="Times New Roman"/>
                <w:b/>
                <w:sz w:val="18"/>
                <w:szCs w:val="18"/>
                <w:lang w:val="en-US"/>
              </w:rPr>
            </w:pPr>
            <w:r>
              <w:rPr>
                <w:rFonts w:eastAsia="Times New Roman"/>
                <w:b/>
                <w:sz w:val="18"/>
                <w:szCs w:val="18"/>
              </w:rPr>
              <w:t>Източник на данни</w:t>
            </w:r>
          </w:p>
        </w:tc>
        <w:tc>
          <w:tcPr>
            <w:tcW w:w="350" w:type="pct"/>
            <w:tcBorders>
              <w:top w:val="single" w:sz="4" w:space="0" w:color="auto"/>
              <w:left w:val="single" w:sz="4" w:space="0" w:color="auto"/>
              <w:bottom w:val="single" w:sz="4" w:space="0" w:color="auto"/>
              <w:right w:val="single" w:sz="4" w:space="0" w:color="auto"/>
            </w:tcBorders>
          </w:tcPr>
          <w:p w:rsidR="00A85EB3" w:rsidRDefault="00B07D03">
            <w:pPr>
              <w:tabs>
                <w:tab w:val="left" w:pos="720"/>
              </w:tabs>
              <w:jc w:val="center"/>
              <w:rPr>
                <w:rFonts w:eastAsia="Times New Roman"/>
                <w:b/>
                <w:sz w:val="18"/>
                <w:szCs w:val="18"/>
                <w:lang w:val="en-US"/>
              </w:rPr>
            </w:pPr>
            <w:r>
              <w:rPr>
                <w:rFonts w:eastAsia="Times New Roman"/>
                <w:b/>
                <w:sz w:val="18"/>
                <w:szCs w:val="18"/>
              </w:rPr>
              <w:t>Честота на отчитане</w:t>
            </w:r>
          </w:p>
        </w:tc>
      </w:tr>
      <w:tr w:rsidR="003A6822" w:rsidRPr="00981F6F" w:rsidTr="003A6822">
        <w:trPr>
          <w:trHeight w:val="870"/>
        </w:trPr>
        <w:tc>
          <w:tcPr>
            <w:tcW w:w="448" w:type="pct"/>
            <w:tcBorders>
              <w:top w:val="single" w:sz="4" w:space="0" w:color="auto"/>
              <w:left w:val="single" w:sz="4" w:space="0" w:color="auto"/>
              <w:bottom w:val="single" w:sz="4" w:space="0" w:color="auto"/>
              <w:right w:val="single" w:sz="4" w:space="0" w:color="auto"/>
            </w:tcBorders>
          </w:tcPr>
          <w:p w:rsidR="00A85EB3" w:rsidRDefault="00A85EB3">
            <w:pPr>
              <w:tabs>
                <w:tab w:val="left" w:pos="720"/>
              </w:tabs>
              <w:spacing w:before="0" w:after="0"/>
              <w:jc w:val="center"/>
              <w:rPr>
                <w:b/>
                <w:sz w:val="18"/>
                <w:szCs w:val="18"/>
                <w:lang w:val="en-US" w:eastAsia="en-US"/>
              </w:rPr>
            </w:pPr>
          </w:p>
          <w:p w:rsidR="00A85EB3" w:rsidRDefault="00B07D03">
            <w:pPr>
              <w:tabs>
                <w:tab w:val="left" w:pos="720"/>
              </w:tabs>
              <w:spacing w:before="0" w:after="0"/>
              <w:jc w:val="center"/>
              <w:rPr>
                <w:rFonts w:eastAsia="Times New Roman"/>
                <w:b/>
                <w:sz w:val="18"/>
                <w:szCs w:val="18"/>
                <w:lang w:val="en-US"/>
              </w:rPr>
            </w:pPr>
            <w:r>
              <w:rPr>
                <w:b/>
                <w:sz w:val="18"/>
                <w:szCs w:val="18"/>
                <w:lang w:eastAsia="en-US"/>
              </w:rPr>
              <w:t>ПР 2.1</w:t>
            </w:r>
          </w:p>
        </w:tc>
        <w:tc>
          <w:tcPr>
            <w:tcW w:w="973" w:type="pct"/>
            <w:tcBorders>
              <w:top w:val="single" w:sz="4" w:space="0" w:color="auto"/>
              <w:left w:val="single" w:sz="4" w:space="0" w:color="auto"/>
              <w:bottom w:val="single" w:sz="4" w:space="0" w:color="auto"/>
              <w:right w:val="single" w:sz="4" w:space="0" w:color="auto"/>
            </w:tcBorders>
          </w:tcPr>
          <w:p w:rsidR="00A85EB3" w:rsidRDefault="00A85EB3">
            <w:pPr>
              <w:pStyle w:val="Tekstkader"/>
              <w:widowControl w:val="0"/>
              <w:pBdr>
                <w:left w:val="none" w:sz="0" w:space="0" w:color="auto"/>
              </w:pBdr>
              <w:tabs>
                <w:tab w:val="num" w:pos="459"/>
              </w:tabs>
              <w:suppressAutoHyphens w:val="0"/>
              <w:overflowPunct/>
              <w:autoSpaceDE/>
              <w:autoSpaceDN/>
              <w:adjustRightInd/>
              <w:spacing w:line="240" w:lineRule="auto"/>
              <w:ind w:left="0"/>
              <w:textAlignment w:val="auto"/>
              <w:rPr>
                <w:rFonts w:ascii="Times New Roman" w:hAnsi="Times New Roman"/>
                <w:color w:val="auto"/>
                <w:sz w:val="18"/>
                <w:szCs w:val="18"/>
                <w:lang w:val="en-US" w:eastAsia="en-US"/>
              </w:rPr>
            </w:pPr>
          </w:p>
          <w:p w:rsidR="00A85EB3" w:rsidRDefault="00B07D03">
            <w:pPr>
              <w:pStyle w:val="Tekstkader"/>
              <w:widowControl w:val="0"/>
              <w:pBdr>
                <w:left w:val="none" w:sz="0" w:space="0" w:color="auto"/>
              </w:pBdr>
              <w:tabs>
                <w:tab w:val="num" w:pos="459"/>
              </w:tabs>
              <w:suppressAutoHyphens w:val="0"/>
              <w:overflowPunct/>
              <w:autoSpaceDE/>
              <w:autoSpaceDN/>
              <w:adjustRightInd/>
              <w:spacing w:line="240" w:lineRule="auto"/>
              <w:ind w:left="0"/>
              <w:textAlignment w:val="auto"/>
              <w:rPr>
                <w:rFonts w:ascii="Times New Roman" w:hAnsi="Times New Roman"/>
                <w:color w:val="auto"/>
                <w:sz w:val="18"/>
                <w:szCs w:val="18"/>
                <w:lang w:val="en-US" w:eastAsia="en-US"/>
              </w:rPr>
            </w:pPr>
            <w:r>
              <w:rPr>
                <w:rFonts w:ascii="Times New Roman" w:hAnsi="Times New Roman"/>
                <w:color w:val="auto"/>
                <w:sz w:val="18"/>
                <w:szCs w:val="18"/>
                <w:lang w:eastAsia="en-US"/>
              </w:rPr>
              <w:t>Повишаване на броя на нощувките в трансграничния район</w:t>
            </w:r>
          </w:p>
          <w:p w:rsidR="00A85EB3" w:rsidRDefault="00B07D03" w:rsidP="003A6822">
            <w:pPr>
              <w:tabs>
                <w:tab w:val="left" w:pos="720"/>
              </w:tabs>
              <w:spacing w:before="0" w:after="0"/>
              <w:rPr>
                <w:rFonts w:eastAsia="Times New Roman"/>
                <w:b/>
                <w:sz w:val="18"/>
                <w:szCs w:val="18"/>
                <w:lang w:val="en-US"/>
              </w:rPr>
            </w:pPr>
            <w:r>
              <w:rPr>
                <w:i/>
                <w:sz w:val="18"/>
                <w:szCs w:val="18"/>
              </w:rPr>
              <w:t>(количествена цел)</w:t>
            </w:r>
          </w:p>
        </w:tc>
        <w:tc>
          <w:tcPr>
            <w:tcW w:w="321" w:type="pct"/>
            <w:tcBorders>
              <w:top w:val="single" w:sz="4" w:space="0" w:color="auto"/>
              <w:left w:val="single" w:sz="4" w:space="0" w:color="auto"/>
              <w:bottom w:val="single" w:sz="4" w:space="0" w:color="auto"/>
              <w:right w:val="single" w:sz="4" w:space="0" w:color="auto"/>
            </w:tcBorders>
          </w:tcPr>
          <w:p w:rsidR="00A85EB3" w:rsidRDefault="00A85EB3">
            <w:pPr>
              <w:snapToGrid w:val="0"/>
              <w:spacing w:before="0" w:after="0"/>
              <w:jc w:val="center"/>
              <w:rPr>
                <w:rFonts w:eastAsia="Times New Roman"/>
                <w:b/>
                <w:sz w:val="18"/>
                <w:szCs w:val="18"/>
                <w:lang w:val="en-US"/>
              </w:rPr>
            </w:pPr>
          </w:p>
          <w:p w:rsidR="00A85EB3" w:rsidRDefault="00B07D03">
            <w:pPr>
              <w:snapToGrid w:val="0"/>
              <w:spacing w:before="0" w:after="0"/>
              <w:jc w:val="center"/>
              <w:rPr>
                <w:rFonts w:eastAsia="Times New Roman"/>
                <w:b/>
                <w:sz w:val="18"/>
                <w:szCs w:val="18"/>
                <w:lang w:val="en-US"/>
              </w:rPr>
            </w:pPr>
            <w:r>
              <w:rPr>
                <w:rFonts w:eastAsia="Times New Roman"/>
                <w:b/>
                <w:sz w:val="18"/>
                <w:szCs w:val="18"/>
              </w:rPr>
              <w:t>%</w:t>
            </w:r>
          </w:p>
        </w:tc>
        <w:tc>
          <w:tcPr>
            <w:tcW w:w="533" w:type="pct"/>
            <w:tcBorders>
              <w:top w:val="single" w:sz="4" w:space="0" w:color="auto"/>
              <w:left w:val="single" w:sz="4" w:space="0" w:color="auto"/>
              <w:bottom w:val="single" w:sz="4" w:space="0" w:color="auto"/>
              <w:right w:val="single" w:sz="4" w:space="0" w:color="auto"/>
            </w:tcBorders>
          </w:tcPr>
          <w:p w:rsidR="00A85EB3" w:rsidRDefault="00A85EB3">
            <w:pPr>
              <w:tabs>
                <w:tab w:val="left" w:pos="720"/>
              </w:tabs>
              <w:spacing w:before="0" w:after="0"/>
              <w:jc w:val="center"/>
              <w:rPr>
                <w:rFonts w:eastAsia="Times New Roman"/>
                <w:sz w:val="18"/>
                <w:szCs w:val="18"/>
                <w:lang w:val="en-US"/>
              </w:rPr>
            </w:pPr>
          </w:p>
          <w:p w:rsidR="00A85EB3" w:rsidRDefault="00B07D03">
            <w:pPr>
              <w:tabs>
                <w:tab w:val="left" w:pos="720"/>
              </w:tabs>
              <w:spacing w:before="0" w:after="0"/>
              <w:jc w:val="center"/>
              <w:rPr>
                <w:rFonts w:eastAsia="Times New Roman"/>
                <w:sz w:val="18"/>
                <w:szCs w:val="18"/>
                <w:lang w:val="en-US"/>
              </w:rPr>
            </w:pPr>
            <w:r>
              <w:rPr>
                <w:rFonts w:eastAsia="Times New Roman"/>
                <w:sz w:val="18"/>
                <w:szCs w:val="18"/>
              </w:rPr>
              <w:t>7 721 074</w:t>
            </w:r>
          </w:p>
        </w:tc>
        <w:tc>
          <w:tcPr>
            <w:tcW w:w="533" w:type="pct"/>
            <w:tcBorders>
              <w:top w:val="single" w:sz="4" w:space="0" w:color="auto"/>
              <w:left w:val="single" w:sz="4" w:space="0" w:color="auto"/>
              <w:bottom w:val="single" w:sz="4" w:space="0" w:color="auto"/>
              <w:right w:val="single" w:sz="4" w:space="0" w:color="auto"/>
            </w:tcBorders>
          </w:tcPr>
          <w:p w:rsidR="00A85EB3" w:rsidRDefault="00A85EB3">
            <w:pPr>
              <w:snapToGrid w:val="0"/>
              <w:spacing w:before="0" w:after="0"/>
              <w:jc w:val="center"/>
              <w:rPr>
                <w:rFonts w:eastAsia="Times New Roman"/>
                <w:sz w:val="18"/>
                <w:szCs w:val="18"/>
                <w:lang w:val="en-US"/>
              </w:rPr>
            </w:pPr>
          </w:p>
          <w:p w:rsidR="00A85EB3" w:rsidRDefault="00B07D03">
            <w:pPr>
              <w:snapToGrid w:val="0"/>
              <w:spacing w:before="0" w:after="0"/>
              <w:jc w:val="center"/>
              <w:rPr>
                <w:rFonts w:eastAsia="Times New Roman"/>
                <w:sz w:val="18"/>
                <w:szCs w:val="18"/>
                <w:lang w:val="en-US"/>
              </w:rPr>
            </w:pPr>
            <w:r>
              <w:rPr>
                <w:rFonts w:eastAsia="Times New Roman"/>
                <w:sz w:val="18"/>
                <w:szCs w:val="18"/>
              </w:rPr>
              <w:t>2012</w:t>
            </w:r>
          </w:p>
        </w:tc>
        <w:tc>
          <w:tcPr>
            <w:tcW w:w="473" w:type="pct"/>
            <w:tcBorders>
              <w:top w:val="single" w:sz="4" w:space="0" w:color="auto"/>
              <w:left w:val="single" w:sz="4" w:space="0" w:color="auto"/>
              <w:bottom w:val="single" w:sz="4" w:space="0" w:color="auto"/>
              <w:right w:val="single" w:sz="4" w:space="0" w:color="auto"/>
            </w:tcBorders>
          </w:tcPr>
          <w:p w:rsidR="00A85EB3" w:rsidRDefault="00A85EB3">
            <w:pPr>
              <w:tabs>
                <w:tab w:val="left" w:pos="720"/>
              </w:tabs>
              <w:spacing w:before="0" w:after="0"/>
              <w:jc w:val="center"/>
              <w:rPr>
                <w:rFonts w:eastAsia="Times New Roman"/>
                <w:sz w:val="18"/>
                <w:szCs w:val="18"/>
                <w:lang w:val="en-US"/>
              </w:rPr>
            </w:pPr>
          </w:p>
          <w:p w:rsidR="00A85EB3" w:rsidRDefault="00B07D03">
            <w:pPr>
              <w:tabs>
                <w:tab w:val="left" w:pos="720"/>
              </w:tabs>
              <w:spacing w:before="0" w:after="0"/>
              <w:jc w:val="center"/>
              <w:rPr>
                <w:rFonts w:eastAsia="Times New Roman"/>
                <w:sz w:val="18"/>
                <w:szCs w:val="18"/>
                <w:lang w:val="en-US"/>
              </w:rPr>
            </w:pPr>
            <w:r>
              <w:rPr>
                <w:rFonts w:eastAsia="Times New Roman"/>
                <w:sz w:val="18"/>
                <w:szCs w:val="18"/>
              </w:rPr>
              <w:t xml:space="preserve">Увеличение с най-малко </w:t>
            </w:r>
          </w:p>
          <w:p w:rsidR="00A85EB3" w:rsidRDefault="00B07D03">
            <w:pPr>
              <w:tabs>
                <w:tab w:val="left" w:pos="720"/>
              </w:tabs>
              <w:spacing w:before="0" w:after="0"/>
              <w:jc w:val="center"/>
              <w:rPr>
                <w:rFonts w:eastAsia="Times New Roman"/>
                <w:b/>
                <w:sz w:val="18"/>
                <w:szCs w:val="18"/>
                <w:lang w:val="en-US"/>
              </w:rPr>
            </w:pPr>
            <w:r>
              <w:rPr>
                <w:sz w:val="18"/>
                <w:szCs w:val="18"/>
              </w:rPr>
              <w:t>1 %</w:t>
            </w:r>
          </w:p>
        </w:tc>
        <w:tc>
          <w:tcPr>
            <w:tcW w:w="1368" w:type="pct"/>
            <w:tcBorders>
              <w:top w:val="single" w:sz="4" w:space="0" w:color="auto"/>
              <w:left w:val="single" w:sz="4" w:space="0" w:color="auto"/>
              <w:bottom w:val="single" w:sz="4" w:space="0" w:color="auto"/>
              <w:right w:val="single" w:sz="4" w:space="0" w:color="auto"/>
            </w:tcBorders>
          </w:tcPr>
          <w:p w:rsidR="00A85EB3" w:rsidRDefault="00A85EB3">
            <w:pPr>
              <w:keepNext/>
              <w:widowControl w:val="0"/>
              <w:overflowPunct w:val="0"/>
              <w:autoSpaceDE w:val="0"/>
              <w:autoSpaceDN w:val="0"/>
              <w:adjustRightInd w:val="0"/>
              <w:spacing w:before="0" w:after="0"/>
              <w:jc w:val="center"/>
              <w:textAlignment w:val="baseline"/>
              <w:rPr>
                <w:rFonts w:eastAsia="Times New Roman"/>
                <w:sz w:val="18"/>
                <w:szCs w:val="18"/>
                <w:u w:val="single"/>
                <w:lang w:val="en-US" w:eastAsia="en-US"/>
              </w:rPr>
            </w:pPr>
          </w:p>
          <w:p w:rsidR="00A85EB3" w:rsidRDefault="00B07D03">
            <w:pPr>
              <w:keepNext/>
              <w:widowControl w:val="0"/>
              <w:overflowPunct w:val="0"/>
              <w:autoSpaceDE w:val="0"/>
              <w:autoSpaceDN w:val="0"/>
              <w:adjustRightInd w:val="0"/>
              <w:spacing w:before="0" w:after="0"/>
              <w:jc w:val="center"/>
              <w:textAlignment w:val="baseline"/>
              <w:rPr>
                <w:rFonts w:eastAsia="Times New Roman"/>
                <w:sz w:val="18"/>
                <w:szCs w:val="18"/>
                <w:u w:val="single"/>
                <w:lang w:val="en-US" w:eastAsia="en-US"/>
              </w:rPr>
            </w:pPr>
            <w:r>
              <w:rPr>
                <w:rFonts w:eastAsia="Times New Roman"/>
                <w:sz w:val="18"/>
                <w:szCs w:val="18"/>
                <w:u w:val="single"/>
                <w:lang w:eastAsia="en-US"/>
              </w:rPr>
              <w:t>Базова стойност и постигнати резултати</w:t>
            </w:r>
          </w:p>
          <w:p w:rsidR="00A85EB3" w:rsidRDefault="00B07D03">
            <w:pPr>
              <w:spacing w:before="0" w:after="0"/>
              <w:jc w:val="center"/>
              <w:rPr>
                <w:rFonts w:eastAsia="Times New Roman"/>
                <w:b/>
                <w:sz w:val="18"/>
                <w:szCs w:val="18"/>
                <w:lang w:val="en-US"/>
              </w:rPr>
            </w:pPr>
            <w:r>
              <w:rPr>
                <w:rFonts w:eastAsia="Times New Roman"/>
                <w:sz w:val="18"/>
                <w:szCs w:val="18"/>
                <w:lang w:eastAsia="en-US"/>
              </w:rPr>
              <w:t>Статистически данни</w:t>
            </w:r>
          </w:p>
        </w:tc>
        <w:tc>
          <w:tcPr>
            <w:tcW w:w="350" w:type="pct"/>
            <w:tcBorders>
              <w:top w:val="single" w:sz="4" w:space="0" w:color="auto"/>
              <w:left w:val="single" w:sz="4" w:space="0" w:color="auto"/>
              <w:bottom w:val="single" w:sz="4" w:space="0" w:color="auto"/>
              <w:right w:val="single" w:sz="4" w:space="0" w:color="auto"/>
            </w:tcBorders>
          </w:tcPr>
          <w:p w:rsidR="00A85EB3" w:rsidRDefault="00A85EB3">
            <w:pPr>
              <w:spacing w:before="0" w:after="0"/>
              <w:jc w:val="center"/>
              <w:rPr>
                <w:rFonts w:eastAsia="Times New Roman"/>
                <w:sz w:val="18"/>
                <w:szCs w:val="18"/>
                <w:lang w:val="en-US"/>
              </w:rPr>
            </w:pPr>
          </w:p>
          <w:p w:rsidR="00A85EB3" w:rsidRDefault="00B07D03">
            <w:pPr>
              <w:spacing w:before="0" w:after="0"/>
              <w:jc w:val="center"/>
              <w:rPr>
                <w:rFonts w:eastAsia="Times New Roman"/>
                <w:sz w:val="18"/>
                <w:szCs w:val="18"/>
                <w:lang w:val="en-US"/>
              </w:rPr>
            </w:pPr>
            <w:r>
              <w:rPr>
                <w:rFonts w:eastAsia="Times New Roman"/>
                <w:sz w:val="18"/>
                <w:szCs w:val="18"/>
              </w:rPr>
              <w:t>2018</w:t>
            </w:r>
          </w:p>
          <w:p w:rsidR="00A85EB3" w:rsidRDefault="00B07D03">
            <w:pPr>
              <w:spacing w:before="0" w:after="0"/>
              <w:jc w:val="center"/>
              <w:rPr>
                <w:rFonts w:eastAsia="Times New Roman"/>
                <w:b/>
                <w:sz w:val="18"/>
                <w:szCs w:val="18"/>
                <w:lang w:val="en-US"/>
              </w:rPr>
            </w:pPr>
            <w:r>
              <w:rPr>
                <w:rFonts w:eastAsia="Times New Roman"/>
                <w:sz w:val="18"/>
                <w:szCs w:val="18"/>
              </w:rPr>
              <w:t>2023</w:t>
            </w:r>
          </w:p>
        </w:tc>
      </w:tr>
      <w:tr w:rsidR="003A6822" w:rsidRPr="00981F6F" w:rsidTr="003A6822">
        <w:trPr>
          <w:trHeight w:val="870"/>
        </w:trPr>
        <w:tc>
          <w:tcPr>
            <w:tcW w:w="448" w:type="pct"/>
            <w:tcBorders>
              <w:top w:val="single" w:sz="4" w:space="0" w:color="auto"/>
              <w:left w:val="single" w:sz="4" w:space="0" w:color="auto"/>
              <w:bottom w:val="single" w:sz="4" w:space="0" w:color="auto"/>
              <w:right w:val="single" w:sz="4" w:space="0" w:color="auto"/>
            </w:tcBorders>
          </w:tcPr>
          <w:p w:rsidR="00A85EB3" w:rsidRDefault="00A85EB3">
            <w:pPr>
              <w:tabs>
                <w:tab w:val="left" w:pos="720"/>
              </w:tabs>
              <w:spacing w:before="0" w:after="0"/>
              <w:jc w:val="center"/>
              <w:rPr>
                <w:b/>
                <w:sz w:val="18"/>
                <w:szCs w:val="18"/>
                <w:lang w:val="en-US" w:eastAsia="en-US"/>
              </w:rPr>
            </w:pPr>
          </w:p>
          <w:p w:rsidR="00A85EB3" w:rsidRDefault="00A85EB3">
            <w:pPr>
              <w:tabs>
                <w:tab w:val="left" w:pos="720"/>
              </w:tabs>
              <w:spacing w:before="0" w:after="0"/>
              <w:jc w:val="center"/>
              <w:rPr>
                <w:b/>
                <w:sz w:val="18"/>
                <w:szCs w:val="18"/>
                <w:lang w:val="en-US" w:eastAsia="en-US"/>
              </w:rPr>
            </w:pPr>
          </w:p>
          <w:p w:rsidR="00A85EB3" w:rsidRDefault="00A85EB3">
            <w:pPr>
              <w:tabs>
                <w:tab w:val="left" w:pos="720"/>
              </w:tabs>
              <w:spacing w:before="0" w:after="0"/>
              <w:jc w:val="center"/>
              <w:rPr>
                <w:b/>
                <w:sz w:val="18"/>
                <w:szCs w:val="18"/>
                <w:lang w:val="en-US" w:eastAsia="en-US"/>
              </w:rPr>
            </w:pPr>
          </w:p>
          <w:p w:rsidR="00A85EB3" w:rsidRDefault="00B07D03">
            <w:pPr>
              <w:tabs>
                <w:tab w:val="left" w:pos="720"/>
              </w:tabs>
              <w:spacing w:before="0" w:after="0"/>
              <w:jc w:val="center"/>
              <w:rPr>
                <w:rFonts w:eastAsia="Times New Roman"/>
                <w:b/>
                <w:sz w:val="18"/>
                <w:szCs w:val="18"/>
                <w:lang w:val="en-US"/>
              </w:rPr>
            </w:pPr>
            <w:r>
              <w:rPr>
                <w:b/>
                <w:sz w:val="18"/>
                <w:szCs w:val="18"/>
                <w:lang w:eastAsia="en-US"/>
              </w:rPr>
              <w:t>ПР 2.2</w:t>
            </w:r>
          </w:p>
        </w:tc>
        <w:tc>
          <w:tcPr>
            <w:tcW w:w="973" w:type="pct"/>
            <w:tcBorders>
              <w:top w:val="single" w:sz="4" w:space="0" w:color="auto"/>
              <w:left w:val="single" w:sz="4" w:space="0" w:color="auto"/>
              <w:bottom w:val="single" w:sz="4" w:space="0" w:color="auto"/>
              <w:right w:val="single" w:sz="4" w:space="0" w:color="auto"/>
            </w:tcBorders>
          </w:tcPr>
          <w:p w:rsidR="00A85EB3" w:rsidRDefault="00A85EB3">
            <w:pPr>
              <w:tabs>
                <w:tab w:val="left" w:pos="720"/>
              </w:tabs>
              <w:spacing w:before="0" w:after="0"/>
              <w:rPr>
                <w:rFonts w:eastAsia="Times New Roman"/>
                <w:b/>
                <w:sz w:val="18"/>
                <w:szCs w:val="18"/>
                <w:lang w:val="en-US"/>
              </w:rPr>
            </w:pPr>
          </w:p>
          <w:p w:rsidR="00A85EB3" w:rsidRDefault="00B07D03">
            <w:pPr>
              <w:tabs>
                <w:tab w:val="left" w:pos="720"/>
              </w:tabs>
              <w:spacing w:before="0" w:after="0"/>
              <w:rPr>
                <w:sz w:val="18"/>
                <w:szCs w:val="18"/>
                <w:lang w:val="en-US"/>
              </w:rPr>
            </w:pPr>
            <w:r>
              <w:rPr>
                <w:sz w:val="18"/>
                <w:szCs w:val="18"/>
              </w:rPr>
              <w:t>Повече съвместни инициативи за повишаване стойността на природното, културното и историческото наследство</w:t>
            </w:r>
          </w:p>
          <w:p w:rsidR="00A85EB3" w:rsidRDefault="00B07D03">
            <w:pPr>
              <w:tabs>
                <w:tab w:val="left" w:pos="720"/>
              </w:tabs>
              <w:spacing w:before="0" w:after="0"/>
              <w:rPr>
                <w:rFonts w:eastAsia="Times New Roman"/>
                <w:b/>
                <w:sz w:val="18"/>
                <w:szCs w:val="18"/>
                <w:lang w:val="en-US"/>
              </w:rPr>
            </w:pPr>
            <w:r>
              <w:rPr>
                <w:i/>
                <w:sz w:val="18"/>
                <w:szCs w:val="18"/>
              </w:rPr>
              <w:t>(количествена цел)</w:t>
            </w:r>
          </w:p>
        </w:tc>
        <w:tc>
          <w:tcPr>
            <w:tcW w:w="321" w:type="pct"/>
            <w:tcBorders>
              <w:top w:val="single" w:sz="4" w:space="0" w:color="auto"/>
              <w:left w:val="single" w:sz="4" w:space="0" w:color="auto"/>
              <w:bottom w:val="single" w:sz="4" w:space="0" w:color="auto"/>
              <w:right w:val="single" w:sz="4" w:space="0" w:color="auto"/>
            </w:tcBorders>
          </w:tcPr>
          <w:p w:rsidR="00A85EB3" w:rsidRDefault="00A85EB3">
            <w:pPr>
              <w:snapToGrid w:val="0"/>
              <w:spacing w:before="0" w:after="0"/>
              <w:jc w:val="center"/>
              <w:rPr>
                <w:rFonts w:eastAsia="Times New Roman"/>
                <w:b/>
                <w:sz w:val="18"/>
                <w:szCs w:val="18"/>
                <w:lang w:val="en-US"/>
              </w:rPr>
            </w:pPr>
          </w:p>
          <w:p w:rsidR="00A85EB3" w:rsidRDefault="00A85EB3">
            <w:pPr>
              <w:snapToGrid w:val="0"/>
              <w:spacing w:before="0" w:after="0"/>
              <w:jc w:val="center"/>
              <w:rPr>
                <w:rFonts w:eastAsia="Times New Roman"/>
                <w:b/>
                <w:sz w:val="18"/>
                <w:szCs w:val="18"/>
                <w:lang w:val="en-US"/>
              </w:rPr>
            </w:pPr>
          </w:p>
          <w:p w:rsidR="00A85EB3" w:rsidRDefault="00A85EB3">
            <w:pPr>
              <w:snapToGrid w:val="0"/>
              <w:spacing w:before="0" w:after="0"/>
              <w:jc w:val="center"/>
              <w:rPr>
                <w:rFonts w:eastAsia="Times New Roman"/>
                <w:b/>
                <w:sz w:val="18"/>
                <w:szCs w:val="18"/>
                <w:lang w:val="en-US"/>
              </w:rPr>
            </w:pPr>
          </w:p>
          <w:p w:rsidR="00A85EB3" w:rsidRDefault="00B07D03">
            <w:pPr>
              <w:snapToGrid w:val="0"/>
              <w:spacing w:before="0" w:after="0"/>
              <w:jc w:val="center"/>
              <w:rPr>
                <w:rFonts w:eastAsia="Times New Roman"/>
                <w:b/>
                <w:sz w:val="18"/>
                <w:szCs w:val="18"/>
                <w:lang w:val="en-US"/>
              </w:rPr>
            </w:pPr>
            <w:r>
              <w:rPr>
                <w:rFonts w:eastAsia="Times New Roman"/>
                <w:b/>
                <w:sz w:val="18"/>
                <w:szCs w:val="18"/>
              </w:rPr>
              <w:t>%</w:t>
            </w:r>
          </w:p>
        </w:tc>
        <w:tc>
          <w:tcPr>
            <w:tcW w:w="533" w:type="pct"/>
            <w:tcBorders>
              <w:top w:val="single" w:sz="4" w:space="0" w:color="auto"/>
              <w:left w:val="single" w:sz="4" w:space="0" w:color="auto"/>
              <w:bottom w:val="single" w:sz="4" w:space="0" w:color="auto"/>
              <w:right w:val="single" w:sz="4" w:space="0" w:color="auto"/>
            </w:tcBorders>
          </w:tcPr>
          <w:p w:rsidR="00A85EB3" w:rsidRDefault="00A85EB3">
            <w:pPr>
              <w:tabs>
                <w:tab w:val="left" w:pos="720"/>
              </w:tabs>
              <w:spacing w:before="0" w:after="0"/>
              <w:jc w:val="center"/>
              <w:rPr>
                <w:rFonts w:eastAsia="Times New Roman"/>
                <w:sz w:val="18"/>
                <w:szCs w:val="18"/>
                <w:lang w:val="en-US"/>
              </w:rPr>
            </w:pPr>
          </w:p>
          <w:p w:rsidR="00A85EB3" w:rsidRDefault="00A85EB3">
            <w:pPr>
              <w:tabs>
                <w:tab w:val="left" w:pos="720"/>
              </w:tabs>
              <w:spacing w:before="0" w:after="0"/>
              <w:jc w:val="center"/>
              <w:rPr>
                <w:rFonts w:eastAsia="Times New Roman"/>
                <w:sz w:val="18"/>
                <w:szCs w:val="18"/>
                <w:lang w:val="en-US"/>
              </w:rPr>
            </w:pPr>
          </w:p>
          <w:p w:rsidR="00A85EB3" w:rsidRDefault="00A85EB3">
            <w:pPr>
              <w:tabs>
                <w:tab w:val="left" w:pos="720"/>
              </w:tabs>
              <w:spacing w:before="0" w:after="0"/>
              <w:jc w:val="center"/>
              <w:rPr>
                <w:rFonts w:eastAsia="Times New Roman"/>
                <w:sz w:val="18"/>
                <w:szCs w:val="18"/>
                <w:lang w:val="en-US"/>
              </w:rPr>
            </w:pPr>
          </w:p>
          <w:p w:rsidR="00A85EB3" w:rsidRDefault="00B07D03">
            <w:pPr>
              <w:tabs>
                <w:tab w:val="left" w:pos="720"/>
              </w:tabs>
              <w:spacing w:before="0" w:after="0"/>
              <w:jc w:val="center"/>
              <w:rPr>
                <w:rFonts w:eastAsia="Times New Roman"/>
                <w:sz w:val="18"/>
                <w:szCs w:val="18"/>
                <w:lang w:val="en-US"/>
              </w:rPr>
            </w:pPr>
            <w:r>
              <w:rPr>
                <w:rFonts w:eastAsia="Times New Roman"/>
                <w:sz w:val="18"/>
                <w:szCs w:val="18"/>
              </w:rPr>
              <w:t>31</w:t>
            </w:r>
          </w:p>
        </w:tc>
        <w:tc>
          <w:tcPr>
            <w:tcW w:w="533" w:type="pct"/>
            <w:tcBorders>
              <w:top w:val="single" w:sz="4" w:space="0" w:color="auto"/>
              <w:left w:val="single" w:sz="4" w:space="0" w:color="auto"/>
              <w:bottom w:val="single" w:sz="4" w:space="0" w:color="auto"/>
              <w:right w:val="single" w:sz="4" w:space="0" w:color="auto"/>
            </w:tcBorders>
          </w:tcPr>
          <w:p w:rsidR="00A85EB3" w:rsidRDefault="00A85EB3">
            <w:pPr>
              <w:snapToGrid w:val="0"/>
              <w:spacing w:before="0" w:after="0"/>
              <w:jc w:val="center"/>
              <w:rPr>
                <w:rFonts w:eastAsia="Times New Roman"/>
                <w:sz w:val="18"/>
                <w:szCs w:val="18"/>
                <w:lang w:val="en-US"/>
              </w:rPr>
            </w:pPr>
          </w:p>
          <w:p w:rsidR="00A85EB3" w:rsidRDefault="00A85EB3">
            <w:pPr>
              <w:snapToGrid w:val="0"/>
              <w:spacing w:before="0" w:after="0"/>
              <w:jc w:val="center"/>
              <w:rPr>
                <w:rFonts w:eastAsia="Times New Roman"/>
                <w:sz w:val="18"/>
                <w:szCs w:val="18"/>
                <w:lang w:val="en-US"/>
              </w:rPr>
            </w:pPr>
          </w:p>
          <w:p w:rsidR="00A85EB3" w:rsidRDefault="00A85EB3">
            <w:pPr>
              <w:snapToGrid w:val="0"/>
              <w:spacing w:before="0" w:after="0"/>
              <w:jc w:val="center"/>
              <w:rPr>
                <w:rFonts w:eastAsia="Times New Roman"/>
                <w:sz w:val="18"/>
                <w:szCs w:val="18"/>
                <w:lang w:val="en-US"/>
              </w:rPr>
            </w:pPr>
          </w:p>
          <w:p w:rsidR="00A85EB3" w:rsidRDefault="00B07D03">
            <w:pPr>
              <w:snapToGrid w:val="0"/>
              <w:spacing w:before="0" w:after="0"/>
              <w:jc w:val="center"/>
              <w:rPr>
                <w:rFonts w:eastAsia="Times New Roman"/>
                <w:sz w:val="18"/>
                <w:szCs w:val="18"/>
                <w:lang w:val="en-US"/>
              </w:rPr>
            </w:pPr>
            <w:r>
              <w:rPr>
                <w:rFonts w:eastAsia="Times New Roman"/>
                <w:sz w:val="18"/>
                <w:szCs w:val="18"/>
              </w:rPr>
              <w:t>2013</w:t>
            </w:r>
          </w:p>
        </w:tc>
        <w:tc>
          <w:tcPr>
            <w:tcW w:w="473" w:type="pct"/>
            <w:tcBorders>
              <w:top w:val="single" w:sz="4" w:space="0" w:color="auto"/>
              <w:left w:val="single" w:sz="4" w:space="0" w:color="auto"/>
              <w:bottom w:val="single" w:sz="4" w:space="0" w:color="auto"/>
              <w:right w:val="single" w:sz="4" w:space="0" w:color="auto"/>
            </w:tcBorders>
          </w:tcPr>
          <w:p w:rsidR="00A85EB3" w:rsidRDefault="00A85EB3">
            <w:pPr>
              <w:tabs>
                <w:tab w:val="left" w:pos="720"/>
              </w:tabs>
              <w:spacing w:before="0" w:after="0"/>
              <w:jc w:val="center"/>
              <w:rPr>
                <w:rFonts w:eastAsia="Times New Roman"/>
                <w:b/>
                <w:sz w:val="18"/>
                <w:szCs w:val="18"/>
                <w:lang w:val="en-US"/>
              </w:rPr>
            </w:pPr>
          </w:p>
          <w:p w:rsidR="00A85EB3" w:rsidRDefault="00A85EB3">
            <w:pPr>
              <w:tabs>
                <w:tab w:val="left" w:pos="720"/>
              </w:tabs>
              <w:spacing w:before="0" w:after="0"/>
              <w:jc w:val="center"/>
              <w:rPr>
                <w:i/>
                <w:sz w:val="18"/>
                <w:szCs w:val="18"/>
                <w:lang w:val="en-US"/>
              </w:rPr>
            </w:pPr>
          </w:p>
          <w:p w:rsidR="00A85EB3" w:rsidRDefault="00B07D03">
            <w:pPr>
              <w:tabs>
                <w:tab w:val="left" w:pos="720"/>
              </w:tabs>
              <w:spacing w:before="0" w:after="0"/>
              <w:jc w:val="center"/>
              <w:rPr>
                <w:rFonts w:eastAsia="Times New Roman"/>
                <w:sz w:val="18"/>
                <w:szCs w:val="18"/>
                <w:lang w:val="en-US"/>
              </w:rPr>
            </w:pPr>
            <w:r>
              <w:rPr>
                <w:rFonts w:eastAsia="Times New Roman"/>
                <w:sz w:val="18"/>
                <w:szCs w:val="18"/>
              </w:rPr>
              <w:t xml:space="preserve">Увеличение с най-малко </w:t>
            </w:r>
          </w:p>
          <w:p w:rsidR="00A85EB3" w:rsidRDefault="00B07D03">
            <w:pPr>
              <w:tabs>
                <w:tab w:val="left" w:pos="720"/>
              </w:tabs>
              <w:spacing w:before="0" w:after="0"/>
              <w:jc w:val="center"/>
              <w:rPr>
                <w:sz w:val="18"/>
                <w:szCs w:val="18"/>
                <w:lang w:val="en-US"/>
              </w:rPr>
            </w:pPr>
            <w:r>
              <w:rPr>
                <w:sz w:val="18"/>
                <w:szCs w:val="18"/>
              </w:rPr>
              <w:t>30%</w:t>
            </w:r>
          </w:p>
          <w:p w:rsidR="00A85EB3" w:rsidRDefault="00A85EB3">
            <w:pPr>
              <w:tabs>
                <w:tab w:val="left" w:pos="720"/>
              </w:tabs>
              <w:spacing w:before="0" w:after="0"/>
              <w:jc w:val="center"/>
              <w:rPr>
                <w:rFonts w:eastAsia="Times New Roman"/>
                <w:b/>
                <w:sz w:val="18"/>
                <w:szCs w:val="18"/>
                <w:lang w:val="en-US"/>
              </w:rPr>
            </w:pPr>
          </w:p>
        </w:tc>
        <w:tc>
          <w:tcPr>
            <w:tcW w:w="1368" w:type="pct"/>
            <w:tcBorders>
              <w:top w:val="single" w:sz="4" w:space="0" w:color="auto"/>
              <w:left w:val="single" w:sz="4" w:space="0" w:color="auto"/>
              <w:bottom w:val="single" w:sz="4" w:space="0" w:color="auto"/>
              <w:right w:val="single" w:sz="4" w:space="0" w:color="auto"/>
            </w:tcBorders>
          </w:tcPr>
          <w:p w:rsidR="00A85EB3" w:rsidRDefault="00B07D03">
            <w:pPr>
              <w:keepNext/>
              <w:widowControl w:val="0"/>
              <w:overflowPunct w:val="0"/>
              <w:autoSpaceDE w:val="0"/>
              <w:autoSpaceDN w:val="0"/>
              <w:adjustRightInd w:val="0"/>
              <w:spacing w:before="0" w:after="0"/>
              <w:jc w:val="center"/>
              <w:textAlignment w:val="baseline"/>
              <w:rPr>
                <w:rFonts w:eastAsia="Times New Roman"/>
                <w:sz w:val="18"/>
                <w:szCs w:val="18"/>
                <w:u w:val="single"/>
                <w:lang w:val="en-US" w:eastAsia="en-US"/>
              </w:rPr>
            </w:pPr>
            <w:r>
              <w:rPr>
                <w:rFonts w:eastAsia="Times New Roman"/>
                <w:sz w:val="18"/>
                <w:szCs w:val="18"/>
                <w:u w:val="single"/>
                <w:lang w:eastAsia="en-US"/>
              </w:rPr>
              <w:t>Базова стойност:</w:t>
            </w:r>
          </w:p>
          <w:p w:rsidR="00A85EB3" w:rsidRDefault="00B07D03">
            <w:pPr>
              <w:keepNext/>
              <w:widowControl w:val="0"/>
              <w:overflowPunct w:val="0"/>
              <w:autoSpaceDE w:val="0"/>
              <w:autoSpaceDN w:val="0"/>
              <w:adjustRightInd w:val="0"/>
              <w:spacing w:before="0" w:after="0"/>
              <w:jc w:val="center"/>
              <w:textAlignment w:val="baseline"/>
              <w:rPr>
                <w:rFonts w:eastAsia="Times New Roman"/>
                <w:sz w:val="18"/>
                <w:szCs w:val="18"/>
                <w:lang w:val="en-US" w:eastAsia="en-US"/>
              </w:rPr>
            </w:pPr>
            <w:r>
              <w:rPr>
                <w:rFonts w:eastAsia="Times New Roman"/>
                <w:sz w:val="18"/>
                <w:szCs w:val="18"/>
                <w:lang w:eastAsia="en-US"/>
              </w:rPr>
              <w:t>Изпълнение на програма ФАР</w:t>
            </w:r>
          </w:p>
          <w:p w:rsidR="00A85EB3" w:rsidRDefault="00B07D03">
            <w:pPr>
              <w:keepNext/>
              <w:widowControl w:val="0"/>
              <w:overflowPunct w:val="0"/>
              <w:autoSpaceDE w:val="0"/>
              <w:autoSpaceDN w:val="0"/>
              <w:adjustRightInd w:val="0"/>
              <w:spacing w:before="0" w:after="0"/>
              <w:jc w:val="center"/>
              <w:textAlignment w:val="baseline"/>
              <w:rPr>
                <w:rFonts w:eastAsia="Times New Roman"/>
                <w:sz w:val="18"/>
                <w:szCs w:val="18"/>
                <w:lang w:val="en-US" w:eastAsia="nl-NL"/>
              </w:rPr>
            </w:pPr>
            <w:r>
              <w:rPr>
                <w:rFonts w:eastAsia="Times New Roman"/>
                <w:sz w:val="18"/>
                <w:szCs w:val="18"/>
                <w:lang w:eastAsia="nl-NL"/>
              </w:rPr>
              <w:t xml:space="preserve">Доклади за напредъка и Годишни доклади за изпълнението </w:t>
            </w:r>
          </w:p>
          <w:p w:rsidR="00A85EB3" w:rsidRDefault="00B07D03">
            <w:pPr>
              <w:keepNext/>
              <w:widowControl w:val="0"/>
              <w:overflowPunct w:val="0"/>
              <w:autoSpaceDE w:val="0"/>
              <w:autoSpaceDN w:val="0"/>
              <w:adjustRightInd w:val="0"/>
              <w:spacing w:before="0" w:after="0"/>
              <w:jc w:val="center"/>
              <w:textAlignment w:val="baseline"/>
              <w:rPr>
                <w:rFonts w:eastAsia="Times New Roman"/>
                <w:sz w:val="18"/>
                <w:szCs w:val="18"/>
                <w:lang w:val="en-US" w:eastAsia="nl-NL"/>
              </w:rPr>
            </w:pPr>
            <w:r>
              <w:rPr>
                <w:rFonts w:eastAsia="Times New Roman"/>
                <w:sz w:val="18"/>
                <w:szCs w:val="18"/>
                <w:lang w:eastAsia="nl-NL"/>
              </w:rPr>
              <w:t>на ТГС по ИПП България – Турция 2007–2013 г.</w:t>
            </w:r>
          </w:p>
          <w:p w:rsidR="00A85EB3" w:rsidRDefault="00B07D03">
            <w:pPr>
              <w:keepNext/>
              <w:widowControl w:val="0"/>
              <w:overflowPunct w:val="0"/>
              <w:autoSpaceDE w:val="0"/>
              <w:autoSpaceDN w:val="0"/>
              <w:adjustRightInd w:val="0"/>
              <w:spacing w:before="0" w:after="0"/>
              <w:jc w:val="center"/>
              <w:textAlignment w:val="baseline"/>
              <w:rPr>
                <w:rFonts w:eastAsia="Times New Roman"/>
                <w:sz w:val="18"/>
                <w:szCs w:val="18"/>
                <w:u w:val="single"/>
                <w:lang w:val="en-US" w:eastAsia="en-US"/>
              </w:rPr>
            </w:pPr>
            <w:r>
              <w:rPr>
                <w:rFonts w:eastAsia="Times New Roman"/>
                <w:sz w:val="18"/>
                <w:szCs w:val="18"/>
                <w:u w:val="single"/>
                <w:lang w:eastAsia="en-US"/>
              </w:rPr>
              <w:t>Постигнати резултати:</w:t>
            </w:r>
          </w:p>
          <w:p w:rsidR="00A85EB3" w:rsidRDefault="00B07D03">
            <w:pPr>
              <w:spacing w:before="0" w:after="0"/>
              <w:jc w:val="center"/>
              <w:rPr>
                <w:rFonts w:eastAsia="Times New Roman"/>
                <w:sz w:val="18"/>
                <w:szCs w:val="18"/>
                <w:lang w:val="en-US" w:eastAsia="nl-NL"/>
              </w:rPr>
            </w:pPr>
            <w:r>
              <w:rPr>
                <w:rFonts w:eastAsia="Times New Roman"/>
                <w:sz w:val="18"/>
                <w:szCs w:val="18"/>
                <w:lang w:eastAsia="nl-NL"/>
              </w:rPr>
              <w:t xml:space="preserve">Доклади за напредъка и Годишни доклади за изпълнението </w:t>
            </w:r>
          </w:p>
          <w:p w:rsidR="00A85EB3" w:rsidRDefault="00B07D03">
            <w:pPr>
              <w:spacing w:before="0" w:after="0"/>
              <w:jc w:val="center"/>
              <w:rPr>
                <w:rFonts w:eastAsia="Times New Roman"/>
                <w:b/>
                <w:sz w:val="18"/>
                <w:szCs w:val="18"/>
                <w:lang w:val="en-US"/>
              </w:rPr>
            </w:pPr>
            <w:r>
              <w:rPr>
                <w:rFonts w:eastAsia="Times New Roman"/>
                <w:sz w:val="18"/>
                <w:szCs w:val="18"/>
              </w:rPr>
              <w:t>на ТГС по ИПП България – Турция 2014–2020 г.</w:t>
            </w:r>
          </w:p>
        </w:tc>
        <w:tc>
          <w:tcPr>
            <w:tcW w:w="350" w:type="pct"/>
            <w:tcBorders>
              <w:top w:val="single" w:sz="4" w:space="0" w:color="auto"/>
              <w:left w:val="single" w:sz="4" w:space="0" w:color="auto"/>
              <w:bottom w:val="single" w:sz="4" w:space="0" w:color="auto"/>
              <w:right w:val="single" w:sz="4" w:space="0" w:color="auto"/>
            </w:tcBorders>
          </w:tcPr>
          <w:p w:rsidR="00A85EB3" w:rsidRDefault="00A85EB3">
            <w:pPr>
              <w:spacing w:before="0" w:after="0"/>
              <w:jc w:val="center"/>
              <w:rPr>
                <w:rFonts w:eastAsia="Times New Roman"/>
                <w:sz w:val="18"/>
                <w:szCs w:val="18"/>
                <w:lang w:val="en-US"/>
              </w:rPr>
            </w:pPr>
          </w:p>
          <w:p w:rsidR="00A85EB3" w:rsidRDefault="00A85EB3">
            <w:pPr>
              <w:spacing w:before="0" w:after="0"/>
              <w:jc w:val="center"/>
              <w:rPr>
                <w:rFonts w:eastAsia="Times New Roman"/>
                <w:sz w:val="18"/>
                <w:szCs w:val="18"/>
                <w:lang w:val="en-US"/>
              </w:rPr>
            </w:pPr>
          </w:p>
          <w:p w:rsidR="00A85EB3" w:rsidRDefault="00B07D03">
            <w:pPr>
              <w:spacing w:before="0" w:after="0"/>
              <w:jc w:val="center"/>
              <w:rPr>
                <w:rFonts w:eastAsia="Times New Roman"/>
                <w:sz w:val="18"/>
                <w:szCs w:val="18"/>
                <w:lang w:val="en-US"/>
              </w:rPr>
            </w:pPr>
            <w:r>
              <w:rPr>
                <w:rFonts w:eastAsia="Times New Roman"/>
                <w:sz w:val="18"/>
                <w:szCs w:val="18"/>
              </w:rPr>
              <w:t>2018</w:t>
            </w:r>
          </w:p>
          <w:p w:rsidR="00A85EB3" w:rsidRDefault="00B07D03">
            <w:pPr>
              <w:spacing w:before="0" w:after="0"/>
              <w:jc w:val="center"/>
              <w:rPr>
                <w:rFonts w:eastAsia="Times New Roman"/>
                <w:b/>
                <w:sz w:val="18"/>
                <w:szCs w:val="18"/>
                <w:lang w:val="en-US"/>
              </w:rPr>
            </w:pPr>
            <w:r>
              <w:rPr>
                <w:rFonts w:eastAsia="Times New Roman"/>
                <w:sz w:val="18"/>
                <w:szCs w:val="18"/>
              </w:rPr>
              <w:t>2023</w:t>
            </w:r>
          </w:p>
        </w:tc>
      </w:tr>
      <w:tr w:rsidR="003A6822" w:rsidRPr="00981F6F" w:rsidTr="003A6822">
        <w:trPr>
          <w:trHeight w:val="870"/>
        </w:trPr>
        <w:tc>
          <w:tcPr>
            <w:tcW w:w="448" w:type="pct"/>
            <w:tcBorders>
              <w:top w:val="single" w:sz="4" w:space="0" w:color="auto"/>
              <w:left w:val="single" w:sz="4" w:space="0" w:color="auto"/>
              <w:bottom w:val="single" w:sz="4" w:space="0" w:color="auto"/>
              <w:right w:val="single" w:sz="4" w:space="0" w:color="auto"/>
            </w:tcBorders>
          </w:tcPr>
          <w:p w:rsidR="00A85EB3" w:rsidRDefault="00A85EB3">
            <w:pPr>
              <w:tabs>
                <w:tab w:val="left" w:pos="720"/>
              </w:tabs>
              <w:spacing w:before="0" w:after="0"/>
              <w:jc w:val="center"/>
              <w:rPr>
                <w:b/>
                <w:sz w:val="18"/>
                <w:szCs w:val="18"/>
                <w:lang w:val="en-US" w:eastAsia="en-US"/>
              </w:rPr>
            </w:pPr>
          </w:p>
          <w:p w:rsidR="00A85EB3" w:rsidRDefault="00A85EB3">
            <w:pPr>
              <w:tabs>
                <w:tab w:val="left" w:pos="720"/>
              </w:tabs>
              <w:spacing w:before="0" w:after="0"/>
              <w:jc w:val="center"/>
              <w:rPr>
                <w:b/>
                <w:sz w:val="18"/>
                <w:szCs w:val="18"/>
                <w:lang w:val="en-US" w:eastAsia="en-US"/>
              </w:rPr>
            </w:pPr>
          </w:p>
          <w:p w:rsidR="00A85EB3" w:rsidRDefault="00A85EB3">
            <w:pPr>
              <w:tabs>
                <w:tab w:val="left" w:pos="720"/>
              </w:tabs>
              <w:spacing w:before="0" w:after="0"/>
              <w:jc w:val="center"/>
              <w:rPr>
                <w:b/>
                <w:sz w:val="18"/>
                <w:szCs w:val="18"/>
                <w:lang w:val="en-US" w:eastAsia="en-US"/>
              </w:rPr>
            </w:pPr>
          </w:p>
          <w:p w:rsidR="00A85EB3" w:rsidRDefault="00B07D03">
            <w:pPr>
              <w:tabs>
                <w:tab w:val="left" w:pos="720"/>
              </w:tabs>
              <w:spacing w:before="0" w:after="0"/>
              <w:jc w:val="center"/>
              <w:rPr>
                <w:rFonts w:eastAsia="Times New Roman"/>
                <w:b/>
                <w:sz w:val="18"/>
                <w:szCs w:val="18"/>
                <w:lang w:val="en-US"/>
              </w:rPr>
            </w:pPr>
            <w:r>
              <w:rPr>
                <w:b/>
                <w:sz w:val="18"/>
                <w:szCs w:val="18"/>
                <w:lang w:eastAsia="en-US"/>
              </w:rPr>
              <w:t>ПР 2.3</w:t>
            </w:r>
          </w:p>
        </w:tc>
        <w:tc>
          <w:tcPr>
            <w:tcW w:w="973" w:type="pct"/>
            <w:tcBorders>
              <w:top w:val="single" w:sz="4" w:space="0" w:color="auto"/>
              <w:left w:val="single" w:sz="4" w:space="0" w:color="auto"/>
              <w:bottom w:val="single" w:sz="4" w:space="0" w:color="auto"/>
              <w:right w:val="single" w:sz="4" w:space="0" w:color="auto"/>
            </w:tcBorders>
          </w:tcPr>
          <w:p w:rsidR="00A85EB3" w:rsidRDefault="00A85EB3">
            <w:pPr>
              <w:spacing w:before="0" w:after="0"/>
              <w:rPr>
                <w:rFonts w:eastAsia="Times New Roman"/>
                <w:sz w:val="18"/>
                <w:szCs w:val="18"/>
                <w:lang w:val="en-US"/>
              </w:rPr>
            </w:pPr>
          </w:p>
          <w:p w:rsidR="00A85EB3" w:rsidRDefault="00B07D03">
            <w:pPr>
              <w:spacing w:before="0" w:after="0"/>
              <w:rPr>
                <w:rFonts w:eastAsia="Times New Roman"/>
                <w:sz w:val="18"/>
                <w:szCs w:val="18"/>
                <w:lang w:val="en-US"/>
              </w:rPr>
            </w:pPr>
            <w:r>
              <w:rPr>
                <w:rFonts w:eastAsia="Times New Roman"/>
                <w:sz w:val="18"/>
                <w:szCs w:val="18"/>
              </w:rPr>
              <w:t>По-голям брой трансгранични мрежи в областта на устойчивия туризъм</w:t>
            </w:r>
          </w:p>
          <w:p w:rsidR="00A85EB3" w:rsidRDefault="00B07D03">
            <w:pPr>
              <w:tabs>
                <w:tab w:val="left" w:pos="720"/>
              </w:tabs>
              <w:spacing w:before="0" w:after="0"/>
              <w:rPr>
                <w:rFonts w:eastAsia="Times New Roman"/>
                <w:b/>
                <w:sz w:val="18"/>
                <w:szCs w:val="18"/>
                <w:lang w:val="en-US"/>
              </w:rPr>
            </w:pPr>
            <w:r>
              <w:rPr>
                <w:i/>
                <w:sz w:val="18"/>
                <w:szCs w:val="18"/>
              </w:rPr>
              <w:t>(количествена цел)</w:t>
            </w:r>
          </w:p>
        </w:tc>
        <w:tc>
          <w:tcPr>
            <w:tcW w:w="321" w:type="pct"/>
            <w:tcBorders>
              <w:top w:val="single" w:sz="4" w:space="0" w:color="auto"/>
              <w:left w:val="single" w:sz="4" w:space="0" w:color="auto"/>
              <w:bottom w:val="single" w:sz="4" w:space="0" w:color="auto"/>
              <w:right w:val="single" w:sz="4" w:space="0" w:color="auto"/>
            </w:tcBorders>
          </w:tcPr>
          <w:p w:rsidR="00A85EB3" w:rsidRDefault="00A85EB3">
            <w:pPr>
              <w:snapToGrid w:val="0"/>
              <w:spacing w:before="0" w:after="0"/>
              <w:jc w:val="center"/>
              <w:rPr>
                <w:rFonts w:eastAsia="Times New Roman"/>
                <w:b/>
                <w:sz w:val="18"/>
                <w:szCs w:val="18"/>
                <w:lang w:val="en-US"/>
              </w:rPr>
            </w:pPr>
          </w:p>
          <w:p w:rsidR="00A85EB3" w:rsidRDefault="00A85EB3">
            <w:pPr>
              <w:snapToGrid w:val="0"/>
              <w:spacing w:before="0" w:after="0"/>
              <w:jc w:val="center"/>
              <w:rPr>
                <w:rFonts w:eastAsia="Times New Roman"/>
                <w:b/>
                <w:sz w:val="18"/>
                <w:szCs w:val="18"/>
                <w:lang w:val="en-US"/>
              </w:rPr>
            </w:pPr>
          </w:p>
          <w:p w:rsidR="00A85EB3" w:rsidRDefault="00A85EB3">
            <w:pPr>
              <w:snapToGrid w:val="0"/>
              <w:spacing w:before="0" w:after="0"/>
              <w:jc w:val="center"/>
              <w:rPr>
                <w:rFonts w:eastAsia="Times New Roman"/>
                <w:b/>
                <w:sz w:val="18"/>
                <w:szCs w:val="18"/>
                <w:lang w:val="en-US"/>
              </w:rPr>
            </w:pPr>
          </w:p>
          <w:p w:rsidR="00A85EB3" w:rsidRDefault="00B07D03">
            <w:pPr>
              <w:snapToGrid w:val="0"/>
              <w:spacing w:before="0" w:after="0"/>
              <w:jc w:val="center"/>
              <w:rPr>
                <w:rFonts w:eastAsia="Times New Roman"/>
                <w:b/>
                <w:sz w:val="18"/>
                <w:szCs w:val="18"/>
                <w:lang w:val="en-US"/>
              </w:rPr>
            </w:pPr>
            <w:r>
              <w:rPr>
                <w:rFonts w:eastAsia="Times New Roman"/>
                <w:b/>
                <w:sz w:val="18"/>
                <w:szCs w:val="18"/>
              </w:rPr>
              <w:t>%</w:t>
            </w:r>
          </w:p>
        </w:tc>
        <w:tc>
          <w:tcPr>
            <w:tcW w:w="533" w:type="pct"/>
            <w:tcBorders>
              <w:top w:val="single" w:sz="4" w:space="0" w:color="auto"/>
              <w:left w:val="single" w:sz="4" w:space="0" w:color="auto"/>
              <w:bottom w:val="single" w:sz="4" w:space="0" w:color="auto"/>
              <w:right w:val="single" w:sz="4" w:space="0" w:color="auto"/>
            </w:tcBorders>
          </w:tcPr>
          <w:p w:rsidR="00A85EB3" w:rsidRDefault="00A85EB3">
            <w:pPr>
              <w:tabs>
                <w:tab w:val="left" w:pos="720"/>
              </w:tabs>
              <w:spacing w:before="0" w:after="0"/>
              <w:jc w:val="center"/>
              <w:rPr>
                <w:rFonts w:eastAsia="Times New Roman"/>
                <w:b/>
                <w:sz w:val="18"/>
                <w:szCs w:val="18"/>
                <w:lang w:val="en-US"/>
              </w:rPr>
            </w:pPr>
          </w:p>
          <w:p w:rsidR="00A85EB3" w:rsidRDefault="00A85EB3">
            <w:pPr>
              <w:tabs>
                <w:tab w:val="left" w:pos="720"/>
              </w:tabs>
              <w:spacing w:before="0" w:after="0"/>
              <w:jc w:val="center"/>
              <w:rPr>
                <w:rFonts w:eastAsia="Times New Roman"/>
                <w:b/>
                <w:sz w:val="18"/>
                <w:szCs w:val="18"/>
                <w:lang w:val="en-US"/>
              </w:rPr>
            </w:pPr>
          </w:p>
          <w:p w:rsidR="00A85EB3" w:rsidRDefault="00A85EB3">
            <w:pPr>
              <w:tabs>
                <w:tab w:val="left" w:pos="720"/>
              </w:tabs>
              <w:spacing w:before="0" w:after="0"/>
              <w:jc w:val="center"/>
              <w:rPr>
                <w:rFonts w:eastAsia="Times New Roman"/>
                <w:b/>
                <w:sz w:val="18"/>
                <w:szCs w:val="18"/>
                <w:lang w:val="en-US"/>
              </w:rPr>
            </w:pPr>
          </w:p>
          <w:p w:rsidR="00A85EB3" w:rsidRDefault="00B07D03">
            <w:pPr>
              <w:tabs>
                <w:tab w:val="left" w:pos="720"/>
              </w:tabs>
              <w:spacing w:before="0" w:after="0"/>
              <w:jc w:val="center"/>
              <w:rPr>
                <w:rFonts w:eastAsia="Times New Roman"/>
                <w:sz w:val="18"/>
                <w:szCs w:val="18"/>
                <w:lang w:val="en-US"/>
              </w:rPr>
            </w:pPr>
            <w:r>
              <w:rPr>
                <w:rFonts w:eastAsia="Times New Roman"/>
                <w:sz w:val="18"/>
                <w:szCs w:val="18"/>
              </w:rPr>
              <w:t>46</w:t>
            </w:r>
          </w:p>
        </w:tc>
        <w:tc>
          <w:tcPr>
            <w:tcW w:w="533" w:type="pct"/>
            <w:tcBorders>
              <w:top w:val="single" w:sz="4" w:space="0" w:color="auto"/>
              <w:left w:val="single" w:sz="4" w:space="0" w:color="auto"/>
              <w:bottom w:val="single" w:sz="4" w:space="0" w:color="auto"/>
              <w:right w:val="single" w:sz="4" w:space="0" w:color="auto"/>
            </w:tcBorders>
          </w:tcPr>
          <w:p w:rsidR="00A85EB3" w:rsidRDefault="00A85EB3">
            <w:pPr>
              <w:snapToGrid w:val="0"/>
              <w:spacing w:before="0" w:after="0"/>
              <w:jc w:val="center"/>
              <w:rPr>
                <w:rFonts w:eastAsia="Times New Roman"/>
                <w:sz w:val="18"/>
                <w:szCs w:val="18"/>
                <w:lang w:val="en-US"/>
              </w:rPr>
            </w:pPr>
          </w:p>
          <w:p w:rsidR="00A85EB3" w:rsidRDefault="00A85EB3">
            <w:pPr>
              <w:snapToGrid w:val="0"/>
              <w:spacing w:before="0" w:after="0"/>
              <w:jc w:val="center"/>
              <w:rPr>
                <w:rFonts w:eastAsia="Times New Roman"/>
                <w:sz w:val="18"/>
                <w:szCs w:val="18"/>
                <w:lang w:val="en-US"/>
              </w:rPr>
            </w:pPr>
          </w:p>
          <w:p w:rsidR="00A85EB3" w:rsidRDefault="00A85EB3">
            <w:pPr>
              <w:snapToGrid w:val="0"/>
              <w:spacing w:before="0" w:after="0"/>
              <w:jc w:val="center"/>
              <w:rPr>
                <w:rFonts w:eastAsia="Times New Roman"/>
                <w:sz w:val="18"/>
                <w:szCs w:val="18"/>
                <w:lang w:val="en-US"/>
              </w:rPr>
            </w:pPr>
          </w:p>
          <w:p w:rsidR="00A85EB3" w:rsidRDefault="00B07D03">
            <w:pPr>
              <w:snapToGrid w:val="0"/>
              <w:spacing w:before="0" w:after="0"/>
              <w:jc w:val="center"/>
              <w:rPr>
                <w:rFonts w:eastAsia="Times New Roman"/>
                <w:sz w:val="18"/>
                <w:szCs w:val="18"/>
                <w:lang w:val="en-US"/>
              </w:rPr>
            </w:pPr>
            <w:r>
              <w:rPr>
                <w:rFonts w:eastAsia="Times New Roman"/>
                <w:sz w:val="18"/>
                <w:szCs w:val="18"/>
              </w:rPr>
              <w:t>2013</w:t>
            </w:r>
          </w:p>
        </w:tc>
        <w:tc>
          <w:tcPr>
            <w:tcW w:w="473" w:type="pct"/>
            <w:tcBorders>
              <w:top w:val="single" w:sz="4" w:space="0" w:color="auto"/>
              <w:left w:val="single" w:sz="4" w:space="0" w:color="auto"/>
              <w:bottom w:val="single" w:sz="4" w:space="0" w:color="auto"/>
              <w:right w:val="single" w:sz="4" w:space="0" w:color="auto"/>
            </w:tcBorders>
          </w:tcPr>
          <w:p w:rsidR="00A85EB3" w:rsidRDefault="00A85EB3">
            <w:pPr>
              <w:tabs>
                <w:tab w:val="left" w:pos="720"/>
              </w:tabs>
              <w:spacing w:before="0" w:after="0"/>
              <w:jc w:val="center"/>
              <w:rPr>
                <w:rFonts w:eastAsia="Times New Roman"/>
                <w:b/>
                <w:sz w:val="18"/>
                <w:szCs w:val="18"/>
                <w:lang w:val="en-US"/>
              </w:rPr>
            </w:pPr>
          </w:p>
          <w:p w:rsidR="00A85EB3" w:rsidRDefault="00B07D03">
            <w:pPr>
              <w:tabs>
                <w:tab w:val="left" w:pos="720"/>
              </w:tabs>
              <w:spacing w:before="0" w:after="0"/>
              <w:jc w:val="center"/>
              <w:rPr>
                <w:rFonts w:eastAsia="Times New Roman"/>
                <w:sz w:val="18"/>
                <w:szCs w:val="18"/>
                <w:lang w:val="en-US"/>
              </w:rPr>
            </w:pPr>
            <w:r>
              <w:rPr>
                <w:rFonts w:eastAsia="Times New Roman"/>
                <w:sz w:val="18"/>
                <w:szCs w:val="18"/>
              </w:rPr>
              <w:t xml:space="preserve">Увеличение с най-малко </w:t>
            </w:r>
          </w:p>
          <w:p w:rsidR="00A85EB3" w:rsidRDefault="00B07D03">
            <w:pPr>
              <w:pStyle w:val="ListParagraph"/>
              <w:autoSpaceDE w:val="0"/>
              <w:autoSpaceDN w:val="0"/>
              <w:adjustRightInd w:val="0"/>
              <w:spacing w:after="0"/>
              <w:ind w:left="0"/>
              <w:jc w:val="center"/>
              <w:rPr>
                <w:sz w:val="18"/>
                <w:szCs w:val="18"/>
                <w:lang w:val="en-US"/>
              </w:rPr>
            </w:pPr>
            <w:r>
              <w:rPr>
                <w:sz w:val="18"/>
                <w:szCs w:val="18"/>
              </w:rPr>
              <w:t>30%</w:t>
            </w:r>
          </w:p>
          <w:p w:rsidR="00A85EB3" w:rsidRDefault="00A85EB3">
            <w:pPr>
              <w:tabs>
                <w:tab w:val="left" w:pos="720"/>
              </w:tabs>
              <w:spacing w:before="0" w:after="0"/>
              <w:jc w:val="center"/>
              <w:rPr>
                <w:rFonts w:eastAsia="Times New Roman"/>
                <w:b/>
                <w:sz w:val="18"/>
                <w:szCs w:val="18"/>
                <w:lang w:val="en-US"/>
              </w:rPr>
            </w:pPr>
          </w:p>
        </w:tc>
        <w:tc>
          <w:tcPr>
            <w:tcW w:w="1368" w:type="pct"/>
            <w:tcBorders>
              <w:top w:val="single" w:sz="4" w:space="0" w:color="auto"/>
              <w:left w:val="single" w:sz="4" w:space="0" w:color="auto"/>
              <w:bottom w:val="single" w:sz="4" w:space="0" w:color="auto"/>
              <w:right w:val="single" w:sz="4" w:space="0" w:color="auto"/>
            </w:tcBorders>
          </w:tcPr>
          <w:p w:rsidR="00A85EB3" w:rsidRDefault="00B07D03">
            <w:pPr>
              <w:keepNext/>
              <w:widowControl w:val="0"/>
              <w:overflowPunct w:val="0"/>
              <w:autoSpaceDE w:val="0"/>
              <w:autoSpaceDN w:val="0"/>
              <w:adjustRightInd w:val="0"/>
              <w:spacing w:before="0" w:after="0"/>
              <w:jc w:val="center"/>
              <w:textAlignment w:val="baseline"/>
              <w:rPr>
                <w:rFonts w:eastAsia="Times New Roman"/>
                <w:sz w:val="18"/>
                <w:szCs w:val="18"/>
                <w:u w:val="single"/>
                <w:lang w:val="en-US" w:eastAsia="en-US"/>
              </w:rPr>
            </w:pPr>
            <w:r>
              <w:rPr>
                <w:rFonts w:eastAsia="Times New Roman"/>
                <w:sz w:val="18"/>
                <w:szCs w:val="18"/>
                <w:u w:val="single"/>
                <w:lang w:eastAsia="en-US"/>
              </w:rPr>
              <w:t>Базова стойност:</w:t>
            </w:r>
          </w:p>
          <w:p w:rsidR="00A85EB3" w:rsidRDefault="00B07D03">
            <w:pPr>
              <w:keepNext/>
              <w:widowControl w:val="0"/>
              <w:overflowPunct w:val="0"/>
              <w:autoSpaceDE w:val="0"/>
              <w:autoSpaceDN w:val="0"/>
              <w:adjustRightInd w:val="0"/>
              <w:spacing w:before="0" w:after="0"/>
              <w:jc w:val="center"/>
              <w:textAlignment w:val="baseline"/>
              <w:rPr>
                <w:rFonts w:eastAsia="Times New Roman"/>
                <w:sz w:val="18"/>
                <w:szCs w:val="18"/>
                <w:lang w:val="en-US" w:eastAsia="en-US"/>
              </w:rPr>
            </w:pPr>
            <w:r>
              <w:rPr>
                <w:rFonts w:eastAsia="Times New Roman"/>
                <w:sz w:val="18"/>
                <w:szCs w:val="18"/>
                <w:lang w:eastAsia="en-US"/>
              </w:rPr>
              <w:t>Изпълнение на програма ФАР</w:t>
            </w:r>
          </w:p>
          <w:p w:rsidR="00A85EB3" w:rsidRDefault="00B07D03">
            <w:pPr>
              <w:keepNext/>
              <w:widowControl w:val="0"/>
              <w:overflowPunct w:val="0"/>
              <w:autoSpaceDE w:val="0"/>
              <w:autoSpaceDN w:val="0"/>
              <w:adjustRightInd w:val="0"/>
              <w:spacing w:before="0" w:after="0"/>
              <w:jc w:val="center"/>
              <w:textAlignment w:val="baseline"/>
              <w:rPr>
                <w:rFonts w:eastAsia="Times New Roman"/>
                <w:sz w:val="18"/>
                <w:szCs w:val="18"/>
                <w:lang w:val="en-US" w:eastAsia="nl-NL"/>
              </w:rPr>
            </w:pPr>
            <w:r>
              <w:rPr>
                <w:rFonts w:eastAsia="Times New Roman"/>
                <w:sz w:val="18"/>
                <w:szCs w:val="18"/>
                <w:lang w:eastAsia="nl-NL"/>
              </w:rPr>
              <w:t xml:space="preserve">Доклади за напредъка и Годишни доклади за изпълнението </w:t>
            </w:r>
          </w:p>
          <w:p w:rsidR="00A85EB3" w:rsidRDefault="00B07D03">
            <w:pPr>
              <w:keepNext/>
              <w:widowControl w:val="0"/>
              <w:overflowPunct w:val="0"/>
              <w:autoSpaceDE w:val="0"/>
              <w:autoSpaceDN w:val="0"/>
              <w:adjustRightInd w:val="0"/>
              <w:spacing w:before="0" w:after="0"/>
              <w:jc w:val="center"/>
              <w:textAlignment w:val="baseline"/>
              <w:rPr>
                <w:rFonts w:eastAsia="Times New Roman"/>
                <w:sz w:val="18"/>
                <w:szCs w:val="18"/>
                <w:lang w:val="en-US" w:eastAsia="nl-NL"/>
              </w:rPr>
            </w:pPr>
            <w:r>
              <w:rPr>
                <w:rFonts w:eastAsia="Times New Roman"/>
                <w:sz w:val="18"/>
                <w:szCs w:val="18"/>
                <w:lang w:eastAsia="nl-NL"/>
              </w:rPr>
              <w:t>на ТГС по ИПП България – Турция 2007–2013 г.</w:t>
            </w:r>
          </w:p>
          <w:p w:rsidR="00A85EB3" w:rsidRDefault="00B07D03">
            <w:pPr>
              <w:keepNext/>
              <w:widowControl w:val="0"/>
              <w:overflowPunct w:val="0"/>
              <w:autoSpaceDE w:val="0"/>
              <w:autoSpaceDN w:val="0"/>
              <w:adjustRightInd w:val="0"/>
              <w:spacing w:before="0" w:after="0"/>
              <w:jc w:val="center"/>
              <w:textAlignment w:val="baseline"/>
              <w:rPr>
                <w:rFonts w:eastAsia="Times New Roman"/>
                <w:sz w:val="18"/>
                <w:szCs w:val="18"/>
                <w:u w:val="single"/>
                <w:lang w:val="en-US" w:eastAsia="en-US"/>
              </w:rPr>
            </w:pPr>
            <w:r>
              <w:rPr>
                <w:rFonts w:eastAsia="Times New Roman"/>
                <w:sz w:val="18"/>
                <w:szCs w:val="18"/>
                <w:u w:val="single"/>
                <w:lang w:eastAsia="en-US"/>
              </w:rPr>
              <w:t>Постигнати резултати:</w:t>
            </w:r>
          </w:p>
          <w:p w:rsidR="00A85EB3" w:rsidRDefault="00B07D03">
            <w:pPr>
              <w:spacing w:before="0" w:after="0"/>
              <w:jc w:val="center"/>
              <w:rPr>
                <w:rFonts w:eastAsia="Times New Roman"/>
                <w:sz w:val="18"/>
                <w:szCs w:val="18"/>
                <w:lang w:val="en-US" w:eastAsia="nl-NL"/>
              </w:rPr>
            </w:pPr>
            <w:r>
              <w:rPr>
                <w:rFonts w:eastAsia="Times New Roman"/>
                <w:sz w:val="18"/>
                <w:szCs w:val="18"/>
                <w:lang w:eastAsia="nl-NL"/>
              </w:rPr>
              <w:t xml:space="preserve">Доклади за напредъка и Годишни доклади за изпълнението </w:t>
            </w:r>
          </w:p>
          <w:p w:rsidR="00A85EB3" w:rsidRDefault="00B07D03">
            <w:pPr>
              <w:spacing w:before="0" w:after="0"/>
              <w:jc w:val="center"/>
              <w:rPr>
                <w:rFonts w:eastAsia="Times New Roman"/>
                <w:b/>
                <w:sz w:val="18"/>
                <w:szCs w:val="18"/>
                <w:lang w:val="en-US"/>
              </w:rPr>
            </w:pPr>
            <w:r>
              <w:rPr>
                <w:rFonts w:eastAsia="Times New Roman"/>
                <w:sz w:val="18"/>
                <w:szCs w:val="18"/>
              </w:rPr>
              <w:t>на ТГС по ИПП България – Турция 2014–2020 г.</w:t>
            </w:r>
          </w:p>
        </w:tc>
        <w:tc>
          <w:tcPr>
            <w:tcW w:w="350" w:type="pct"/>
            <w:tcBorders>
              <w:top w:val="single" w:sz="4" w:space="0" w:color="auto"/>
              <w:left w:val="single" w:sz="4" w:space="0" w:color="auto"/>
              <w:bottom w:val="single" w:sz="4" w:space="0" w:color="auto"/>
              <w:right w:val="single" w:sz="4" w:space="0" w:color="auto"/>
            </w:tcBorders>
          </w:tcPr>
          <w:p w:rsidR="00A85EB3" w:rsidRDefault="00A85EB3">
            <w:pPr>
              <w:spacing w:before="0" w:after="0"/>
              <w:jc w:val="center"/>
              <w:rPr>
                <w:rFonts w:eastAsia="Times New Roman"/>
                <w:sz w:val="18"/>
                <w:szCs w:val="18"/>
                <w:lang w:val="en-US"/>
              </w:rPr>
            </w:pPr>
          </w:p>
          <w:p w:rsidR="00A85EB3" w:rsidRDefault="00A85EB3">
            <w:pPr>
              <w:spacing w:before="0" w:after="0"/>
              <w:jc w:val="center"/>
              <w:rPr>
                <w:rFonts w:eastAsia="Times New Roman"/>
                <w:sz w:val="18"/>
                <w:szCs w:val="18"/>
                <w:lang w:val="en-US"/>
              </w:rPr>
            </w:pPr>
          </w:p>
          <w:p w:rsidR="00A85EB3" w:rsidRDefault="00B07D03">
            <w:pPr>
              <w:spacing w:before="0" w:after="0"/>
              <w:jc w:val="center"/>
              <w:rPr>
                <w:rFonts w:eastAsia="Times New Roman"/>
                <w:sz w:val="18"/>
                <w:szCs w:val="18"/>
                <w:lang w:val="en-US"/>
              </w:rPr>
            </w:pPr>
            <w:r>
              <w:rPr>
                <w:rFonts w:eastAsia="Times New Roman"/>
                <w:sz w:val="18"/>
                <w:szCs w:val="18"/>
              </w:rPr>
              <w:t>2018</w:t>
            </w:r>
          </w:p>
          <w:p w:rsidR="00A85EB3" w:rsidRDefault="00B07D03">
            <w:pPr>
              <w:spacing w:before="0" w:after="0"/>
              <w:jc w:val="center"/>
              <w:rPr>
                <w:rFonts w:eastAsia="Times New Roman"/>
                <w:b/>
                <w:sz w:val="18"/>
                <w:szCs w:val="18"/>
                <w:lang w:val="en-US"/>
              </w:rPr>
            </w:pPr>
            <w:r>
              <w:rPr>
                <w:rFonts w:eastAsia="Times New Roman"/>
                <w:sz w:val="18"/>
                <w:szCs w:val="18"/>
              </w:rPr>
              <w:t>2023</w:t>
            </w:r>
          </w:p>
        </w:tc>
      </w:tr>
    </w:tbl>
    <w:p w:rsidR="00A85EB3" w:rsidRDefault="00A85EB3">
      <w:pPr>
        <w:suppressAutoHyphens/>
        <w:spacing w:after="240"/>
        <w:rPr>
          <w:rFonts w:eastAsia="Times New Roman"/>
          <w:b/>
          <w:lang w:val="en-US"/>
        </w:rPr>
        <w:sectPr w:rsidR="00A85EB3" w:rsidSect="006A4BDD">
          <w:headerReference w:type="default" r:id="rId39"/>
          <w:footerReference w:type="default" r:id="rId40"/>
          <w:headerReference w:type="first" r:id="rId41"/>
          <w:footerReference w:type="first" r:id="rId42"/>
          <w:pgSz w:w="16838" w:h="11906" w:orient="landscape"/>
          <w:pgMar w:top="1418" w:right="1021" w:bottom="1418" w:left="1021" w:header="601" w:footer="1077" w:gutter="0"/>
          <w:cols w:space="720"/>
          <w:docGrid w:linePitch="326"/>
        </w:sectPr>
      </w:pPr>
    </w:p>
    <w:p w:rsidR="00A85EB3" w:rsidRDefault="00B07D03">
      <w:pPr>
        <w:pStyle w:val="Heading4"/>
        <w:numPr>
          <w:ilvl w:val="0"/>
          <w:numId w:val="0"/>
        </w:numPr>
        <w:ind w:left="850" w:hanging="850"/>
        <w:rPr>
          <w:b/>
          <w:i/>
          <w:lang w:val="en-US"/>
        </w:rPr>
      </w:pPr>
      <w:r>
        <w:rPr>
          <w:b/>
          <w:i/>
        </w:rPr>
        <w:lastRenderedPageBreak/>
        <w:t>2.</w:t>
      </w:r>
      <w:proofErr w:type="spellStart"/>
      <w:r>
        <w:rPr>
          <w:b/>
          <w:i/>
        </w:rPr>
        <w:t>2</w:t>
      </w:r>
      <w:proofErr w:type="spellEnd"/>
      <w:r>
        <w:rPr>
          <w:b/>
          <w:i/>
        </w:rPr>
        <w:t>.6.2. Показатели за работа по Приоритетната ос (общи или специфични за програмата)</w:t>
      </w:r>
    </w:p>
    <w:p w:rsidR="00A85EB3" w:rsidRDefault="00B07D03">
      <w:pPr>
        <w:spacing w:after="0"/>
        <w:rPr>
          <w:rFonts w:eastAsia="Times New Roman"/>
          <w:b/>
        </w:rPr>
      </w:pPr>
      <w:r>
        <w:rPr>
          <w:rFonts w:eastAsia="Times New Roman"/>
          <w:b/>
        </w:rPr>
        <w:t xml:space="preserve">Таблица 4: Общи показатели за работа и показатели за работа за конкретната програма </w:t>
      </w:r>
    </w:p>
    <w:tbl>
      <w:tblPr>
        <w:tblW w:w="15310"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93"/>
        <w:gridCol w:w="5103"/>
        <w:gridCol w:w="2126"/>
        <w:gridCol w:w="1701"/>
        <w:gridCol w:w="3686"/>
        <w:gridCol w:w="1701"/>
      </w:tblGrid>
      <w:tr w:rsidR="00250B3C" w:rsidRPr="00981F6F" w:rsidTr="00D04BDB">
        <w:trPr>
          <w:tblHeader/>
        </w:trPr>
        <w:tc>
          <w:tcPr>
            <w:tcW w:w="993" w:type="dxa"/>
            <w:shd w:val="clear" w:color="auto" w:fill="auto"/>
          </w:tcPr>
          <w:p w:rsidR="00A85EB3" w:rsidRDefault="00B07D03">
            <w:pPr>
              <w:widowControl w:val="0"/>
              <w:overflowPunct w:val="0"/>
              <w:autoSpaceDE w:val="0"/>
              <w:autoSpaceDN w:val="0"/>
              <w:adjustRightInd w:val="0"/>
              <w:spacing w:before="60" w:after="60"/>
              <w:jc w:val="center"/>
              <w:textAlignment w:val="baseline"/>
              <w:rPr>
                <w:rFonts w:eastAsia="Times New Roman"/>
                <w:b/>
                <w:spacing w:val="20"/>
                <w:sz w:val="18"/>
                <w:szCs w:val="18"/>
                <w:lang w:val="en-US" w:eastAsia="en-US"/>
              </w:rPr>
            </w:pPr>
            <w:r>
              <w:rPr>
                <w:rFonts w:eastAsia="Times New Roman"/>
                <w:b/>
                <w:spacing w:val="20"/>
                <w:sz w:val="18"/>
                <w:szCs w:val="18"/>
                <w:lang w:eastAsia="en-US"/>
              </w:rPr>
              <w:t>№</w:t>
            </w:r>
          </w:p>
        </w:tc>
        <w:tc>
          <w:tcPr>
            <w:tcW w:w="5103" w:type="dxa"/>
            <w:shd w:val="clear" w:color="auto" w:fill="auto"/>
          </w:tcPr>
          <w:p w:rsidR="00A85EB3" w:rsidRDefault="00B07D03">
            <w:pPr>
              <w:widowControl w:val="0"/>
              <w:overflowPunct w:val="0"/>
              <w:autoSpaceDE w:val="0"/>
              <w:autoSpaceDN w:val="0"/>
              <w:adjustRightInd w:val="0"/>
              <w:spacing w:before="60" w:after="60"/>
              <w:jc w:val="center"/>
              <w:textAlignment w:val="baseline"/>
              <w:rPr>
                <w:rFonts w:eastAsia="Times New Roman"/>
                <w:b/>
                <w:spacing w:val="20"/>
                <w:sz w:val="18"/>
                <w:szCs w:val="18"/>
                <w:lang w:val="en-US" w:eastAsia="en-US"/>
              </w:rPr>
            </w:pPr>
            <w:r>
              <w:rPr>
                <w:rFonts w:eastAsia="Times New Roman"/>
                <w:b/>
                <w:spacing w:val="20"/>
                <w:sz w:val="18"/>
                <w:szCs w:val="18"/>
                <w:lang w:eastAsia="en-US"/>
              </w:rPr>
              <w:t>Показател (наименование на показателя)</w:t>
            </w:r>
          </w:p>
        </w:tc>
        <w:tc>
          <w:tcPr>
            <w:tcW w:w="2126" w:type="dxa"/>
            <w:shd w:val="clear" w:color="auto" w:fill="auto"/>
          </w:tcPr>
          <w:p w:rsidR="00A85EB3" w:rsidRDefault="00B07D03">
            <w:pPr>
              <w:widowControl w:val="0"/>
              <w:overflowPunct w:val="0"/>
              <w:autoSpaceDE w:val="0"/>
              <w:autoSpaceDN w:val="0"/>
              <w:adjustRightInd w:val="0"/>
              <w:spacing w:before="60" w:after="60"/>
              <w:jc w:val="center"/>
              <w:textAlignment w:val="baseline"/>
              <w:rPr>
                <w:rFonts w:eastAsia="Times New Roman"/>
                <w:b/>
                <w:spacing w:val="20"/>
                <w:sz w:val="18"/>
                <w:szCs w:val="18"/>
                <w:lang w:val="en-US" w:eastAsia="en-US"/>
              </w:rPr>
            </w:pPr>
            <w:r>
              <w:rPr>
                <w:rFonts w:eastAsia="Times New Roman"/>
                <w:b/>
                <w:spacing w:val="20"/>
                <w:sz w:val="18"/>
                <w:szCs w:val="18"/>
                <w:lang w:eastAsia="en-US"/>
              </w:rPr>
              <w:t>Единица за измерване</w:t>
            </w:r>
          </w:p>
        </w:tc>
        <w:tc>
          <w:tcPr>
            <w:tcW w:w="1701" w:type="dxa"/>
            <w:shd w:val="clear" w:color="auto" w:fill="auto"/>
          </w:tcPr>
          <w:p w:rsidR="00A85EB3" w:rsidRDefault="00B07D03">
            <w:pPr>
              <w:widowControl w:val="0"/>
              <w:overflowPunct w:val="0"/>
              <w:autoSpaceDE w:val="0"/>
              <w:autoSpaceDN w:val="0"/>
              <w:adjustRightInd w:val="0"/>
              <w:spacing w:before="60" w:after="60"/>
              <w:jc w:val="center"/>
              <w:textAlignment w:val="baseline"/>
              <w:rPr>
                <w:rFonts w:eastAsia="Times New Roman"/>
                <w:b/>
                <w:spacing w:val="20"/>
                <w:sz w:val="18"/>
                <w:szCs w:val="18"/>
                <w:lang w:val="en-US" w:eastAsia="en-US"/>
              </w:rPr>
            </w:pPr>
            <w:r>
              <w:rPr>
                <w:rFonts w:eastAsia="Times New Roman"/>
                <w:b/>
                <w:spacing w:val="20"/>
                <w:sz w:val="18"/>
                <w:szCs w:val="18"/>
                <w:lang w:eastAsia="en-US"/>
              </w:rPr>
              <w:t>Целеви показател (2023 г.)</w:t>
            </w:r>
          </w:p>
        </w:tc>
        <w:tc>
          <w:tcPr>
            <w:tcW w:w="3686" w:type="dxa"/>
            <w:shd w:val="clear" w:color="auto" w:fill="auto"/>
          </w:tcPr>
          <w:p w:rsidR="00A85EB3" w:rsidRDefault="00B07D03">
            <w:pPr>
              <w:widowControl w:val="0"/>
              <w:overflowPunct w:val="0"/>
              <w:autoSpaceDE w:val="0"/>
              <w:autoSpaceDN w:val="0"/>
              <w:adjustRightInd w:val="0"/>
              <w:spacing w:before="60" w:after="60"/>
              <w:jc w:val="center"/>
              <w:textAlignment w:val="baseline"/>
              <w:rPr>
                <w:rFonts w:eastAsia="Times New Roman"/>
                <w:b/>
                <w:spacing w:val="20"/>
                <w:sz w:val="18"/>
                <w:szCs w:val="18"/>
                <w:lang w:val="en-US" w:eastAsia="en-US"/>
              </w:rPr>
            </w:pPr>
            <w:r>
              <w:rPr>
                <w:rFonts w:eastAsia="Times New Roman"/>
                <w:b/>
                <w:spacing w:val="20"/>
                <w:sz w:val="18"/>
                <w:szCs w:val="18"/>
                <w:lang w:eastAsia="en-US"/>
              </w:rPr>
              <w:t>Източник на данни</w:t>
            </w:r>
          </w:p>
        </w:tc>
        <w:tc>
          <w:tcPr>
            <w:tcW w:w="1701" w:type="dxa"/>
            <w:shd w:val="clear" w:color="auto" w:fill="auto"/>
          </w:tcPr>
          <w:p w:rsidR="00A85EB3" w:rsidRDefault="00B07D03">
            <w:pPr>
              <w:widowControl w:val="0"/>
              <w:overflowPunct w:val="0"/>
              <w:autoSpaceDE w:val="0"/>
              <w:autoSpaceDN w:val="0"/>
              <w:adjustRightInd w:val="0"/>
              <w:spacing w:before="60" w:after="60"/>
              <w:jc w:val="center"/>
              <w:textAlignment w:val="baseline"/>
              <w:rPr>
                <w:rFonts w:eastAsia="Times New Roman"/>
                <w:b/>
                <w:spacing w:val="20"/>
                <w:sz w:val="18"/>
                <w:szCs w:val="18"/>
                <w:lang w:val="en-US" w:eastAsia="en-US"/>
              </w:rPr>
            </w:pPr>
            <w:r>
              <w:rPr>
                <w:rFonts w:eastAsia="Times New Roman"/>
                <w:b/>
                <w:spacing w:val="20"/>
                <w:sz w:val="18"/>
                <w:szCs w:val="18"/>
                <w:lang w:eastAsia="en-US"/>
              </w:rPr>
              <w:t>Честота на отчитане</w:t>
            </w:r>
          </w:p>
        </w:tc>
      </w:tr>
      <w:tr w:rsidR="00250B3C" w:rsidRPr="00981F6F" w:rsidTr="00D04BDB">
        <w:tc>
          <w:tcPr>
            <w:tcW w:w="993" w:type="dxa"/>
            <w:shd w:val="clear" w:color="auto" w:fill="auto"/>
            <w:vAlign w:val="center"/>
          </w:tcPr>
          <w:p w:rsidR="00A85EB3" w:rsidRDefault="00B07D03">
            <w:pPr>
              <w:keepNext/>
              <w:widowControl w:val="0"/>
              <w:overflowPunct w:val="0"/>
              <w:autoSpaceDE w:val="0"/>
              <w:autoSpaceDN w:val="0"/>
              <w:adjustRightInd w:val="0"/>
              <w:spacing w:before="60" w:after="60"/>
              <w:textAlignment w:val="baseline"/>
              <w:rPr>
                <w:rFonts w:eastAsia="Times New Roman"/>
                <w:b/>
                <w:sz w:val="18"/>
                <w:szCs w:val="18"/>
                <w:lang w:val="en-US" w:eastAsia="en-US"/>
              </w:rPr>
            </w:pPr>
            <w:r>
              <w:rPr>
                <w:rFonts w:eastAsia="Times New Roman"/>
                <w:b/>
                <w:sz w:val="18"/>
                <w:szCs w:val="18"/>
                <w:lang w:eastAsia="en-US"/>
              </w:rPr>
              <w:t>ПР–2.1-1</w:t>
            </w:r>
          </w:p>
        </w:tc>
        <w:tc>
          <w:tcPr>
            <w:tcW w:w="5103" w:type="dxa"/>
            <w:shd w:val="clear" w:color="auto" w:fill="auto"/>
          </w:tcPr>
          <w:p w:rsidR="00A85EB3" w:rsidRDefault="00B07D03">
            <w:pPr>
              <w:widowControl w:val="0"/>
              <w:tabs>
                <w:tab w:val="num" w:pos="459"/>
              </w:tabs>
              <w:spacing w:before="60" w:after="60"/>
              <w:rPr>
                <w:rFonts w:eastAsia="Times New Roman"/>
                <w:sz w:val="18"/>
                <w:szCs w:val="18"/>
                <w:lang w:val="en-US" w:eastAsia="en-US"/>
              </w:rPr>
            </w:pPr>
            <w:r>
              <w:rPr>
                <w:rFonts w:eastAsia="Times New Roman"/>
                <w:sz w:val="18"/>
                <w:szCs w:val="18"/>
                <w:lang w:eastAsia="en-US"/>
              </w:rPr>
              <w:t>Обща дължина на реконструираните или разширени пътища за достъп до природни, културни и исторически туристически обекти</w:t>
            </w:r>
          </w:p>
        </w:tc>
        <w:tc>
          <w:tcPr>
            <w:tcW w:w="2126" w:type="dxa"/>
            <w:shd w:val="clear" w:color="auto" w:fill="auto"/>
            <w:vAlign w:val="center"/>
          </w:tcPr>
          <w:p w:rsidR="00A85EB3" w:rsidRDefault="00B07D03">
            <w:pPr>
              <w:keepNext/>
              <w:widowControl w:val="0"/>
              <w:tabs>
                <w:tab w:val="num" w:pos="459"/>
              </w:tabs>
              <w:spacing w:before="60" w:after="60"/>
              <w:jc w:val="center"/>
              <w:rPr>
                <w:rFonts w:eastAsia="Times New Roman"/>
                <w:sz w:val="18"/>
                <w:szCs w:val="18"/>
                <w:lang w:val="en-US" w:eastAsia="en-US"/>
              </w:rPr>
            </w:pPr>
            <w:r>
              <w:rPr>
                <w:rFonts w:eastAsia="Times New Roman"/>
                <w:sz w:val="18"/>
                <w:szCs w:val="18"/>
                <w:lang w:eastAsia="en-US"/>
              </w:rPr>
              <w:t>километри</w:t>
            </w:r>
          </w:p>
        </w:tc>
        <w:tc>
          <w:tcPr>
            <w:tcW w:w="1701" w:type="dxa"/>
            <w:shd w:val="clear" w:color="auto" w:fill="auto"/>
            <w:vAlign w:val="center"/>
          </w:tcPr>
          <w:p w:rsidR="00A85EB3" w:rsidRDefault="00B07D03">
            <w:pPr>
              <w:keepNext/>
              <w:widowControl w:val="0"/>
              <w:spacing w:before="60" w:after="60"/>
              <w:jc w:val="center"/>
              <w:rPr>
                <w:rFonts w:eastAsia="Times New Roman"/>
                <w:sz w:val="18"/>
                <w:szCs w:val="18"/>
                <w:lang w:val="en-US" w:eastAsia="ar-SA"/>
              </w:rPr>
            </w:pPr>
            <w:r>
              <w:rPr>
                <w:rFonts w:eastAsia="Times New Roman"/>
                <w:sz w:val="18"/>
                <w:szCs w:val="18"/>
                <w:lang w:eastAsia="ar-SA"/>
              </w:rPr>
              <w:t>5</w:t>
            </w:r>
          </w:p>
        </w:tc>
        <w:tc>
          <w:tcPr>
            <w:tcW w:w="3686" w:type="dxa"/>
            <w:shd w:val="clear" w:color="auto" w:fill="auto"/>
          </w:tcPr>
          <w:p w:rsidR="00A85EB3" w:rsidRDefault="00B07D03">
            <w:pPr>
              <w:spacing w:before="0" w:after="0"/>
              <w:jc w:val="center"/>
              <w:rPr>
                <w:rFonts w:eastAsia="Times New Roman"/>
                <w:sz w:val="18"/>
                <w:szCs w:val="18"/>
                <w:lang w:val="en-US"/>
              </w:rPr>
            </w:pPr>
            <w:r>
              <w:rPr>
                <w:rFonts w:eastAsia="Times New Roman"/>
                <w:sz w:val="18"/>
                <w:szCs w:val="18"/>
              </w:rPr>
              <w:t>Доклади за напредъка и Годишни доклади за изпълнението</w:t>
            </w:r>
          </w:p>
        </w:tc>
        <w:tc>
          <w:tcPr>
            <w:tcW w:w="1701" w:type="dxa"/>
            <w:shd w:val="clear" w:color="auto" w:fill="auto"/>
            <w:vAlign w:val="center"/>
          </w:tcPr>
          <w:p w:rsidR="00A85EB3" w:rsidRDefault="00B07D03">
            <w:pPr>
              <w:keepNext/>
              <w:widowControl w:val="0"/>
              <w:overflowPunct w:val="0"/>
              <w:autoSpaceDE w:val="0"/>
              <w:autoSpaceDN w:val="0"/>
              <w:adjustRightInd w:val="0"/>
              <w:spacing w:before="60" w:after="60"/>
              <w:jc w:val="center"/>
              <w:textAlignment w:val="baseline"/>
              <w:rPr>
                <w:rFonts w:eastAsia="Times New Roman"/>
                <w:sz w:val="18"/>
                <w:szCs w:val="18"/>
                <w:lang w:val="en-US" w:eastAsia="en-US"/>
              </w:rPr>
            </w:pPr>
            <w:r>
              <w:rPr>
                <w:rFonts w:eastAsia="Times New Roman"/>
                <w:sz w:val="18"/>
                <w:szCs w:val="18"/>
                <w:lang w:eastAsia="en-US"/>
              </w:rPr>
              <w:t xml:space="preserve">Ежегодно </w:t>
            </w:r>
          </w:p>
        </w:tc>
      </w:tr>
      <w:tr w:rsidR="00250B3C" w:rsidRPr="00981F6F" w:rsidTr="00D04BDB">
        <w:tc>
          <w:tcPr>
            <w:tcW w:w="993" w:type="dxa"/>
            <w:shd w:val="clear" w:color="auto" w:fill="auto"/>
            <w:vAlign w:val="center"/>
          </w:tcPr>
          <w:p w:rsidR="00A85EB3" w:rsidRDefault="00B07D03">
            <w:pPr>
              <w:keepNext/>
              <w:widowControl w:val="0"/>
              <w:overflowPunct w:val="0"/>
              <w:autoSpaceDE w:val="0"/>
              <w:autoSpaceDN w:val="0"/>
              <w:adjustRightInd w:val="0"/>
              <w:spacing w:before="60" w:after="60"/>
              <w:textAlignment w:val="baseline"/>
              <w:rPr>
                <w:rFonts w:eastAsia="Times New Roman"/>
                <w:b/>
                <w:sz w:val="18"/>
                <w:szCs w:val="18"/>
                <w:lang w:val="en-US" w:eastAsia="en-US"/>
              </w:rPr>
            </w:pPr>
            <w:r>
              <w:rPr>
                <w:rFonts w:eastAsia="Times New Roman"/>
                <w:b/>
                <w:sz w:val="18"/>
                <w:szCs w:val="18"/>
                <w:lang w:eastAsia="en-US"/>
              </w:rPr>
              <w:t>ПР–2.1-2</w:t>
            </w:r>
          </w:p>
        </w:tc>
        <w:tc>
          <w:tcPr>
            <w:tcW w:w="5103" w:type="dxa"/>
            <w:shd w:val="clear" w:color="auto" w:fill="auto"/>
          </w:tcPr>
          <w:p w:rsidR="00A85EB3" w:rsidRDefault="00B07D03">
            <w:pPr>
              <w:widowControl w:val="0"/>
              <w:tabs>
                <w:tab w:val="num" w:pos="459"/>
              </w:tabs>
              <w:spacing w:before="60" w:after="60"/>
              <w:rPr>
                <w:rFonts w:eastAsia="Times New Roman"/>
                <w:sz w:val="18"/>
                <w:szCs w:val="18"/>
                <w:lang w:val="en-US" w:eastAsia="en-US"/>
              </w:rPr>
            </w:pPr>
            <w:r>
              <w:rPr>
                <w:rFonts w:eastAsia="Times New Roman"/>
                <w:sz w:val="18"/>
                <w:szCs w:val="18"/>
                <w:lang w:eastAsia="en-US"/>
              </w:rPr>
              <w:t xml:space="preserve">Обща дължина на </w:t>
            </w:r>
            <w:proofErr w:type="spellStart"/>
            <w:r>
              <w:rPr>
                <w:rFonts w:eastAsia="Times New Roman"/>
                <w:sz w:val="18"/>
                <w:szCs w:val="18"/>
                <w:lang w:eastAsia="en-US"/>
              </w:rPr>
              <w:t>новоизградените</w:t>
            </w:r>
            <w:proofErr w:type="spellEnd"/>
            <w:r>
              <w:rPr>
                <w:rFonts w:eastAsia="Times New Roman"/>
                <w:sz w:val="18"/>
                <w:szCs w:val="18"/>
                <w:lang w:eastAsia="en-US"/>
              </w:rPr>
              <w:t>, реконструирани или разширени велосипедни/пешеходни алеи</w:t>
            </w:r>
          </w:p>
        </w:tc>
        <w:tc>
          <w:tcPr>
            <w:tcW w:w="2126" w:type="dxa"/>
            <w:shd w:val="clear" w:color="auto" w:fill="auto"/>
            <w:vAlign w:val="center"/>
          </w:tcPr>
          <w:p w:rsidR="00A85EB3" w:rsidRDefault="00B07D03">
            <w:pPr>
              <w:keepNext/>
              <w:widowControl w:val="0"/>
              <w:tabs>
                <w:tab w:val="num" w:pos="459"/>
              </w:tabs>
              <w:spacing w:before="60" w:after="60"/>
              <w:jc w:val="center"/>
              <w:rPr>
                <w:rFonts w:eastAsia="Times New Roman"/>
                <w:sz w:val="18"/>
                <w:szCs w:val="18"/>
                <w:lang w:val="en-US" w:eastAsia="en-US"/>
              </w:rPr>
            </w:pPr>
            <w:r>
              <w:rPr>
                <w:rFonts w:eastAsia="Times New Roman"/>
                <w:sz w:val="18"/>
                <w:szCs w:val="18"/>
                <w:lang w:eastAsia="en-US"/>
              </w:rPr>
              <w:t>километри</w:t>
            </w:r>
          </w:p>
        </w:tc>
        <w:tc>
          <w:tcPr>
            <w:tcW w:w="1701" w:type="dxa"/>
            <w:shd w:val="clear" w:color="auto" w:fill="auto"/>
            <w:vAlign w:val="center"/>
          </w:tcPr>
          <w:p w:rsidR="00A85EB3" w:rsidRDefault="00B07D03">
            <w:pPr>
              <w:keepNext/>
              <w:widowControl w:val="0"/>
              <w:spacing w:before="60" w:after="60"/>
              <w:jc w:val="center"/>
              <w:rPr>
                <w:rFonts w:eastAsia="Times New Roman"/>
                <w:sz w:val="18"/>
                <w:szCs w:val="18"/>
                <w:lang w:val="en-US" w:eastAsia="ar-SA"/>
              </w:rPr>
            </w:pPr>
            <w:r>
              <w:rPr>
                <w:rFonts w:eastAsia="Times New Roman"/>
                <w:sz w:val="18"/>
                <w:szCs w:val="18"/>
                <w:lang w:eastAsia="ar-SA"/>
              </w:rPr>
              <w:t>8</w:t>
            </w:r>
          </w:p>
        </w:tc>
        <w:tc>
          <w:tcPr>
            <w:tcW w:w="3686" w:type="dxa"/>
            <w:shd w:val="clear" w:color="auto" w:fill="auto"/>
          </w:tcPr>
          <w:p w:rsidR="00A85EB3" w:rsidRDefault="00B07D03">
            <w:pPr>
              <w:spacing w:before="0" w:after="0"/>
              <w:jc w:val="center"/>
              <w:rPr>
                <w:rFonts w:eastAsia="Times New Roman"/>
                <w:sz w:val="18"/>
                <w:szCs w:val="18"/>
                <w:lang w:val="en-US"/>
              </w:rPr>
            </w:pPr>
            <w:r>
              <w:rPr>
                <w:rFonts w:eastAsia="Times New Roman"/>
                <w:sz w:val="18"/>
                <w:szCs w:val="18"/>
              </w:rPr>
              <w:t>Доклади за напредъка и Годишни доклади за изпълнението</w:t>
            </w:r>
          </w:p>
        </w:tc>
        <w:tc>
          <w:tcPr>
            <w:tcW w:w="1701" w:type="dxa"/>
            <w:shd w:val="clear" w:color="auto" w:fill="auto"/>
            <w:vAlign w:val="center"/>
          </w:tcPr>
          <w:p w:rsidR="00A85EB3" w:rsidRDefault="00B07D03">
            <w:pPr>
              <w:keepNext/>
              <w:widowControl w:val="0"/>
              <w:overflowPunct w:val="0"/>
              <w:autoSpaceDE w:val="0"/>
              <w:autoSpaceDN w:val="0"/>
              <w:adjustRightInd w:val="0"/>
              <w:spacing w:before="60" w:after="60"/>
              <w:jc w:val="center"/>
              <w:textAlignment w:val="baseline"/>
              <w:rPr>
                <w:rFonts w:eastAsia="Times New Roman"/>
                <w:sz w:val="18"/>
                <w:szCs w:val="18"/>
                <w:lang w:val="en-US" w:eastAsia="en-US"/>
              </w:rPr>
            </w:pPr>
            <w:r>
              <w:rPr>
                <w:rFonts w:eastAsia="Times New Roman"/>
                <w:sz w:val="18"/>
                <w:szCs w:val="18"/>
                <w:lang w:eastAsia="en-US"/>
              </w:rPr>
              <w:t xml:space="preserve">Ежегодно </w:t>
            </w:r>
          </w:p>
        </w:tc>
      </w:tr>
      <w:tr w:rsidR="00250B3C" w:rsidRPr="00981F6F" w:rsidTr="00D04BDB">
        <w:tc>
          <w:tcPr>
            <w:tcW w:w="993" w:type="dxa"/>
            <w:shd w:val="clear" w:color="auto" w:fill="auto"/>
            <w:vAlign w:val="center"/>
          </w:tcPr>
          <w:p w:rsidR="00A85EB3" w:rsidRDefault="00B07D03">
            <w:pPr>
              <w:keepNext/>
              <w:widowControl w:val="0"/>
              <w:overflowPunct w:val="0"/>
              <w:autoSpaceDE w:val="0"/>
              <w:autoSpaceDN w:val="0"/>
              <w:adjustRightInd w:val="0"/>
              <w:spacing w:before="60" w:after="60"/>
              <w:textAlignment w:val="baseline"/>
              <w:rPr>
                <w:rFonts w:eastAsia="Times New Roman"/>
                <w:b/>
                <w:sz w:val="18"/>
                <w:szCs w:val="18"/>
                <w:lang w:val="en-US" w:eastAsia="en-US"/>
              </w:rPr>
            </w:pPr>
            <w:r>
              <w:rPr>
                <w:rFonts w:eastAsia="Times New Roman"/>
                <w:b/>
                <w:sz w:val="18"/>
                <w:szCs w:val="18"/>
                <w:lang w:eastAsia="en-US"/>
              </w:rPr>
              <w:t>ПР–2.1-3</w:t>
            </w:r>
          </w:p>
        </w:tc>
        <w:tc>
          <w:tcPr>
            <w:tcW w:w="5103" w:type="dxa"/>
            <w:shd w:val="clear" w:color="auto" w:fill="auto"/>
          </w:tcPr>
          <w:p w:rsidR="00A85EB3" w:rsidRDefault="00B07D03">
            <w:pPr>
              <w:widowControl w:val="0"/>
              <w:tabs>
                <w:tab w:val="num" w:pos="459"/>
              </w:tabs>
              <w:spacing w:before="60" w:after="60"/>
              <w:rPr>
                <w:rFonts w:eastAsia="Times New Roman"/>
                <w:sz w:val="18"/>
                <w:szCs w:val="18"/>
                <w:lang w:val="en-US" w:eastAsia="en-US"/>
              </w:rPr>
            </w:pPr>
            <w:r>
              <w:rPr>
                <w:rFonts w:eastAsia="Times New Roman"/>
                <w:sz w:val="18"/>
                <w:szCs w:val="18"/>
                <w:lang w:eastAsia="en-US"/>
              </w:rPr>
              <w:t xml:space="preserve">Брой </w:t>
            </w:r>
            <w:proofErr w:type="spellStart"/>
            <w:r>
              <w:rPr>
                <w:rFonts w:eastAsia="Times New Roman"/>
                <w:sz w:val="18"/>
                <w:szCs w:val="18"/>
                <w:lang w:eastAsia="en-US"/>
              </w:rPr>
              <w:t>новоизградени</w:t>
            </w:r>
            <w:proofErr w:type="spellEnd"/>
            <w:r>
              <w:rPr>
                <w:rFonts w:eastAsia="Times New Roman"/>
                <w:sz w:val="18"/>
                <w:szCs w:val="18"/>
                <w:lang w:eastAsia="en-US"/>
              </w:rPr>
              <w:t>/реконструирани съоръжения в/водещи до туристически обекти в допустимия трансграничен район</w:t>
            </w:r>
          </w:p>
        </w:tc>
        <w:tc>
          <w:tcPr>
            <w:tcW w:w="2126" w:type="dxa"/>
            <w:shd w:val="clear" w:color="auto" w:fill="auto"/>
            <w:vAlign w:val="center"/>
          </w:tcPr>
          <w:p w:rsidR="00A85EB3" w:rsidRDefault="00B07D03">
            <w:pPr>
              <w:keepNext/>
              <w:widowControl w:val="0"/>
              <w:tabs>
                <w:tab w:val="num" w:pos="459"/>
              </w:tabs>
              <w:spacing w:before="60" w:after="60"/>
              <w:jc w:val="center"/>
              <w:rPr>
                <w:rFonts w:eastAsia="Times New Roman"/>
                <w:sz w:val="18"/>
                <w:szCs w:val="18"/>
                <w:lang w:val="en-US" w:eastAsia="en-US"/>
              </w:rPr>
            </w:pPr>
            <w:r>
              <w:rPr>
                <w:rFonts w:eastAsia="Times New Roman"/>
                <w:sz w:val="18"/>
                <w:szCs w:val="18"/>
                <w:lang w:eastAsia="en-US"/>
              </w:rPr>
              <w:t>Брой</w:t>
            </w:r>
          </w:p>
        </w:tc>
        <w:tc>
          <w:tcPr>
            <w:tcW w:w="1701" w:type="dxa"/>
            <w:shd w:val="clear" w:color="auto" w:fill="auto"/>
            <w:vAlign w:val="center"/>
          </w:tcPr>
          <w:p w:rsidR="00A85EB3" w:rsidRDefault="00B07D03">
            <w:pPr>
              <w:keepNext/>
              <w:widowControl w:val="0"/>
              <w:spacing w:before="60" w:after="60"/>
              <w:jc w:val="center"/>
              <w:rPr>
                <w:rFonts w:eastAsia="Times New Roman"/>
                <w:sz w:val="18"/>
                <w:szCs w:val="18"/>
                <w:lang w:val="en-US" w:eastAsia="ar-SA"/>
              </w:rPr>
            </w:pPr>
            <w:r>
              <w:rPr>
                <w:rFonts w:eastAsia="Times New Roman"/>
                <w:sz w:val="18"/>
                <w:szCs w:val="18"/>
                <w:lang w:eastAsia="ar-SA"/>
              </w:rPr>
              <w:t>10</w:t>
            </w:r>
          </w:p>
        </w:tc>
        <w:tc>
          <w:tcPr>
            <w:tcW w:w="3686" w:type="dxa"/>
            <w:shd w:val="clear" w:color="auto" w:fill="auto"/>
          </w:tcPr>
          <w:p w:rsidR="00A85EB3" w:rsidRDefault="00B07D03">
            <w:pPr>
              <w:spacing w:before="0" w:after="0"/>
              <w:jc w:val="center"/>
              <w:rPr>
                <w:rFonts w:eastAsia="Times New Roman"/>
                <w:sz w:val="18"/>
                <w:szCs w:val="18"/>
                <w:lang w:val="en-US"/>
              </w:rPr>
            </w:pPr>
            <w:r>
              <w:rPr>
                <w:rFonts w:eastAsia="Times New Roman"/>
                <w:sz w:val="18"/>
                <w:szCs w:val="18"/>
              </w:rPr>
              <w:t>Доклади за напредъка и Годишни доклади за изпълнението</w:t>
            </w:r>
          </w:p>
        </w:tc>
        <w:tc>
          <w:tcPr>
            <w:tcW w:w="1701" w:type="dxa"/>
            <w:shd w:val="clear" w:color="auto" w:fill="auto"/>
            <w:vAlign w:val="center"/>
          </w:tcPr>
          <w:p w:rsidR="00A85EB3" w:rsidRDefault="00B07D03">
            <w:pPr>
              <w:keepNext/>
              <w:widowControl w:val="0"/>
              <w:overflowPunct w:val="0"/>
              <w:autoSpaceDE w:val="0"/>
              <w:autoSpaceDN w:val="0"/>
              <w:adjustRightInd w:val="0"/>
              <w:spacing w:before="60" w:after="60"/>
              <w:jc w:val="center"/>
              <w:textAlignment w:val="baseline"/>
              <w:rPr>
                <w:rFonts w:eastAsia="Times New Roman"/>
                <w:sz w:val="18"/>
                <w:szCs w:val="18"/>
                <w:lang w:val="en-US" w:eastAsia="en-US"/>
              </w:rPr>
            </w:pPr>
            <w:r>
              <w:rPr>
                <w:rFonts w:eastAsia="Times New Roman"/>
                <w:sz w:val="18"/>
                <w:szCs w:val="18"/>
                <w:lang w:eastAsia="en-US"/>
              </w:rPr>
              <w:t xml:space="preserve">Ежегодно </w:t>
            </w:r>
          </w:p>
        </w:tc>
      </w:tr>
      <w:tr w:rsidR="00250B3C" w:rsidRPr="00981F6F" w:rsidTr="00D04BDB">
        <w:tc>
          <w:tcPr>
            <w:tcW w:w="993" w:type="dxa"/>
            <w:shd w:val="clear" w:color="auto" w:fill="auto"/>
            <w:vAlign w:val="center"/>
          </w:tcPr>
          <w:p w:rsidR="00A85EB3" w:rsidRDefault="00B07D03">
            <w:pPr>
              <w:keepNext/>
              <w:spacing w:before="60" w:after="60"/>
              <w:rPr>
                <w:rFonts w:eastAsia="Times New Roman"/>
                <w:b/>
                <w:sz w:val="18"/>
                <w:szCs w:val="18"/>
                <w:lang w:val="en-US" w:eastAsia="en-US"/>
              </w:rPr>
            </w:pPr>
            <w:r>
              <w:rPr>
                <w:rFonts w:eastAsia="Times New Roman"/>
                <w:b/>
                <w:sz w:val="18"/>
                <w:szCs w:val="18"/>
                <w:lang w:eastAsia="en-US"/>
              </w:rPr>
              <w:t>ПР–2.1-4</w:t>
            </w:r>
          </w:p>
        </w:tc>
        <w:tc>
          <w:tcPr>
            <w:tcW w:w="5103" w:type="dxa"/>
            <w:shd w:val="clear" w:color="auto" w:fill="auto"/>
          </w:tcPr>
          <w:p w:rsidR="00A85EB3" w:rsidRDefault="00B07D03">
            <w:pPr>
              <w:widowControl w:val="0"/>
              <w:tabs>
                <w:tab w:val="num" w:pos="459"/>
              </w:tabs>
              <w:spacing w:before="60" w:after="60"/>
              <w:rPr>
                <w:rFonts w:eastAsia="Times New Roman"/>
                <w:sz w:val="18"/>
                <w:szCs w:val="18"/>
                <w:lang w:val="en-US" w:eastAsia="en-US"/>
              </w:rPr>
            </w:pPr>
            <w:r>
              <w:rPr>
                <w:rFonts w:eastAsia="Times New Roman"/>
                <w:sz w:val="18"/>
                <w:szCs w:val="18"/>
                <w:lang w:eastAsia="en-US"/>
              </w:rPr>
              <w:t>Брой реконструирани/възстановени културни и исторически туристически обекти в определената трансгранична територия</w:t>
            </w:r>
          </w:p>
        </w:tc>
        <w:tc>
          <w:tcPr>
            <w:tcW w:w="2126" w:type="dxa"/>
            <w:shd w:val="clear" w:color="auto" w:fill="auto"/>
            <w:vAlign w:val="center"/>
          </w:tcPr>
          <w:p w:rsidR="00A85EB3" w:rsidRDefault="00B07D03">
            <w:pPr>
              <w:keepNext/>
              <w:widowControl w:val="0"/>
              <w:tabs>
                <w:tab w:val="num" w:pos="459"/>
              </w:tabs>
              <w:spacing w:before="60" w:after="60"/>
              <w:jc w:val="center"/>
              <w:rPr>
                <w:rFonts w:eastAsia="Times New Roman"/>
                <w:sz w:val="18"/>
                <w:szCs w:val="18"/>
                <w:lang w:val="en-US" w:eastAsia="en-US"/>
              </w:rPr>
            </w:pPr>
            <w:r>
              <w:rPr>
                <w:rFonts w:eastAsia="Times New Roman"/>
                <w:sz w:val="18"/>
                <w:szCs w:val="18"/>
                <w:lang w:eastAsia="en-US"/>
              </w:rPr>
              <w:t>Брой</w:t>
            </w:r>
          </w:p>
        </w:tc>
        <w:tc>
          <w:tcPr>
            <w:tcW w:w="1701" w:type="dxa"/>
            <w:shd w:val="clear" w:color="auto" w:fill="auto"/>
            <w:vAlign w:val="center"/>
          </w:tcPr>
          <w:p w:rsidR="00A85EB3" w:rsidRDefault="00B07D03">
            <w:pPr>
              <w:keepNext/>
              <w:widowControl w:val="0"/>
              <w:spacing w:before="60" w:after="60"/>
              <w:jc w:val="center"/>
              <w:rPr>
                <w:rFonts w:eastAsia="Times New Roman"/>
                <w:sz w:val="18"/>
                <w:szCs w:val="18"/>
                <w:lang w:val="en-US" w:eastAsia="ar-SA"/>
              </w:rPr>
            </w:pPr>
            <w:r>
              <w:rPr>
                <w:rFonts w:eastAsia="Times New Roman"/>
                <w:sz w:val="18"/>
                <w:szCs w:val="18"/>
                <w:lang w:eastAsia="ar-SA"/>
              </w:rPr>
              <w:t>15</w:t>
            </w:r>
          </w:p>
        </w:tc>
        <w:tc>
          <w:tcPr>
            <w:tcW w:w="3686" w:type="dxa"/>
            <w:shd w:val="clear" w:color="auto" w:fill="auto"/>
          </w:tcPr>
          <w:p w:rsidR="00A85EB3" w:rsidRDefault="00B07D03">
            <w:pPr>
              <w:spacing w:before="0" w:after="0"/>
              <w:jc w:val="center"/>
              <w:rPr>
                <w:rFonts w:eastAsia="Times New Roman"/>
                <w:sz w:val="18"/>
                <w:szCs w:val="18"/>
                <w:lang w:val="en-US"/>
              </w:rPr>
            </w:pPr>
            <w:r>
              <w:rPr>
                <w:rFonts w:eastAsia="Times New Roman"/>
                <w:sz w:val="18"/>
                <w:szCs w:val="18"/>
              </w:rPr>
              <w:t>Доклади за напредъка и Годишни доклади за изпълнението</w:t>
            </w:r>
          </w:p>
        </w:tc>
        <w:tc>
          <w:tcPr>
            <w:tcW w:w="1701" w:type="dxa"/>
            <w:shd w:val="clear" w:color="auto" w:fill="auto"/>
            <w:vAlign w:val="center"/>
          </w:tcPr>
          <w:p w:rsidR="00A85EB3" w:rsidRDefault="00B07D03">
            <w:pPr>
              <w:keepNext/>
              <w:widowControl w:val="0"/>
              <w:overflowPunct w:val="0"/>
              <w:autoSpaceDE w:val="0"/>
              <w:autoSpaceDN w:val="0"/>
              <w:adjustRightInd w:val="0"/>
              <w:spacing w:before="60" w:after="60"/>
              <w:jc w:val="center"/>
              <w:textAlignment w:val="baseline"/>
              <w:rPr>
                <w:rFonts w:eastAsia="Times New Roman"/>
                <w:sz w:val="18"/>
                <w:szCs w:val="18"/>
                <w:lang w:val="en-US" w:eastAsia="en-US"/>
              </w:rPr>
            </w:pPr>
            <w:r>
              <w:rPr>
                <w:rFonts w:eastAsia="Times New Roman"/>
                <w:sz w:val="18"/>
                <w:szCs w:val="18"/>
                <w:lang w:eastAsia="en-US"/>
              </w:rPr>
              <w:t xml:space="preserve">Ежегодно </w:t>
            </w:r>
          </w:p>
        </w:tc>
      </w:tr>
      <w:tr w:rsidR="00250B3C" w:rsidRPr="00981F6F" w:rsidTr="00D04BDB">
        <w:tc>
          <w:tcPr>
            <w:tcW w:w="993" w:type="dxa"/>
            <w:shd w:val="clear" w:color="auto" w:fill="auto"/>
            <w:vAlign w:val="center"/>
          </w:tcPr>
          <w:p w:rsidR="00A85EB3" w:rsidRDefault="00B07D03">
            <w:pPr>
              <w:keepNext/>
              <w:spacing w:before="60" w:after="60"/>
              <w:rPr>
                <w:rFonts w:eastAsia="Times New Roman"/>
                <w:b/>
                <w:sz w:val="18"/>
                <w:szCs w:val="18"/>
                <w:lang w:val="en-US" w:eastAsia="en-US"/>
              </w:rPr>
            </w:pPr>
            <w:r>
              <w:rPr>
                <w:rFonts w:eastAsia="Times New Roman"/>
                <w:b/>
                <w:sz w:val="18"/>
                <w:szCs w:val="18"/>
                <w:lang w:eastAsia="en-US"/>
              </w:rPr>
              <w:t>ПР–2.2-1</w:t>
            </w:r>
          </w:p>
        </w:tc>
        <w:tc>
          <w:tcPr>
            <w:tcW w:w="5103" w:type="dxa"/>
            <w:shd w:val="clear" w:color="auto" w:fill="auto"/>
          </w:tcPr>
          <w:p w:rsidR="00A85EB3" w:rsidRDefault="00B07D03">
            <w:pPr>
              <w:widowControl w:val="0"/>
              <w:tabs>
                <w:tab w:val="num" w:pos="376"/>
                <w:tab w:val="num" w:pos="459"/>
              </w:tabs>
              <w:spacing w:before="60" w:after="60"/>
              <w:rPr>
                <w:rFonts w:eastAsia="Times New Roman"/>
                <w:sz w:val="18"/>
                <w:szCs w:val="18"/>
                <w:lang w:val="en-US" w:eastAsia="en-US"/>
              </w:rPr>
            </w:pPr>
            <w:r>
              <w:rPr>
                <w:rFonts w:eastAsia="Times New Roman"/>
                <w:sz w:val="18"/>
                <w:szCs w:val="18"/>
                <w:lang w:eastAsia="en-US"/>
              </w:rPr>
              <w:t>Брой стратегии/планове за действие на общи туристически дестинации</w:t>
            </w:r>
          </w:p>
        </w:tc>
        <w:tc>
          <w:tcPr>
            <w:tcW w:w="2126" w:type="dxa"/>
            <w:shd w:val="clear" w:color="auto" w:fill="auto"/>
            <w:vAlign w:val="center"/>
          </w:tcPr>
          <w:p w:rsidR="00A85EB3" w:rsidRDefault="00B07D03">
            <w:pPr>
              <w:keepNext/>
              <w:widowControl w:val="0"/>
              <w:tabs>
                <w:tab w:val="num" w:pos="459"/>
              </w:tabs>
              <w:spacing w:before="60" w:after="60"/>
              <w:jc w:val="center"/>
              <w:rPr>
                <w:rFonts w:eastAsia="Times New Roman"/>
                <w:sz w:val="18"/>
                <w:szCs w:val="18"/>
                <w:lang w:val="en-US" w:eastAsia="en-US"/>
              </w:rPr>
            </w:pPr>
            <w:r>
              <w:rPr>
                <w:rFonts w:eastAsia="Times New Roman"/>
                <w:sz w:val="18"/>
                <w:szCs w:val="18"/>
                <w:lang w:eastAsia="en-US"/>
              </w:rPr>
              <w:t>Брой</w:t>
            </w:r>
          </w:p>
        </w:tc>
        <w:tc>
          <w:tcPr>
            <w:tcW w:w="1701" w:type="dxa"/>
            <w:shd w:val="clear" w:color="auto" w:fill="auto"/>
            <w:vAlign w:val="center"/>
          </w:tcPr>
          <w:p w:rsidR="00A85EB3" w:rsidRDefault="00B07D03">
            <w:pPr>
              <w:keepNext/>
              <w:widowControl w:val="0"/>
              <w:spacing w:before="60" w:after="60"/>
              <w:jc w:val="center"/>
              <w:rPr>
                <w:rFonts w:eastAsia="Times New Roman"/>
                <w:sz w:val="18"/>
                <w:szCs w:val="18"/>
                <w:lang w:val="en-US" w:eastAsia="ar-SA"/>
              </w:rPr>
            </w:pPr>
            <w:r>
              <w:rPr>
                <w:rFonts w:eastAsia="Times New Roman"/>
                <w:sz w:val="18"/>
                <w:szCs w:val="18"/>
                <w:lang w:eastAsia="ar-SA"/>
              </w:rPr>
              <w:t>3</w:t>
            </w:r>
          </w:p>
        </w:tc>
        <w:tc>
          <w:tcPr>
            <w:tcW w:w="3686" w:type="dxa"/>
            <w:shd w:val="clear" w:color="auto" w:fill="auto"/>
            <w:vAlign w:val="center"/>
          </w:tcPr>
          <w:p w:rsidR="00A85EB3" w:rsidRDefault="00B07D03">
            <w:pPr>
              <w:keepNext/>
              <w:widowControl w:val="0"/>
              <w:overflowPunct w:val="0"/>
              <w:autoSpaceDE w:val="0"/>
              <w:autoSpaceDN w:val="0"/>
              <w:adjustRightInd w:val="0"/>
              <w:spacing w:before="60" w:after="60"/>
              <w:jc w:val="center"/>
              <w:textAlignment w:val="baseline"/>
              <w:rPr>
                <w:rFonts w:eastAsia="Times New Roman"/>
                <w:sz w:val="18"/>
                <w:szCs w:val="18"/>
                <w:lang w:val="en-US" w:eastAsia="nl-NL"/>
              </w:rPr>
            </w:pPr>
            <w:r>
              <w:rPr>
                <w:rFonts w:eastAsia="Times New Roman"/>
                <w:sz w:val="18"/>
                <w:szCs w:val="18"/>
                <w:lang w:eastAsia="nl-NL"/>
              </w:rPr>
              <w:t>Доклади за напредъка и Годишни доклади за изпълнението</w:t>
            </w:r>
          </w:p>
        </w:tc>
        <w:tc>
          <w:tcPr>
            <w:tcW w:w="1701" w:type="dxa"/>
            <w:shd w:val="clear" w:color="auto" w:fill="auto"/>
            <w:vAlign w:val="center"/>
          </w:tcPr>
          <w:p w:rsidR="00A85EB3" w:rsidRDefault="00B07D03">
            <w:pPr>
              <w:keepNext/>
              <w:widowControl w:val="0"/>
              <w:overflowPunct w:val="0"/>
              <w:autoSpaceDE w:val="0"/>
              <w:autoSpaceDN w:val="0"/>
              <w:adjustRightInd w:val="0"/>
              <w:spacing w:before="60" w:after="60"/>
              <w:jc w:val="center"/>
              <w:textAlignment w:val="baseline"/>
              <w:rPr>
                <w:rFonts w:eastAsia="Times New Roman"/>
                <w:sz w:val="18"/>
                <w:szCs w:val="18"/>
                <w:lang w:val="en-US" w:eastAsia="en-US"/>
              </w:rPr>
            </w:pPr>
            <w:r>
              <w:rPr>
                <w:rFonts w:eastAsia="Times New Roman"/>
                <w:sz w:val="18"/>
                <w:szCs w:val="18"/>
                <w:lang w:eastAsia="en-US"/>
              </w:rPr>
              <w:t xml:space="preserve">Ежегодно </w:t>
            </w:r>
          </w:p>
        </w:tc>
      </w:tr>
      <w:tr w:rsidR="00250B3C" w:rsidRPr="00981F6F" w:rsidTr="00D04BDB">
        <w:tc>
          <w:tcPr>
            <w:tcW w:w="993" w:type="dxa"/>
            <w:shd w:val="clear" w:color="auto" w:fill="auto"/>
            <w:vAlign w:val="center"/>
          </w:tcPr>
          <w:p w:rsidR="00A85EB3" w:rsidRDefault="00B07D03">
            <w:pPr>
              <w:keepNext/>
              <w:spacing w:before="60" w:after="60"/>
              <w:rPr>
                <w:rFonts w:eastAsia="Times New Roman"/>
                <w:b/>
                <w:sz w:val="18"/>
                <w:szCs w:val="18"/>
                <w:lang w:val="en-US" w:eastAsia="en-US"/>
              </w:rPr>
            </w:pPr>
            <w:r>
              <w:rPr>
                <w:rFonts w:eastAsia="Times New Roman"/>
                <w:b/>
                <w:sz w:val="18"/>
                <w:szCs w:val="18"/>
                <w:lang w:eastAsia="en-US"/>
              </w:rPr>
              <w:t>ПР–2.2-2</w:t>
            </w:r>
          </w:p>
        </w:tc>
        <w:tc>
          <w:tcPr>
            <w:tcW w:w="5103" w:type="dxa"/>
            <w:shd w:val="clear" w:color="auto" w:fill="auto"/>
          </w:tcPr>
          <w:p w:rsidR="00A85EB3" w:rsidRDefault="00B07D03">
            <w:pPr>
              <w:widowControl w:val="0"/>
              <w:tabs>
                <w:tab w:val="num" w:pos="376"/>
                <w:tab w:val="num" w:pos="459"/>
              </w:tabs>
              <w:spacing w:before="60" w:after="60"/>
              <w:rPr>
                <w:rFonts w:eastAsia="Times New Roman"/>
                <w:sz w:val="18"/>
                <w:szCs w:val="18"/>
                <w:lang w:val="en-US" w:eastAsia="en-US"/>
              </w:rPr>
            </w:pPr>
            <w:r>
              <w:rPr>
                <w:rFonts w:eastAsia="Times New Roman"/>
                <w:sz w:val="18"/>
                <w:szCs w:val="18"/>
                <w:lang w:eastAsia="en-US"/>
              </w:rPr>
              <w:t xml:space="preserve">Брой маркетингови и рекламни инициативи/събития, свързани с трансгранични туристически продукти и услуги </w:t>
            </w:r>
          </w:p>
        </w:tc>
        <w:tc>
          <w:tcPr>
            <w:tcW w:w="2126" w:type="dxa"/>
            <w:shd w:val="clear" w:color="auto" w:fill="auto"/>
            <w:vAlign w:val="center"/>
          </w:tcPr>
          <w:p w:rsidR="00A85EB3" w:rsidRDefault="00B07D03">
            <w:pPr>
              <w:keepNext/>
              <w:widowControl w:val="0"/>
              <w:tabs>
                <w:tab w:val="num" w:pos="459"/>
              </w:tabs>
              <w:spacing w:before="60" w:after="60"/>
              <w:jc w:val="center"/>
              <w:rPr>
                <w:rFonts w:eastAsia="Times New Roman"/>
                <w:sz w:val="18"/>
                <w:szCs w:val="18"/>
                <w:lang w:val="en-US" w:eastAsia="en-US"/>
              </w:rPr>
            </w:pPr>
            <w:r>
              <w:rPr>
                <w:rFonts w:eastAsia="Times New Roman"/>
                <w:sz w:val="18"/>
                <w:szCs w:val="18"/>
                <w:lang w:eastAsia="en-US"/>
              </w:rPr>
              <w:t>Брой</w:t>
            </w:r>
          </w:p>
        </w:tc>
        <w:tc>
          <w:tcPr>
            <w:tcW w:w="1701" w:type="dxa"/>
            <w:shd w:val="clear" w:color="auto" w:fill="auto"/>
            <w:vAlign w:val="center"/>
          </w:tcPr>
          <w:p w:rsidR="00A85EB3" w:rsidRDefault="00B07D03">
            <w:pPr>
              <w:keepNext/>
              <w:widowControl w:val="0"/>
              <w:spacing w:before="60" w:after="60"/>
              <w:jc w:val="center"/>
              <w:rPr>
                <w:rFonts w:eastAsia="Times New Roman"/>
                <w:sz w:val="18"/>
                <w:szCs w:val="18"/>
                <w:lang w:val="en-US" w:eastAsia="ar-SA"/>
              </w:rPr>
            </w:pPr>
            <w:r>
              <w:rPr>
                <w:rFonts w:eastAsia="Times New Roman"/>
                <w:sz w:val="18"/>
                <w:szCs w:val="18"/>
                <w:lang w:eastAsia="ar-SA"/>
              </w:rPr>
              <w:t>13</w:t>
            </w:r>
          </w:p>
        </w:tc>
        <w:tc>
          <w:tcPr>
            <w:tcW w:w="3686" w:type="dxa"/>
            <w:shd w:val="clear" w:color="auto" w:fill="auto"/>
            <w:vAlign w:val="center"/>
          </w:tcPr>
          <w:p w:rsidR="00A85EB3" w:rsidRDefault="00B07D03">
            <w:pPr>
              <w:keepNext/>
              <w:widowControl w:val="0"/>
              <w:overflowPunct w:val="0"/>
              <w:autoSpaceDE w:val="0"/>
              <w:autoSpaceDN w:val="0"/>
              <w:adjustRightInd w:val="0"/>
              <w:spacing w:before="60" w:after="60"/>
              <w:jc w:val="center"/>
              <w:textAlignment w:val="baseline"/>
              <w:rPr>
                <w:rFonts w:eastAsia="Times New Roman"/>
                <w:sz w:val="18"/>
                <w:szCs w:val="18"/>
                <w:lang w:val="en-US" w:eastAsia="en-US"/>
              </w:rPr>
            </w:pPr>
            <w:r>
              <w:rPr>
                <w:rFonts w:eastAsia="Times New Roman"/>
                <w:sz w:val="18"/>
                <w:szCs w:val="18"/>
                <w:lang w:eastAsia="nl-NL"/>
              </w:rPr>
              <w:t>Доклади за напредъка и Годишни доклади за изпълнението</w:t>
            </w:r>
          </w:p>
        </w:tc>
        <w:tc>
          <w:tcPr>
            <w:tcW w:w="1701" w:type="dxa"/>
            <w:shd w:val="clear" w:color="auto" w:fill="auto"/>
            <w:vAlign w:val="center"/>
          </w:tcPr>
          <w:p w:rsidR="00A85EB3" w:rsidRDefault="00B07D03">
            <w:pPr>
              <w:keepNext/>
              <w:widowControl w:val="0"/>
              <w:overflowPunct w:val="0"/>
              <w:autoSpaceDE w:val="0"/>
              <w:autoSpaceDN w:val="0"/>
              <w:adjustRightInd w:val="0"/>
              <w:spacing w:before="60" w:after="60"/>
              <w:jc w:val="center"/>
              <w:textAlignment w:val="baseline"/>
              <w:rPr>
                <w:rFonts w:eastAsia="Times New Roman"/>
                <w:sz w:val="18"/>
                <w:szCs w:val="18"/>
                <w:lang w:val="en-US" w:eastAsia="en-US"/>
              </w:rPr>
            </w:pPr>
            <w:r>
              <w:rPr>
                <w:rFonts w:eastAsia="Times New Roman"/>
                <w:sz w:val="18"/>
                <w:szCs w:val="18"/>
                <w:lang w:eastAsia="en-US"/>
              </w:rPr>
              <w:t xml:space="preserve">Ежегодно </w:t>
            </w:r>
          </w:p>
        </w:tc>
      </w:tr>
      <w:tr w:rsidR="00250B3C" w:rsidRPr="00981F6F" w:rsidTr="00D04BDB">
        <w:tc>
          <w:tcPr>
            <w:tcW w:w="993" w:type="dxa"/>
            <w:shd w:val="clear" w:color="auto" w:fill="auto"/>
            <w:vAlign w:val="center"/>
          </w:tcPr>
          <w:p w:rsidR="00A85EB3" w:rsidRDefault="00B07D03">
            <w:pPr>
              <w:keepNext/>
              <w:spacing w:before="60" w:after="60"/>
              <w:rPr>
                <w:rFonts w:eastAsia="Times New Roman"/>
                <w:b/>
                <w:sz w:val="18"/>
                <w:szCs w:val="18"/>
                <w:lang w:val="en-US" w:eastAsia="en-US"/>
              </w:rPr>
            </w:pPr>
            <w:r>
              <w:rPr>
                <w:rFonts w:eastAsia="Times New Roman"/>
                <w:b/>
                <w:sz w:val="18"/>
                <w:szCs w:val="18"/>
                <w:lang w:eastAsia="en-US"/>
              </w:rPr>
              <w:t>ПР–2.2-3</w:t>
            </w:r>
          </w:p>
        </w:tc>
        <w:tc>
          <w:tcPr>
            <w:tcW w:w="5103" w:type="dxa"/>
            <w:shd w:val="clear" w:color="auto" w:fill="auto"/>
          </w:tcPr>
          <w:p w:rsidR="00A85EB3" w:rsidRDefault="00B07D03">
            <w:pPr>
              <w:widowControl w:val="0"/>
              <w:tabs>
                <w:tab w:val="num" w:pos="376"/>
                <w:tab w:val="num" w:pos="459"/>
              </w:tabs>
              <w:spacing w:before="60" w:after="60"/>
              <w:rPr>
                <w:rFonts w:eastAsia="Times New Roman"/>
                <w:sz w:val="18"/>
                <w:szCs w:val="18"/>
                <w:lang w:val="en-US" w:eastAsia="en-US"/>
              </w:rPr>
            </w:pPr>
            <w:r>
              <w:rPr>
                <w:rFonts w:eastAsia="Times New Roman"/>
                <w:sz w:val="18"/>
                <w:szCs w:val="18"/>
                <w:lang w:eastAsia="en-US"/>
              </w:rPr>
              <w:t>Брой инструменти, разработени и/или приложени за рекламиране на потенциала за устойчив туризъм в трансграничната територия</w:t>
            </w:r>
          </w:p>
        </w:tc>
        <w:tc>
          <w:tcPr>
            <w:tcW w:w="2126" w:type="dxa"/>
            <w:shd w:val="clear" w:color="auto" w:fill="auto"/>
            <w:vAlign w:val="center"/>
          </w:tcPr>
          <w:p w:rsidR="00A85EB3" w:rsidRDefault="00B07D03">
            <w:pPr>
              <w:widowControl w:val="0"/>
              <w:tabs>
                <w:tab w:val="num" w:pos="459"/>
              </w:tabs>
              <w:spacing w:before="60" w:after="60"/>
              <w:jc w:val="center"/>
              <w:rPr>
                <w:rFonts w:eastAsia="Times New Roman"/>
                <w:sz w:val="18"/>
                <w:szCs w:val="18"/>
                <w:lang w:val="en-US" w:eastAsia="en-US"/>
              </w:rPr>
            </w:pPr>
            <w:r>
              <w:rPr>
                <w:rFonts w:eastAsia="Times New Roman"/>
                <w:sz w:val="18"/>
                <w:szCs w:val="18"/>
                <w:lang w:eastAsia="en-US"/>
              </w:rPr>
              <w:t>Брой</w:t>
            </w:r>
          </w:p>
        </w:tc>
        <w:tc>
          <w:tcPr>
            <w:tcW w:w="1701" w:type="dxa"/>
            <w:shd w:val="clear" w:color="auto" w:fill="auto"/>
            <w:vAlign w:val="center"/>
          </w:tcPr>
          <w:p w:rsidR="00A85EB3" w:rsidRDefault="00B07D03">
            <w:pPr>
              <w:keepNext/>
              <w:widowControl w:val="0"/>
              <w:spacing w:before="60" w:after="60"/>
              <w:jc w:val="center"/>
              <w:rPr>
                <w:rFonts w:eastAsia="Times New Roman"/>
                <w:sz w:val="18"/>
                <w:szCs w:val="18"/>
                <w:lang w:val="en-US" w:eastAsia="ar-SA"/>
              </w:rPr>
            </w:pPr>
            <w:r>
              <w:rPr>
                <w:rFonts w:eastAsia="Times New Roman"/>
                <w:sz w:val="18"/>
                <w:szCs w:val="18"/>
                <w:lang w:eastAsia="ar-SA"/>
              </w:rPr>
              <w:t>3</w:t>
            </w:r>
          </w:p>
        </w:tc>
        <w:tc>
          <w:tcPr>
            <w:tcW w:w="3686" w:type="dxa"/>
            <w:shd w:val="clear" w:color="auto" w:fill="auto"/>
            <w:vAlign w:val="center"/>
          </w:tcPr>
          <w:p w:rsidR="00A85EB3" w:rsidRDefault="00B07D03">
            <w:pPr>
              <w:keepNext/>
              <w:widowControl w:val="0"/>
              <w:overflowPunct w:val="0"/>
              <w:autoSpaceDE w:val="0"/>
              <w:autoSpaceDN w:val="0"/>
              <w:adjustRightInd w:val="0"/>
              <w:spacing w:before="60" w:after="60"/>
              <w:jc w:val="center"/>
              <w:textAlignment w:val="baseline"/>
              <w:rPr>
                <w:rFonts w:eastAsia="Times New Roman"/>
                <w:sz w:val="18"/>
                <w:szCs w:val="18"/>
                <w:lang w:val="en-US" w:eastAsia="en-US"/>
              </w:rPr>
            </w:pPr>
            <w:r>
              <w:rPr>
                <w:rFonts w:eastAsia="Times New Roman"/>
                <w:sz w:val="18"/>
                <w:szCs w:val="18"/>
                <w:lang w:eastAsia="nl-NL"/>
              </w:rPr>
              <w:t>Доклади за напредъка и Годишни доклади за изпълнението</w:t>
            </w:r>
          </w:p>
        </w:tc>
        <w:tc>
          <w:tcPr>
            <w:tcW w:w="1701" w:type="dxa"/>
            <w:shd w:val="clear" w:color="auto" w:fill="auto"/>
            <w:vAlign w:val="center"/>
          </w:tcPr>
          <w:p w:rsidR="00A85EB3" w:rsidRDefault="00B07D03">
            <w:pPr>
              <w:keepNext/>
              <w:widowControl w:val="0"/>
              <w:overflowPunct w:val="0"/>
              <w:autoSpaceDE w:val="0"/>
              <w:autoSpaceDN w:val="0"/>
              <w:adjustRightInd w:val="0"/>
              <w:spacing w:before="60" w:after="60"/>
              <w:jc w:val="center"/>
              <w:textAlignment w:val="baseline"/>
              <w:rPr>
                <w:rFonts w:eastAsia="Times New Roman"/>
                <w:sz w:val="18"/>
                <w:szCs w:val="18"/>
                <w:lang w:val="en-US" w:eastAsia="en-US"/>
              </w:rPr>
            </w:pPr>
            <w:r>
              <w:rPr>
                <w:rFonts w:eastAsia="Times New Roman"/>
                <w:sz w:val="18"/>
                <w:szCs w:val="18"/>
                <w:lang w:eastAsia="en-US"/>
              </w:rPr>
              <w:t xml:space="preserve">Ежегодно </w:t>
            </w:r>
          </w:p>
        </w:tc>
      </w:tr>
      <w:tr w:rsidR="005616E9" w:rsidRPr="00981F6F" w:rsidTr="00D04BDB">
        <w:tc>
          <w:tcPr>
            <w:tcW w:w="993" w:type="dxa"/>
            <w:shd w:val="clear" w:color="auto" w:fill="auto"/>
            <w:vAlign w:val="center"/>
          </w:tcPr>
          <w:p w:rsidR="00A85EB3" w:rsidRDefault="00B07D03">
            <w:pPr>
              <w:spacing w:before="60" w:after="60"/>
              <w:rPr>
                <w:rFonts w:eastAsia="Times New Roman"/>
                <w:b/>
                <w:sz w:val="18"/>
                <w:szCs w:val="18"/>
                <w:lang w:val="en-US" w:eastAsia="en-US"/>
              </w:rPr>
            </w:pPr>
            <w:r>
              <w:rPr>
                <w:rFonts w:eastAsia="Times New Roman"/>
                <w:b/>
                <w:sz w:val="18"/>
                <w:szCs w:val="18"/>
                <w:lang w:eastAsia="en-US"/>
              </w:rPr>
              <w:t>ПР–2.2-4</w:t>
            </w:r>
          </w:p>
        </w:tc>
        <w:tc>
          <w:tcPr>
            <w:tcW w:w="5103" w:type="dxa"/>
            <w:shd w:val="clear" w:color="auto" w:fill="auto"/>
          </w:tcPr>
          <w:p w:rsidR="00A85EB3" w:rsidRDefault="00B07D03">
            <w:pPr>
              <w:widowControl w:val="0"/>
              <w:tabs>
                <w:tab w:val="num" w:pos="376"/>
                <w:tab w:val="num" w:pos="459"/>
              </w:tabs>
              <w:spacing w:before="60" w:after="60"/>
              <w:rPr>
                <w:rFonts w:eastAsia="Times New Roman"/>
                <w:sz w:val="18"/>
                <w:szCs w:val="18"/>
                <w:lang w:val="en-US" w:eastAsia="en-US"/>
              </w:rPr>
            </w:pPr>
            <w:r>
              <w:rPr>
                <w:rFonts w:eastAsia="Times New Roman"/>
                <w:sz w:val="18"/>
                <w:szCs w:val="18"/>
                <w:lang w:eastAsia="en-US"/>
              </w:rPr>
              <w:t>Брой обучения и консултантски услуги в областта на устойчивото използване на природното, културното и историческото наследство и ресурси</w:t>
            </w:r>
          </w:p>
        </w:tc>
        <w:tc>
          <w:tcPr>
            <w:tcW w:w="2126" w:type="dxa"/>
            <w:shd w:val="clear" w:color="auto" w:fill="auto"/>
            <w:vAlign w:val="center"/>
          </w:tcPr>
          <w:p w:rsidR="00A85EB3" w:rsidRDefault="00B07D03">
            <w:pPr>
              <w:widowControl w:val="0"/>
              <w:tabs>
                <w:tab w:val="num" w:pos="459"/>
              </w:tabs>
              <w:spacing w:before="60" w:after="60"/>
              <w:jc w:val="center"/>
              <w:rPr>
                <w:rFonts w:eastAsia="Times New Roman"/>
                <w:sz w:val="18"/>
                <w:szCs w:val="18"/>
                <w:lang w:val="en-US" w:eastAsia="en-US"/>
              </w:rPr>
            </w:pPr>
            <w:r>
              <w:rPr>
                <w:rFonts w:eastAsia="Times New Roman"/>
                <w:sz w:val="18"/>
                <w:szCs w:val="18"/>
                <w:lang w:eastAsia="en-US"/>
              </w:rPr>
              <w:t>Брой</w:t>
            </w:r>
          </w:p>
        </w:tc>
        <w:tc>
          <w:tcPr>
            <w:tcW w:w="1701" w:type="dxa"/>
            <w:shd w:val="clear" w:color="auto" w:fill="auto"/>
            <w:vAlign w:val="center"/>
          </w:tcPr>
          <w:p w:rsidR="00A85EB3" w:rsidRDefault="00B07D03">
            <w:pPr>
              <w:keepNext/>
              <w:widowControl w:val="0"/>
              <w:spacing w:before="60" w:after="60"/>
              <w:jc w:val="center"/>
              <w:rPr>
                <w:rFonts w:eastAsia="Times New Roman"/>
                <w:sz w:val="18"/>
                <w:szCs w:val="18"/>
                <w:lang w:val="en-US" w:eastAsia="ar-SA"/>
              </w:rPr>
            </w:pPr>
            <w:r>
              <w:rPr>
                <w:rFonts w:eastAsia="Times New Roman"/>
                <w:sz w:val="18"/>
                <w:szCs w:val="18"/>
                <w:lang w:eastAsia="ar-SA"/>
              </w:rPr>
              <w:t>3</w:t>
            </w:r>
          </w:p>
        </w:tc>
        <w:tc>
          <w:tcPr>
            <w:tcW w:w="3686" w:type="dxa"/>
            <w:shd w:val="clear" w:color="auto" w:fill="auto"/>
            <w:vAlign w:val="center"/>
          </w:tcPr>
          <w:p w:rsidR="00A85EB3" w:rsidRDefault="00B07D03">
            <w:pPr>
              <w:keepNext/>
              <w:widowControl w:val="0"/>
              <w:overflowPunct w:val="0"/>
              <w:autoSpaceDE w:val="0"/>
              <w:autoSpaceDN w:val="0"/>
              <w:adjustRightInd w:val="0"/>
              <w:spacing w:before="60" w:after="60"/>
              <w:jc w:val="center"/>
              <w:textAlignment w:val="baseline"/>
              <w:rPr>
                <w:rFonts w:eastAsia="Times New Roman"/>
                <w:sz w:val="18"/>
                <w:szCs w:val="18"/>
                <w:lang w:val="en-US" w:eastAsia="nl-NL"/>
              </w:rPr>
            </w:pPr>
            <w:r>
              <w:rPr>
                <w:rFonts w:eastAsia="Times New Roman"/>
                <w:sz w:val="18"/>
                <w:szCs w:val="18"/>
              </w:rPr>
              <w:t>Доклади за напредъка и Годишни доклади за изпълнението</w:t>
            </w:r>
          </w:p>
        </w:tc>
        <w:tc>
          <w:tcPr>
            <w:tcW w:w="1701" w:type="dxa"/>
            <w:shd w:val="clear" w:color="auto" w:fill="auto"/>
            <w:vAlign w:val="center"/>
          </w:tcPr>
          <w:p w:rsidR="00A85EB3" w:rsidRDefault="00B07D03">
            <w:pPr>
              <w:keepNext/>
              <w:widowControl w:val="0"/>
              <w:overflowPunct w:val="0"/>
              <w:autoSpaceDE w:val="0"/>
              <w:autoSpaceDN w:val="0"/>
              <w:adjustRightInd w:val="0"/>
              <w:spacing w:before="60" w:after="60"/>
              <w:jc w:val="center"/>
              <w:textAlignment w:val="baseline"/>
              <w:rPr>
                <w:rFonts w:eastAsia="Times New Roman"/>
                <w:sz w:val="18"/>
                <w:szCs w:val="18"/>
                <w:lang w:val="en-US" w:eastAsia="en-US"/>
              </w:rPr>
            </w:pPr>
            <w:r>
              <w:rPr>
                <w:rFonts w:eastAsia="Times New Roman"/>
                <w:sz w:val="18"/>
                <w:szCs w:val="18"/>
                <w:lang w:eastAsia="en-US"/>
              </w:rPr>
              <w:t xml:space="preserve">Ежегодно </w:t>
            </w:r>
          </w:p>
        </w:tc>
      </w:tr>
      <w:tr w:rsidR="00250B3C" w:rsidRPr="00981F6F" w:rsidTr="00D04BDB">
        <w:tc>
          <w:tcPr>
            <w:tcW w:w="993" w:type="dxa"/>
            <w:shd w:val="clear" w:color="auto" w:fill="auto"/>
            <w:vAlign w:val="center"/>
          </w:tcPr>
          <w:p w:rsidR="00A85EB3" w:rsidRDefault="00B07D03">
            <w:pPr>
              <w:spacing w:before="60" w:after="60"/>
              <w:rPr>
                <w:rFonts w:eastAsia="Times New Roman"/>
                <w:b/>
                <w:sz w:val="18"/>
                <w:szCs w:val="18"/>
                <w:lang w:val="en-US" w:eastAsia="en-US"/>
              </w:rPr>
            </w:pPr>
            <w:r>
              <w:rPr>
                <w:rFonts w:eastAsia="Times New Roman"/>
                <w:b/>
                <w:sz w:val="18"/>
                <w:szCs w:val="18"/>
                <w:lang w:eastAsia="en-US"/>
              </w:rPr>
              <w:t>ПР–2.2-5</w:t>
            </w:r>
          </w:p>
        </w:tc>
        <w:tc>
          <w:tcPr>
            <w:tcW w:w="5103" w:type="dxa"/>
            <w:shd w:val="clear" w:color="auto" w:fill="auto"/>
          </w:tcPr>
          <w:p w:rsidR="00A85EB3" w:rsidRDefault="00B07D03">
            <w:pPr>
              <w:widowControl w:val="0"/>
              <w:tabs>
                <w:tab w:val="num" w:pos="376"/>
                <w:tab w:val="num" w:pos="459"/>
              </w:tabs>
              <w:spacing w:before="60" w:after="60"/>
              <w:rPr>
                <w:rFonts w:eastAsia="Times New Roman"/>
                <w:sz w:val="18"/>
                <w:szCs w:val="18"/>
                <w:lang w:val="en-US" w:eastAsia="en-US"/>
              </w:rPr>
            </w:pPr>
            <w:r>
              <w:rPr>
                <w:rFonts w:eastAsia="Times New Roman"/>
                <w:sz w:val="18"/>
                <w:szCs w:val="18"/>
                <w:lang w:eastAsia="en-US"/>
              </w:rPr>
              <w:t>Брой лица, ангажирани в дейности за обучение и изграждане на капацитет в областта на устойчивия туризъм</w:t>
            </w:r>
          </w:p>
        </w:tc>
        <w:tc>
          <w:tcPr>
            <w:tcW w:w="2126" w:type="dxa"/>
            <w:shd w:val="clear" w:color="auto" w:fill="auto"/>
            <w:vAlign w:val="center"/>
          </w:tcPr>
          <w:p w:rsidR="00A85EB3" w:rsidRDefault="00B07D03">
            <w:pPr>
              <w:widowControl w:val="0"/>
              <w:tabs>
                <w:tab w:val="num" w:pos="459"/>
              </w:tabs>
              <w:spacing w:before="60" w:after="60"/>
              <w:jc w:val="center"/>
              <w:rPr>
                <w:rFonts w:eastAsia="Times New Roman"/>
                <w:sz w:val="18"/>
                <w:szCs w:val="18"/>
                <w:lang w:val="en-US" w:eastAsia="en-US"/>
              </w:rPr>
            </w:pPr>
            <w:r>
              <w:rPr>
                <w:rFonts w:eastAsia="Times New Roman"/>
                <w:sz w:val="18"/>
                <w:szCs w:val="18"/>
                <w:lang w:eastAsia="en-US"/>
              </w:rPr>
              <w:t>Брой</w:t>
            </w:r>
          </w:p>
        </w:tc>
        <w:tc>
          <w:tcPr>
            <w:tcW w:w="1701" w:type="dxa"/>
            <w:shd w:val="clear" w:color="auto" w:fill="auto"/>
            <w:vAlign w:val="center"/>
          </w:tcPr>
          <w:p w:rsidR="00A85EB3" w:rsidRDefault="00B07D03">
            <w:pPr>
              <w:keepNext/>
              <w:widowControl w:val="0"/>
              <w:spacing w:before="60" w:after="60"/>
              <w:jc w:val="center"/>
              <w:rPr>
                <w:rFonts w:eastAsia="Times New Roman"/>
                <w:sz w:val="18"/>
                <w:szCs w:val="18"/>
                <w:lang w:val="en-US" w:eastAsia="ar-SA"/>
              </w:rPr>
            </w:pPr>
            <w:r>
              <w:rPr>
                <w:rFonts w:eastAsia="Times New Roman"/>
                <w:sz w:val="18"/>
                <w:szCs w:val="18"/>
                <w:lang w:eastAsia="ar-SA"/>
              </w:rPr>
              <w:t>200</w:t>
            </w:r>
          </w:p>
        </w:tc>
        <w:tc>
          <w:tcPr>
            <w:tcW w:w="3686" w:type="dxa"/>
            <w:shd w:val="clear" w:color="auto" w:fill="auto"/>
            <w:vAlign w:val="center"/>
          </w:tcPr>
          <w:p w:rsidR="00A85EB3" w:rsidRDefault="00B07D03">
            <w:pPr>
              <w:keepNext/>
              <w:widowControl w:val="0"/>
              <w:overflowPunct w:val="0"/>
              <w:autoSpaceDE w:val="0"/>
              <w:autoSpaceDN w:val="0"/>
              <w:adjustRightInd w:val="0"/>
              <w:spacing w:before="60" w:after="60"/>
              <w:jc w:val="center"/>
              <w:textAlignment w:val="baseline"/>
              <w:rPr>
                <w:rFonts w:eastAsia="Times New Roman"/>
                <w:sz w:val="18"/>
                <w:szCs w:val="18"/>
                <w:lang w:val="en-US" w:eastAsia="en-US"/>
              </w:rPr>
            </w:pPr>
            <w:r>
              <w:rPr>
                <w:rFonts w:eastAsia="Times New Roman"/>
                <w:sz w:val="18"/>
                <w:szCs w:val="18"/>
                <w:lang w:eastAsia="nl-NL"/>
              </w:rPr>
              <w:t>Доклади за напредъка и Годишни доклади за изпълнението</w:t>
            </w:r>
          </w:p>
        </w:tc>
        <w:tc>
          <w:tcPr>
            <w:tcW w:w="1701" w:type="dxa"/>
            <w:shd w:val="clear" w:color="auto" w:fill="auto"/>
            <w:vAlign w:val="center"/>
          </w:tcPr>
          <w:p w:rsidR="00A85EB3" w:rsidRDefault="00B07D03">
            <w:pPr>
              <w:keepNext/>
              <w:widowControl w:val="0"/>
              <w:overflowPunct w:val="0"/>
              <w:autoSpaceDE w:val="0"/>
              <w:autoSpaceDN w:val="0"/>
              <w:adjustRightInd w:val="0"/>
              <w:spacing w:before="60" w:after="60"/>
              <w:jc w:val="center"/>
              <w:textAlignment w:val="baseline"/>
              <w:rPr>
                <w:rFonts w:eastAsia="Times New Roman"/>
                <w:sz w:val="18"/>
                <w:szCs w:val="18"/>
                <w:lang w:val="en-US" w:eastAsia="en-US"/>
              </w:rPr>
            </w:pPr>
            <w:r>
              <w:rPr>
                <w:rFonts w:eastAsia="Times New Roman"/>
                <w:sz w:val="18"/>
                <w:szCs w:val="18"/>
                <w:lang w:eastAsia="en-US"/>
              </w:rPr>
              <w:t xml:space="preserve">Ежегодно </w:t>
            </w:r>
          </w:p>
        </w:tc>
      </w:tr>
      <w:tr w:rsidR="00250B3C" w:rsidRPr="00981F6F" w:rsidTr="00D04BDB">
        <w:tc>
          <w:tcPr>
            <w:tcW w:w="993" w:type="dxa"/>
            <w:shd w:val="clear" w:color="auto" w:fill="auto"/>
            <w:vAlign w:val="center"/>
          </w:tcPr>
          <w:p w:rsidR="00A85EB3" w:rsidRDefault="00B07D03">
            <w:pPr>
              <w:keepNext/>
              <w:spacing w:before="60" w:after="60"/>
              <w:rPr>
                <w:rFonts w:eastAsia="Times New Roman"/>
                <w:b/>
                <w:sz w:val="18"/>
                <w:szCs w:val="18"/>
                <w:lang w:val="en-US" w:eastAsia="en-US"/>
              </w:rPr>
            </w:pPr>
            <w:r>
              <w:rPr>
                <w:rFonts w:eastAsia="Times New Roman"/>
                <w:b/>
                <w:sz w:val="18"/>
                <w:szCs w:val="18"/>
                <w:lang w:eastAsia="en-US"/>
              </w:rPr>
              <w:t>ПР–2.3-1</w:t>
            </w:r>
          </w:p>
        </w:tc>
        <w:tc>
          <w:tcPr>
            <w:tcW w:w="5103" w:type="dxa"/>
            <w:shd w:val="clear" w:color="auto" w:fill="auto"/>
          </w:tcPr>
          <w:p w:rsidR="00A85EB3" w:rsidRDefault="00B07D03">
            <w:pPr>
              <w:keepNext/>
              <w:widowControl w:val="0"/>
              <w:tabs>
                <w:tab w:val="num" w:pos="459"/>
              </w:tabs>
              <w:overflowPunct w:val="0"/>
              <w:autoSpaceDE w:val="0"/>
              <w:autoSpaceDN w:val="0"/>
              <w:adjustRightInd w:val="0"/>
              <w:spacing w:before="60" w:after="60"/>
              <w:jc w:val="left"/>
              <w:textAlignment w:val="baseline"/>
              <w:rPr>
                <w:rFonts w:eastAsia="Times New Roman"/>
                <w:sz w:val="18"/>
                <w:szCs w:val="18"/>
                <w:lang w:val="en-US" w:eastAsia="en-US"/>
              </w:rPr>
            </w:pPr>
            <w:r>
              <w:rPr>
                <w:rFonts w:eastAsia="Times New Roman"/>
                <w:sz w:val="18"/>
                <w:szCs w:val="18"/>
                <w:lang w:eastAsia="en-US"/>
              </w:rPr>
              <w:t>Брой прояви за общуване в мрежи</w:t>
            </w:r>
          </w:p>
        </w:tc>
        <w:tc>
          <w:tcPr>
            <w:tcW w:w="2126" w:type="dxa"/>
            <w:shd w:val="clear" w:color="auto" w:fill="auto"/>
            <w:vAlign w:val="center"/>
          </w:tcPr>
          <w:p w:rsidR="00A85EB3" w:rsidRDefault="00B07D03">
            <w:pPr>
              <w:keepNext/>
              <w:widowControl w:val="0"/>
              <w:tabs>
                <w:tab w:val="num" w:pos="459"/>
              </w:tabs>
              <w:spacing w:before="60" w:after="60"/>
              <w:jc w:val="center"/>
              <w:rPr>
                <w:rFonts w:eastAsia="Times New Roman"/>
                <w:sz w:val="18"/>
                <w:szCs w:val="18"/>
                <w:lang w:val="en-US" w:eastAsia="en-US"/>
              </w:rPr>
            </w:pPr>
            <w:r>
              <w:rPr>
                <w:rFonts w:eastAsia="Times New Roman"/>
                <w:sz w:val="18"/>
                <w:szCs w:val="18"/>
                <w:lang w:eastAsia="en-US"/>
              </w:rPr>
              <w:t>Брой</w:t>
            </w:r>
          </w:p>
        </w:tc>
        <w:tc>
          <w:tcPr>
            <w:tcW w:w="1701" w:type="dxa"/>
            <w:shd w:val="clear" w:color="auto" w:fill="auto"/>
            <w:vAlign w:val="center"/>
          </w:tcPr>
          <w:p w:rsidR="00A85EB3" w:rsidRDefault="00B07D03">
            <w:pPr>
              <w:keepNext/>
              <w:widowControl w:val="0"/>
              <w:spacing w:before="60" w:after="60"/>
              <w:jc w:val="center"/>
              <w:rPr>
                <w:rFonts w:eastAsia="Times New Roman"/>
                <w:sz w:val="18"/>
                <w:szCs w:val="18"/>
                <w:lang w:val="en-US" w:eastAsia="ar-SA"/>
              </w:rPr>
            </w:pPr>
            <w:r>
              <w:rPr>
                <w:rFonts w:eastAsia="Times New Roman"/>
                <w:sz w:val="18"/>
                <w:szCs w:val="18"/>
                <w:lang w:eastAsia="ar-SA"/>
              </w:rPr>
              <w:t>15</w:t>
            </w:r>
          </w:p>
        </w:tc>
        <w:tc>
          <w:tcPr>
            <w:tcW w:w="3686" w:type="dxa"/>
            <w:shd w:val="clear" w:color="auto" w:fill="auto"/>
          </w:tcPr>
          <w:p w:rsidR="00A85EB3" w:rsidRDefault="00B07D03">
            <w:pPr>
              <w:spacing w:before="0" w:after="0"/>
              <w:jc w:val="center"/>
              <w:rPr>
                <w:rFonts w:eastAsia="Times New Roman"/>
                <w:sz w:val="18"/>
                <w:szCs w:val="18"/>
                <w:lang w:val="en-US"/>
              </w:rPr>
            </w:pPr>
            <w:r>
              <w:rPr>
                <w:rFonts w:eastAsia="Times New Roman"/>
                <w:sz w:val="18"/>
                <w:szCs w:val="18"/>
              </w:rPr>
              <w:t>Доклади за напредъка и Годишни доклади за изпълнението</w:t>
            </w:r>
          </w:p>
        </w:tc>
        <w:tc>
          <w:tcPr>
            <w:tcW w:w="1701" w:type="dxa"/>
            <w:shd w:val="clear" w:color="auto" w:fill="auto"/>
            <w:vAlign w:val="center"/>
          </w:tcPr>
          <w:p w:rsidR="00A85EB3" w:rsidRDefault="00B07D03">
            <w:pPr>
              <w:keepNext/>
              <w:widowControl w:val="0"/>
              <w:overflowPunct w:val="0"/>
              <w:autoSpaceDE w:val="0"/>
              <w:autoSpaceDN w:val="0"/>
              <w:adjustRightInd w:val="0"/>
              <w:spacing w:before="60" w:after="60"/>
              <w:jc w:val="center"/>
              <w:textAlignment w:val="baseline"/>
              <w:rPr>
                <w:rFonts w:eastAsia="Times New Roman"/>
                <w:sz w:val="18"/>
                <w:szCs w:val="18"/>
                <w:lang w:val="en-US" w:eastAsia="en-US"/>
              </w:rPr>
            </w:pPr>
            <w:r>
              <w:rPr>
                <w:rFonts w:eastAsia="Times New Roman"/>
                <w:sz w:val="18"/>
                <w:szCs w:val="18"/>
                <w:lang w:eastAsia="en-US"/>
              </w:rPr>
              <w:t xml:space="preserve">Ежегодно </w:t>
            </w:r>
          </w:p>
        </w:tc>
      </w:tr>
      <w:tr w:rsidR="00250B3C" w:rsidRPr="00981F6F" w:rsidTr="003A6822">
        <w:trPr>
          <w:trHeight w:val="348"/>
        </w:trPr>
        <w:tc>
          <w:tcPr>
            <w:tcW w:w="993" w:type="dxa"/>
            <w:shd w:val="clear" w:color="auto" w:fill="auto"/>
            <w:vAlign w:val="center"/>
          </w:tcPr>
          <w:p w:rsidR="00A85EB3" w:rsidRDefault="00B07D03">
            <w:pPr>
              <w:keepNext/>
              <w:spacing w:before="60" w:after="60"/>
              <w:rPr>
                <w:rFonts w:eastAsia="Times New Roman"/>
                <w:b/>
                <w:sz w:val="18"/>
                <w:szCs w:val="18"/>
                <w:lang w:val="en-US" w:eastAsia="en-US"/>
              </w:rPr>
            </w:pPr>
            <w:r>
              <w:rPr>
                <w:rFonts w:eastAsia="Times New Roman"/>
                <w:b/>
                <w:sz w:val="18"/>
                <w:szCs w:val="18"/>
                <w:lang w:eastAsia="en-US"/>
              </w:rPr>
              <w:t>ПР–2.3-2</w:t>
            </w:r>
          </w:p>
        </w:tc>
        <w:tc>
          <w:tcPr>
            <w:tcW w:w="5103" w:type="dxa"/>
            <w:shd w:val="clear" w:color="auto" w:fill="auto"/>
          </w:tcPr>
          <w:p w:rsidR="00A85EB3" w:rsidRDefault="00B07D03">
            <w:pPr>
              <w:keepNext/>
              <w:widowControl w:val="0"/>
              <w:tabs>
                <w:tab w:val="num" w:pos="459"/>
              </w:tabs>
              <w:spacing w:before="60" w:after="60"/>
              <w:rPr>
                <w:rFonts w:eastAsia="Times New Roman"/>
                <w:sz w:val="18"/>
                <w:szCs w:val="18"/>
                <w:highlight w:val="yellow"/>
                <w:lang w:val="en-US" w:eastAsia="en-US"/>
              </w:rPr>
            </w:pPr>
            <w:r>
              <w:rPr>
                <w:rFonts w:eastAsia="Times New Roman"/>
                <w:sz w:val="18"/>
                <w:szCs w:val="18"/>
                <w:lang w:eastAsia="en-US"/>
              </w:rPr>
              <w:t>Брой на инициативите за информиране на обществеността, популяризиращи устойчиво използване на природното, културното и историческото наследство и ресурси</w:t>
            </w:r>
          </w:p>
        </w:tc>
        <w:tc>
          <w:tcPr>
            <w:tcW w:w="2126" w:type="dxa"/>
            <w:shd w:val="clear" w:color="auto" w:fill="auto"/>
            <w:vAlign w:val="center"/>
          </w:tcPr>
          <w:p w:rsidR="00A85EB3" w:rsidRDefault="00B07D03">
            <w:pPr>
              <w:keepNext/>
              <w:widowControl w:val="0"/>
              <w:tabs>
                <w:tab w:val="num" w:pos="459"/>
              </w:tabs>
              <w:spacing w:before="60" w:after="60"/>
              <w:jc w:val="center"/>
              <w:rPr>
                <w:rFonts w:eastAsia="Times New Roman"/>
                <w:sz w:val="18"/>
                <w:szCs w:val="18"/>
                <w:lang w:val="en-US" w:eastAsia="en-US"/>
              </w:rPr>
            </w:pPr>
            <w:r>
              <w:rPr>
                <w:rFonts w:eastAsia="Times New Roman"/>
                <w:sz w:val="18"/>
                <w:szCs w:val="18"/>
                <w:lang w:eastAsia="en-US"/>
              </w:rPr>
              <w:t>Брой</w:t>
            </w:r>
          </w:p>
        </w:tc>
        <w:tc>
          <w:tcPr>
            <w:tcW w:w="1701" w:type="dxa"/>
            <w:shd w:val="clear" w:color="auto" w:fill="auto"/>
            <w:vAlign w:val="center"/>
          </w:tcPr>
          <w:p w:rsidR="00A85EB3" w:rsidRDefault="00B07D03">
            <w:pPr>
              <w:keepNext/>
              <w:widowControl w:val="0"/>
              <w:spacing w:before="60" w:after="60"/>
              <w:jc w:val="center"/>
              <w:rPr>
                <w:rFonts w:eastAsia="Times New Roman"/>
                <w:sz w:val="18"/>
                <w:szCs w:val="18"/>
                <w:lang w:val="en-US" w:eastAsia="ar-SA"/>
              </w:rPr>
            </w:pPr>
            <w:r>
              <w:rPr>
                <w:rFonts w:eastAsia="Times New Roman"/>
                <w:sz w:val="18"/>
                <w:szCs w:val="18"/>
                <w:lang w:eastAsia="ar-SA"/>
              </w:rPr>
              <w:t>20</w:t>
            </w:r>
          </w:p>
        </w:tc>
        <w:tc>
          <w:tcPr>
            <w:tcW w:w="3686" w:type="dxa"/>
            <w:shd w:val="clear" w:color="auto" w:fill="auto"/>
          </w:tcPr>
          <w:p w:rsidR="00A85EB3" w:rsidRDefault="00B07D03">
            <w:pPr>
              <w:spacing w:before="0" w:after="0"/>
              <w:jc w:val="center"/>
              <w:rPr>
                <w:rFonts w:eastAsia="Times New Roman"/>
                <w:sz w:val="18"/>
                <w:szCs w:val="18"/>
                <w:lang w:val="en-US"/>
              </w:rPr>
            </w:pPr>
            <w:r>
              <w:rPr>
                <w:rFonts w:eastAsia="Times New Roman"/>
                <w:sz w:val="18"/>
                <w:szCs w:val="18"/>
              </w:rPr>
              <w:t>Доклади за напредъка и Годишни доклади за изпълнението</w:t>
            </w:r>
          </w:p>
        </w:tc>
        <w:tc>
          <w:tcPr>
            <w:tcW w:w="1701" w:type="dxa"/>
            <w:shd w:val="clear" w:color="auto" w:fill="auto"/>
            <w:vAlign w:val="center"/>
          </w:tcPr>
          <w:p w:rsidR="00A85EB3" w:rsidRDefault="00B07D03">
            <w:pPr>
              <w:keepNext/>
              <w:widowControl w:val="0"/>
              <w:overflowPunct w:val="0"/>
              <w:autoSpaceDE w:val="0"/>
              <w:autoSpaceDN w:val="0"/>
              <w:adjustRightInd w:val="0"/>
              <w:spacing w:before="60" w:after="60"/>
              <w:jc w:val="center"/>
              <w:textAlignment w:val="baseline"/>
              <w:rPr>
                <w:rFonts w:eastAsia="Times New Roman"/>
                <w:sz w:val="18"/>
                <w:szCs w:val="18"/>
                <w:lang w:val="en-US" w:eastAsia="en-US"/>
              </w:rPr>
            </w:pPr>
            <w:r>
              <w:rPr>
                <w:rFonts w:eastAsia="Times New Roman"/>
                <w:sz w:val="18"/>
                <w:szCs w:val="18"/>
                <w:lang w:eastAsia="en-US"/>
              </w:rPr>
              <w:t xml:space="preserve">Ежегодно </w:t>
            </w:r>
          </w:p>
        </w:tc>
      </w:tr>
    </w:tbl>
    <w:p w:rsidR="00A85EB3" w:rsidRDefault="00A85EB3">
      <w:pPr>
        <w:suppressAutoHyphens/>
        <w:spacing w:after="240"/>
        <w:rPr>
          <w:rFonts w:eastAsia="Times New Roman"/>
          <w:b/>
          <w:lang w:val="en-US"/>
        </w:rPr>
      </w:pPr>
    </w:p>
    <w:p w:rsidR="00A85EB3" w:rsidRDefault="00A85EB3" w:rsidP="003A6822">
      <w:pPr>
        <w:pStyle w:val="ListParagraph"/>
        <w:numPr>
          <w:ilvl w:val="0"/>
          <w:numId w:val="74"/>
        </w:numPr>
        <w:autoSpaceDE w:val="0"/>
        <w:spacing w:before="100" w:beforeAutospacing="1" w:after="0"/>
        <w:ind w:left="176" w:hanging="176"/>
        <w:jc w:val="left"/>
        <w:rPr>
          <w:sz w:val="20"/>
          <w:lang w:val="en-US" w:eastAsia="en-US"/>
        </w:rPr>
        <w:sectPr w:rsidR="00A85EB3" w:rsidSect="006A4BDD">
          <w:pgSz w:w="16838" w:h="11906" w:orient="landscape"/>
          <w:pgMar w:top="1418" w:right="1021" w:bottom="1418" w:left="1021" w:header="601" w:footer="1077" w:gutter="0"/>
          <w:cols w:space="720"/>
          <w:docGrid w:linePitch="326"/>
        </w:sectPr>
      </w:pPr>
    </w:p>
    <w:p w:rsidR="00A85EB3" w:rsidRDefault="00B07D03">
      <w:pPr>
        <w:pStyle w:val="Heading3"/>
        <w:numPr>
          <w:ilvl w:val="0"/>
          <w:numId w:val="0"/>
        </w:numPr>
        <w:ind w:left="850" w:hanging="850"/>
        <w:rPr>
          <w:b/>
          <w:i w:val="0"/>
          <w:lang w:val="en-US"/>
        </w:rPr>
      </w:pPr>
      <w:bookmarkStart w:id="60" w:name="_Toc408234906"/>
      <w:r>
        <w:rPr>
          <w:b/>
          <w:i w:val="0"/>
        </w:rPr>
        <w:lastRenderedPageBreak/>
        <w:t>2.</w:t>
      </w:r>
      <w:proofErr w:type="spellStart"/>
      <w:r>
        <w:rPr>
          <w:b/>
          <w:i w:val="0"/>
        </w:rPr>
        <w:t>2</w:t>
      </w:r>
      <w:proofErr w:type="spellEnd"/>
      <w:r>
        <w:rPr>
          <w:b/>
          <w:i w:val="0"/>
        </w:rPr>
        <w:t>.7. Категории на интервенциите</w:t>
      </w:r>
      <w:bookmarkEnd w:id="60"/>
      <w:r>
        <w:rPr>
          <w:b/>
          <w:i w:val="0"/>
        </w:rPr>
        <w:t xml:space="preserve"> </w:t>
      </w:r>
    </w:p>
    <w:p w:rsidR="00A85EB3" w:rsidRDefault="00B07D03">
      <w:pPr>
        <w:rPr>
          <w:lang w:val="en-US"/>
        </w:rPr>
      </w:pPr>
      <w:r>
        <w:t>(Източник: буква(b)(vii) на чл. 8(2) от Регламент (ЕС) № 1299/2013)</w:t>
      </w:r>
    </w:p>
    <w:p w:rsidR="00A85EB3" w:rsidRDefault="00B07D03">
      <w:pPr>
        <w:suppressAutoHyphens/>
        <w:spacing w:after="240"/>
        <w:rPr>
          <w:rFonts w:eastAsia="Times New Roman"/>
          <w:lang w:val="en-US"/>
        </w:rPr>
      </w:pPr>
      <w:r>
        <w:rPr>
          <w:rFonts w:eastAsia="Times New Roman"/>
        </w:rPr>
        <w:t xml:space="preserve">Категории на дейностите, съответстващи на съдържанието на приоритетната ос, на основата на номенклатура, приета от Комисията, и индикативна разбивка на помощта от Съюза </w:t>
      </w:r>
    </w:p>
    <w:p w:rsidR="00A85EB3" w:rsidRDefault="00B07D03">
      <w:pPr>
        <w:suppressAutoHyphens/>
        <w:spacing w:after="240"/>
        <w:rPr>
          <w:rFonts w:eastAsia="Times New Roman"/>
          <w:szCs w:val="24"/>
          <w:lang w:val="en-US"/>
        </w:rPr>
      </w:pPr>
      <w:r>
        <w:rPr>
          <w:rFonts w:eastAsia="Times New Roman"/>
          <w:b/>
          <w:szCs w:val="24"/>
        </w:rPr>
        <w:t>Таблици 5–8: Категории на интервенциите</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536"/>
        <w:gridCol w:w="1730"/>
      </w:tblGrid>
      <w:tr w:rsidR="00D4426D" w:rsidRPr="00981F6F" w:rsidTr="004E5AB3">
        <w:trPr>
          <w:trHeight w:val="364"/>
        </w:trPr>
        <w:tc>
          <w:tcPr>
            <w:tcW w:w="8642" w:type="dxa"/>
            <w:gridSpan w:val="3"/>
            <w:shd w:val="clear" w:color="auto" w:fill="auto"/>
          </w:tcPr>
          <w:p w:rsidR="00A85EB3" w:rsidRDefault="00B07D03">
            <w:pPr>
              <w:autoSpaceDE w:val="0"/>
              <w:autoSpaceDN w:val="0"/>
              <w:adjustRightInd w:val="0"/>
              <w:spacing w:after="0"/>
              <w:rPr>
                <w:rFonts w:ascii="TimesNewRoman" w:eastAsia="Times New Roman" w:hAnsi="TimesNewRoman" w:cs="TimesNewRoman"/>
                <w:b/>
                <w:color w:val="000000"/>
                <w:sz w:val="20"/>
                <w:lang w:val="en-US"/>
              </w:rPr>
            </w:pPr>
            <w:r>
              <w:rPr>
                <w:rFonts w:ascii="TimesNewRoman,Bold" w:eastAsia="Times New Roman" w:hAnsi="TimesNewRoman,Bold" w:cs="TimesNewRoman,Bold"/>
                <w:b/>
                <w:bCs/>
                <w:color w:val="000000"/>
                <w:sz w:val="20"/>
              </w:rPr>
              <w:t xml:space="preserve">Таблица 5: Измерение 1 </w:t>
            </w:r>
            <w:r>
              <w:rPr>
                <w:rFonts w:ascii="TimesNewRoman" w:eastAsia="Times New Roman" w:hAnsi="TimesNewRoman" w:cs="TimesNewRoman"/>
                <w:b/>
                <w:color w:val="000000"/>
                <w:sz w:val="20"/>
              </w:rPr>
              <w:t>Област на интервенция</w:t>
            </w:r>
          </w:p>
        </w:tc>
      </w:tr>
      <w:tr w:rsidR="00D4426D" w:rsidRPr="00981F6F" w:rsidTr="004E5AB3">
        <w:trPr>
          <w:trHeight w:val="267"/>
        </w:trPr>
        <w:tc>
          <w:tcPr>
            <w:tcW w:w="2376" w:type="dxa"/>
            <w:shd w:val="clear" w:color="auto" w:fill="auto"/>
          </w:tcPr>
          <w:p w:rsidR="00A85EB3" w:rsidRDefault="00B07D03">
            <w:pPr>
              <w:spacing w:after="240"/>
              <w:jc w:val="center"/>
              <w:rPr>
                <w:rFonts w:eastAsia="Times New Roman"/>
                <w:b/>
                <w:sz w:val="18"/>
                <w:szCs w:val="18"/>
                <w:lang w:val="en-US"/>
              </w:rPr>
            </w:pPr>
            <w:r>
              <w:rPr>
                <w:rFonts w:eastAsia="Times New Roman"/>
                <w:b/>
                <w:sz w:val="18"/>
                <w:szCs w:val="18"/>
              </w:rPr>
              <w:t>Приоритетна ос</w:t>
            </w:r>
          </w:p>
        </w:tc>
        <w:tc>
          <w:tcPr>
            <w:tcW w:w="4536" w:type="dxa"/>
            <w:shd w:val="clear" w:color="auto" w:fill="auto"/>
          </w:tcPr>
          <w:p w:rsidR="00A85EB3" w:rsidRDefault="00B07D03">
            <w:pPr>
              <w:spacing w:after="240"/>
              <w:jc w:val="center"/>
              <w:rPr>
                <w:rFonts w:eastAsia="Times New Roman"/>
                <w:sz w:val="20"/>
                <w:lang w:val="en-US"/>
              </w:rPr>
            </w:pPr>
            <w:r>
              <w:rPr>
                <w:rFonts w:eastAsia="Times New Roman"/>
                <w:b/>
                <w:sz w:val="18"/>
                <w:szCs w:val="18"/>
              </w:rPr>
              <w:t>Код</w:t>
            </w:r>
          </w:p>
        </w:tc>
        <w:tc>
          <w:tcPr>
            <w:tcW w:w="1730" w:type="dxa"/>
            <w:shd w:val="clear" w:color="auto" w:fill="auto"/>
          </w:tcPr>
          <w:p w:rsidR="00A85EB3" w:rsidRDefault="00B07D03">
            <w:pPr>
              <w:spacing w:after="240"/>
              <w:jc w:val="center"/>
              <w:rPr>
                <w:rFonts w:eastAsia="Times New Roman"/>
                <w:sz w:val="20"/>
                <w:lang w:val="en-US"/>
              </w:rPr>
            </w:pPr>
            <w:r>
              <w:rPr>
                <w:b/>
                <w:sz w:val="18"/>
                <w:szCs w:val="18"/>
              </w:rPr>
              <w:t>Сума (евро)</w:t>
            </w:r>
          </w:p>
        </w:tc>
      </w:tr>
      <w:tr w:rsidR="0041355C" w:rsidRPr="00981F6F" w:rsidTr="004E5AB3">
        <w:tc>
          <w:tcPr>
            <w:tcW w:w="2376" w:type="dxa"/>
            <w:vMerge w:val="restart"/>
            <w:shd w:val="clear" w:color="auto" w:fill="auto"/>
          </w:tcPr>
          <w:p w:rsidR="00A85EB3" w:rsidRDefault="00A85EB3">
            <w:pPr>
              <w:spacing w:after="240"/>
              <w:rPr>
                <w:rFonts w:eastAsia="Times New Roman"/>
                <w:sz w:val="18"/>
                <w:szCs w:val="18"/>
                <w:lang w:val="en-US"/>
              </w:rPr>
            </w:pPr>
          </w:p>
          <w:p w:rsidR="00A85EB3" w:rsidRDefault="00A85EB3">
            <w:pPr>
              <w:spacing w:after="240"/>
              <w:rPr>
                <w:rFonts w:eastAsia="Times New Roman"/>
                <w:sz w:val="18"/>
                <w:szCs w:val="18"/>
                <w:lang w:val="en-US"/>
              </w:rPr>
            </w:pPr>
          </w:p>
          <w:p w:rsidR="00A85EB3" w:rsidRDefault="00A85EB3">
            <w:pPr>
              <w:spacing w:after="240"/>
              <w:rPr>
                <w:rFonts w:eastAsia="Times New Roman"/>
                <w:sz w:val="18"/>
                <w:szCs w:val="18"/>
                <w:lang w:val="en-US"/>
              </w:rPr>
            </w:pPr>
          </w:p>
          <w:p w:rsidR="00A85EB3" w:rsidRDefault="00A85EB3">
            <w:pPr>
              <w:spacing w:after="240"/>
              <w:rPr>
                <w:rFonts w:eastAsia="Times New Roman"/>
                <w:sz w:val="18"/>
                <w:szCs w:val="18"/>
                <w:lang w:val="en-US"/>
              </w:rPr>
            </w:pPr>
          </w:p>
          <w:p w:rsidR="00A85EB3" w:rsidRDefault="00A85EB3">
            <w:pPr>
              <w:spacing w:after="240"/>
              <w:rPr>
                <w:rFonts w:eastAsia="Times New Roman"/>
                <w:sz w:val="18"/>
                <w:szCs w:val="18"/>
                <w:lang w:val="en-US"/>
              </w:rPr>
            </w:pPr>
          </w:p>
          <w:p w:rsidR="00A85EB3" w:rsidRDefault="00B07D03">
            <w:pPr>
              <w:spacing w:after="240"/>
              <w:rPr>
                <w:rFonts w:eastAsia="Times New Roman"/>
                <w:sz w:val="20"/>
                <w:lang w:val="en-US"/>
              </w:rPr>
            </w:pPr>
            <w:r>
              <w:rPr>
                <w:b/>
                <w:spacing w:val="20"/>
                <w:sz w:val="20"/>
                <w:lang w:eastAsia="en-US"/>
              </w:rPr>
              <w:t>Устойчив туризъм</w:t>
            </w:r>
          </w:p>
        </w:tc>
        <w:tc>
          <w:tcPr>
            <w:tcW w:w="4536" w:type="dxa"/>
            <w:shd w:val="clear" w:color="auto" w:fill="auto"/>
          </w:tcPr>
          <w:p w:rsidR="00A85EB3" w:rsidRDefault="00B07D03" w:rsidP="00D73F94">
            <w:pPr>
              <w:spacing w:after="240"/>
              <w:rPr>
                <w:rFonts w:eastAsia="Times New Roman"/>
                <w:sz w:val="18"/>
                <w:szCs w:val="18"/>
                <w:lang w:val="en-US"/>
              </w:rPr>
            </w:pPr>
            <w:r>
              <w:rPr>
                <w:sz w:val="18"/>
                <w:szCs w:val="18"/>
                <w:lang w:eastAsia="en-US"/>
              </w:rPr>
              <w:t>075 Развитие и пропагандиране на туристически услуги в или за МС</w:t>
            </w:r>
            <w:r w:rsidR="00D73F94">
              <w:rPr>
                <w:sz w:val="18"/>
                <w:szCs w:val="18"/>
                <w:lang w:eastAsia="en-US"/>
              </w:rPr>
              <w:t>П</w:t>
            </w:r>
          </w:p>
        </w:tc>
        <w:tc>
          <w:tcPr>
            <w:tcW w:w="1730" w:type="dxa"/>
            <w:shd w:val="clear" w:color="auto" w:fill="auto"/>
          </w:tcPr>
          <w:p w:rsidR="00A85EB3" w:rsidRDefault="00B07D03">
            <w:pPr>
              <w:spacing w:after="240"/>
              <w:jc w:val="center"/>
              <w:rPr>
                <w:rFonts w:eastAsia="Times New Roman"/>
                <w:sz w:val="18"/>
                <w:szCs w:val="18"/>
                <w:lang w:val="en-US"/>
              </w:rPr>
            </w:pPr>
            <w:r>
              <w:rPr>
                <w:spacing w:val="20"/>
                <w:sz w:val="18"/>
                <w:szCs w:val="18"/>
                <w:lang w:eastAsia="en-US"/>
              </w:rPr>
              <w:t>2 267 681,40</w:t>
            </w:r>
          </w:p>
        </w:tc>
      </w:tr>
      <w:tr w:rsidR="0041355C" w:rsidRPr="00981F6F" w:rsidTr="004E5AB3">
        <w:trPr>
          <w:trHeight w:val="233"/>
        </w:trPr>
        <w:tc>
          <w:tcPr>
            <w:tcW w:w="2376" w:type="dxa"/>
            <w:vMerge/>
            <w:shd w:val="clear" w:color="auto" w:fill="auto"/>
          </w:tcPr>
          <w:p w:rsidR="00A85EB3" w:rsidRDefault="00A85EB3">
            <w:pPr>
              <w:spacing w:after="240"/>
              <w:rPr>
                <w:rFonts w:eastAsia="Times New Roman"/>
                <w:sz w:val="18"/>
                <w:szCs w:val="18"/>
                <w:lang w:val="en-US"/>
              </w:rPr>
            </w:pPr>
          </w:p>
        </w:tc>
        <w:tc>
          <w:tcPr>
            <w:tcW w:w="4536" w:type="dxa"/>
            <w:shd w:val="clear" w:color="auto" w:fill="auto"/>
          </w:tcPr>
          <w:p w:rsidR="00A85EB3" w:rsidRDefault="00B07D03">
            <w:pPr>
              <w:spacing w:after="240"/>
              <w:rPr>
                <w:rFonts w:eastAsia="Times New Roman"/>
                <w:sz w:val="18"/>
                <w:szCs w:val="18"/>
                <w:lang w:val="en-US"/>
              </w:rPr>
            </w:pPr>
            <w:r>
              <w:rPr>
                <w:sz w:val="18"/>
                <w:szCs w:val="18"/>
              </w:rPr>
              <w:t>079 Достъп до публична отраслова информация (включително открити данни електронен туризъм)</w:t>
            </w:r>
          </w:p>
        </w:tc>
        <w:tc>
          <w:tcPr>
            <w:tcW w:w="1730" w:type="dxa"/>
            <w:shd w:val="clear" w:color="auto" w:fill="auto"/>
          </w:tcPr>
          <w:p w:rsidR="00A85EB3" w:rsidRDefault="00B07D03">
            <w:pPr>
              <w:spacing w:after="240"/>
              <w:jc w:val="center"/>
              <w:rPr>
                <w:rFonts w:eastAsia="Times New Roman"/>
                <w:sz w:val="18"/>
                <w:szCs w:val="18"/>
                <w:lang w:val="en-US"/>
              </w:rPr>
            </w:pPr>
            <w:r>
              <w:rPr>
                <w:spacing w:val="20"/>
                <w:sz w:val="18"/>
                <w:szCs w:val="18"/>
                <w:lang w:eastAsia="en-US"/>
              </w:rPr>
              <w:t>1 133 840,70</w:t>
            </w:r>
          </w:p>
        </w:tc>
      </w:tr>
      <w:tr w:rsidR="0041355C" w:rsidRPr="00981F6F" w:rsidTr="004E5AB3">
        <w:trPr>
          <w:trHeight w:val="233"/>
        </w:trPr>
        <w:tc>
          <w:tcPr>
            <w:tcW w:w="2376" w:type="dxa"/>
            <w:vMerge/>
            <w:shd w:val="clear" w:color="auto" w:fill="auto"/>
          </w:tcPr>
          <w:p w:rsidR="00A85EB3" w:rsidRDefault="00A85EB3">
            <w:pPr>
              <w:spacing w:after="240"/>
              <w:rPr>
                <w:rFonts w:eastAsia="Times New Roman"/>
                <w:sz w:val="18"/>
                <w:szCs w:val="18"/>
                <w:lang w:val="en-US"/>
              </w:rPr>
            </w:pPr>
          </w:p>
        </w:tc>
        <w:tc>
          <w:tcPr>
            <w:tcW w:w="4536" w:type="dxa"/>
            <w:shd w:val="clear" w:color="auto" w:fill="auto"/>
          </w:tcPr>
          <w:p w:rsidR="00A85EB3" w:rsidRDefault="00B07D03">
            <w:pPr>
              <w:spacing w:after="240"/>
              <w:rPr>
                <w:sz w:val="18"/>
                <w:szCs w:val="18"/>
                <w:lang w:val="en-US"/>
              </w:rPr>
            </w:pPr>
            <w:r>
              <w:rPr>
                <w:sz w:val="18"/>
                <w:szCs w:val="18"/>
              </w:rPr>
              <w:t>090 Вело- и пешеходни алеи</w:t>
            </w:r>
          </w:p>
        </w:tc>
        <w:tc>
          <w:tcPr>
            <w:tcW w:w="1730" w:type="dxa"/>
            <w:shd w:val="clear" w:color="auto" w:fill="auto"/>
          </w:tcPr>
          <w:p w:rsidR="00A85EB3" w:rsidRDefault="00B07D03">
            <w:pPr>
              <w:spacing w:after="240"/>
              <w:jc w:val="center"/>
              <w:rPr>
                <w:rFonts w:eastAsia="Times New Roman"/>
                <w:sz w:val="18"/>
                <w:szCs w:val="18"/>
                <w:lang w:val="en-US"/>
              </w:rPr>
            </w:pPr>
            <w:r>
              <w:rPr>
                <w:spacing w:val="20"/>
                <w:sz w:val="18"/>
                <w:szCs w:val="18"/>
                <w:lang w:eastAsia="en-US"/>
              </w:rPr>
              <w:t>1 133 840,70</w:t>
            </w:r>
          </w:p>
        </w:tc>
      </w:tr>
      <w:tr w:rsidR="0041355C" w:rsidRPr="00981F6F" w:rsidTr="004E5AB3">
        <w:trPr>
          <w:trHeight w:val="233"/>
        </w:trPr>
        <w:tc>
          <w:tcPr>
            <w:tcW w:w="2376" w:type="dxa"/>
            <w:vMerge/>
            <w:shd w:val="clear" w:color="auto" w:fill="auto"/>
          </w:tcPr>
          <w:p w:rsidR="00A85EB3" w:rsidRDefault="00A85EB3">
            <w:pPr>
              <w:spacing w:after="240"/>
              <w:rPr>
                <w:rFonts w:eastAsia="Times New Roman"/>
                <w:sz w:val="18"/>
                <w:szCs w:val="18"/>
                <w:lang w:val="en-US"/>
              </w:rPr>
            </w:pPr>
          </w:p>
        </w:tc>
        <w:tc>
          <w:tcPr>
            <w:tcW w:w="4536" w:type="dxa"/>
            <w:shd w:val="clear" w:color="auto" w:fill="auto"/>
          </w:tcPr>
          <w:p w:rsidR="00A85EB3" w:rsidRDefault="00B07D03">
            <w:pPr>
              <w:spacing w:after="240"/>
              <w:rPr>
                <w:sz w:val="18"/>
                <w:szCs w:val="18"/>
                <w:lang w:val="en-US"/>
              </w:rPr>
            </w:pPr>
            <w:r>
              <w:rPr>
                <w:sz w:val="18"/>
                <w:szCs w:val="18"/>
              </w:rPr>
              <w:t>092 Опазване, развитие и рекламиране на обществени туристически ценности</w:t>
            </w:r>
          </w:p>
        </w:tc>
        <w:tc>
          <w:tcPr>
            <w:tcW w:w="1730" w:type="dxa"/>
            <w:shd w:val="clear" w:color="auto" w:fill="auto"/>
          </w:tcPr>
          <w:p w:rsidR="00A85EB3" w:rsidRDefault="00B07D03">
            <w:pPr>
              <w:spacing w:after="240"/>
              <w:jc w:val="center"/>
              <w:rPr>
                <w:rFonts w:eastAsia="Times New Roman"/>
                <w:sz w:val="18"/>
                <w:szCs w:val="18"/>
                <w:lang w:val="en-US"/>
              </w:rPr>
            </w:pPr>
            <w:r>
              <w:rPr>
                <w:spacing w:val="20"/>
                <w:sz w:val="18"/>
                <w:szCs w:val="18"/>
                <w:lang w:eastAsia="en-US"/>
              </w:rPr>
              <w:t>2 834 601,75</w:t>
            </w:r>
          </w:p>
        </w:tc>
      </w:tr>
      <w:tr w:rsidR="0041355C" w:rsidRPr="00981F6F" w:rsidTr="004E5AB3">
        <w:trPr>
          <w:trHeight w:val="233"/>
        </w:trPr>
        <w:tc>
          <w:tcPr>
            <w:tcW w:w="2376" w:type="dxa"/>
            <w:vMerge/>
            <w:shd w:val="clear" w:color="auto" w:fill="auto"/>
          </w:tcPr>
          <w:p w:rsidR="00A85EB3" w:rsidRDefault="00A85EB3">
            <w:pPr>
              <w:spacing w:after="240"/>
              <w:rPr>
                <w:rFonts w:eastAsia="Times New Roman"/>
                <w:sz w:val="18"/>
                <w:szCs w:val="18"/>
                <w:lang w:val="en-US"/>
              </w:rPr>
            </w:pPr>
          </w:p>
        </w:tc>
        <w:tc>
          <w:tcPr>
            <w:tcW w:w="4536" w:type="dxa"/>
            <w:shd w:val="clear" w:color="auto" w:fill="auto"/>
          </w:tcPr>
          <w:p w:rsidR="00A85EB3" w:rsidRDefault="00B07D03">
            <w:pPr>
              <w:spacing w:after="240"/>
              <w:rPr>
                <w:sz w:val="18"/>
                <w:szCs w:val="18"/>
                <w:lang w:val="en-US"/>
              </w:rPr>
            </w:pPr>
            <w:r>
              <w:rPr>
                <w:sz w:val="18"/>
                <w:szCs w:val="18"/>
              </w:rPr>
              <w:t>094 Опазване, развитие и рекламиране на обществени ценности на културата и историческото наследство</w:t>
            </w:r>
          </w:p>
        </w:tc>
        <w:tc>
          <w:tcPr>
            <w:tcW w:w="1730" w:type="dxa"/>
            <w:shd w:val="clear" w:color="auto" w:fill="auto"/>
          </w:tcPr>
          <w:p w:rsidR="00A85EB3" w:rsidRDefault="00B07D03">
            <w:pPr>
              <w:spacing w:after="240"/>
              <w:jc w:val="center"/>
              <w:rPr>
                <w:rFonts w:eastAsia="Times New Roman"/>
                <w:sz w:val="18"/>
                <w:szCs w:val="18"/>
                <w:lang w:val="en-US"/>
              </w:rPr>
            </w:pPr>
            <w:r>
              <w:rPr>
                <w:spacing w:val="20"/>
                <w:sz w:val="18"/>
                <w:szCs w:val="18"/>
                <w:lang w:eastAsia="en-US"/>
              </w:rPr>
              <w:t>2 834 601,75</w:t>
            </w:r>
          </w:p>
        </w:tc>
      </w:tr>
      <w:tr w:rsidR="0041355C" w:rsidRPr="00981F6F" w:rsidTr="004E5AB3">
        <w:trPr>
          <w:trHeight w:val="233"/>
        </w:trPr>
        <w:tc>
          <w:tcPr>
            <w:tcW w:w="2376" w:type="dxa"/>
            <w:vMerge/>
            <w:shd w:val="clear" w:color="auto" w:fill="auto"/>
          </w:tcPr>
          <w:p w:rsidR="00A85EB3" w:rsidRDefault="00A85EB3">
            <w:pPr>
              <w:spacing w:after="240"/>
              <w:rPr>
                <w:rFonts w:eastAsia="Times New Roman"/>
                <w:sz w:val="18"/>
                <w:szCs w:val="18"/>
                <w:lang w:val="en-US"/>
              </w:rPr>
            </w:pPr>
          </w:p>
        </w:tc>
        <w:tc>
          <w:tcPr>
            <w:tcW w:w="4536" w:type="dxa"/>
            <w:shd w:val="clear" w:color="auto" w:fill="auto"/>
          </w:tcPr>
          <w:p w:rsidR="00A85EB3" w:rsidRDefault="00B07D03">
            <w:pPr>
              <w:spacing w:after="240"/>
              <w:rPr>
                <w:sz w:val="18"/>
                <w:szCs w:val="18"/>
                <w:lang w:val="en-US"/>
              </w:rPr>
            </w:pPr>
            <w:r>
              <w:rPr>
                <w:sz w:val="18"/>
                <w:szCs w:val="18"/>
              </w:rPr>
              <w:t>095 Опазване, развитие и рекламиране на обществени услуги, свързани с културата и историческото наследство</w:t>
            </w:r>
          </w:p>
        </w:tc>
        <w:tc>
          <w:tcPr>
            <w:tcW w:w="1730" w:type="dxa"/>
            <w:shd w:val="clear" w:color="auto" w:fill="auto"/>
          </w:tcPr>
          <w:p w:rsidR="00A85EB3" w:rsidRDefault="00B07D03">
            <w:pPr>
              <w:spacing w:after="240"/>
              <w:jc w:val="center"/>
              <w:rPr>
                <w:rFonts w:eastAsia="Times New Roman"/>
                <w:sz w:val="18"/>
                <w:szCs w:val="18"/>
                <w:lang w:val="en-US"/>
              </w:rPr>
            </w:pPr>
            <w:r>
              <w:rPr>
                <w:spacing w:val="20"/>
                <w:sz w:val="18"/>
                <w:szCs w:val="18"/>
                <w:lang w:eastAsia="en-US"/>
              </w:rPr>
              <w:t>1 133 840,70</w:t>
            </w:r>
          </w:p>
        </w:tc>
      </w:tr>
    </w:tbl>
    <w:p w:rsidR="00A85EB3" w:rsidRDefault="00A85EB3">
      <w:pPr>
        <w:suppressAutoHyphens/>
        <w:spacing w:before="60"/>
        <w:rPr>
          <w:rFonts w:eastAsia="Times New Roman"/>
          <w:b/>
          <w:sz w:val="16"/>
          <w:szCs w:val="16"/>
          <w:lang w:val="en-U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536"/>
        <w:gridCol w:w="1730"/>
      </w:tblGrid>
      <w:tr w:rsidR="00D4426D" w:rsidRPr="00981F6F" w:rsidTr="004E5AB3">
        <w:trPr>
          <w:trHeight w:val="364"/>
        </w:trPr>
        <w:tc>
          <w:tcPr>
            <w:tcW w:w="8642" w:type="dxa"/>
            <w:gridSpan w:val="3"/>
            <w:shd w:val="clear" w:color="auto" w:fill="auto"/>
          </w:tcPr>
          <w:p w:rsidR="00A85EB3" w:rsidRDefault="00B07D03">
            <w:pPr>
              <w:autoSpaceDE w:val="0"/>
              <w:autoSpaceDN w:val="0"/>
              <w:adjustRightInd w:val="0"/>
              <w:spacing w:after="0"/>
              <w:rPr>
                <w:rFonts w:ascii="TimesNewRoman" w:eastAsia="Times New Roman" w:hAnsi="TimesNewRoman" w:cs="TimesNewRoman"/>
                <w:b/>
                <w:color w:val="000000"/>
                <w:sz w:val="20"/>
                <w:lang w:val="en-US"/>
              </w:rPr>
            </w:pPr>
            <w:r>
              <w:rPr>
                <w:rFonts w:ascii="TimesNewRoman,Bold" w:eastAsia="Times New Roman" w:hAnsi="TimesNewRoman,Bold" w:cs="TimesNewRoman,Bold"/>
                <w:b/>
                <w:bCs/>
                <w:color w:val="000000"/>
                <w:sz w:val="20"/>
              </w:rPr>
              <w:t xml:space="preserve">Таблица 6: Измерение 2 </w:t>
            </w:r>
            <w:r>
              <w:rPr>
                <w:rFonts w:ascii="TimesNewRoman" w:eastAsia="Times New Roman" w:hAnsi="TimesNewRoman" w:cs="TimesNewRoman"/>
                <w:b/>
                <w:color w:val="000000"/>
                <w:sz w:val="20"/>
              </w:rPr>
              <w:t>Форма на финансиране</w:t>
            </w:r>
          </w:p>
        </w:tc>
      </w:tr>
      <w:tr w:rsidR="00D4426D" w:rsidRPr="00981F6F" w:rsidTr="004E5AB3">
        <w:trPr>
          <w:trHeight w:val="267"/>
        </w:trPr>
        <w:tc>
          <w:tcPr>
            <w:tcW w:w="2376" w:type="dxa"/>
            <w:shd w:val="clear" w:color="auto" w:fill="auto"/>
          </w:tcPr>
          <w:p w:rsidR="00A85EB3" w:rsidRDefault="00B07D03">
            <w:pPr>
              <w:spacing w:after="240"/>
              <w:jc w:val="center"/>
              <w:rPr>
                <w:rFonts w:eastAsia="Times New Roman"/>
                <w:b/>
                <w:sz w:val="18"/>
                <w:szCs w:val="18"/>
                <w:lang w:val="en-US"/>
              </w:rPr>
            </w:pPr>
            <w:r>
              <w:rPr>
                <w:rFonts w:eastAsia="Times New Roman"/>
                <w:b/>
                <w:sz w:val="18"/>
                <w:szCs w:val="18"/>
              </w:rPr>
              <w:t>Приоритетна ос</w:t>
            </w:r>
          </w:p>
        </w:tc>
        <w:tc>
          <w:tcPr>
            <w:tcW w:w="4536" w:type="dxa"/>
            <w:shd w:val="clear" w:color="auto" w:fill="auto"/>
          </w:tcPr>
          <w:p w:rsidR="00A85EB3" w:rsidRDefault="00B07D03">
            <w:pPr>
              <w:spacing w:after="240"/>
              <w:jc w:val="center"/>
              <w:rPr>
                <w:rFonts w:eastAsia="Times New Roman"/>
                <w:sz w:val="20"/>
                <w:lang w:val="en-US"/>
              </w:rPr>
            </w:pPr>
            <w:r>
              <w:rPr>
                <w:rFonts w:eastAsia="Times New Roman"/>
                <w:b/>
                <w:sz w:val="18"/>
                <w:szCs w:val="18"/>
              </w:rPr>
              <w:t>Код</w:t>
            </w:r>
          </w:p>
        </w:tc>
        <w:tc>
          <w:tcPr>
            <w:tcW w:w="1730" w:type="dxa"/>
            <w:shd w:val="clear" w:color="auto" w:fill="auto"/>
          </w:tcPr>
          <w:p w:rsidR="00A85EB3" w:rsidRDefault="00B07D03">
            <w:pPr>
              <w:spacing w:after="240"/>
              <w:jc w:val="center"/>
              <w:rPr>
                <w:rFonts w:eastAsia="Times New Roman"/>
                <w:sz w:val="20"/>
                <w:lang w:val="en-US"/>
              </w:rPr>
            </w:pPr>
            <w:r>
              <w:rPr>
                <w:b/>
                <w:sz w:val="18"/>
                <w:szCs w:val="18"/>
              </w:rPr>
              <w:t>Сума (евро)</w:t>
            </w:r>
          </w:p>
        </w:tc>
      </w:tr>
      <w:tr w:rsidR="00D4426D" w:rsidRPr="00981F6F" w:rsidTr="004E5AB3">
        <w:tc>
          <w:tcPr>
            <w:tcW w:w="2376" w:type="dxa"/>
            <w:shd w:val="clear" w:color="auto" w:fill="auto"/>
          </w:tcPr>
          <w:p w:rsidR="00A85EB3" w:rsidRDefault="00B07D03">
            <w:pPr>
              <w:spacing w:after="240"/>
              <w:rPr>
                <w:rFonts w:eastAsia="Times New Roman"/>
                <w:sz w:val="18"/>
                <w:szCs w:val="18"/>
                <w:lang w:val="en-US"/>
              </w:rPr>
            </w:pPr>
            <w:r>
              <w:rPr>
                <w:b/>
                <w:spacing w:val="20"/>
                <w:sz w:val="18"/>
                <w:szCs w:val="18"/>
                <w:lang w:eastAsia="en-US"/>
              </w:rPr>
              <w:t>Устойчив туризъм</w:t>
            </w:r>
          </w:p>
        </w:tc>
        <w:tc>
          <w:tcPr>
            <w:tcW w:w="4536" w:type="dxa"/>
            <w:shd w:val="clear" w:color="auto" w:fill="auto"/>
          </w:tcPr>
          <w:p w:rsidR="00A85EB3" w:rsidRDefault="00B07D03">
            <w:pPr>
              <w:spacing w:after="240"/>
              <w:rPr>
                <w:rFonts w:eastAsia="Times New Roman"/>
                <w:sz w:val="18"/>
                <w:szCs w:val="18"/>
                <w:lang w:val="en-US"/>
              </w:rPr>
            </w:pPr>
            <w:r>
              <w:rPr>
                <w:sz w:val="18"/>
                <w:szCs w:val="18"/>
                <w:lang w:eastAsia="en-US"/>
              </w:rPr>
              <w:t>01 Безвъзмездна помощ</w:t>
            </w:r>
          </w:p>
        </w:tc>
        <w:tc>
          <w:tcPr>
            <w:tcW w:w="1730" w:type="dxa"/>
            <w:shd w:val="clear" w:color="auto" w:fill="auto"/>
          </w:tcPr>
          <w:p w:rsidR="00A85EB3" w:rsidRDefault="00B07D03">
            <w:pPr>
              <w:spacing w:after="240"/>
              <w:jc w:val="center"/>
              <w:rPr>
                <w:rFonts w:eastAsia="Times New Roman"/>
                <w:sz w:val="18"/>
                <w:szCs w:val="18"/>
                <w:lang w:val="en-US"/>
              </w:rPr>
            </w:pPr>
            <w:r>
              <w:rPr>
                <w:spacing w:val="20"/>
                <w:sz w:val="18"/>
                <w:szCs w:val="18"/>
                <w:lang w:eastAsia="en-US"/>
              </w:rPr>
              <w:t>11 338 407,00</w:t>
            </w:r>
          </w:p>
        </w:tc>
      </w:tr>
    </w:tbl>
    <w:p w:rsidR="00A85EB3" w:rsidRDefault="00A85EB3">
      <w:pPr>
        <w:suppressAutoHyphens/>
        <w:spacing w:before="60" w:after="60"/>
        <w:rPr>
          <w:rFonts w:eastAsia="Times New Roman"/>
          <w:b/>
          <w:szCs w:val="24"/>
          <w:lang w:val="en-U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536"/>
        <w:gridCol w:w="1730"/>
      </w:tblGrid>
      <w:tr w:rsidR="00D4426D" w:rsidRPr="00981F6F" w:rsidTr="003D05CE">
        <w:trPr>
          <w:trHeight w:val="364"/>
        </w:trPr>
        <w:tc>
          <w:tcPr>
            <w:tcW w:w="8642" w:type="dxa"/>
            <w:gridSpan w:val="3"/>
            <w:shd w:val="clear" w:color="auto" w:fill="auto"/>
          </w:tcPr>
          <w:p w:rsidR="00A85EB3" w:rsidRDefault="00B07D03">
            <w:pPr>
              <w:autoSpaceDE w:val="0"/>
              <w:autoSpaceDN w:val="0"/>
              <w:adjustRightInd w:val="0"/>
              <w:spacing w:after="0"/>
              <w:rPr>
                <w:rFonts w:ascii="TimesNewRoman" w:eastAsia="Times New Roman" w:hAnsi="TimesNewRoman" w:cs="TimesNewRoman"/>
                <w:b/>
                <w:color w:val="000000"/>
                <w:sz w:val="20"/>
                <w:lang w:val="en-US"/>
              </w:rPr>
            </w:pPr>
            <w:r>
              <w:rPr>
                <w:rFonts w:ascii="TimesNewRoman,Bold" w:eastAsia="Times New Roman" w:hAnsi="TimesNewRoman,Bold" w:cs="TimesNewRoman,Bold"/>
                <w:b/>
                <w:bCs/>
                <w:color w:val="000000"/>
                <w:sz w:val="20"/>
              </w:rPr>
              <w:t xml:space="preserve">Таблица 7: Измерение 3 </w:t>
            </w:r>
            <w:r>
              <w:rPr>
                <w:rFonts w:ascii="TimesNewRoman" w:eastAsia="Times New Roman" w:hAnsi="TimesNewRoman" w:cs="TimesNewRoman"/>
                <w:b/>
                <w:color w:val="000000"/>
                <w:sz w:val="20"/>
              </w:rPr>
              <w:t>Тип на територията</w:t>
            </w:r>
          </w:p>
        </w:tc>
      </w:tr>
      <w:tr w:rsidR="00D4426D" w:rsidRPr="00981F6F" w:rsidTr="003D05CE">
        <w:trPr>
          <w:trHeight w:val="267"/>
        </w:trPr>
        <w:tc>
          <w:tcPr>
            <w:tcW w:w="2376" w:type="dxa"/>
            <w:shd w:val="clear" w:color="auto" w:fill="auto"/>
          </w:tcPr>
          <w:p w:rsidR="00A85EB3" w:rsidRDefault="00B07D03">
            <w:pPr>
              <w:spacing w:after="240"/>
              <w:jc w:val="center"/>
              <w:rPr>
                <w:rFonts w:eastAsia="Times New Roman"/>
                <w:b/>
                <w:sz w:val="18"/>
                <w:szCs w:val="18"/>
                <w:lang w:val="en-US"/>
              </w:rPr>
            </w:pPr>
            <w:r>
              <w:rPr>
                <w:rFonts w:eastAsia="Times New Roman"/>
                <w:b/>
                <w:sz w:val="18"/>
                <w:szCs w:val="18"/>
              </w:rPr>
              <w:t>Приоритетна ос</w:t>
            </w:r>
          </w:p>
        </w:tc>
        <w:tc>
          <w:tcPr>
            <w:tcW w:w="4536" w:type="dxa"/>
            <w:shd w:val="clear" w:color="auto" w:fill="auto"/>
          </w:tcPr>
          <w:p w:rsidR="00A85EB3" w:rsidRDefault="00B07D03">
            <w:pPr>
              <w:spacing w:after="240"/>
              <w:jc w:val="center"/>
              <w:rPr>
                <w:rFonts w:eastAsia="Times New Roman"/>
                <w:sz w:val="20"/>
                <w:lang w:val="en-US"/>
              </w:rPr>
            </w:pPr>
            <w:r>
              <w:rPr>
                <w:rFonts w:eastAsia="Times New Roman"/>
                <w:b/>
                <w:sz w:val="18"/>
                <w:szCs w:val="18"/>
              </w:rPr>
              <w:t>Код</w:t>
            </w:r>
          </w:p>
        </w:tc>
        <w:tc>
          <w:tcPr>
            <w:tcW w:w="1730" w:type="dxa"/>
            <w:shd w:val="clear" w:color="auto" w:fill="auto"/>
          </w:tcPr>
          <w:p w:rsidR="00A85EB3" w:rsidRDefault="00B07D03">
            <w:pPr>
              <w:spacing w:after="240"/>
              <w:jc w:val="center"/>
              <w:rPr>
                <w:rFonts w:eastAsia="Times New Roman"/>
                <w:sz w:val="20"/>
                <w:lang w:val="en-US"/>
              </w:rPr>
            </w:pPr>
            <w:r>
              <w:rPr>
                <w:b/>
                <w:sz w:val="18"/>
                <w:szCs w:val="18"/>
              </w:rPr>
              <w:t>Сума (евро)</w:t>
            </w:r>
          </w:p>
        </w:tc>
      </w:tr>
      <w:tr w:rsidR="00D4426D" w:rsidRPr="00981F6F" w:rsidTr="003D05CE">
        <w:tc>
          <w:tcPr>
            <w:tcW w:w="2376" w:type="dxa"/>
            <w:shd w:val="clear" w:color="auto" w:fill="auto"/>
          </w:tcPr>
          <w:p w:rsidR="00A85EB3" w:rsidRDefault="00B07D03">
            <w:pPr>
              <w:suppressAutoHyphens/>
              <w:spacing w:after="240"/>
              <w:rPr>
                <w:rFonts w:eastAsia="Times New Roman"/>
                <w:i/>
                <w:color w:val="8DB3E2"/>
                <w:sz w:val="18"/>
                <w:szCs w:val="18"/>
                <w:lang w:val="en-US"/>
              </w:rPr>
            </w:pPr>
            <w:r>
              <w:rPr>
                <w:b/>
                <w:spacing w:val="20"/>
                <w:sz w:val="18"/>
                <w:szCs w:val="18"/>
                <w:lang w:eastAsia="en-US"/>
              </w:rPr>
              <w:t>Устойчив туризъм</w:t>
            </w:r>
          </w:p>
        </w:tc>
        <w:tc>
          <w:tcPr>
            <w:tcW w:w="4536" w:type="dxa"/>
            <w:shd w:val="clear" w:color="auto" w:fill="auto"/>
          </w:tcPr>
          <w:p w:rsidR="00A85EB3" w:rsidRDefault="00B07D03">
            <w:pPr>
              <w:suppressAutoHyphens/>
              <w:spacing w:after="240"/>
              <w:rPr>
                <w:rFonts w:eastAsia="Times New Roman"/>
                <w:sz w:val="18"/>
                <w:szCs w:val="18"/>
                <w:lang w:val="en-US"/>
              </w:rPr>
            </w:pPr>
            <w:r>
              <w:rPr>
                <w:b/>
                <w:sz w:val="18"/>
                <w:szCs w:val="18"/>
              </w:rPr>
              <w:t>05</w:t>
            </w:r>
            <w:r>
              <w:rPr>
                <w:sz w:val="18"/>
                <w:szCs w:val="18"/>
              </w:rPr>
              <w:t xml:space="preserve"> – Сътрудничество през национални или регионални програмни области в национален контекст</w:t>
            </w:r>
          </w:p>
        </w:tc>
        <w:tc>
          <w:tcPr>
            <w:tcW w:w="1730" w:type="dxa"/>
            <w:shd w:val="clear" w:color="auto" w:fill="auto"/>
          </w:tcPr>
          <w:p w:rsidR="00A85EB3" w:rsidRDefault="00B07D03">
            <w:pPr>
              <w:suppressAutoHyphens/>
              <w:spacing w:after="240"/>
              <w:jc w:val="center"/>
              <w:rPr>
                <w:rFonts w:eastAsia="Times New Roman"/>
                <w:sz w:val="18"/>
                <w:szCs w:val="18"/>
                <w:lang w:val="en-US"/>
              </w:rPr>
            </w:pPr>
            <w:r>
              <w:rPr>
                <w:spacing w:val="20"/>
                <w:sz w:val="18"/>
                <w:szCs w:val="18"/>
                <w:lang w:eastAsia="en-US"/>
              </w:rPr>
              <w:t>11 338 407,00</w:t>
            </w:r>
          </w:p>
        </w:tc>
      </w:tr>
    </w:tbl>
    <w:p w:rsidR="00A85EB3" w:rsidRDefault="00A85EB3">
      <w:pPr>
        <w:suppressAutoHyphens/>
        <w:spacing w:before="60" w:after="60"/>
        <w:rPr>
          <w:rFonts w:eastAsia="Times New Roman"/>
          <w:b/>
          <w:szCs w:val="24"/>
          <w:lang w:val="en-U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536"/>
        <w:gridCol w:w="1730"/>
      </w:tblGrid>
      <w:tr w:rsidR="00D4426D" w:rsidRPr="00981F6F" w:rsidTr="004E5AB3">
        <w:trPr>
          <w:trHeight w:val="364"/>
        </w:trPr>
        <w:tc>
          <w:tcPr>
            <w:tcW w:w="8642" w:type="dxa"/>
            <w:gridSpan w:val="3"/>
            <w:shd w:val="clear" w:color="auto" w:fill="auto"/>
          </w:tcPr>
          <w:p w:rsidR="00A85EB3" w:rsidRDefault="00B07D03">
            <w:pPr>
              <w:autoSpaceDE w:val="0"/>
              <w:autoSpaceDN w:val="0"/>
              <w:adjustRightInd w:val="0"/>
              <w:spacing w:after="0"/>
              <w:rPr>
                <w:rFonts w:ascii="TimesNewRoman" w:eastAsia="Times New Roman" w:hAnsi="TimesNewRoman" w:cs="TimesNewRoman"/>
                <w:b/>
                <w:color w:val="000000"/>
                <w:sz w:val="20"/>
                <w:lang w:val="en-US"/>
              </w:rPr>
            </w:pPr>
            <w:r>
              <w:rPr>
                <w:rFonts w:ascii="TimesNewRoman,Bold" w:eastAsia="Times New Roman" w:hAnsi="TimesNewRoman,Bold" w:cs="TimesNewRoman,Bold"/>
                <w:b/>
                <w:bCs/>
                <w:color w:val="000000"/>
                <w:sz w:val="20"/>
              </w:rPr>
              <w:t xml:space="preserve">Таблица 8: Измерение 6 </w:t>
            </w:r>
            <w:r>
              <w:rPr>
                <w:rFonts w:ascii="TimesNewRoman" w:eastAsia="Times New Roman" w:hAnsi="TimesNewRoman" w:cs="TimesNewRoman"/>
                <w:b/>
                <w:color w:val="000000"/>
                <w:sz w:val="20"/>
              </w:rPr>
              <w:t>Механизъм за териториално измерение</w:t>
            </w:r>
          </w:p>
        </w:tc>
      </w:tr>
      <w:tr w:rsidR="00D4426D" w:rsidRPr="00981F6F" w:rsidTr="004E5AB3">
        <w:trPr>
          <w:trHeight w:val="267"/>
        </w:trPr>
        <w:tc>
          <w:tcPr>
            <w:tcW w:w="2376" w:type="dxa"/>
            <w:shd w:val="clear" w:color="auto" w:fill="auto"/>
          </w:tcPr>
          <w:p w:rsidR="00A85EB3" w:rsidRDefault="00B07D03">
            <w:pPr>
              <w:jc w:val="center"/>
              <w:rPr>
                <w:rFonts w:eastAsia="Times New Roman"/>
                <w:b/>
                <w:sz w:val="18"/>
                <w:szCs w:val="18"/>
                <w:lang w:val="en-US"/>
              </w:rPr>
            </w:pPr>
            <w:r>
              <w:rPr>
                <w:rFonts w:eastAsia="Times New Roman"/>
                <w:b/>
                <w:sz w:val="18"/>
                <w:szCs w:val="18"/>
              </w:rPr>
              <w:t>Приоритетна ос</w:t>
            </w:r>
          </w:p>
        </w:tc>
        <w:tc>
          <w:tcPr>
            <w:tcW w:w="4536" w:type="dxa"/>
            <w:shd w:val="clear" w:color="auto" w:fill="auto"/>
          </w:tcPr>
          <w:p w:rsidR="00A85EB3" w:rsidRDefault="00B07D03">
            <w:pPr>
              <w:jc w:val="center"/>
              <w:rPr>
                <w:rFonts w:eastAsia="Times New Roman"/>
                <w:sz w:val="20"/>
                <w:lang w:val="en-US"/>
              </w:rPr>
            </w:pPr>
            <w:r>
              <w:rPr>
                <w:rFonts w:eastAsia="Times New Roman"/>
                <w:b/>
                <w:sz w:val="18"/>
                <w:szCs w:val="18"/>
              </w:rPr>
              <w:t>Код</w:t>
            </w:r>
          </w:p>
        </w:tc>
        <w:tc>
          <w:tcPr>
            <w:tcW w:w="1730" w:type="dxa"/>
            <w:shd w:val="clear" w:color="auto" w:fill="auto"/>
          </w:tcPr>
          <w:p w:rsidR="00A85EB3" w:rsidRDefault="00B07D03">
            <w:pPr>
              <w:jc w:val="center"/>
              <w:rPr>
                <w:rFonts w:eastAsia="Times New Roman"/>
                <w:sz w:val="20"/>
                <w:lang w:val="en-US"/>
              </w:rPr>
            </w:pPr>
            <w:r>
              <w:rPr>
                <w:b/>
                <w:sz w:val="18"/>
                <w:szCs w:val="18"/>
              </w:rPr>
              <w:t>Сума (евро)</w:t>
            </w:r>
          </w:p>
        </w:tc>
      </w:tr>
      <w:tr w:rsidR="00D4426D" w:rsidRPr="00981F6F" w:rsidTr="004E5AB3">
        <w:tc>
          <w:tcPr>
            <w:tcW w:w="2376" w:type="dxa"/>
            <w:shd w:val="clear" w:color="auto" w:fill="auto"/>
          </w:tcPr>
          <w:p w:rsidR="00A85EB3" w:rsidRDefault="00B07D03">
            <w:pPr>
              <w:rPr>
                <w:rFonts w:eastAsia="Times New Roman"/>
                <w:sz w:val="18"/>
                <w:szCs w:val="18"/>
                <w:lang w:val="en-US"/>
              </w:rPr>
            </w:pPr>
            <w:r>
              <w:rPr>
                <w:b/>
                <w:spacing w:val="20"/>
                <w:sz w:val="18"/>
                <w:szCs w:val="18"/>
                <w:lang w:eastAsia="en-US"/>
              </w:rPr>
              <w:lastRenderedPageBreak/>
              <w:t>Устойчив туризъм</w:t>
            </w:r>
          </w:p>
        </w:tc>
        <w:tc>
          <w:tcPr>
            <w:tcW w:w="4536" w:type="dxa"/>
            <w:shd w:val="clear" w:color="auto" w:fill="auto"/>
          </w:tcPr>
          <w:p w:rsidR="00A85EB3" w:rsidRDefault="00B07D03">
            <w:pPr>
              <w:jc w:val="center"/>
              <w:rPr>
                <w:rFonts w:eastAsia="Times New Roman"/>
                <w:sz w:val="18"/>
                <w:szCs w:val="18"/>
                <w:lang w:val="en-US"/>
              </w:rPr>
            </w:pPr>
            <w:r>
              <w:rPr>
                <w:spacing w:val="20"/>
                <w:sz w:val="18"/>
                <w:szCs w:val="18"/>
                <w:lang w:eastAsia="en-US"/>
              </w:rPr>
              <w:t>07 – Не е приложимо</w:t>
            </w:r>
          </w:p>
        </w:tc>
        <w:tc>
          <w:tcPr>
            <w:tcW w:w="1730" w:type="dxa"/>
            <w:shd w:val="clear" w:color="auto" w:fill="auto"/>
          </w:tcPr>
          <w:p w:rsidR="00A85EB3" w:rsidRDefault="00A85EB3">
            <w:pPr>
              <w:jc w:val="right"/>
              <w:rPr>
                <w:rFonts w:eastAsia="Times New Roman"/>
                <w:sz w:val="18"/>
                <w:szCs w:val="18"/>
                <w:lang w:val="en-US"/>
              </w:rPr>
            </w:pPr>
          </w:p>
        </w:tc>
      </w:tr>
    </w:tbl>
    <w:p w:rsidR="00A85EB3" w:rsidRDefault="00A85EB3">
      <w:pPr>
        <w:spacing w:after="240"/>
        <w:rPr>
          <w:rFonts w:eastAsia="Times New Roman"/>
          <w:i/>
          <w:lang w:val="en-US"/>
        </w:rPr>
      </w:pPr>
    </w:p>
    <w:p w:rsidR="00A85EB3" w:rsidRDefault="00B07D03">
      <w:pPr>
        <w:spacing w:after="240"/>
        <w:ind w:left="709" w:hanging="709"/>
        <w:rPr>
          <w:lang w:val="en-US"/>
        </w:rPr>
      </w:pPr>
      <w:bookmarkStart w:id="61" w:name="_Toc408234907"/>
      <w:r>
        <w:rPr>
          <w:rStyle w:val="Heading3Char"/>
          <w:rFonts w:eastAsia="Calibri"/>
          <w:b/>
          <w:i w:val="0"/>
        </w:rPr>
        <w:t>2.</w:t>
      </w:r>
      <w:proofErr w:type="spellStart"/>
      <w:r>
        <w:rPr>
          <w:rStyle w:val="Heading3Char"/>
          <w:rFonts w:eastAsia="Calibri"/>
          <w:b/>
          <w:i w:val="0"/>
        </w:rPr>
        <w:t>2</w:t>
      </w:r>
      <w:proofErr w:type="spellEnd"/>
      <w:r>
        <w:rPr>
          <w:rStyle w:val="Heading3Char"/>
          <w:rFonts w:eastAsia="Calibri"/>
          <w:b/>
          <w:i w:val="0"/>
        </w:rPr>
        <w:t>.8. Кратко изложение на планираното използване на техническа помощ, включително, когато е необходимо, мерки за укрепване на административния капацитет на органите, участващи в управлението и контрола на програмите и бенефициентите, и, когато е необходимо, действия за повишаване на административния капацитет на съответните партньори за участие в изпълнението на програми</w:t>
      </w:r>
      <w:bookmarkEnd w:id="61"/>
      <w:r>
        <w:t xml:space="preserve"> (когато е необходимо)</w:t>
      </w:r>
    </w:p>
    <w:p w:rsidR="00A85EB3" w:rsidRDefault="00B07D03">
      <w:pPr>
        <w:rPr>
          <w:lang w:val="en-US"/>
        </w:rPr>
      </w:pPr>
      <w:r>
        <w:t>(Източник: буква(b)(vi) на чл. 8(2) от Регламент (ЕС) № 1299/2013)</w:t>
      </w:r>
    </w:p>
    <w:p w:rsidR="00A85EB3" w:rsidRDefault="00A85EB3">
      <w:pPr>
        <w:spacing w:after="240"/>
        <w:rPr>
          <w:rFonts w:eastAsia="Times New Roman"/>
          <w:b/>
          <w:lang w:val="en-U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07"/>
      </w:tblGrid>
      <w:tr w:rsidR="00D4426D" w:rsidRPr="00981F6F" w:rsidTr="004E5AB3">
        <w:trPr>
          <w:trHeight w:val="518"/>
        </w:trPr>
        <w:tc>
          <w:tcPr>
            <w:tcW w:w="2235" w:type="dxa"/>
            <w:shd w:val="clear" w:color="auto" w:fill="auto"/>
          </w:tcPr>
          <w:p w:rsidR="00A85EB3" w:rsidRDefault="00B07D03">
            <w:pPr>
              <w:spacing w:after="240"/>
              <w:rPr>
                <w:rFonts w:eastAsia="Times New Roman"/>
                <w:i/>
                <w:color w:val="8DB3E2"/>
                <w:sz w:val="18"/>
                <w:szCs w:val="18"/>
                <w:lang w:val="en-US"/>
              </w:rPr>
            </w:pPr>
            <w:r>
              <w:rPr>
                <w:rFonts w:eastAsia="Times New Roman"/>
                <w:i/>
              </w:rPr>
              <w:t>Приоритетна ос</w:t>
            </w:r>
          </w:p>
        </w:tc>
        <w:tc>
          <w:tcPr>
            <w:tcW w:w="6407" w:type="dxa"/>
            <w:shd w:val="clear" w:color="auto" w:fill="auto"/>
          </w:tcPr>
          <w:p w:rsidR="00A85EB3" w:rsidRDefault="00B07D03">
            <w:pPr>
              <w:spacing w:after="240"/>
              <w:rPr>
                <w:rFonts w:eastAsia="Times New Roman"/>
                <w:b/>
                <w:i/>
                <w:color w:val="8DB3E2"/>
                <w:szCs w:val="24"/>
                <w:lang w:val="en-US"/>
              </w:rPr>
            </w:pPr>
            <w:r>
              <w:rPr>
                <w:rFonts w:eastAsia="Times New Roman"/>
                <w:b/>
                <w:i/>
                <w:szCs w:val="24"/>
              </w:rPr>
              <w:t>Устойчив туризъм</w:t>
            </w:r>
          </w:p>
        </w:tc>
      </w:tr>
      <w:tr w:rsidR="00D4426D" w:rsidRPr="00981F6F" w:rsidTr="004E5AB3">
        <w:trPr>
          <w:trHeight w:val="1662"/>
        </w:trPr>
        <w:tc>
          <w:tcPr>
            <w:tcW w:w="8642" w:type="dxa"/>
            <w:gridSpan w:val="2"/>
            <w:shd w:val="clear" w:color="auto" w:fill="auto"/>
          </w:tcPr>
          <w:p w:rsidR="00A85EB3" w:rsidRDefault="00B07D03" w:rsidP="009B7D77">
            <w:pPr>
              <w:spacing w:after="240"/>
              <w:rPr>
                <w:rFonts w:eastAsia="Times New Roman"/>
                <w:i/>
                <w:sz w:val="18"/>
                <w:szCs w:val="18"/>
                <w:lang w:val="en-US"/>
              </w:rPr>
            </w:pPr>
            <w:r>
              <w:rPr>
                <w:rFonts w:cs="Arial"/>
                <w:color w:val="000000"/>
                <w:szCs w:val="24"/>
                <w:lang w:eastAsia="en-US"/>
              </w:rPr>
              <w:t xml:space="preserve">Общата цел на Приоритетна ос „Техническа помощ“ е да осигури ефективно и ефикасно администриране и изпълнение на Програмата за ТГС. </w:t>
            </w:r>
            <w:r w:rsidR="00976253">
              <w:rPr>
                <w:rFonts w:cs="Arial"/>
                <w:i/>
                <w:color w:val="000000"/>
                <w:szCs w:val="24"/>
                <w:u w:val="single"/>
                <w:lang w:eastAsia="en-US"/>
              </w:rPr>
              <w:t>С</w:t>
            </w:r>
            <w:r w:rsidR="00976253" w:rsidRPr="00976253">
              <w:rPr>
                <w:rFonts w:cs="Arial"/>
                <w:i/>
                <w:color w:val="000000"/>
                <w:szCs w:val="24"/>
                <w:u w:val="single"/>
                <w:lang w:eastAsia="en-US"/>
              </w:rPr>
              <w:t>пецифична</w:t>
            </w:r>
            <w:r>
              <w:rPr>
                <w:rFonts w:cs="Arial"/>
                <w:i/>
                <w:color w:val="000000"/>
                <w:szCs w:val="24"/>
                <w:u w:val="single"/>
                <w:lang w:eastAsia="en-US"/>
              </w:rPr>
              <w:t xml:space="preserve"> цел 3.1 на ТП: Усъвършенстване на цялостното администриране и оценка на Програмата има за цел</w:t>
            </w:r>
            <w:r>
              <w:rPr>
                <w:rFonts w:cs="Arial"/>
                <w:b/>
                <w:bCs/>
                <w:color w:val="000000"/>
                <w:szCs w:val="24"/>
                <w:lang w:eastAsia="en-US"/>
              </w:rPr>
              <w:t xml:space="preserve">: </w:t>
            </w:r>
            <w:r>
              <w:rPr>
                <w:rFonts w:cs="Arial"/>
                <w:bCs/>
                <w:color w:val="000000"/>
                <w:szCs w:val="24"/>
                <w:lang w:eastAsia="en-US"/>
              </w:rPr>
              <w:t xml:space="preserve">1) Предоставяне на подкрепа на Управляващия орган, Националния орган и Съвместния секретариат (в главния офис и в клона) за задачи, свързани с подготвянето на необходимите документи, оценката и подбора на проекти, наблюдението и оценяването на дейностите, контрола и одита на Програмата; 2) Предоставяне на подкрепа на Съвместния комитет за наблюдение и всички други структури, участващи в надзора на Програмата; 3) Предоставяне на подкрепа за оценяване на Програмата, в това число оценки по конкретни поводи, средносрочна и </w:t>
            </w:r>
            <w:proofErr w:type="spellStart"/>
            <w:r>
              <w:rPr>
                <w:rFonts w:cs="Arial"/>
                <w:bCs/>
                <w:color w:val="000000"/>
                <w:szCs w:val="24"/>
                <w:lang w:eastAsia="en-US"/>
              </w:rPr>
              <w:t>последваща</w:t>
            </w:r>
            <w:proofErr w:type="spellEnd"/>
            <w:r>
              <w:rPr>
                <w:rFonts w:cs="Arial"/>
                <w:bCs/>
                <w:color w:val="000000"/>
                <w:szCs w:val="24"/>
                <w:lang w:eastAsia="en-US"/>
              </w:rPr>
              <w:t xml:space="preserve"> оценка; 4) Разработване на специфични проучвания и изследвания за програмата; 5) Външна експертна помощ за разработване на процедури за изпълнение и наблюдение на Програмата, информационна система за администриране на програмата и оценяване и </w:t>
            </w:r>
            <w:r w:rsidR="009B7D77">
              <w:rPr>
                <w:rFonts w:cs="Arial"/>
                <w:bCs/>
                <w:color w:val="000000"/>
                <w:szCs w:val="24"/>
                <w:lang w:eastAsia="en-US"/>
              </w:rPr>
              <w:t>Първо ниво на контрол</w:t>
            </w:r>
            <w:r>
              <w:rPr>
                <w:rFonts w:cs="Arial"/>
                <w:bCs/>
                <w:color w:val="000000"/>
                <w:szCs w:val="24"/>
                <w:lang w:eastAsia="en-US"/>
              </w:rPr>
              <w:t xml:space="preserve"> на проектите; 6) Инициативи за изграждане на капацитет за Управляващия орган, Националния орган и Съвместния секретариат (в главния офис и в клона) за ефективно и ефикасно администриране на програмата. </w:t>
            </w:r>
            <w:r w:rsidR="00EB2A11">
              <w:rPr>
                <w:rFonts w:cs="Arial"/>
                <w:i/>
                <w:color w:val="000000"/>
                <w:szCs w:val="24"/>
                <w:u w:val="single"/>
                <w:lang w:eastAsia="en-US"/>
              </w:rPr>
              <w:t>Специфична</w:t>
            </w:r>
            <w:r>
              <w:rPr>
                <w:rFonts w:cs="Arial"/>
                <w:i/>
                <w:color w:val="000000"/>
                <w:szCs w:val="24"/>
                <w:u w:val="single"/>
                <w:lang w:eastAsia="en-US"/>
              </w:rPr>
              <w:t xml:space="preserve"> цел 3.2 на ТП: Подобрени разпоредби за публичност и комуникация има за цел:</w:t>
            </w:r>
            <w:r>
              <w:rPr>
                <w:rFonts w:cs="Arial"/>
                <w:bCs/>
                <w:color w:val="000000"/>
                <w:szCs w:val="24"/>
                <w:lang w:eastAsia="en-US"/>
              </w:rPr>
              <w:t xml:space="preserve"> 1) Информация и публичност – подготвяне, превод и разпространение на свързани с Програмата документи и рекламни материали.    2) Разпространяване на информация и обучения за бенефициентите. </w:t>
            </w:r>
          </w:p>
        </w:tc>
      </w:tr>
    </w:tbl>
    <w:p w:rsidR="00A85EB3" w:rsidRDefault="00B07D03" w:rsidP="00800359">
      <w:pPr>
        <w:pStyle w:val="Heading2"/>
        <w:numPr>
          <w:ilvl w:val="0"/>
          <w:numId w:val="0"/>
        </w:numPr>
        <w:rPr>
          <w:lang w:val="en-US"/>
        </w:rPr>
      </w:pPr>
      <w:bookmarkStart w:id="62" w:name="_Toc408234908"/>
      <w:r>
        <w:t>Раздел 2.3</w:t>
      </w:r>
      <w:r>
        <w:tab/>
        <w:t>Описание на приоритетната ос за техническа помощ</w:t>
      </w:r>
      <w:bookmarkEnd w:id="62"/>
      <w:r>
        <w:t xml:space="preserve"> </w:t>
      </w:r>
    </w:p>
    <w:p w:rsidR="00A85EB3" w:rsidRDefault="00B07D03">
      <w:pPr>
        <w:rPr>
          <w:lang w:val="en-US"/>
        </w:rPr>
      </w:pPr>
      <w:r>
        <w:t>(Източник: буква(c) на чл. 8(2) от Регламент (ЕС) № 1299/2013)</w:t>
      </w:r>
    </w:p>
    <w:p w:rsidR="00A85EB3" w:rsidRDefault="00A85EB3">
      <w:pPr>
        <w:spacing w:before="60" w:after="60"/>
        <w:ind w:left="1701" w:hanging="1701"/>
        <w:rPr>
          <w:b/>
          <w:lang w:val="en-US"/>
        </w:rPr>
      </w:pPr>
    </w:p>
    <w:p w:rsidR="00A85EB3" w:rsidRDefault="00B07D03">
      <w:pPr>
        <w:pStyle w:val="Heading3"/>
        <w:numPr>
          <w:ilvl w:val="0"/>
          <w:numId w:val="0"/>
        </w:numPr>
        <w:ind w:left="850" w:hanging="850"/>
        <w:rPr>
          <w:b/>
          <w:i w:val="0"/>
          <w:lang w:val="en-US"/>
        </w:rPr>
      </w:pPr>
      <w:bookmarkStart w:id="63" w:name="_Toc408234909"/>
      <w:r>
        <w:rPr>
          <w:b/>
          <w:i w:val="0"/>
        </w:rPr>
        <w:t>2.3.1 Приоритетна ос</w:t>
      </w:r>
      <w:bookmarkEnd w:id="63"/>
      <w:r>
        <w:rPr>
          <w:b/>
          <w:i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2"/>
        <w:gridCol w:w="5322"/>
      </w:tblGrid>
      <w:tr w:rsidR="00FB701A" w:rsidRPr="00981F6F" w:rsidTr="004E158F">
        <w:trPr>
          <w:trHeight w:val="491"/>
        </w:trPr>
        <w:tc>
          <w:tcPr>
            <w:tcW w:w="1988" w:type="pct"/>
            <w:shd w:val="clear" w:color="auto" w:fill="auto"/>
          </w:tcPr>
          <w:p w:rsidR="00A85EB3" w:rsidRDefault="00B07D03">
            <w:pPr>
              <w:spacing w:after="240"/>
              <w:rPr>
                <w:rFonts w:eastAsia="Times New Roman"/>
                <w:i/>
                <w:lang w:val="en-US"/>
              </w:rPr>
            </w:pPr>
            <w:r>
              <w:rPr>
                <w:rFonts w:eastAsia="Times New Roman"/>
                <w:i/>
              </w:rPr>
              <w:t>№</w:t>
            </w:r>
          </w:p>
        </w:tc>
        <w:tc>
          <w:tcPr>
            <w:tcW w:w="3012" w:type="pct"/>
            <w:shd w:val="clear" w:color="auto" w:fill="auto"/>
          </w:tcPr>
          <w:p w:rsidR="00A85EB3" w:rsidRDefault="00B07D03">
            <w:pPr>
              <w:spacing w:after="240"/>
              <w:rPr>
                <w:rFonts w:eastAsia="Times New Roman"/>
                <w:b/>
                <w:color w:val="8DB3E2"/>
                <w:szCs w:val="24"/>
                <w:lang w:val="en-US"/>
              </w:rPr>
            </w:pPr>
            <w:r>
              <w:rPr>
                <w:rFonts w:eastAsia="Times New Roman"/>
                <w:b/>
                <w:szCs w:val="24"/>
              </w:rPr>
              <w:t>3</w:t>
            </w:r>
          </w:p>
        </w:tc>
      </w:tr>
      <w:tr w:rsidR="00FB701A" w:rsidRPr="00981F6F" w:rsidTr="004E158F">
        <w:trPr>
          <w:trHeight w:val="466"/>
        </w:trPr>
        <w:tc>
          <w:tcPr>
            <w:tcW w:w="1988" w:type="pct"/>
            <w:shd w:val="clear" w:color="auto" w:fill="auto"/>
          </w:tcPr>
          <w:p w:rsidR="00A85EB3" w:rsidRDefault="00B07D03">
            <w:pPr>
              <w:spacing w:after="240"/>
              <w:rPr>
                <w:rFonts w:eastAsia="Times New Roman"/>
                <w:i/>
                <w:lang w:val="en-US"/>
              </w:rPr>
            </w:pPr>
            <w:r>
              <w:rPr>
                <w:rFonts w:eastAsia="Times New Roman"/>
                <w:i/>
              </w:rPr>
              <w:lastRenderedPageBreak/>
              <w:t>Наименование</w:t>
            </w:r>
          </w:p>
        </w:tc>
        <w:tc>
          <w:tcPr>
            <w:tcW w:w="3012" w:type="pct"/>
            <w:shd w:val="clear" w:color="auto" w:fill="auto"/>
          </w:tcPr>
          <w:p w:rsidR="00A85EB3" w:rsidRDefault="00B07D03">
            <w:pPr>
              <w:spacing w:after="240"/>
              <w:rPr>
                <w:rFonts w:eastAsia="Times New Roman"/>
                <w:i/>
                <w:color w:val="8DB3E2"/>
                <w:sz w:val="18"/>
                <w:szCs w:val="18"/>
                <w:lang w:val="en-US"/>
              </w:rPr>
            </w:pPr>
            <w:r>
              <w:rPr>
                <w:b/>
              </w:rPr>
              <w:t>Техническа помощ</w:t>
            </w:r>
          </w:p>
        </w:tc>
      </w:tr>
    </w:tbl>
    <w:p w:rsidR="00A85EB3" w:rsidRDefault="00A85EB3">
      <w:pPr>
        <w:spacing w:before="60" w:after="60"/>
        <w:ind w:firstLine="720"/>
        <w:rPr>
          <w:rFonts w:eastAsia="Times New Roman"/>
          <w:b/>
          <w:lang w:val="en-US"/>
        </w:rPr>
      </w:pPr>
    </w:p>
    <w:p w:rsidR="00A85EB3" w:rsidRDefault="00B07D03">
      <w:pPr>
        <w:pStyle w:val="Heading3"/>
        <w:numPr>
          <w:ilvl w:val="0"/>
          <w:numId w:val="0"/>
        </w:numPr>
        <w:ind w:left="850" w:hanging="850"/>
        <w:rPr>
          <w:b/>
          <w:i w:val="0"/>
          <w:lang w:val="en-US"/>
        </w:rPr>
      </w:pPr>
      <w:bookmarkStart w:id="64" w:name="_Toc408234910"/>
      <w:r>
        <w:rPr>
          <w:b/>
          <w:i w:val="0"/>
        </w:rPr>
        <w:t>2.3.2 Фонд и база за изчисление на подкрепата от ЕС</w:t>
      </w:r>
      <w:bookmarkEnd w:id="64"/>
      <w:r>
        <w:rPr>
          <w:b/>
          <w:i w:val="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465"/>
      </w:tblGrid>
      <w:tr w:rsidR="00FB701A" w:rsidRPr="00981F6F" w:rsidTr="004E158F">
        <w:trPr>
          <w:jc w:val="center"/>
        </w:trPr>
        <w:tc>
          <w:tcPr>
            <w:tcW w:w="1907" w:type="pct"/>
            <w:shd w:val="clear" w:color="auto" w:fill="auto"/>
          </w:tcPr>
          <w:p w:rsidR="00A85EB3" w:rsidRDefault="00B07D03">
            <w:pPr>
              <w:spacing w:after="240"/>
              <w:rPr>
                <w:rFonts w:eastAsia="Times New Roman"/>
                <w:i/>
                <w:lang w:val="en-US"/>
              </w:rPr>
            </w:pPr>
            <w:r>
              <w:rPr>
                <w:rFonts w:eastAsia="Times New Roman"/>
                <w:i/>
              </w:rPr>
              <w:t>Фонд</w:t>
            </w:r>
          </w:p>
        </w:tc>
        <w:tc>
          <w:tcPr>
            <w:tcW w:w="3093" w:type="pct"/>
            <w:shd w:val="clear" w:color="auto" w:fill="auto"/>
          </w:tcPr>
          <w:p w:rsidR="00A85EB3" w:rsidRDefault="00B07D03">
            <w:pPr>
              <w:spacing w:after="240"/>
              <w:jc w:val="center"/>
              <w:rPr>
                <w:rFonts w:eastAsia="Times New Roman"/>
                <w:i/>
                <w:color w:val="8DB3E2"/>
                <w:sz w:val="22"/>
                <w:szCs w:val="22"/>
                <w:lang w:val="en-US"/>
              </w:rPr>
            </w:pPr>
            <w:r>
              <w:rPr>
                <w:rFonts w:eastAsia="Times New Roman"/>
                <w:b/>
                <w:spacing w:val="20"/>
                <w:sz w:val="22"/>
                <w:szCs w:val="22"/>
                <w:lang w:eastAsia="en-US"/>
              </w:rPr>
              <w:t>ЕС (ЕФРР + ИПП II)</w:t>
            </w:r>
          </w:p>
        </w:tc>
      </w:tr>
      <w:tr w:rsidR="004436C6" w:rsidRPr="00981F6F" w:rsidTr="004E158F">
        <w:trPr>
          <w:jc w:val="center"/>
        </w:trPr>
        <w:tc>
          <w:tcPr>
            <w:tcW w:w="1907" w:type="pct"/>
            <w:tcBorders>
              <w:top w:val="single" w:sz="4" w:space="0" w:color="auto"/>
              <w:left w:val="single" w:sz="4" w:space="0" w:color="auto"/>
              <w:bottom w:val="single" w:sz="4" w:space="0" w:color="auto"/>
              <w:right w:val="single" w:sz="4" w:space="0" w:color="auto"/>
            </w:tcBorders>
            <w:shd w:val="clear" w:color="auto" w:fill="auto"/>
          </w:tcPr>
          <w:p w:rsidR="00A85EB3" w:rsidRDefault="00B07D03">
            <w:pPr>
              <w:spacing w:after="240"/>
              <w:rPr>
                <w:rFonts w:eastAsia="Times New Roman"/>
                <w:i/>
                <w:lang w:val="en-US"/>
              </w:rPr>
            </w:pPr>
            <w:r>
              <w:rPr>
                <w:rFonts w:eastAsia="Times New Roman"/>
                <w:i/>
              </w:rPr>
              <w:t>База за изчисление (общо допустими разходи или публични допустими разходи)</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A85EB3" w:rsidRDefault="00A85EB3">
            <w:pPr>
              <w:spacing w:after="240"/>
              <w:jc w:val="center"/>
              <w:rPr>
                <w:rFonts w:eastAsia="Times New Roman"/>
                <w:b/>
                <w:sz w:val="22"/>
                <w:szCs w:val="22"/>
                <w:lang w:val="en-US" w:eastAsia="en-US"/>
              </w:rPr>
            </w:pPr>
          </w:p>
          <w:p w:rsidR="00A85EB3" w:rsidRDefault="00B07D03">
            <w:pPr>
              <w:spacing w:after="240"/>
              <w:jc w:val="center"/>
              <w:rPr>
                <w:rFonts w:eastAsia="Times New Roman"/>
                <w:i/>
                <w:color w:val="8DB3E2"/>
                <w:sz w:val="22"/>
                <w:szCs w:val="22"/>
                <w:lang w:val="en-US"/>
              </w:rPr>
            </w:pPr>
            <w:r>
              <w:rPr>
                <w:rFonts w:eastAsia="Times New Roman"/>
                <w:b/>
                <w:sz w:val="22"/>
                <w:szCs w:val="22"/>
                <w:lang w:eastAsia="en-US"/>
              </w:rPr>
              <w:t>2 519 646,00</w:t>
            </w:r>
          </w:p>
        </w:tc>
      </w:tr>
      <w:tr w:rsidR="00BC4BC3" w:rsidRPr="00981F6F" w:rsidTr="004E158F">
        <w:trPr>
          <w:jc w:val="center"/>
        </w:trPr>
        <w:tc>
          <w:tcPr>
            <w:tcW w:w="1907" w:type="pct"/>
            <w:tcBorders>
              <w:top w:val="single" w:sz="4" w:space="0" w:color="auto"/>
              <w:left w:val="single" w:sz="4" w:space="0" w:color="auto"/>
              <w:bottom w:val="single" w:sz="4" w:space="0" w:color="auto"/>
              <w:right w:val="single" w:sz="4" w:space="0" w:color="auto"/>
            </w:tcBorders>
            <w:shd w:val="clear" w:color="auto" w:fill="auto"/>
          </w:tcPr>
          <w:p w:rsidR="00A85EB3" w:rsidRDefault="00B07D03">
            <w:pPr>
              <w:spacing w:after="240"/>
              <w:rPr>
                <w:rFonts w:eastAsia="Times New Roman"/>
                <w:i/>
                <w:lang w:val="en-US"/>
              </w:rPr>
            </w:pPr>
            <w:r>
              <w:rPr>
                <w:rFonts w:eastAsia="Times New Roman"/>
                <w:i/>
              </w:rPr>
              <w:t>Съображения за избора на база за изчисление (</w:t>
            </w:r>
            <w:r>
              <w:rPr>
                <w:rFonts w:eastAsia="Times New Roman"/>
                <w:i/>
                <w:sz w:val="18"/>
                <w:szCs w:val="18"/>
              </w:rPr>
              <w:t>само ако като база са избрани общи допустими разходи)</w:t>
            </w:r>
          </w:p>
        </w:tc>
        <w:tc>
          <w:tcPr>
            <w:tcW w:w="3093" w:type="pct"/>
            <w:tcBorders>
              <w:top w:val="single" w:sz="4" w:space="0" w:color="auto"/>
              <w:left w:val="single" w:sz="4" w:space="0" w:color="auto"/>
              <w:bottom w:val="single" w:sz="4" w:space="0" w:color="auto"/>
              <w:right w:val="single" w:sz="4" w:space="0" w:color="auto"/>
            </w:tcBorders>
            <w:shd w:val="clear" w:color="auto" w:fill="auto"/>
          </w:tcPr>
          <w:p w:rsidR="00A85EB3" w:rsidRDefault="00A85EB3">
            <w:pPr>
              <w:spacing w:after="240"/>
              <w:rPr>
                <w:rFonts w:eastAsia="Times New Roman"/>
                <w:i/>
                <w:color w:val="8DB3E2"/>
                <w:sz w:val="18"/>
                <w:szCs w:val="18"/>
                <w:lang w:val="en-US"/>
              </w:rPr>
            </w:pPr>
          </w:p>
        </w:tc>
      </w:tr>
    </w:tbl>
    <w:p w:rsidR="00A85EB3" w:rsidRDefault="00A85EB3">
      <w:pPr>
        <w:rPr>
          <w:rFonts w:eastAsia="Times New Roman"/>
          <w:b/>
          <w:lang w:val="en-US"/>
        </w:rPr>
      </w:pPr>
    </w:p>
    <w:p w:rsidR="00A85EB3" w:rsidRDefault="00B07D03">
      <w:pPr>
        <w:pStyle w:val="Heading3"/>
        <w:numPr>
          <w:ilvl w:val="0"/>
          <w:numId w:val="0"/>
        </w:numPr>
        <w:ind w:left="850" w:hanging="850"/>
        <w:rPr>
          <w:b/>
          <w:i w:val="0"/>
          <w:lang w:val="en-US"/>
        </w:rPr>
      </w:pPr>
      <w:bookmarkStart w:id="65" w:name="_Toc408234911"/>
      <w:r>
        <w:rPr>
          <w:b/>
          <w:i w:val="0"/>
        </w:rPr>
        <w:t>2.3.</w:t>
      </w:r>
      <w:proofErr w:type="spellStart"/>
      <w:r>
        <w:rPr>
          <w:b/>
          <w:i w:val="0"/>
        </w:rPr>
        <w:t>3</w:t>
      </w:r>
      <w:proofErr w:type="spellEnd"/>
      <w:r>
        <w:rPr>
          <w:b/>
          <w:i w:val="0"/>
        </w:rPr>
        <w:t xml:space="preserve">. </w:t>
      </w:r>
      <w:r w:rsidR="00F64369">
        <w:rPr>
          <w:b/>
          <w:i w:val="0"/>
        </w:rPr>
        <w:t>Специфични</w:t>
      </w:r>
      <w:r>
        <w:rPr>
          <w:b/>
          <w:i w:val="0"/>
        </w:rPr>
        <w:t xml:space="preserve"> цели на приоритетната ос и очаквани резултати</w:t>
      </w:r>
      <w:bookmarkEnd w:id="65"/>
      <w:r>
        <w:rPr>
          <w:b/>
          <w:i w:val="0"/>
        </w:rPr>
        <w:t xml:space="preserve"> </w:t>
      </w:r>
    </w:p>
    <w:p w:rsidR="00A85EB3" w:rsidRDefault="00B07D03">
      <w:pPr>
        <w:rPr>
          <w:lang w:val="en-US"/>
        </w:rPr>
      </w:pPr>
      <w:r>
        <w:t>(Източник: буква (c)(i) и (ii) на чл. 8(2) от Регламент (ЕС) № 1299/2013)</w:t>
      </w:r>
    </w:p>
    <w:p w:rsidR="00A85EB3" w:rsidRDefault="00A85EB3">
      <w:pPr>
        <w:spacing w:before="60" w:after="60"/>
        <w:rPr>
          <w:rFonts w:eastAsia="Times New Roman"/>
          <w:b/>
          <w:lang w:val="en-US"/>
        </w:rPr>
      </w:pPr>
    </w:p>
    <w:p w:rsidR="00A85EB3" w:rsidRDefault="00F64369">
      <w:pPr>
        <w:spacing w:after="240"/>
        <w:rPr>
          <w:rFonts w:eastAsia="Times New Roman"/>
          <w:b/>
          <w:lang w:val="en-US"/>
        </w:rPr>
      </w:pPr>
      <w:r>
        <w:rPr>
          <w:rFonts w:eastAsia="Times New Roman"/>
          <w:b/>
        </w:rPr>
        <w:t>Специфична</w:t>
      </w:r>
      <w:r w:rsidR="00B07D03">
        <w:rPr>
          <w:rFonts w:eastAsia="Times New Roman"/>
        </w:rPr>
        <w:t xml:space="preserve"> (да се повтори за всяка </w:t>
      </w:r>
      <w:r>
        <w:rPr>
          <w:rFonts w:eastAsia="Times New Roman"/>
        </w:rPr>
        <w:t>специфична</w:t>
      </w:r>
      <w:r w:rsidR="00B07D03">
        <w:rPr>
          <w:rFonts w:eastAsia="Times New Roman"/>
        </w:rPr>
        <w:t xml:space="preserve"> цел)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3"/>
        <w:gridCol w:w="5111"/>
      </w:tblGrid>
      <w:tr w:rsidR="009535D1" w:rsidRPr="00981F6F" w:rsidTr="003A6822">
        <w:trPr>
          <w:trHeight w:val="475"/>
        </w:trPr>
        <w:tc>
          <w:tcPr>
            <w:tcW w:w="0" w:type="auto"/>
            <w:shd w:val="clear" w:color="auto" w:fill="auto"/>
          </w:tcPr>
          <w:p w:rsidR="00A85EB3" w:rsidRDefault="00B07D03" w:rsidP="003A6822">
            <w:pPr>
              <w:spacing w:before="100" w:beforeAutospacing="1" w:after="100" w:afterAutospacing="1"/>
              <w:rPr>
                <w:rFonts w:eastAsia="Times New Roman"/>
                <w:i/>
                <w:lang w:val="en-US"/>
              </w:rPr>
            </w:pPr>
            <w:r>
              <w:rPr>
                <w:rFonts w:eastAsia="Times New Roman"/>
                <w:i/>
              </w:rPr>
              <w:t>№</w:t>
            </w:r>
          </w:p>
        </w:tc>
        <w:tc>
          <w:tcPr>
            <w:tcW w:w="0" w:type="auto"/>
            <w:shd w:val="clear" w:color="auto" w:fill="auto"/>
          </w:tcPr>
          <w:p w:rsidR="00A85EB3" w:rsidRDefault="00B07D03" w:rsidP="003A6822">
            <w:pPr>
              <w:pStyle w:val="Tekstkader"/>
              <w:widowControl w:val="0"/>
              <w:pBdr>
                <w:left w:val="none" w:sz="0" w:space="0" w:color="auto"/>
              </w:pBdr>
              <w:suppressAutoHyphens w:val="0"/>
              <w:spacing w:before="100" w:beforeAutospacing="1" w:after="100" w:afterAutospacing="1" w:line="269" w:lineRule="auto"/>
              <w:ind w:left="0"/>
              <w:rPr>
                <w:rFonts w:ascii="Times New Roman" w:hAnsi="Times New Roman"/>
                <w:b/>
                <w:color w:val="auto"/>
                <w:spacing w:val="20"/>
                <w:sz w:val="24"/>
                <w:szCs w:val="24"/>
                <w:lang w:val="en-US" w:eastAsia="en-US"/>
              </w:rPr>
            </w:pPr>
            <w:r>
              <w:rPr>
                <w:rFonts w:ascii="Times New Roman" w:hAnsi="Times New Roman"/>
                <w:b/>
                <w:color w:val="auto"/>
                <w:spacing w:val="20"/>
                <w:sz w:val="24"/>
                <w:szCs w:val="24"/>
                <w:lang w:eastAsia="en-US"/>
              </w:rPr>
              <w:t>3.1</w:t>
            </w:r>
          </w:p>
        </w:tc>
      </w:tr>
      <w:tr w:rsidR="009535D1" w:rsidRPr="00981F6F" w:rsidTr="003A6822">
        <w:tc>
          <w:tcPr>
            <w:tcW w:w="0" w:type="auto"/>
            <w:shd w:val="clear" w:color="auto" w:fill="auto"/>
          </w:tcPr>
          <w:p w:rsidR="00A85EB3" w:rsidRDefault="00D07B15" w:rsidP="003A6822">
            <w:pPr>
              <w:spacing w:before="100" w:beforeAutospacing="1" w:after="100" w:afterAutospacing="1"/>
              <w:rPr>
                <w:rFonts w:eastAsia="Times New Roman"/>
                <w:i/>
                <w:lang w:val="en-US"/>
              </w:rPr>
            </w:pPr>
            <w:r>
              <w:rPr>
                <w:rFonts w:eastAsia="Times New Roman"/>
                <w:i/>
              </w:rPr>
              <w:t>С</w:t>
            </w:r>
            <w:r w:rsidRPr="00D07B15">
              <w:rPr>
                <w:rFonts w:eastAsia="Times New Roman"/>
                <w:i/>
              </w:rPr>
              <w:t xml:space="preserve">пецифична </w:t>
            </w:r>
            <w:r w:rsidR="00B07D03">
              <w:rPr>
                <w:rFonts w:eastAsia="Times New Roman"/>
                <w:i/>
              </w:rPr>
              <w:t xml:space="preserve">цел </w:t>
            </w:r>
          </w:p>
        </w:tc>
        <w:tc>
          <w:tcPr>
            <w:tcW w:w="0" w:type="auto"/>
            <w:shd w:val="clear" w:color="auto" w:fill="auto"/>
          </w:tcPr>
          <w:p w:rsidR="00A85EB3" w:rsidRDefault="00B07D03" w:rsidP="003A6822">
            <w:pPr>
              <w:widowControl w:val="0"/>
              <w:overflowPunct w:val="0"/>
              <w:autoSpaceDE w:val="0"/>
              <w:autoSpaceDN w:val="0"/>
              <w:adjustRightInd w:val="0"/>
              <w:spacing w:before="0" w:after="0" w:line="269" w:lineRule="auto"/>
              <w:textAlignment w:val="baseline"/>
              <w:rPr>
                <w:rFonts w:eastAsia="Times New Roman"/>
                <w:b/>
                <w:smallCaps/>
                <w:spacing w:val="20"/>
                <w:szCs w:val="24"/>
                <w:lang w:val="en-US" w:eastAsia="en-US"/>
              </w:rPr>
            </w:pPr>
            <w:r>
              <w:rPr>
                <w:rFonts w:eastAsia="Times New Roman"/>
                <w:b/>
                <w:smallCaps/>
                <w:spacing w:val="20"/>
                <w:szCs w:val="24"/>
                <w:lang w:eastAsia="en-US"/>
              </w:rPr>
              <w:t>Управление на програмата</w:t>
            </w:r>
          </w:p>
          <w:p w:rsidR="00A85EB3" w:rsidRDefault="00B07D03" w:rsidP="003A6822">
            <w:pPr>
              <w:spacing w:before="0" w:after="0"/>
              <w:rPr>
                <w:rFonts w:eastAsia="Times New Roman"/>
                <w:i/>
                <w:szCs w:val="24"/>
                <w:lang w:val="en-US"/>
              </w:rPr>
            </w:pPr>
            <w:r>
              <w:rPr>
                <w:rFonts w:eastAsia="Times New Roman"/>
                <w:szCs w:val="24"/>
                <w:lang w:eastAsia="en-US"/>
              </w:rPr>
              <w:t>Максимално повишаване на ефективността и ефикасността на управлението и изпълнението на Програмата за ТГС по ИПП България – Турция (2014–2020 г.)</w:t>
            </w:r>
          </w:p>
        </w:tc>
      </w:tr>
      <w:tr w:rsidR="009535D1" w:rsidRPr="00981F6F" w:rsidTr="003A6822">
        <w:tc>
          <w:tcPr>
            <w:tcW w:w="0" w:type="auto"/>
            <w:shd w:val="clear" w:color="auto" w:fill="auto"/>
          </w:tcPr>
          <w:p w:rsidR="00A85EB3" w:rsidRDefault="00B07D03" w:rsidP="003A6822">
            <w:pPr>
              <w:spacing w:before="100" w:beforeAutospacing="1" w:after="100" w:afterAutospacing="1"/>
              <w:jc w:val="left"/>
              <w:rPr>
                <w:rFonts w:eastAsia="Times New Roman"/>
                <w:i/>
                <w:lang w:val="en-US"/>
              </w:rPr>
            </w:pPr>
            <w:r>
              <w:rPr>
                <w:rFonts w:eastAsia="Times New Roman"/>
                <w:i/>
              </w:rPr>
              <w:t xml:space="preserve">Резултати, които партниращите си държави се стремят да постигнат с помощта на Съюза </w:t>
            </w:r>
            <w:r>
              <w:rPr>
                <w:rStyle w:val="FootnoteReference"/>
              </w:rPr>
              <w:footnoteReference w:id="10"/>
            </w:r>
          </w:p>
        </w:tc>
        <w:tc>
          <w:tcPr>
            <w:tcW w:w="0" w:type="auto"/>
            <w:shd w:val="clear" w:color="auto" w:fill="auto"/>
          </w:tcPr>
          <w:p w:rsidR="00A85EB3" w:rsidRDefault="00B07D03" w:rsidP="003A6822">
            <w:pPr>
              <w:spacing w:before="100" w:beforeAutospacing="1" w:after="100" w:afterAutospacing="1"/>
              <w:jc w:val="center"/>
              <w:rPr>
                <w:rFonts w:eastAsia="Times New Roman"/>
                <w:i/>
                <w:szCs w:val="24"/>
                <w:lang w:val="en-US"/>
              </w:rPr>
            </w:pPr>
            <w:r>
              <w:rPr>
                <w:rFonts w:eastAsia="Times New Roman"/>
                <w:i/>
                <w:szCs w:val="24"/>
              </w:rPr>
              <w:t>н/п</w:t>
            </w:r>
          </w:p>
        </w:tc>
      </w:tr>
    </w:tbl>
    <w:p w:rsidR="00A85EB3" w:rsidRDefault="00B07D03">
      <w:pPr>
        <w:pStyle w:val="Heading3"/>
        <w:numPr>
          <w:ilvl w:val="0"/>
          <w:numId w:val="0"/>
        </w:numPr>
        <w:ind w:left="709" w:hanging="709"/>
        <w:rPr>
          <w:b/>
          <w:i w:val="0"/>
          <w:lang w:val="en-US"/>
        </w:rPr>
      </w:pPr>
      <w:bookmarkStart w:id="66" w:name="_Toc408234912"/>
      <w:r>
        <w:rPr>
          <w:b/>
          <w:i w:val="0"/>
        </w:rPr>
        <w:t>2.3.4. Дейности, които ще бъдат подпомогнати, и очакваният им принос за изпълнение на програмата</w:t>
      </w:r>
      <w:bookmarkEnd w:id="66"/>
      <w:r>
        <w:rPr>
          <w:b/>
          <w:i w:val="0"/>
        </w:rPr>
        <w:t xml:space="preserve"> </w:t>
      </w:r>
    </w:p>
    <w:p w:rsidR="00A85EB3" w:rsidRDefault="00B07D03">
      <w:pPr>
        <w:rPr>
          <w:lang w:val="en-US"/>
        </w:rPr>
      </w:pPr>
      <w:r>
        <w:rPr>
          <w:rFonts w:eastAsia="Times New Roman"/>
          <w:b/>
          <w:i/>
        </w:rPr>
        <w:t xml:space="preserve"> </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265"/>
      </w:tblGrid>
      <w:tr w:rsidR="0059168F" w:rsidRPr="00981F6F" w:rsidTr="00A628D6">
        <w:trPr>
          <w:trHeight w:val="518"/>
        </w:trPr>
        <w:tc>
          <w:tcPr>
            <w:tcW w:w="2235" w:type="dxa"/>
            <w:shd w:val="clear" w:color="auto" w:fill="auto"/>
          </w:tcPr>
          <w:p w:rsidR="00A85EB3" w:rsidRDefault="00B07D03">
            <w:pPr>
              <w:spacing w:after="240"/>
              <w:rPr>
                <w:rFonts w:eastAsia="Times New Roman"/>
                <w:i/>
                <w:color w:val="8DB3E2"/>
                <w:szCs w:val="24"/>
                <w:lang w:val="en-US"/>
              </w:rPr>
            </w:pPr>
            <w:r>
              <w:rPr>
                <w:rFonts w:eastAsia="Times New Roman"/>
                <w:i/>
                <w:szCs w:val="24"/>
              </w:rPr>
              <w:t>Приоритетна ос</w:t>
            </w:r>
          </w:p>
        </w:tc>
        <w:tc>
          <w:tcPr>
            <w:tcW w:w="6265" w:type="dxa"/>
            <w:shd w:val="clear" w:color="auto" w:fill="auto"/>
          </w:tcPr>
          <w:p w:rsidR="00A85EB3" w:rsidRDefault="00B07D03">
            <w:pPr>
              <w:spacing w:after="240"/>
              <w:rPr>
                <w:rFonts w:eastAsia="Times New Roman"/>
                <w:i/>
                <w:color w:val="8DB3E2"/>
                <w:szCs w:val="24"/>
                <w:lang w:val="en-US"/>
              </w:rPr>
            </w:pPr>
            <w:r>
              <w:rPr>
                <w:b/>
                <w:spacing w:val="20"/>
                <w:szCs w:val="24"/>
                <w:lang w:eastAsia="en-US"/>
              </w:rPr>
              <w:t>Техническа помощ</w:t>
            </w:r>
          </w:p>
        </w:tc>
      </w:tr>
      <w:tr w:rsidR="0059168F" w:rsidRPr="00981F6F" w:rsidTr="00A628D6">
        <w:trPr>
          <w:trHeight w:val="662"/>
        </w:trPr>
        <w:tc>
          <w:tcPr>
            <w:tcW w:w="8500" w:type="dxa"/>
            <w:gridSpan w:val="2"/>
            <w:shd w:val="clear" w:color="auto" w:fill="auto"/>
          </w:tcPr>
          <w:p w:rsidR="00A85EB3" w:rsidRDefault="00B07D03">
            <w:pPr>
              <w:spacing w:line="276" w:lineRule="auto"/>
              <w:rPr>
                <w:rFonts w:eastAsia="MS Mincho"/>
                <w:szCs w:val="24"/>
                <w:lang w:val="en-US" w:eastAsia="ja-JP"/>
              </w:rPr>
            </w:pPr>
            <w:r>
              <w:rPr>
                <w:rFonts w:eastAsia="MS Mincho"/>
                <w:szCs w:val="24"/>
              </w:rPr>
              <w:t xml:space="preserve">Техническата помощ ще подпомогне от една страна дейностите, които повишават капацитета на кандидатите и бенефициентите да кандидатстват и да използват средства по програмата, а от друга страна – дейностите за </w:t>
            </w:r>
            <w:r>
              <w:rPr>
                <w:rFonts w:eastAsia="MS Mincho"/>
                <w:szCs w:val="24"/>
              </w:rPr>
              <w:lastRenderedPageBreak/>
              <w:t xml:space="preserve">подпомагане управлението и изпълнението на програмата. </w:t>
            </w:r>
          </w:p>
          <w:p w:rsidR="00A85EB3" w:rsidRDefault="00B07D03">
            <w:pPr>
              <w:spacing w:line="276" w:lineRule="auto"/>
              <w:rPr>
                <w:rFonts w:eastAsia="MS Mincho"/>
                <w:szCs w:val="24"/>
                <w:lang w:val="en-US" w:eastAsia="ja-JP"/>
              </w:rPr>
            </w:pPr>
            <w:r>
              <w:rPr>
                <w:rFonts w:eastAsia="MS Mincho"/>
                <w:szCs w:val="24"/>
                <w:lang w:eastAsia="ja-JP"/>
              </w:rPr>
              <w:t xml:space="preserve">Разходите за техническа помощ ще бъдат предназначени главно за дейности по подготовката, управлението, наблюдението, оценката, информацията и контрола.  </w:t>
            </w:r>
          </w:p>
          <w:p w:rsidR="00A85EB3" w:rsidRDefault="00B07D03">
            <w:pPr>
              <w:spacing w:line="276" w:lineRule="auto"/>
              <w:rPr>
                <w:rFonts w:eastAsia="MS Mincho"/>
                <w:szCs w:val="24"/>
                <w:lang w:val="en-US" w:eastAsia="ja-JP"/>
              </w:rPr>
            </w:pPr>
            <w:r>
              <w:rPr>
                <w:rFonts w:eastAsia="MS Mincho"/>
                <w:szCs w:val="24"/>
                <w:lang w:eastAsia="ja-JP"/>
              </w:rPr>
              <w:t xml:space="preserve">В съответствие с член 35 на РЕГЛАМЕНТ ЗА ИЗПЪЛНЕНИЕ (ЕС) № 447/214 НА КОМИСИЯТА от 2 май 2014 г., лимитът за Техническа помощ е определен на </w:t>
            </w:r>
            <w:r w:rsidR="0056556D">
              <w:rPr>
                <w:rFonts w:eastAsia="MS Mincho"/>
                <w:szCs w:val="24"/>
                <w:lang w:eastAsia="ja-JP"/>
              </w:rPr>
              <w:t>1</w:t>
            </w:r>
            <w:r>
              <w:rPr>
                <w:rFonts w:eastAsia="MS Mincho"/>
                <w:szCs w:val="24"/>
                <w:lang w:eastAsia="ja-JP"/>
              </w:rPr>
              <w:t xml:space="preserve">0% от общата сума, отпусната за програмата за трансгранично сътрудничество. </w:t>
            </w:r>
          </w:p>
          <w:p w:rsidR="00A85EB3" w:rsidRDefault="00B07D03">
            <w:pPr>
              <w:spacing w:line="276" w:lineRule="auto"/>
              <w:rPr>
                <w:rFonts w:eastAsia="MS Mincho"/>
                <w:szCs w:val="24"/>
                <w:lang w:val="en-US"/>
              </w:rPr>
            </w:pPr>
            <w:r>
              <w:rPr>
                <w:rFonts w:eastAsia="MS Mincho"/>
                <w:szCs w:val="24"/>
              </w:rPr>
              <w:t xml:space="preserve">Освен това средствата за Техническа помощ ще се използват за подпомагане управлението на програмата (изпълнение, наблюдение, оценка, комуникации, одит, контрол и др.) и за повишаване на административния капацитет на органите на програмата и заинтересовани страни. Следователно средствата за Техническа помощ ще финансират органите на Програмата: Управляващия орган (УО), Националния орган (НО), Съвместния секретариат (СС), Сертифициращия орган (СО), Системата за </w:t>
            </w:r>
            <w:r w:rsidR="009B7D77">
              <w:rPr>
                <w:rFonts w:eastAsia="MS Mincho"/>
                <w:szCs w:val="24"/>
              </w:rPr>
              <w:t>Първо ниво на контрол</w:t>
            </w:r>
            <w:r>
              <w:rPr>
                <w:rFonts w:eastAsia="MS Mincho"/>
                <w:szCs w:val="24"/>
              </w:rPr>
              <w:t xml:space="preserve"> и </w:t>
            </w:r>
            <w:proofErr w:type="spellStart"/>
            <w:r>
              <w:rPr>
                <w:rFonts w:eastAsia="MS Mincho"/>
                <w:szCs w:val="24"/>
              </w:rPr>
              <w:t>Одитния</w:t>
            </w:r>
            <w:proofErr w:type="spellEnd"/>
            <w:r>
              <w:rPr>
                <w:rFonts w:eastAsia="MS Mincho"/>
                <w:szCs w:val="24"/>
              </w:rPr>
              <w:t xml:space="preserve"> орган (ОО). </w:t>
            </w:r>
          </w:p>
          <w:p w:rsidR="00A85EB3" w:rsidRDefault="00B07D03">
            <w:pPr>
              <w:spacing w:line="276" w:lineRule="auto"/>
              <w:rPr>
                <w:rFonts w:eastAsia="MS Mincho"/>
                <w:szCs w:val="24"/>
                <w:lang w:val="en-US"/>
              </w:rPr>
            </w:pPr>
            <w:r>
              <w:rPr>
                <w:rFonts w:eastAsia="MS Mincho"/>
                <w:szCs w:val="24"/>
              </w:rPr>
              <w:t>Примерните дейности, подпомагани по тази Приоритетна ос 3, са изброени по-долу:</w:t>
            </w:r>
          </w:p>
          <w:p w:rsidR="00A85EB3" w:rsidRDefault="00B07D03">
            <w:pPr>
              <w:spacing w:line="276" w:lineRule="auto"/>
              <w:rPr>
                <w:rFonts w:eastAsia="MS Mincho"/>
                <w:b/>
                <w:szCs w:val="24"/>
                <w:lang w:val="en-US"/>
              </w:rPr>
            </w:pPr>
            <w:r>
              <w:rPr>
                <w:rFonts w:eastAsia="MS Mincho"/>
                <w:b/>
                <w:szCs w:val="24"/>
              </w:rPr>
              <w:t>Управление и изпълнение</w:t>
            </w:r>
          </w:p>
          <w:p w:rsidR="00A85EB3" w:rsidRDefault="00B07D03">
            <w:pPr>
              <w:numPr>
                <w:ilvl w:val="0"/>
                <w:numId w:val="66"/>
              </w:numPr>
              <w:autoSpaceDE w:val="0"/>
              <w:autoSpaceDN w:val="0"/>
              <w:adjustRightInd w:val="0"/>
              <w:spacing w:before="0" w:after="0" w:line="276" w:lineRule="auto"/>
              <w:ind w:left="426" w:hanging="284"/>
              <w:rPr>
                <w:rFonts w:eastAsia="Times New Roman"/>
                <w:szCs w:val="24"/>
                <w:lang w:val="en-US"/>
              </w:rPr>
            </w:pPr>
            <w:r>
              <w:rPr>
                <w:rFonts w:eastAsia="Times New Roman"/>
                <w:szCs w:val="24"/>
              </w:rPr>
              <w:t xml:space="preserve">Подпомагане на органите на програмата при програмирането и изпълнението на програмата; подпомагане на дейността на Комитета за наблюдение; функционирането на СС и др. (организация на заседания, командировъчни разходи, </w:t>
            </w:r>
            <w:proofErr w:type="spellStart"/>
            <w:r>
              <w:rPr>
                <w:rFonts w:eastAsia="Times New Roman"/>
                <w:szCs w:val="24"/>
              </w:rPr>
              <w:t>разходи</w:t>
            </w:r>
            <w:proofErr w:type="spellEnd"/>
            <w:r>
              <w:rPr>
                <w:rFonts w:eastAsia="Times New Roman"/>
                <w:szCs w:val="24"/>
              </w:rPr>
              <w:t xml:space="preserve"> за реклама и комуникации, разходи за възнаграждения и др.). </w:t>
            </w:r>
          </w:p>
          <w:p w:rsidR="00A85EB3" w:rsidRDefault="00B07D03">
            <w:pPr>
              <w:numPr>
                <w:ilvl w:val="0"/>
                <w:numId w:val="66"/>
              </w:numPr>
              <w:autoSpaceDE w:val="0"/>
              <w:autoSpaceDN w:val="0"/>
              <w:adjustRightInd w:val="0"/>
              <w:spacing w:before="0" w:after="0" w:line="276" w:lineRule="auto"/>
              <w:ind w:left="426" w:hanging="284"/>
              <w:rPr>
                <w:rFonts w:eastAsia="Times New Roman"/>
                <w:szCs w:val="24"/>
                <w:lang w:val="en-US"/>
              </w:rPr>
            </w:pPr>
            <w:r>
              <w:rPr>
                <w:rFonts w:eastAsia="Times New Roman"/>
                <w:szCs w:val="24"/>
              </w:rPr>
              <w:t xml:space="preserve">Разработване на проучвания, доклади и изследвания по стратегически въпроси, свързани с изпълнението на програмата. Тези документи ще съдействат за правилната оценка на напредъка в изпълнението и устойчивостта на програмата. </w:t>
            </w:r>
          </w:p>
          <w:p w:rsidR="00A85EB3" w:rsidRDefault="00B07D03">
            <w:pPr>
              <w:numPr>
                <w:ilvl w:val="0"/>
                <w:numId w:val="66"/>
              </w:numPr>
              <w:autoSpaceDE w:val="0"/>
              <w:autoSpaceDN w:val="0"/>
              <w:adjustRightInd w:val="0"/>
              <w:spacing w:before="0" w:after="0" w:line="276" w:lineRule="auto"/>
              <w:ind w:left="426" w:hanging="284"/>
              <w:rPr>
                <w:rFonts w:eastAsia="Times New Roman"/>
                <w:szCs w:val="24"/>
                <w:lang w:val="en-US"/>
              </w:rPr>
            </w:pPr>
            <w:r>
              <w:rPr>
                <w:rFonts w:eastAsia="Times New Roman"/>
                <w:szCs w:val="24"/>
              </w:rPr>
              <w:t>Извършване на оценки на качеството на заявленията за проекти.</w:t>
            </w:r>
          </w:p>
          <w:p w:rsidR="00A85EB3" w:rsidRDefault="00B07D03">
            <w:pPr>
              <w:numPr>
                <w:ilvl w:val="0"/>
                <w:numId w:val="66"/>
              </w:numPr>
              <w:autoSpaceDE w:val="0"/>
              <w:autoSpaceDN w:val="0"/>
              <w:adjustRightInd w:val="0"/>
              <w:spacing w:before="0" w:after="0" w:line="276" w:lineRule="auto"/>
              <w:ind w:left="426" w:hanging="284"/>
              <w:rPr>
                <w:rFonts w:eastAsia="Times New Roman"/>
                <w:szCs w:val="24"/>
                <w:lang w:val="en-US"/>
              </w:rPr>
            </w:pPr>
            <w:r>
              <w:rPr>
                <w:rFonts w:eastAsia="Times New Roman"/>
                <w:szCs w:val="24"/>
              </w:rPr>
              <w:t xml:space="preserve">Организиране на семинари, обучения и информационни събития на национално и трансгранично равнище (подробностите ще бъдат определени в комуникационната стратегия) за подпомагане на разработването и изпълнението на проектите. </w:t>
            </w:r>
          </w:p>
          <w:p w:rsidR="00A85EB3" w:rsidRDefault="00B07D03">
            <w:pPr>
              <w:spacing w:line="276" w:lineRule="auto"/>
              <w:rPr>
                <w:rFonts w:eastAsia="MS Mincho"/>
                <w:b/>
                <w:szCs w:val="24"/>
                <w:lang w:val="en-US"/>
              </w:rPr>
            </w:pPr>
            <w:r>
              <w:rPr>
                <w:rFonts w:eastAsia="MS Mincho"/>
                <w:b/>
                <w:szCs w:val="24"/>
              </w:rPr>
              <w:t>Мониторинг, контрол и одит</w:t>
            </w:r>
          </w:p>
          <w:p w:rsidR="00A85EB3" w:rsidRDefault="00B07D03">
            <w:pPr>
              <w:numPr>
                <w:ilvl w:val="0"/>
                <w:numId w:val="67"/>
              </w:numPr>
              <w:autoSpaceDE w:val="0"/>
              <w:autoSpaceDN w:val="0"/>
              <w:adjustRightInd w:val="0"/>
              <w:spacing w:before="0" w:after="0" w:line="276" w:lineRule="auto"/>
              <w:ind w:left="426" w:hanging="284"/>
              <w:rPr>
                <w:rFonts w:eastAsia="Times New Roman"/>
                <w:szCs w:val="24"/>
                <w:lang w:val="en-US"/>
              </w:rPr>
            </w:pPr>
            <w:r>
              <w:rPr>
                <w:rFonts w:eastAsia="Times New Roman"/>
                <w:szCs w:val="24"/>
              </w:rPr>
              <w:t xml:space="preserve">Прилагане на съответни процедури за оценка на качеството и риска, наблюдение и контрол на извършваните дейности по програмата, както и дейности, съдействащи за намаляване на административното бреме за бенефициентите. </w:t>
            </w:r>
          </w:p>
          <w:p w:rsidR="00A85EB3" w:rsidRDefault="00B07D03">
            <w:pPr>
              <w:numPr>
                <w:ilvl w:val="0"/>
                <w:numId w:val="67"/>
              </w:numPr>
              <w:autoSpaceDE w:val="0"/>
              <w:autoSpaceDN w:val="0"/>
              <w:adjustRightInd w:val="0"/>
              <w:spacing w:before="0" w:after="0" w:line="276" w:lineRule="auto"/>
              <w:ind w:left="426" w:hanging="284"/>
              <w:rPr>
                <w:rFonts w:eastAsia="MS Mincho"/>
                <w:szCs w:val="24"/>
                <w:lang w:val="en-US"/>
              </w:rPr>
            </w:pPr>
            <w:r>
              <w:rPr>
                <w:rFonts w:eastAsia="Times New Roman"/>
                <w:szCs w:val="24"/>
              </w:rPr>
              <w:t xml:space="preserve">Осигуряване на правилно функциониране на Контролната система на първо ниво (възнаграждения за контрольорите от първо ниво; пътни и квартирни </w:t>
            </w:r>
            <w:r>
              <w:rPr>
                <w:rFonts w:eastAsia="Times New Roman"/>
                <w:szCs w:val="24"/>
              </w:rPr>
              <w:lastRenderedPageBreak/>
              <w:t>разходи за посещения на място и др.).</w:t>
            </w:r>
          </w:p>
          <w:p w:rsidR="00A85EB3" w:rsidRDefault="00B07D03">
            <w:pPr>
              <w:numPr>
                <w:ilvl w:val="0"/>
                <w:numId w:val="67"/>
              </w:numPr>
              <w:autoSpaceDE w:val="0"/>
              <w:autoSpaceDN w:val="0"/>
              <w:adjustRightInd w:val="0"/>
              <w:spacing w:before="0" w:after="0" w:line="276" w:lineRule="auto"/>
              <w:ind w:left="426" w:hanging="284"/>
              <w:rPr>
                <w:rFonts w:eastAsia="Times New Roman"/>
                <w:szCs w:val="24"/>
                <w:lang w:val="en-US"/>
              </w:rPr>
            </w:pPr>
            <w:r>
              <w:rPr>
                <w:rFonts w:eastAsia="Times New Roman"/>
                <w:szCs w:val="24"/>
              </w:rPr>
              <w:t>Разработване и поддържане на система за управление, мониторинг, одит и контрол на програмата.</w:t>
            </w:r>
          </w:p>
          <w:p w:rsidR="00A85EB3" w:rsidRDefault="00B07D03">
            <w:pPr>
              <w:numPr>
                <w:ilvl w:val="0"/>
                <w:numId w:val="67"/>
              </w:numPr>
              <w:autoSpaceDE w:val="0"/>
              <w:autoSpaceDN w:val="0"/>
              <w:adjustRightInd w:val="0"/>
              <w:spacing w:before="0" w:after="0" w:line="276" w:lineRule="auto"/>
              <w:ind w:left="426" w:hanging="284"/>
              <w:rPr>
                <w:rFonts w:eastAsia="Times New Roman"/>
                <w:szCs w:val="24"/>
                <w:lang w:val="en-US"/>
              </w:rPr>
            </w:pPr>
            <w:r>
              <w:rPr>
                <w:rFonts w:eastAsia="Times New Roman"/>
                <w:szCs w:val="24"/>
              </w:rPr>
              <w:t xml:space="preserve">Координация и организиране на дейности по одит на равнище програма, в т.ч. (външните) одити на системата за управление и контрол на програмата и проектите и съдействие на Групата на </w:t>
            </w:r>
            <w:proofErr w:type="spellStart"/>
            <w:r>
              <w:rPr>
                <w:rFonts w:eastAsia="Times New Roman"/>
                <w:szCs w:val="24"/>
              </w:rPr>
              <w:t>одиторите</w:t>
            </w:r>
            <w:proofErr w:type="spellEnd"/>
            <w:r>
              <w:rPr>
                <w:rFonts w:eastAsia="Times New Roman"/>
                <w:szCs w:val="24"/>
              </w:rPr>
              <w:t>.</w:t>
            </w:r>
          </w:p>
          <w:p w:rsidR="00A85EB3" w:rsidRDefault="00B07D03">
            <w:pPr>
              <w:spacing w:line="276" w:lineRule="auto"/>
              <w:rPr>
                <w:rFonts w:eastAsia="MS Mincho"/>
                <w:b/>
                <w:szCs w:val="24"/>
                <w:lang w:val="en-US"/>
              </w:rPr>
            </w:pPr>
            <w:r>
              <w:rPr>
                <w:rFonts w:eastAsia="MS Mincho"/>
                <w:b/>
                <w:szCs w:val="24"/>
              </w:rPr>
              <w:t>Комуникация и информация</w:t>
            </w:r>
          </w:p>
          <w:p w:rsidR="00A85EB3" w:rsidRDefault="00B07D03">
            <w:pPr>
              <w:numPr>
                <w:ilvl w:val="0"/>
                <w:numId w:val="68"/>
              </w:numPr>
              <w:autoSpaceDE w:val="0"/>
              <w:autoSpaceDN w:val="0"/>
              <w:adjustRightInd w:val="0"/>
              <w:spacing w:before="0" w:after="0" w:line="276" w:lineRule="auto"/>
              <w:ind w:left="426" w:hanging="284"/>
              <w:rPr>
                <w:rFonts w:eastAsia="Times New Roman"/>
                <w:szCs w:val="24"/>
                <w:lang w:val="en-US"/>
              </w:rPr>
            </w:pPr>
            <w:r>
              <w:rPr>
                <w:rFonts w:eastAsia="Times New Roman"/>
                <w:szCs w:val="24"/>
              </w:rPr>
              <w:t>Развитие и поддържане на уебсайта на програмата.</w:t>
            </w:r>
          </w:p>
          <w:p w:rsidR="00A85EB3" w:rsidRDefault="00B07D03">
            <w:pPr>
              <w:numPr>
                <w:ilvl w:val="0"/>
                <w:numId w:val="68"/>
              </w:numPr>
              <w:autoSpaceDE w:val="0"/>
              <w:autoSpaceDN w:val="0"/>
              <w:adjustRightInd w:val="0"/>
              <w:spacing w:before="0" w:after="0" w:line="276" w:lineRule="auto"/>
              <w:ind w:left="426" w:hanging="284"/>
              <w:rPr>
                <w:rFonts w:eastAsia="Times New Roman"/>
                <w:szCs w:val="24"/>
                <w:lang w:val="en-US"/>
              </w:rPr>
            </w:pPr>
            <w:r>
              <w:rPr>
                <w:rFonts w:eastAsia="Times New Roman"/>
                <w:szCs w:val="24"/>
              </w:rPr>
              <w:t xml:space="preserve">Осъществяване на широко разпространени информационни дейности за програмата и проектите, както и подпомагащи дейности, свързани с комуникациите и публичността. </w:t>
            </w:r>
          </w:p>
          <w:p w:rsidR="00A85EB3" w:rsidRDefault="00B07D03">
            <w:pPr>
              <w:numPr>
                <w:ilvl w:val="0"/>
                <w:numId w:val="68"/>
              </w:numPr>
              <w:autoSpaceDE w:val="0"/>
              <w:autoSpaceDN w:val="0"/>
              <w:adjustRightInd w:val="0"/>
              <w:spacing w:before="0" w:after="0" w:line="276" w:lineRule="auto"/>
              <w:ind w:left="426" w:hanging="284"/>
              <w:rPr>
                <w:rFonts w:eastAsia="Times New Roman"/>
                <w:szCs w:val="24"/>
                <w:lang w:val="en-US"/>
              </w:rPr>
            </w:pPr>
            <w:r>
              <w:rPr>
                <w:rFonts w:eastAsia="Times New Roman"/>
                <w:szCs w:val="24"/>
              </w:rPr>
              <w:t xml:space="preserve">Подпомагане идентифицирането и укрепването на координационни мрежи и контакти сред представителите на съответните други програми, </w:t>
            </w:r>
            <w:proofErr w:type="spellStart"/>
            <w:r>
              <w:rPr>
                <w:rFonts w:eastAsia="Times New Roman"/>
                <w:szCs w:val="24"/>
              </w:rPr>
              <w:t>съфинансирани</w:t>
            </w:r>
            <w:proofErr w:type="spellEnd"/>
            <w:r>
              <w:rPr>
                <w:rFonts w:eastAsia="Times New Roman"/>
                <w:szCs w:val="24"/>
              </w:rPr>
              <w:t xml:space="preserve"> от ЕС, от УО, НО и СС (програми за ЕТС в съседни държави, национални програми и др.)</w:t>
            </w:r>
          </w:p>
          <w:p w:rsidR="00A85EB3" w:rsidRDefault="00B07D03">
            <w:pPr>
              <w:spacing w:line="276" w:lineRule="auto"/>
              <w:rPr>
                <w:rFonts w:eastAsia="MS Mincho"/>
                <w:b/>
                <w:szCs w:val="24"/>
                <w:lang w:val="en-US"/>
              </w:rPr>
            </w:pPr>
            <w:r>
              <w:rPr>
                <w:rFonts w:eastAsia="MS Mincho"/>
                <w:b/>
                <w:szCs w:val="24"/>
              </w:rPr>
              <w:t>Оценка</w:t>
            </w:r>
          </w:p>
          <w:p w:rsidR="00A85EB3" w:rsidRDefault="00B07D03">
            <w:pPr>
              <w:numPr>
                <w:ilvl w:val="0"/>
                <w:numId w:val="69"/>
              </w:numPr>
              <w:autoSpaceDE w:val="0"/>
              <w:autoSpaceDN w:val="0"/>
              <w:adjustRightInd w:val="0"/>
              <w:spacing w:before="0" w:after="0" w:line="276" w:lineRule="auto"/>
              <w:ind w:left="426" w:hanging="284"/>
              <w:rPr>
                <w:rFonts w:eastAsia="Times New Roman"/>
                <w:szCs w:val="24"/>
                <w:lang w:val="en-US"/>
              </w:rPr>
            </w:pPr>
            <w:r>
              <w:rPr>
                <w:rFonts w:eastAsia="Times New Roman"/>
                <w:szCs w:val="24"/>
              </w:rPr>
              <w:t>Оценка на постигането на целите при изпълнението на програмата. За тази цел може да бъде съставен план за оценка в съответствие с разпоредбите на регламентите, като може да е необходимо използването на външни експерти.</w:t>
            </w:r>
          </w:p>
          <w:p w:rsidR="00A85EB3" w:rsidRDefault="00B07D03">
            <w:pPr>
              <w:spacing w:after="240"/>
              <w:rPr>
                <w:rFonts w:eastAsia="Times New Roman"/>
                <w:i/>
                <w:szCs w:val="24"/>
                <w:lang w:val="en-US"/>
              </w:rPr>
            </w:pPr>
            <w:r>
              <w:rPr>
                <w:rFonts w:eastAsia="MS Mincho"/>
                <w:szCs w:val="24"/>
              </w:rPr>
              <w:t>Действия за Техническа помощ ще се изпълняват от всички органи, участващи в управлението и изпълнението на програмата и посочени в раздел 5.</w:t>
            </w:r>
          </w:p>
        </w:tc>
      </w:tr>
    </w:tbl>
    <w:p w:rsidR="00A85EB3" w:rsidRDefault="00A85EB3">
      <w:pPr>
        <w:rPr>
          <w:rFonts w:eastAsia="Times New Roman"/>
          <w:b/>
          <w:lang w:val="en-US"/>
        </w:rPr>
      </w:pPr>
    </w:p>
    <w:p w:rsidR="00A85EB3" w:rsidRDefault="00B07D03" w:rsidP="003D05CE">
      <w:pPr>
        <w:keepNext/>
        <w:rPr>
          <w:rFonts w:eastAsia="Times New Roman"/>
          <w:b/>
          <w:lang w:val="en-US"/>
        </w:rPr>
      </w:pPr>
      <w:bookmarkStart w:id="67" w:name="_Toc408234913"/>
      <w:r>
        <w:rPr>
          <w:rStyle w:val="Heading3Char"/>
          <w:rFonts w:eastAsia="Calibri"/>
          <w:b/>
          <w:i w:val="0"/>
        </w:rPr>
        <w:t>2.3.5. Показатели за конкретната програма</w:t>
      </w:r>
      <w:bookmarkEnd w:id="67"/>
      <w:r>
        <w:rPr>
          <w:rStyle w:val="FootnoteReference"/>
        </w:rPr>
        <w:footnoteReference w:id="11"/>
      </w:r>
    </w:p>
    <w:p w:rsidR="00A85EB3" w:rsidRDefault="00B07D03" w:rsidP="003D05CE">
      <w:pPr>
        <w:pStyle w:val="Heading4"/>
        <w:numPr>
          <w:ilvl w:val="0"/>
          <w:numId w:val="0"/>
        </w:numPr>
        <w:ind w:left="850" w:hanging="850"/>
        <w:rPr>
          <w:b/>
          <w:i/>
          <w:lang w:val="en-US"/>
        </w:rPr>
      </w:pPr>
      <w:r>
        <w:rPr>
          <w:b/>
          <w:i/>
        </w:rPr>
        <w:t>2.3.5.1 Показатели за резултатите за конкретната програма</w:t>
      </w:r>
    </w:p>
    <w:p w:rsidR="00A85EB3" w:rsidRDefault="00B07D03" w:rsidP="003D05CE">
      <w:pPr>
        <w:keepNext/>
      </w:pPr>
      <w:r>
        <w:t>(Източник: буква(c)(ii) на чл. 8(2) от Регламент (ЕС) № 1299/2013)</w:t>
      </w:r>
    </w:p>
    <w:p w:rsidR="00A85EB3" w:rsidRDefault="00B07D03" w:rsidP="003D05CE">
      <w:pPr>
        <w:keepNext/>
        <w:ind w:firstLine="1"/>
        <w:rPr>
          <w:rFonts w:eastAsia="Times New Roman"/>
          <w:b/>
          <w:lang w:val="en-US"/>
        </w:rPr>
      </w:pPr>
      <w:r>
        <w:rPr>
          <w:rFonts w:eastAsia="Times New Roman"/>
          <w:b/>
        </w:rPr>
        <w:t xml:space="preserve">Таблица 9: Показатели за резултатите за конкретната програма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072"/>
        <w:gridCol w:w="1051"/>
        <w:gridCol w:w="1105"/>
        <w:gridCol w:w="941"/>
        <w:gridCol w:w="1560"/>
        <w:gridCol w:w="1231"/>
        <w:gridCol w:w="1215"/>
      </w:tblGrid>
      <w:tr w:rsidR="00FB701A" w:rsidRPr="00981F6F" w:rsidTr="003A6822">
        <w:trPr>
          <w:trHeight w:val="841"/>
        </w:trPr>
        <w:tc>
          <w:tcPr>
            <w:tcW w:w="0" w:type="auto"/>
          </w:tcPr>
          <w:p w:rsidR="00A85EB3" w:rsidRDefault="00B07D03" w:rsidP="003D05CE">
            <w:pPr>
              <w:keepNext/>
              <w:ind w:left="262"/>
              <w:rPr>
                <w:rFonts w:eastAsia="Times New Roman"/>
                <w:b/>
                <w:sz w:val="18"/>
                <w:szCs w:val="18"/>
                <w:lang w:val="en-US"/>
              </w:rPr>
            </w:pPr>
            <w:r>
              <w:rPr>
                <w:rFonts w:eastAsia="Times New Roman"/>
                <w:b/>
                <w:sz w:val="18"/>
                <w:szCs w:val="18"/>
              </w:rPr>
              <w:t>№</w:t>
            </w:r>
          </w:p>
        </w:tc>
        <w:tc>
          <w:tcPr>
            <w:tcW w:w="0" w:type="auto"/>
            <w:shd w:val="clear" w:color="auto" w:fill="auto"/>
          </w:tcPr>
          <w:p w:rsidR="00A85EB3" w:rsidRDefault="00B07D03" w:rsidP="003D05CE">
            <w:pPr>
              <w:keepNext/>
              <w:rPr>
                <w:rFonts w:eastAsia="Times New Roman"/>
                <w:b/>
                <w:sz w:val="18"/>
                <w:szCs w:val="18"/>
                <w:lang w:val="en-US"/>
              </w:rPr>
            </w:pPr>
            <w:r>
              <w:rPr>
                <w:rFonts w:eastAsia="Times New Roman"/>
                <w:b/>
                <w:sz w:val="18"/>
                <w:szCs w:val="18"/>
              </w:rPr>
              <w:t xml:space="preserve">Показател </w:t>
            </w:r>
          </w:p>
        </w:tc>
        <w:tc>
          <w:tcPr>
            <w:tcW w:w="0" w:type="auto"/>
            <w:shd w:val="clear" w:color="auto" w:fill="auto"/>
          </w:tcPr>
          <w:p w:rsidR="00A85EB3" w:rsidRDefault="00B07D03" w:rsidP="003D05CE">
            <w:pPr>
              <w:keepNext/>
              <w:rPr>
                <w:rFonts w:eastAsia="Times New Roman"/>
                <w:b/>
                <w:sz w:val="18"/>
                <w:szCs w:val="18"/>
                <w:lang w:val="en-US"/>
              </w:rPr>
            </w:pPr>
            <w:r>
              <w:rPr>
                <w:rFonts w:eastAsia="Times New Roman"/>
                <w:b/>
                <w:sz w:val="18"/>
                <w:szCs w:val="18"/>
              </w:rPr>
              <w:t>Мерна единица</w:t>
            </w:r>
          </w:p>
        </w:tc>
        <w:tc>
          <w:tcPr>
            <w:tcW w:w="0" w:type="auto"/>
            <w:shd w:val="clear" w:color="auto" w:fill="auto"/>
          </w:tcPr>
          <w:p w:rsidR="00A85EB3" w:rsidRDefault="00B07D03" w:rsidP="003D05CE">
            <w:pPr>
              <w:keepNext/>
              <w:snapToGrid w:val="0"/>
              <w:rPr>
                <w:rFonts w:eastAsia="Times New Roman"/>
                <w:b/>
                <w:sz w:val="18"/>
                <w:szCs w:val="18"/>
                <w:lang w:val="en-US"/>
              </w:rPr>
            </w:pPr>
            <w:r>
              <w:rPr>
                <w:rFonts w:eastAsia="Times New Roman"/>
                <w:b/>
                <w:sz w:val="18"/>
                <w:szCs w:val="18"/>
              </w:rPr>
              <w:t xml:space="preserve">Базова стойност </w:t>
            </w:r>
          </w:p>
        </w:tc>
        <w:tc>
          <w:tcPr>
            <w:tcW w:w="0" w:type="auto"/>
            <w:shd w:val="clear" w:color="auto" w:fill="auto"/>
          </w:tcPr>
          <w:p w:rsidR="00A85EB3" w:rsidRDefault="00B07D03" w:rsidP="003D05CE">
            <w:pPr>
              <w:keepNext/>
              <w:rPr>
                <w:rFonts w:eastAsia="Times New Roman"/>
                <w:b/>
                <w:sz w:val="18"/>
                <w:szCs w:val="18"/>
                <w:lang w:val="en-US"/>
              </w:rPr>
            </w:pPr>
            <w:r>
              <w:rPr>
                <w:rFonts w:eastAsia="Times New Roman"/>
                <w:b/>
                <w:sz w:val="18"/>
                <w:szCs w:val="18"/>
              </w:rPr>
              <w:t>Базова година</w:t>
            </w:r>
          </w:p>
        </w:tc>
        <w:tc>
          <w:tcPr>
            <w:tcW w:w="0" w:type="auto"/>
            <w:shd w:val="clear" w:color="auto" w:fill="auto"/>
          </w:tcPr>
          <w:p w:rsidR="00A85EB3" w:rsidRDefault="00B07D03" w:rsidP="003D05CE">
            <w:pPr>
              <w:keepNext/>
              <w:snapToGrid w:val="0"/>
              <w:rPr>
                <w:rFonts w:eastAsia="Times New Roman"/>
                <w:b/>
                <w:sz w:val="18"/>
                <w:szCs w:val="18"/>
                <w:lang w:val="en-US"/>
              </w:rPr>
            </w:pPr>
            <w:r>
              <w:rPr>
                <w:rFonts w:eastAsia="Times New Roman"/>
                <w:b/>
                <w:sz w:val="18"/>
                <w:szCs w:val="18"/>
              </w:rPr>
              <w:t>Целеви показател</w:t>
            </w:r>
            <w:r>
              <w:rPr>
                <w:rStyle w:val="FootnoteReference"/>
              </w:rPr>
              <w:footnoteReference w:id="12"/>
            </w:r>
            <w:r>
              <w:rPr>
                <w:rFonts w:eastAsia="Times New Roman"/>
                <w:b/>
                <w:sz w:val="18"/>
                <w:szCs w:val="18"/>
              </w:rPr>
              <w:t xml:space="preserve"> (2023 г.) </w:t>
            </w:r>
          </w:p>
        </w:tc>
        <w:tc>
          <w:tcPr>
            <w:tcW w:w="0" w:type="auto"/>
            <w:shd w:val="clear" w:color="auto" w:fill="auto"/>
          </w:tcPr>
          <w:p w:rsidR="00A85EB3" w:rsidRDefault="00B07D03" w:rsidP="003D05CE">
            <w:pPr>
              <w:keepNext/>
              <w:rPr>
                <w:rFonts w:eastAsia="Times New Roman"/>
                <w:b/>
                <w:sz w:val="18"/>
                <w:szCs w:val="18"/>
                <w:lang w:val="en-US"/>
              </w:rPr>
            </w:pPr>
            <w:r>
              <w:rPr>
                <w:rFonts w:eastAsia="Times New Roman"/>
                <w:b/>
                <w:sz w:val="18"/>
                <w:szCs w:val="18"/>
              </w:rPr>
              <w:t>Източник на данни</w:t>
            </w:r>
          </w:p>
        </w:tc>
        <w:tc>
          <w:tcPr>
            <w:tcW w:w="0" w:type="auto"/>
            <w:shd w:val="clear" w:color="auto" w:fill="auto"/>
          </w:tcPr>
          <w:p w:rsidR="00A85EB3" w:rsidRDefault="00B07D03" w:rsidP="003D05CE">
            <w:pPr>
              <w:keepNext/>
              <w:rPr>
                <w:rFonts w:eastAsia="Times New Roman"/>
                <w:b/>
                <w:sz w:val="18"/>
                <w:szCs w:val="18"/>
                <w:lang w:val="en-US"/>
              </w:rPr>
            </w:pPr>
            <w:r>
              <w:rPr>
                <w:rFonts w:eastAsia="Times New Roman"/>
                <w:b/>
                <w:sz w:val="18"/>
                <w:szCs w:val="18"/>
              </w:rPr>
              <w:t>Честота на отчитане</w:t>
            </w:r>
          </w:p>
        </w:tc>
      </w:tr>
      <w:tr w:rsidR="00185E04" w:rsidRPr="00981F6F" w:rsidTr="003A6822">
        <w:trPr>
          <w:trHeight w:val="346"/>
        </w:trPr>
        <w:tc>
          <w:tcPr>
            <w:tcW w:w="0" w:type="auto"/>
          </w:tcPr>
          <w:p w:rsidR="00A85EB3" w:rsidRDefault="00A85EB3">
            <w:pPr>
              <w:spacing w:after="240"/>
              <w:ind w:left="262"/>
              <w:rPr>
                <w:rFonts w:eastAsia="Times New Roman"/>
                <w:b/>
                <w:sz w:val="18"/>
                <w:szCs w:val="18"/>
                <w:lang w:val="en-US"/>
              </w:rPr>
            </w:pPr>
          </w:p>
        </w:tc>
        <w:tc>
          <w:tcPr>
            <w:tcW w:w="0" w:type="auto"/>
            <w:shd w:val="clear" w:color="auto" w:fill="auto"/>
          </w:tcPr>
          <w:p w:rsidR="00A85EB3" w:rsidRDefault="00A85EB3">
            <w:pPr>
              <w:spacing w:after="240"/>
              <w:rPr>
                <w:rFonts w:eastAsia="Times New Roman"/>
                <w:b/>
                <w:sz w:val="18"/>
                <w:szCs w:val="18"/>
                <w:lang w:val="en-US"/>
              </w:rPr>
            </w:pPr>
          </w:p>
        </w:tc>
        <w:tc>
          <w:tcPr>
            <w:tcW w:w="0" w:type="auto"/>
            <w:shd w:val="clear" w:color="auto" w:fill="auto"/>
          </w:tcPr>
          <w:p w:rsidR="00A85EB3" w:rsidRDefault="00A85EB3">
            <w:pPr>
              <w:spacing w:after="240"/>
              <w:rPr>
                <w:rFonts w:eastAsia="Times New Roman"/>
                <w:b/>
                <w:sz w:val="18"/>
                <w:szCs w:val="18"/>
                <w:lang w:val="en-US"/>
              </w:rPr>
            </w:pPr>
          </w:p>
        </w:tc>
        <w:tc>
          <w:tcPr>
            <w:tcW w:w="0" w:type="auto"/>
            <w:shd w:val="clear" w:color="auto" w:fill="auto"/>
          </w:tcPr>
          <w:p w:rsidR="00A85EB3" w:rsidRDefault="00A85EB3">
            <w:pPr>
              <w:snapToGrid w:val="0"/>
              <w:spacing w:after="240"/>
              <w:rPr>
                <w:rFonts w:eastAsia="Times New Roman"/>
                <w:b/>
                <w:sz w:val="18"/>
                <w:szCs w:val="18"/>
                <w:lang w:val="en-US"/>
              </w:rPr>
            </w:pPr>
          </w:p>
        </w:tc>
        <w:tc>
          <w:tcPr>
            <w:tcW w:w="0" w:type="auto"/>
            <w:shd w:val="clear" w:color="auto" w:fill="auto"/>
          </w:tcPr>
          <w:p w:rsidR="00A85EB3" w:rsidRDefault="00A85EB3">
            <w:pPr>
              <w:spacing w:after="240"/>
              <w:rPr>
                <w:rFonts w:eastAsia="Times New Roman"/>
                <w:b/>
                <w:sz w:val="18"/>
                <w:szCs w:val="18"/>
                <w:lang w:val="en-US"/>
              </w:rPr>
            </w:pPr>
          </w:p>
        </w:tc>
        <w:tc>
          <w:tcPr>
            <w:tcW w:w="0" w:type="auto"/>
            <w:shd w:val="clear" w:color="auto" w:fill="auto"/>
          </w:tcPr>
          <w:p w:rsidR="00A85EB3" w:rsidRDefault="00A85EB3">
            <w:pPr>
              <w:snapToGrid w:val="0"/>
              <w:spacing w:after="240"/>
              <w:rPr>
                <w:rFonts w:eastAsia="Times New Roman"/>
                <w:b/>
                <w:sz w:val="18"/>
                <w:szCs w:val="18"/>
                <w:lang w:val="en-US"/>
              </w:rPr>
            </w:pPr>
          </w:p>
        </w:tc>
        <w:tc>
          <w:tcPr>
            <w:tcW w:w="0" w:type="auto"/>
            <w:shd w:val="clear" w:color="auto" w:fill="auto"/>
          </w:tcPr>
          <w:p w:rsidR="00A85EB3" w:rsidRDefault="00A85EB3">
            <w:pPr>
              <w:spacing w:after="240"/>
              <w:rPr>
                <w:rFonts w:eastAsia="Times New Roman"/>
                <w:b/>
                <w:sz w:val="18"/>
                <w:szCs w:val="18"/>
                <w:lang w:val="en-US"/>
              </w:rPr>
            </w:pPr>
          </w:p>
        </w:tc>
        <w:tc>
          <w:tcPr>
            <w:tcW w:w="0" w:type="auto"/>
            <w:shd w:val="clear" w:color="auto" w:fill="auto"/>
          </w:tcPr>
          <w:p w:rsidR="00A85EB3" w:rsidRDefault="00A85EB3">
            <w:pPr>
              <w:spacing w:after="240"/>
              <w:rPr>
                <w:rFonts w:eastAsia="Times New Roman"/>
                <w:b/>
                <w:sz w:val="18"/>
                <w:szCs w:val="18"/>
                <w:lang w:val="en-US"/>
              </w:rPr>
            </w:pPr>
          </w:p>
        </w:tc>
      </w:tr>
    </w:tbl>
    <w:p w:rsidR="00A85EB3" w:rsidRDefault="00A85EB3">
      <w:pPr>
        <w:spacing w:after="0"/>
        <w:rPr>
          <w:rFonts w:eastAsia="Times New Roman"/>
          <w:b/>
          <w:i/>
          <w:lang w:val="en-US"/>
        </w:rPr>
      </w:pPr>
    </w:p>
    <w:p w:rsidR="00A85EB3" w:rsidRDefault="00B07D03">
      <w:pPr>
        <w:pStyle w:val="Heading4"/>
        <w:numPr>
          <w:ilvl w:val="0"/>
          <w:numId w:val="0"/>
        </w:numPr>
        <w:ind w:left="850" w:hanging="850"/>
        <w:rPr>
          <w:b/>
          <w:i/>
          <w:lang w:val="en-US"/>
        </w:rPr>
      </w:pPr>
      <w:r>
        <w:rPr>
          <w:b/>
          <w:i/>
        </w:rPr>
        <w:lastRenderedPageBreak/>
        <w:t>2.3.5.2 Показатели за работа за конкретната програма, които се очаква да съдействат за резултатите</w:t>
      </w:r>
    </w:p>
    <w:p w:rsidR="00A85EB3" w:rsidRDefault="00B07D03">
      <w:pPr>
        <w:spacing w:after="0"/>
        <w:rPr>
          <w:rFonts w:eastAsia="Times New Roman"/>
          <w:b/>
          <w:i/>
          <w:lang w:val="en-US"/>
        </w:rPr>
      </w:pPr>
      <w:r>
        <w:rPr>
          <w:rFonts w:eastAsia="Times New Roman"/>
        </w:rPr>
        <w:t xml:space="preserve">(Източник: </w:t>
      </w:r>
      <w:r>
        <w:t xml:space="preserve">буква(c)(iv) на </w:t>
      </w:r>
      <w:r>
        <w:rPr>
          <w:rFonts w:eastAsia="Times New Roman"/>
        </w:rPr>
        <w:t>чл. 8(2) от Регламент (ЕС) № 1299/2013)</w:t>
      </w:r>
    </w:p>
    <w:p w:rsidR="00A85EB3" w:rsidRDefault="00A85EB3">
      <w:pPr>
        <w:rPr>
          <w:rFonts w:eastAsia="Times New Roman"/>
          <w:b/>
          <w:lang w:val="en-US"/>
        </w:rPr>
      </w:pPr>
    </w:p>
    <w:p w:rsidR="00A85EB3" w:rsidRDefault="00B07D03">
      <w:pPr>
        <w:rPr>
          <w:rFonts w:eastAsia="Times New Roman"/>
          <w:b/>
          <w:lang w:val="en-US"/>
        </w:rPr>
      </w:pPr>
      <w:r>
        <w:rPr>
          <w:rFonts w:eastAsia="Times New Roman"/>
          <w:b/>
        </w:rPr>
        <w:t>Таблица 10: Показатели за работа за конкретната програма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2369"/>
        <w:gridCol w:w="1544"/>
        <w:gridCol w:w="1516"/>
        <w:gridCol w:w="1737"/>
      </w:tblGrid>
      <w:tr w:rsidR="00FB701A" w:rsidRPr="00981F6F" w:rsidTr="00D17A3D">
        <w:trPr>
          <w:trHeight w:val="358"/>
        </w:trPr>
        <w:tc>
          <w:tcPr>
            <w:tcW w:w="1809" w:type="dxa"/>
          </w:tcPr>
          <w:p w:rsidR="00A85EB3" w:rsidRDefault="00B07D03">
            <w:pPr>
              <w:spacing w:after="240"/>
              <w:ind w:left="283" w:hanging="283"/>
              <w:rPr>
                <w:rFonts w:eastAsia="Times New Roman"/>
                <w:b/>
                <w:sz w:val="20"/>
                <w:lang w:val="en-US"/>
              </w:rPr>
            </w:pPr>
            <w:r>
              <w:rPr>
                <w:rFonts w:eastAsia="Times New Roman"/>
                <w:b/>
                <w:sz w:val="20"/>
              </w:rPr>
              <w:t>№</w:t>
            </w:r>
          </w:p>
        </w:tc>
        <w:tc>
          <w:tcPr>
            <w:tcW w:w="2503" w:type="dxa"/>
            <w:shd w:val="clear" w:color="auto" w:fill="auto"/>
          </w:tcPr>
          <w:p w:rsidR="00A85EB3" w:rsidRDefault="00B07D03">
            <w:pPr>
              <w:spacing w:after="240"/>
              <w:ind w:left="283" w:hanging="283"/>
              <w:rPr>
                <w:rFonts w:eastAsia="Times New Roman"/>
                <w:b/>
                <w:sz w:val="20"/>
                <w:lang w:val="en-US"/>
              </w:rPr>
            </w:pPr>
            <w:r>
              <w:rPr>
                <w:rFonts w:eastAsia="Times New Roman"/>
                <w:b/>
                <w:sz w:val="20"/>
              </w:rPr>
              <w:t xml:space="preserve">Показател </w:t>
            </w:r>
          </w:p>
        </w:tc>
        <w:tc>
          <w:tcPr>
            <w:tcW w:w="1608" w:type="dxa"/>
            <w:shd w:val="clear" w:color="auto" w:fill="auto"/>
          </w:tcPr>
          <w:p w:rsidR="00A85EB3" w:rsidRDefault="00B07D03">
            <w:pPr>
              <w:spacing w:after="240"/>
              <w:rPr>
                <w:rFonts w:eastAsia="Times New Roman"/>
                <w:b/>
                <w:sz w:val="20"/>
                <w:lang w:val="en-US"/>
              </w:rPr>
            </w:pPr>
            <w:r>
              <w:rPr>
                <w:rFonts w:eastAsia="Times New Roman"/>
                <w:b/>
                <w:sz w:val="20"/>
              </w:rPr>
              <w:t>Мерна единица</w:t>
            </w:r>
          </w:p>
        </w:tc>
        <w:tc>
          <w:tcPr>
            <w:tcW w:w="1559" w:type="dxa"/>
            <w:shd w:val="clear" w:color="auto" w:fill="auto"/>
          </w:tcPr>
          <w:p w:rsidR="00A85EB3" w:rsidRDefault="00B07D03">
            <w:pPr>
              <w:spacing w:after="240"/>
              <w:rPr>
                <w:rFonts w:eastAsia="Times New Roman"/>
                <w:b/>
                <w:sz w:val="20"/>
                <w:lang w:val="en-US"/>
              </w:rPr>
            </w:pPr>
            <w:r>
              <w:rPr>
                <w:rFonts w:eastAsia="Times New Roman"/>
                <w:b/>
                <w:sz w:val="20"/>
              </w:rPr>
              <w:t>Целеви показател (2023 г.)</w:t>
            </w:r>
          </w:p>
          <w:p w:rsidR="00A85EB3" w:rsidRDefault="00B07D03">
            <w:pPr>
              <w:spacing w:after="240"/>
              <w:rPr>
                <w:rFonts w:eastAsia="Times New Roman"/>
                <w:b/>
                <w:sz w:val="20"/>
                <w:lang w:val="en-US"/>
              </w:rPr>
            </w:pPr>
            <w:r>
              <w:rPr>
                <w:rFonts w:eastAsia="Times New Roman"/>
                <w:b/>
                <w:sz w:val="20"/>
              </w:rPr>
              <w:t>(по избор)</w:t>
            </w:r>
          </w:p>
        </w:tc>
        <w:tc>
          <w:tcPr>
            <w:tcW w:w="1807" w:type="dxa"/>
            <w:shd w:val="clear" w:color="auto" w:fill="auto"/>
          </w:tcPr>
          <w:p w:rsidR="00A85EB3" w:rsidRDefault="00B07D03">
            <w:pPr>
              <w:spacing w:after="240"/>
              <w:rPr>
                <w:rFonts w:eastAsia="Times New Roman"/>
                <w:b/>
                <w:sz w:val="20"/>
                <w:lang w:val="en-US"/>
              </w:rPr>
            </w:pPr>
            <w:r>
              <w:rPr>
                <w:rFonts w:eastAsia="Times New Roman"/>
                <w:b/>
                <w:sz w:val="20"/>
              </w:rPr>
              <w:t>Източник на данни</w:t>
            </w:r>
          </w:p>
        </w:tc>
      </w:tr>
      <w:tr w:rsidR="00FB701A" w:rsidRPr="00981F6F" w:rsidTr="00D17A3D">
        <w:trPr>
          <w:trHeight w:val="664"/>
        </w:trPr>
        <w:tc>
          <w:tcPr>
            <w:tcW w:w="1809" w:type="dxa"/>
          </w:tcPr>
          <w:p w:rsidR="00A85EB3" w:rsidRDefault="00A85EB3">
            <w:pPr>
              <w:spacing w:after="240"/>
              <w:rPr>
                <w:rFonts w:eastAsia="Times New Roman"/>
                <w:b/>
                <w:sz w:val="20"/>
                <w:lang w:val="en-US"/>
              </w:rPr>
            </w:pPr>
          </w:p>
        </w:tc>
        <w:tc>
          <w:tcPr>
            <w:tcW w:w="2503" w:type="dxa"/>
            <w:shd w:val="clear" w:color="auto" w:fill="auto"/>
          </w:tcPr>
          <w:p w:rsidR="00A85EB3" w:rsidRDefault="00A85EB3">
            <w:pPr>
              <w:spacing w:after="240"/>
              <w:rPr>
                <w:rFonts w:eastAsia="Times New Roman"/>
                <w:b/>
                <w:sz w:val="20"/>
                <w:lang w:val="en-US"/>
              </w:rPr>
            </w:pPr>
          </w:p>
        </w:tc>
        <w:tc>
          <w:tcPr>
            <w:tcW w:w="1608" w:type="dxa"/>
            <w:shd w:val="clear" w:color="auto" w:fill="auto"/>
          </w:tcPr>
          <w:p w:rsidR="00A85EB3" w:rsidRDefault="00A85EB3">
            <w:pPr>
              <w:spacing w:after="240"/>
              <w:rPr>
                <w:rFonts w:eastAsia="Times New Roman"/>
                <w:b/>
                <w:sz w:val="20"/>
                <w:lang w:val="en-US"/>
              </w:rPr>
            </w:pPr>
          </w:p>
        </w:tc>
        <w:tc>
          <w:tcPr>
            <w:tcW w:w="1559" w:type="dxa"/>
            <w:shd w:val="clear" w:color="auto" w:fill="auto"/>
          </w:tcPr>
          <w:p w:rsidR="00A85EB3" w:rsidRDefault="00A85EB3">
            <w:pPr>
              <w:spacing w:after="240"/>
              <w:rPr>
                <w:rFonts w:eastAsia="Times New Roman"/>
                <w:b/>
                <w:sz w:val="20"/>
                <w:lang w:val="en-US"/>
              </w:rPr>
            </w:pPr>
          </w:p>
        </w:tc>
        <w:tc>
          <w:tcPr>
            <w:tcW w:w="1807" w:type="dxa"/>
            <w:shd w:val="clear" w:color="auto" w:fill="auto"/>
          </w:tcPr>
          <w:p w:rsidR="00A85EB3" w:rsidRDefault="00A85EB3">
            <w:pPr>
              <w:spacing w:after="240"/>
              <w:rPr>
                <w:rFonts w:eastAsia="Times New Roman"/>
                <w:b/>
                <w:sz w:val="20"/>
                <w:lang w:val="en-US"/>
              </w:rPr>
            </w:pPr>
          </w:p>
        </w:tc>
      </w:tr>
      <w:tr w:rsidR="00FB701A" w:rsidRPr="00981F6F" w:rsidTr="00D17A3D">
        <w:trPr>
          <w:trHeight w:val="79"/>
        </w:trPr>
        <w:tc>
          <w:tcPr>
            <w:tcW w:w="1809" w:type="dxa"/>
          </w:tcPr>
          <w:p w:rsidR="00A85EB3" w:rsidRDefault="00A85EB3">
            <w:pPr>
              <w:spacing w:after="240"/>
              <w:rPr>
                <w:rFonts w:eastAsia="Times New Roman"/>
                <w:i/>
                <w:color w:val="8DB3E2"/>
                <w:sz w:val="18"/>
                <w:szCs w:val="18"/>
                <w:lang w:val="en-US"/>
              </w:rPr>
            </w:pPr>
          </w:p>
        </w:tc>
        <w:tc>
          <w:tcPr>
            <w:tcW w:w="2503" w:type="dxa"/>
            <w:shd w:val="clear" w:color="auto" w:fill="auto"/>
          </w:tcPr>
          <w:p w:rsidR="00A85EB3" w:rsidRDefault="00A85EB3">
            <w:pPr>
              <w:spacing w:after="240"/>
              <w:rPr>
                <w:rFonts w:eastAsia="Times New Roman"/>
                <w:i/>
                <w:color w:val="8DB3E2"/>
                <w:sz w:val="18"/>
                <w:szCs w:val="18"/>
                <w:lang w:val="en-US"/>
              </w:rPr>
            </w:pPr>
          </w:p>
        </w:tc>
        <w:tc>
          <w:tcPr>
            <w:tcW w:w="1608" w:type="dxa"/>
            <w:shd w:val="clear" w:color="auto" w:fill="auto"/>
          </w:tcPr>
          <w:p w:rsidR="00A85EB3" w:rsidRDefault="00A85EB3">
            <w:pPr>
              <w:spacing w:after="240"/>
              <w:rPr>
                <w:rFonts w:eastAsia="Times New Roman"/>
                <w:i/>
                <w:color w:val="8DB3E2"/>
                <w:sz w:val="18"/>
                <w:szCs w:val="18"/>
                <w:lang w:val="en-US"/>
              </w:rPr>
            </w:pPr>
          </w:p>
        </w:tc>
        <w:tc>
          <w:tcPr>
            <w:tcW w:w="1559" w:type="dxa"/>
            <w:shd w:val="clear" w:color="auto" w:fill="auto"/>
          </w:tcPr>
          <w:p w:rsidR="00A85EB3" w:rsidRDefault="00A85EB3">
            <w:pPr>
              <w:spacing w:after="240"/>
              <w:ind w:left="720"/>
              <w:rPr>
                <w:rFonts w:eastAsia="Times New Roman"/>
                <w:i/>
                <w:sz w:val="20"/>
                <w:lang w:val="en-US"/>
              </w:rPr>
            </w:pPr>
          </w:p>
        </w:tc>
        <w:tc>
          <w:tcPr>
            <w:tcW w:w="1807" w:type="dxa"/>
            <w:shd w:val="clear" w:color="auto" w:fill="auto"/>
          </w:tcPr>
          <w:p w:rsidR="00A85EB3" w:rsidRDefault="00A85EB3">
            <w:pPr>
              <w:spacing w:after="240"/>
              <w:rPr>
                <w:rFonts w:eastAsia="Times New Roman"/>
                <w:sz w:val="20"/>
                <w:lang w:val="en-US"/>
              </w:rPr>
            </w:pPr>
          </w:p>
        </w:tc>
      </w:tr>
    </w:tbl>
    <w:p w:rsidR="00A85EB3" w:rsidRDefault="00A85EB3">
      <w:pPr>
        <w:keepNext/>
        <w:spacing w:after="240"/>
        <w:ind w:left="1440" w:hanging="720"/>
        <w:outlineLvl w:val="2"/>
        <w:rPr>
          <w:rFonts w:eastAsia="Times New Roman"/>
          <w:b/>
          <w:i/>
          <w:lang w:val="en-US"/>
        </w:rPr>
      </w:pPr>
    </w:p>
    <w:p w:rsidR="00A85EB3" w:rsidRDefault="00B07D03">
      <w:pPr>
        <w:pStyle w:val="Heading3"/>
        <w:numPr>
          <w:ilvl w:val="0"/>
          <w:numId w:val="0"/>
        </w:numPr>
        <w:ind w:left="850" w:hanging="850"/>
        <w:rPr>
          <w:b/>
          <w:i w:val="0"/>
          <w:lang w:val="en-US"/>
        </w:rPr>
      </w:pPr>
      <w:r>
        <w:br w:type="page"/>
      </w:r>
      <w:bookmarkStart w:id="68" w:name="_Toc408234914"/>
      <w:r>
        <w:rPr>
          <w:b/>
          <w:i w:val="0"/>
        </w:rPr>
        <w:lastRenderedPageBreak/>
        <w:t>2.3.6. Категории на интервенциите</w:t>
      </w:r>
      <w:bookmarkEnd w:id="68"/>
      <w:r>
        <w:rPr>
          <w:b/>
          <w:i w:val="0"/>
        </w:rPr>
        <w:t xml:space="preserve"> </w:t>
      </w:r>
    </w:p>
    <w:p w:rsidR="00A85EB3" w:rsidRDefault="00B07D03">
      <w:pPr>
        <w:rPr>
          <w:rFonts w:eastAsia="Times New Roman"/>
          <w:b/>
          <w:lang w:val="en-US"/>
        </w:rPr>
      </w:pPr>
      <w:r>
        <w:t xml:space="preserve">(Източник: </w:t>
      </w:r>
      <w:r>
        <w:rPr>
          <w:rFonts w:eastAsia="Times New Roman"/>
          <w:b/>
        </w:rPr>
        <w:t>буква(c)(iv) на чл. 8(2) от Регламент (ЕС) № 1299/2013)</w:t>
      </w:r>
    </w:p>
    <w:p w:rsidR="00A85EB3" w:rsidRDefault="00B07D03">
      <w:pPr>
        <w:suppressAutoHyphens/>
        <w:rPr>
          <w:rFonts w:eastAsia="Times New Roman"/>
          <w:lang w:val="en-US"/>
        </w:rPr>
      </w:pPr>
      <w:r>
        <w:rPr>
          <w:rFonts w:eastAsia="Times New Roman"/>
        </w:rPr>
        <w:t>Съответстващи категории на дейностите на основата на номенклатура, приета от Комисията, и индикативна разбивка на помощта от Съюза</w:t>
      </w:r>
    </w:p>
    <w:p w:rsidR="00A85EB3" w:rsidRDefault="00A85EB3">
      <w:pPr>
        <w:suppressAutoHyphens/>
        <w:rPr>
          <w:rFonts w:eastAsia="Times New Roman"/>
          <w:lang w:val="en-US"/>
        </w:rPr>
      </w:pPr>
    </w:p>
    <w:p w:rsidR="00A85EB3" w:rsidRDefault="00B07D03">
      <w:pPr>
        <w:rPr>
          <w:rFonts w:eastAsia="Times New Roman"/>
          <w:lang w:val="en-US"/>
        </w:rPr>
      </w:pPr>
      <w:r>
        <w:rPr>
          <w:rFonts w:eastAsia="Times New Roman"/>
          <w:b/>
        </w:rPr>
        <w:t>Таблици 11–13: Категории на интервенциите</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5528"/>
        <w:gridCol w:w="1588"/>
      </w:tblGrid>
      <w:tr w:rsidR="00FB701A" w:rsidRPr="00981F6F" w:rsidTr="003D05CE">
        <w:trPr>
          <w:trHeight w:val="364"/>
        </w:trPr>
        <w:tc>
          <w:tcPr>
            <w:tcW w:w="8642" w:type="dxa"/>
            <w:gridSpan w:val="3"/>
            <w:shd w:val="clear" w:color="auto" w:fill="auto"/>
          </w:tcPr>
          <w:p w:rsidR="00A85EB3" w:rsidRDefault="00B07D03">
            <w:pPr>
              <w:autoSpaceDE w:val="0"/>
              <w:autoSpaceDN w:val="0"/>
              <w:adjustRightInd w:val="0"/>
              <w:spacing w:after="0"/>
              <w:rPr>
                <w:rFonts w:ascii="TimesNewRoman" w:eastAsia="Times New Roman" w:hAnsi="TimesNewRoman" w:cs="TimesNewRoman"/>
                <w:b/>
                <w:color w:val="000000"/>
                <w:sz w:val="20"/>
                <w:lang w:val="en-US"/>
              </w:rPr>
            </w:pPr>
            <w:r>
              <w:rPr>
                <w:rFonts w:ascii="TimesNewRoman,Bold" w:eastAsia="Times New Roman" w:hAnsi="TimesNewRoman,Bold" w:cs="TimesNewRoman,Bold"/>
                <w:b/>
                <w:bCs/>
                <w:color w:val="000000"/>
                <w:sz w:val="20"/>
              </w:rPr>
              <w:t xml:space="preserve">Таблица 11: Измерение 1 </w:t>
            </w:r>
            <w:r>
              <w:rPr>
                <w:rFonts w:ascii="TimesNewRoman" w:eastAsia="Times New Roman" w:hAnsi="TimesNewRoman" w:cs="TimesNewRoman"/>
                <w:b/>
                <w:color w:val="000000"/>
                <w:sz w:val="20"/>
              </w:rPr>
              <w:t>Област на интервенция</w:t>
            </w:r>
          </w:p>
        </w:tc>
      </w:tr>
      <w:tr w:rsidR="00FB701A" w:rsidRPr="00981F6F" w:rsidTr="003D05CE">
        <w:trPr>
          <w:trHeight w:val="254"/>
        </w:trPr>
        <w:tc>
          <w:tcPr>
            <w:tcW w:w="1526" w:type="dxa"/>
            <w:shd w:val="clear" w:color="auto" w:fill="auto"/>
          </w:tcPr>
          <w:p w:rsidR="00A85EB3" w:rsidRDefault="00B07D03">
            <w:pPr>
              <w:spacing w:after="240"/>
              <w:jc w:val="center"/>
              <w:rPr>
                <w:rFonts w:eastAsia="Times New Roman"/>
                <w:b/>
                <w:sz w:val="18"/>
                <w:szCs w:val="18"/>
                <w:lang w:val="en-US"/>
              </w:rPr>
            </w:pPr>
            <w:r>
              <w:rPr>
                <w:rFonts w:eastAsia="Times New Roman"/>
                <w:b/>
                <w:sz w:val="18"/>
                <w:szCs w:val="18"/>
              </w:rPr>
              <w:t>Приоритетна ос</w:t>
            </w:r>
          </w:p>
        </w:tc>
        <w:tc>
          <w:tcPr>
            <w:tcW w:w="5528" w:type="dxa"/>
            <w:shd w:val="clear" w:color="auto" w:fill="auto"/>
          </w:tcPr>
          <w:p w:rsidR="00A85EB3" w:rsidRDefault="00B07D03">
            <w:pPr>
              <w:spacing w:after="240"/>
              <w:jc w:val="center"/>
              <w:rPr>
                <w:rFonts w:eastAsia="Times New Roman"/>
                <w:sz w:val="20"/>
                <w:lang w:val="en-US"/>
              </w:rPr>
            </w:pPr>
            <w:r>
              <w:rPr>
                <w:rFonts w:eastAsia="Times New Roman"/>
                <w:b/>
                <w:sz w:val="18"/>
                <w:szCs w:val="18"/>
              </w:rPr>
              <w:t>Код</w:t>
            </w:r>
          </w:p>
        </w:tc>
        <w:tc>
          <w:tcPr>
            <w:tcW w:w="1588" w:type="dxa"/>
            <w:shd w:val="clear" w:color="auto" w:fill="auto"/>
          </w:tcPr>
          <w:p w:rsidR="00A85EB3" w:rsidRDefault="00B07D03">
            <w:pPr>
              <w:jc w:val="center"/>
              <w:rPr>
                <w:b/>
                <w:sz w:val="20"/>
                <w:lang w:val="en-US"/>
              </w:rPr>
            </w:pPr>
            <w:r>
              <w:rPr>
                <w:b/>
                <w:sz w:val="20"/>
              </w:rPr>
              <w:t>Сума (евро)</w:t>
            </w:r>
          </w:p>
          <w:p w:rsidR="00A85EB3" w:rsidRDefault="00B07D03">
            <w:pPr>
              <w:jc w:val="center"/>
              <w:rPr>
                <w:rFonts w:eastAsia="Times New Roman"/>
                <w:sz w:val="20"/>
                <w:lang w:val="en-US"/>
              </w:rPr>
            </w:pPr>
            <w:r>
              <w:rPr>
                <w:spacing w:val="20"/>
                <w:sz w:val="20"/>
                <w:lang w:eastAsia="en-US"/>
              </w:rPr>
              <w:t>ЕС (ЕФРР + ИПП)</w:t>
            </w:r>
          </w:p>
        </w:tc>
      </w:tr>
      <w:tr w:rsidR="009E5B1C" w:rsidRPr="00981F6F" w:rsidTr="003D05CE">
        <w:tc>
          <w:tcPr>
            <w:tcW w:w="1526" w:type="dxa"/>
            <w:shd w:val="clear" w:color="auto" w:fill="auto"/>
          </w:tcPr>
          <w:p w:rsidR="00A85EB3" w:rsidRDefault="00B07D03">
            <w:pPr>
              <w:jc w:val="center"/>
              <w:rPr>
                <w:sz w:val="20"/>
                <w:lang w:val="en-US"/>
              </w:rPr>
            </w:pPr>
            <w:r>
              <w:rPr>
                <w:b/>
                <w:spacing w:val="20"/>
                <w:sz w:val="20"/>
                <w:lang w:eastAsia="en-US"/>
              </w:rPr>
              <w:t>ПО 3</w:t>
            </w:r>
          </w:p>
        </w:tc>
        <w:tc>
          <w:tcPr>
            <w:tcW w:w="5528" w:type="dxa"/>
            <w:shd w:val="clear" w:color="auto" w:fill="auto"/>
          </w:tcPr>
          <w:p w:rsidR="00A85EB3" w:rsidRDefault="00B07D03">
            <w:pPr>
              <w:suppressAutoHyphens/>
              <w:spacing w:after="240"/>
              <w:rPr>
                <w:rFonts w:eastAsia="Times New Roman"/>
                <w:sz w:val="20"/>
                <w:lang w:val="en-US"/>
              </w:rPr>
            </w:pPr>
            <w:r>
              <w:rPr>
                <w:rFonts w:cs="Arial"/>
                <w:b/>
                <w:sz w:val="20"/>
              </w:rPr>
              <w:t xml:space="preserve">121 </w:t>
            </w:r>
            <w:r>
              <w:rPr>
                <w:rFonts w:cs="Arial"/>
                <w:sz w:val="20"/>
              </w:rPr>
              <w:t>– Подготовка, изпълнение, наблюдение и проверка</w:t>
            </w:r>
          </w:p>
        </w:tc>
        <w:tc>
          <w:tcPr>
            <w:tcW w:w="1588" w:type="dxa"/>
            <w:shd w:val="clear" w:color="auto" w:fill="auto"/>
          </w:tcPr>
          <w:p w:rsidR="00A85EB3" w:rsidRDefault="00B07D03">
            <w:pPr>
              <w:suppressAutoHyphens/>
              <w:spacing w:after="240"/>
              <w:jc w:val="center"/>
              <w:rPr>
                <w:rFonts w:eastAsia="Times New Roman"/>
                <w:sz w:val="20"/>
                <w:lang w:val="en-US"/>
              </w:rPr>
            </w:pPr>
            <w:r>
              <w:rPr>
                <w:spacing w:val="20"/>
                <w:sz w:val="20"/>
                <w:lang w:eastAsia="en-US"/>
              </w:rPr>
              <w:t>1 889 734,50</w:t>
            </w:r>
          </w:p>
        </w:tc>
      </w:tr>
      <w:tr w:rsidR="009E5B1C" w:rsidRPr="00981F6F" w:rsidTr="003D05CE">
        <w:tc>
          <w:tcPr>
            <w:tcW w:w="1526" w:type="dxa"/>
            <w:shd w:val="clear" w:color="auto" w:fill="auto"/>
          </w:tcPr>
          <w:p w:rsidR="00A85EB3" w:rsidRDefault="00B07D03">
            <w:pPr>
              <w:jc w:val="center"/>
              <w:rPr>
                <w:sz w:val="20"/>
                <w:lang w:val="en-US"/>
              </w:rPr>
            </w:pPr>
            <w:r>
              <w:rPr>
                <w:b/>
                <w:spacing w:val="20"/>
                <w:sz w:val="20"/>
                <w:lang w:eastAsia="en-US"/>
              </w:rPr>
              <w:t>ПО 3</w:t>
            </w:r>
          </w:p>
        </w:tc>
        <w:tc>
          <w:tcPr>
            <w:tcW w:w="5528" w:type="dxa"/>
            <w:shd w:val="clear" w:color="auto" w:fill="auto"/>
          </w:tcPr>
          <w:p w:rsidR="00A85EB3" w:rsidRDefault="00B07D03">
            <w:pPr>
              <w:spacing w:after="240"/>
              <w:rPr>
                <w:rFonts w:eastAsia="Times New Roman"/>
                <w:sz w:val="20"/>
                <w:lang w:val="en-US"/>
              </w:rPr>
            </w:pPr>
            <w:r>
              <w:rPr>
                <w:rFonts w:cs="Arial"/>
                <w:b/>
                <w:sz w:val="20"/>
              </w:rPr>
              <w:t>122</w:t>
            </w:r>
            <w:r>
              <w:rPr>
                <w:rFonts w:cs="Arial"/>
                <w:sz w:val="20"/>
              </w:rPr>
              <w:t xml:space="preserve"> – Оценка и проучвания</w:t>
            </w:r>
          </w:p>
        </w:tc>
        <w:tc>
          <w:tcPr>
            <w:tcW w:w="1588" w:type="dxa"/>
            <w:shd w:val="clear" w:color="auto" w:fill="auto"/>
          </w:tcPr>
          <w:p w:rsidR="00A85EB3" w:rsidRDefault="00B07D03">
            <w:pPr>
              <w:spacing w:after="240"/>
              <w:jc w:val="center"/>
              <w:rPr>
                <w:rFonts w:eastAsia="Times New Roman"/>
                <w:sz w:val="18"/>
                <w:szCs w:val="18"/>
                <w:lang w:val="en-US"/>
              </w:rPr>
            </w:pPr>
            <w:r>
              <w:rPr>
                <w:spacing w:val="20"/>
                <w:sz w:val="20"/>
                <w:lang w:eastAsia="en-US"/>
              </w:rPr>
              <w:t>314 955,75</w:t>
            </w:r>
          </w:p>
        </w:tc>
      </w:tr>
      <w:tr w:rsidR="009E5B1C" w:rsidRPr="00981F6F" w:rsidTr="003D05CE">
        <w:tc>
          <w:tcPr>
            <w:tcW w:w="1526" w:type="dxa"/>
            <w:shd w:val="clear" w:color="auto" w:fill="auto"/>
          </w:tcPr>
          <w:p w:rsidR="00A85EB3" w:rsidRDefault="00B07D03">
            <w:pPr>
              <w:jc w:val="center"/>
              <w:rPr>
                <w:sz w:val="20"/>
                <w:lang w:val="en-US"/>
              </w:rPr>
            </w:pPr>
            <w:r>
              <w:rPr>
                <w:b/>
                <w:spacing w:val="20"/>
                <w:sz w:val="20"/>
                <w:lang w:eastAsia="en-US"/>
              </w:rPr>
              <w:t>ПО 3</w:t>
            </w:r>
          </w:p>
        </w:tc>
        <w:tc>
          <w:tcPr>
            <w:tcW w:w="5528" w:type="dxa"/>
            <w:shd w:val="clear" w:color="auto" w:fill="auto"/>
          </w:tcPr>
          <w:p w:rsidR="00A85EB3" w:rsidRDefault="00B07D03">
            <w:pPr>
              <w:spacing w:after="240"/>
              <w:rPr>
                <w:rFonts w:eastAsia="Times New Roman"/>
                <w:sz w:val="20"/>
                <w:lang w:val="en-US"/>
              </w:rPr>
            </w:pPr>
            <w:r>
              <w:rPr>
                <w:rFonts w:cs="Arial"/>
                <w:b/>
                <w:sz w:val="20"/>
              </w:rPr>
              <w:t>123</w:t>
            </w:r>
            <w:r>
              <w:rPr>
                <w:rFonts w:cs="Arial"/>
                <w:sz w:val="20"/>
              </w:rPr>
              <w:t xml:space="preserve"> – Информация и комуникация</w:t>
            </w:r>
          </w:p>
        </w:tc>
        <w:tc>
          <w:tcPr>
            <w:tcW w:w="1588" w:type="dxa"/>
            <w:shd w:val="clear" w:color="auto" w:fill="auto"/>
          </w:tcPr>
          <w:p w:rsidR="00A85EB3" w:rsidRDefault="00B07D03">
            <w:pPr>
              <w:spacing w:after="240"/>
              <w:jc w:val="center"/>
              <w:rPr>
                <w:rFonts w:eastAsia="Times New Roman"/>
                <w:sz w:val="18"/>
                <w:szCs w:val="18"/>
                <w:lang w:val="en-US"/>
              </w:rPr>
            </w:pPr>
            <w:r>
              <w:rPr>
                <w:spacing w:val="20"/>
                <w:sz w:val="20"/>
                <w:lang w:eastAsia="en-US"/>
              </w:rPr>
              <w:t>314 955,75</w:t>
            </w:r>
          </w:p>
        </w:tc>
      </w:tr>
    </w:tbl>
    <w:p w:rsidR="00A85EB3" w:rsidRDefault="00A85EB3">
      <w:pPr>
        <w:suppressAutoHyphens/>
        <w:spacing w:after="240"/>
        <w:rPr>
          <w:rFonts w:eastAsia="Times New Roman"/>
          <w:lang w:val="en-U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5528"/>
        <w:gridCol w:w="1588"/>
      </w:tblGrid>
      <w:tr w:rsidR="00FB701A" w:rsidRPr="00981F6F" w:rsidTr="003D05CE">
        <w:trPr>
          <w:trHeight w:val="364"/>
        </w:trPr>
        <w:tc>
          <w:tcPr>
            <w:tcW w:w="8642" w:type="dxa"/>
            <w:gridSpan w:val="3"/>
            <w:shd w:val="clear" w:color="auto" w:fill="auto"/>
          </w:tcPr>
          <w:p w:rsidR="00A85EB3" w:rsidRDefault="00B07D03">
            <w:pPr>
              <w:autoSpaceDE w:val="0"/>
              <w:autoSpaceDN w:val="0"/>
              <w:adjustRightInd w:val="0"/>
              <w:spacing w:after="0"/>
              <w:rPr>
                <w:rFonts w:ascii="TimesNewRoman" w:eastAsia="Times New Roman" w:hAnsi="TimesNewRoman" w:cs="TimesNewRoman"/>
                <w:b/>
                <w:color w:val="000000"/>
                <w:sz w:val="20"/>
                <w:lang w:val="en-US"/>
              </w:rPr>
            </w:pPr>
            <w:r>
              <w:rPr>
                <w:rFonts w:ascii="TimesNewRoman,Bold" w:eastAsia="Times New Roman" w:hAnsi="TimesNewRoman,Bold" w:cs="TimesNewRoman,Bold"/>
                <w:b/>
                <w:bCs/>
                <w:color w:val="000000"/>
                <w:sz w:val="20"/>
              </w:rPr>
              <w:t>Таблица 12: Измерение 2 Форма на финансиране</w:t>
            </w:r>
          </w:p>
        </w:tc>
      </w:tr>
      <w:tr w:rsidR="00FB701A" w:rsidRPr="00981F6F" w:rsidTr="003D05CE">
        <w:trPr>
          <w:trHeight w:val="254"/>
        </w:trPr>
        <w:tc>
          <w:tcPr>
            <w:tcW w:w="1526" w:type="dxa"/>
            <w:shd w:val="clear" w:color="auto" w:fill="auto"/>
          </w:tcPr>
          <w:p w:rsidR="00A85EB3" w:rsidRDefault="00B07D03">
            <w:pPr>
              <w:spacing w:after="240"/>
              <w:jc w:val="center"/>
              <w:rPr>
                <w:rFonts w:eastAsia="Times New Roman"/>
                <w:b/>
                <w:sz w:val="18"/>
                <w:szCs w:val="18"/>
                <w:lang w:val="en-US"/>
              </w:rPr>
            </w:pPr>
            <w:r>
              <w:rPr>
                <w:rFonts w:eastAsia="Times New Roman"/>
                <w:b/>
                <w:sz w:val="18"/>
                <w:szCs w:val="18"/>
              </w:rPr>
              <w:t>Приоритетна ос</w:t>
            </w:r>
          </w:p>
        </w:tc>
        <w:tc>
          <w:tcPr>
            <w:tcW w:w="5528" w:type="dxa"/>
            <w:shd w:val="clear" w:color="auto" w:fill="auto"/>
          </w:tcPr>
          <w:p w:rsidR="00A85EB3" w:rsidRDefault="00B07D03">
            <w:pPr>
              <w:spacing w:after="240"/>
              <w:jc w:val="center"/>
              <w:rPr>
                <w:rFonts w:eastAsia="Times New Roman"/>
                <w:sz w:val="20"/>
                <w:lang w:val="en-US"/>
              </w:rPr>
            </w:pPr>
            <w:r>
              <w:rPr>
                <w:rFonts w:eastAsia="Times New Roman"/>
                <w:b/>
                <w:sz w:val="18"/>
                <w:szCs w:val="18"/>
              </w:rPr>
              <w:t>Код</w:t>
            </w:r>
          </w:p>
        </w:tc>
        <w:tc>
          <w:tcPr>
            <w:tcW w:w="1588" w:type="dxa"/>
            <w:shd w:val="clear" w:color="auto" w:fill="auto"/>
          </w:tcPr>
          <w:p w:rsidR="00A85EB3" w:rsidRDefault="00B07D03">
            <w:pPr>
              <w:jc w:val="center"/>
              <w:rPr>
                <w:b/>
                <w:sz w:val="20"/>
                <w:lang w:val="en-US"/>
              </w:rPr>
            </w:pPr>
            <w:r>
              <w:rPr>
                <w:b/>
                <w:sz w:val="20"/>
              </w:rPr>
              <w:t>Сума (евро)</w:t>
            </w:r>
          </w:p>
          <w:p w:rsidR="00A85EB3" w:rsidRDefault="00B07D03">
            <w:pPr>
              <w:spacing w:after="240"/>
              <w:jc w:val="center"/>
              <w:rPr>
                <w:rFonts w:eastAsia="Times New Roman"/>
                <w:sz w:val="20"/>
                <w:lang w:val="en-US"/>
              </w:rPr>
            </w:pPr>
            <w:r>
              <w:rPr>
                <w:spacing w:val="20"/>
                <w:sz w:val="20"/>
                <w:lang w:eastAsia="en-US"/>
              </w:rPr>
              <w:t>ЕС (ЕФРР + ИПП)</w:t>
            </w:r>
          </w:p>
        </w:tc>
      </w:tr>
      <w:tr w:rsidR="00FB701A" w:rsidRPr="00981F6F" w:rsidTr="003D05CE">
        <w:tc>
          <w:tcPr>
            <w:tcW w:w="1526" w:type="dxa"/>
            <w:shd w:val="clear" w:color="auto" w:fill="auto"/>
          </w:tcPr>
          <w:p w:rsidR="00A85EB3" w:rsidRDefault="00B07D03">
            <w:pPr>
              <w:suppressAutoHyphens/>
              <w:spacing w:after="240"/>
              <w:jc w:val="center"/>
              <w:rPr>
                <w:rFonts w:eastAsia="Times New Roman"/>
                <w:i/>
                <w:color w:val="8DB3E2"/>
                <w:sz w:val="20"/>
                <w:lang w:val="en-US"/>
              </w:rPr>
            </w:pPr>
            <w:r>
              <w:rPr>
                <w:b/>
                <w:spacing w:val="20"/>
                <w:sz w:val="20"/>
                <w:lang w:eastAsia="en-US"/>
              </w:rPr>
              <w:t>ПО 3</w:t>
            </w:r>
          </w:p>
        </w:tc>
        <w:tc>
          <w:tcPr>
            <w:tcW w:w="5528" w:type="dxa"/>
            <w:shd w:val="clear" w:color="auto" w:fill="auto"/>
          </w:tcPr>
          <w:p w:rsidR="00A85EB3" w:rsidRDefault="00B07D03">
            <w:pPr>
              <w:suppressAutoHyphens/>
              <w:spacing w:after="240"/>
              <w:rPr>
                <w:rFonts w:eastAsia="Times New Roman"/>
                <w:sz w:val="20"/>
                <w:lang w:val="en-US"/>
              </w:rPr>
            </w:pPr>
            <w:r>
              <w:rPr>
                <w:b/>
                <w:sz w:val="20"/>
              </w:rPr>
              <w:t>01</w:t>
            </w:r>
            <w:r>
              <w:rPr>
                <w:sz w:val="20"/>
              </w:rPr>
              <w:t xml:space="preserve"> – Безвъзмездна помощ</w:t>
            </w:r>
          </w:p>
        </w:tc>
        <w:tc>
          <w:tcPr>
            <w:tcW w:w="1588" w:type="dxa"/>
            <w:shd w:val="clear" w:color="auto" w:fill="auto"/>
          </w:tcPr>
          <w:p w:rsidR="00A85EB3" w:rsidRDefault="00B07D03">
            <w:pPr>
              <w:suppressAutoHyphens/>
              <w:spacing w:after="240"/>
              <w:jc w:val="center"/>
              <w:rPr>
                <w:rFonts w:eastAsia="Times New Roman"/>
                <w:sz w:val="20"/>
                <w:lang w:val="en-US"/>
              </w:rPr>
            </w:pPr>
            <w:r>
              <w:rPr>
                <w:sz w:val="20"/>
              </w:rPr>
              <w:t>2 519 646,00</w:t>
            </w:r>
          </w:p>
        </w:tc>
      </w:tr>
    </w:tbl>
    <w:p w:rsidR="00A85EB3" w:rsidRDefault="00A85EB3">
      <w:pPr>
        <w:suppressAutoHyphens/>
        <w:spacing w:after="240"/>
        <w:rPr>
          <w:rFonts w:eastAsia="Times New Roman"/>
          <w:sz w:val="20"/>
          <w:lang w:val="en-US"/>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550"/>
        <w:gridCol w:w="2537"/>
      </w:tblGrid>
      <w:tr w:rsidR="00FB701A" w:rsidRPr="00981F6F" w:rsidTr="003D05CE">
        <w:trPr>
          <w:trHeight w:val="364"/>
        </w:trPr>
        <w:tc>
          <w:tcPr>
            <w:tcW w:w="8647" w:type="dxa"/>
            <w:gridSpan w:val="3"/>
            <w:shd w:val="clear" w:color="auto" w:fill="auto"/>
          </w:tcPr>
          <w:p w:rsidR="00A85EB3" w:rsidRDefault="00B07D03">
            <w:pPr>
              <w:autoSpaceDE w:val="0"/>
              <w:autoSpaceDN w:val="0"/>
              <w:adjustRightInd w:val="0"/>
              <w:spacing w:after="0"/>
              <w:rPr>
                <w:rFonts w:eastAsia="Times New Roman"/>
                <w:b/>
                <w:color w:val="000000"/>
                <w:sz w:val="20"/>
                <w:lang w:val="en-US"/>
              </w:rPr>
            </w:pPr>
            <w:r>
              <w:rPr>
                <w:rFonts w:eastAsia="Times New Roman"/>
                <w:b/>
                <w:bCs/>
                <w:color w:val="000000"/>
                <w:sz w:val="20"/>
              </w:rPr>
              <w:t>Таблица 13: Измерение 3 Тип на територията</w:t>
            </w:r>
          </w:p>
        </w:tc>
      </w:tr>
      <w:tr w:rsidR="00FB701A" w:rsidRPr="00981F6F" w:rsidTr="003D05CE">
        <w:trPr>
          <w:trHeight w:val="254"/>
        </w:trPr>
        <w:tc>
          <w:tcPr>
            <w:tcW w:w="1560" w:type="dxa"/>
            <w:shd w:val="clear" w:color="auto" w:fill="auto"/>
          </w:tcPr>
          <w:p w:rsidR="00A85EB3" w:rsidRPr="003D05CE" w:rsidRDefault="00B07D03">
            <w:pPr>
              <w:spacing w:after="240"/>
              <w:jc w:val="center"/>
              <w:rPr>
                <w:rFonts w:eastAsia="Times New Roman"/>
                <w:b/>
                <w:sz w:val="18"/>
                <w:szCs w:val="18"/>
                <w:lang w:val="en-US"/>
              </w:rPr>
            </w:pPr>
            <w:r w:rsidRPr="003D05CE">
              <w:rPr>
                <w:rFonts w:eastAsia="Times New Roman"/>
                <w:b/>
                <w:sz w:val="18"/>
                <w:szCs w:val="18"/>
              </w:rPr>
              <w:t>Приоритетна ос</w:t>
            </w:r>
          </w:p>
        </w:tc>
        <w:tc>
          <w:tcPr>
            <w:tcW w:w="4550" w:type="dxa"/>
            <w:shd w:val="clear" w:color="auto" w:fill="auto"/>
          </w:tcPr>
          <w:p w:rsidR="00A85EB3" w:rsidRDefault="00B07D03">
            <w:pPr>
              <w:spacing w:after="240"/>
              <w:jc w:val="center"/>
              <w:rPr>
                <w:rFonts w:eastAsia="Times New Roman"/>
                <w:sz w:val="20"/>
                <w:lang w:val="en-US"/>
              </w:rPr>
            </w:pPr>
            <w:r>
              <w:rPr>
                <w:rFonts w:eastAsia="Times New Roman"/>
                <w:b/>
                <w:sz w:val="20"/>
              </w:rPr>
              <w:t>Код</w:t>
            </w:r>
          </w:p>
        </w:tc>
        <w:tc>
          <w:tcPr>
            <w:tcW w:w="2537" w:type="dxa"/>
            <w:shd w:val="clear" w:color="auto" w:fill="auto"/>
          </w:tcPr>
          <w:p w:rsidR="00A85EB3" w:rsidRDefault="00B07D03" w:rsidP="003D05CE">
            <w:pPr>
              <w:jc w:val="center"/>
              <w:rPr>
                <w:b/>
                <w:sz w:val="20"/>
                <w:lang w:val="en-US"/>
              </w:rPr>
            </w:pPr>
            <w:r>
              <w:rPr>
                <w:b/>
                <w:sz w:val="20"/>
              </w:rPr>
              <w:t>Сума (евро)</w:t>
            </w:r>
          </w:p>
          <w:p w:rsidR="00A85EB3" w:rsidRDefault="00B07D03" w:rsidP="003D05CE">
            <w:pPr>
              <w:spacing w:after="240"/>
              <w:jc w:val="center"/>
              <w:rPr>
                <w:rFonts w:eastAsia="Times New Roman"/>
                <w:sz w:val="20"/>
                <w:lang w:val="en-US"/>
              </w:rPr>
            </w:pPr>
            <w:r>
              <w:rPr>
                <w:spacing w:val="20"/>
                <w:sz w:val="20"/>
                <w:lang w:eastAsia="en-US"/>
              </w:rPr>
              <w:t>ЕС (ЕФРР + ИПП)</w:t>
            </w:r>
          </w:p>
        </w:tc>
      </w:tr>
      <w:tr w:rsidR="00FB701A" w:rsidRPr="00981F6F" w:rsidTr="003D05CE">
        <w:tc>
          <w:tcPr>
            <w:tcW w:w="1560" w:type="dxa"/>
            <w:shd w:val="clear" w:color="auto" w:fill="auto"/>
          </w:tcPr>
          <w:p w:rsidR="00A85EB3" w:rsidRDefault="00B07D03">
            <w:pPr>
              <w:suppressAutoHyphens/>
              <w:spacing w:after="240"/>
              <w:jc w:val="center"/>
              <w:rPr>
                <w:rFonts w:eastAsia="Times New Roman"/>
                <w:i/>
                <w:color w:val="8DB3E2"/>
                <w:sz w:val="20"/>
                <w:lang w:val="en-US"/>
              </w:rPr>
            </w:pPr>
            <w:r>
              <w:rPr>
                <w:b/>
                <w:spacing w:val="20"/>
                <w:sz w:val="20"/>
                <w:lang w:eastAsia="en-US"/>
              </w:rPr>
              <w:t>ПО 3</w:t>
            </w:r>
          </w:p>
        </w:tc>
        <w:tc>
          <w:tcPr>
            <w:tcW w:w="4550" w:type="dxa"/>
            <w:shd w:val="clear" w:color="auto" w:fill="auto"/>
          </w:tcPr>
          <w:p w:rsidR="00A85EB3" w:rsidRDefault="00B07D03">
            <w:pPr>
              <w:suppressAutoHyphens/>
              <w:spacing w:after="240"/>
              <w:rPr>
                <w:rFonts w:eastAsia="Times New Roman"/>
                <w:sz w:val="20"/>
                <w:lang w:val="en-US"/>
              </w:rPr>
            </w:pPr>
            <w:r>
              <w:rPr>
                <w:b/>
                <w:sz w:val="20"/>
              </w:rPr>
              <w:t>05</w:t>
            </w:r>
            <w:r>
              <w:rPr>
                <w:sz w:val="20"/>
              </w:rPr>
              <w:t xml:space="preserve"> – Сътрудничество през национални или регионални програмни области в национален контекст</w:t>
            </w:r>
          </w:p>
        </w:tc>
        <w:tc>
          <w:tcPr>
            <w:tcW w:w="2537" w:type="dxa"/>
            <w:shd w:val="clear" w:color="auto" w:fill="auto"/>
          </w:tcPr>
          <w:p w:rsidR="00A85EB3" w:rsidRDefault="00B07D03" w:rsidP="003D05CE">
            <w:pPr>
              <w:pStyle w:val="ListParagraph"/>
              <w:numPr>
                <w:ilvl w:val="0"/>
                <w:numId w:val="84"/>
              </w:numPr>
              <w:suppressAutoHyphens/>
              <w:jc w:val="center"/>
              <w:rPr>
                <w:sz w:val="20"/>
                <w:lang w:val="en-US"/>
              </w:rPr>
            </w:pPr>
            <w:r>
              <w:rPr>
                <w:sz w:val="20"/>
              </w:rPr>
              <w:t>519 646,00</w:t>
            </w:r>
          </w:p>
        </w:tc>
      </w:tr>
    </w:tbl>
    <w:p w:rsidR="00A85EB3" w:rsidRDefault="00A85EB3">
      <w:pPr>
        <w:rPr>
          <w:rFonts w:eastAsia="Times New Roman"/>
          <w:i/>
          <w:lang w:val="en-US"/>
        </w:rPr>
      </w:pPr>
    </w:p>
    <w:p w:rsidR="00A85EB3" w:rsidRDefault="00A85EB3">
      <w:pPr>
        <w:keepNext/>
        <w:spacing w:before="360" w:after="240"/>
        <w:ind w:left="1560" w:hanging="1560"/>
        <w:outlineLvl w:val="0"/>
        <w:rPr>
          <w:rFonts w:eastAsia="Times New Roman"/>
          <w:b/>
          <w:bCs/>
          <w:smallCaps/>
          <w:szCs w:val="24"/>
          <w:lang w:val="en-US"/>
        </w:rPr>
        <w:sectPr w:rsidR="00A85EB3" w:rsidSect="006A4BDD">
          <w:headerReference w:type="default" r:id="rId43"/>
          <w:footerReference w:type="default" r:id="rId44"/>
          <w:headerReference w:type="first" r:id="rId45"/>
          <w:footerReference w:type="first" r:id="rId46"/>
          <w:pgSz w:w="11906" w:h="16838"/>
          <w:pgMar w:top="1020" w:right="1701" w:bottom="1020" w:left="1587" w:header="601" w:footer="1077" w:gutter="0"/>
          <w:cols w:space="720"/>
          <w:docGrid w:linePitch="326"/>
        </w:sectPr>
      </w:pPr>
    </w:p>
    <w:p w:rsidR="00A85EB3" w:rsidRDefault="00B07D03">
      <w:pPr>
        <w:pStyle w:val="Heading2"/>
        <w:numPr>
          <w:ilvl w:val="0"/>
          <w:numId w:val="0"/>
        </w:numPr>
        <w:ind w:left="1570" w:firstLine="590"/>
        <w:jc w:val="center"/>
        <w:rPr>
          <w:lang w:val="en-US"/>
        </w:rPr>
      </w:pPr>
      <w:bookmarkStart w:id="69" w:name="_Toc408234915"/>
      <w:r>
        <w:lastRenderedPageBreak/>
        <w:t>Раздел 2.4 Обзорна таблица за показателите по приоритетни оси и тематични приоритети</w:t>
      </w:r>
      <w:bookmarkEnd w:id="69"/>
    </w:p>
    <w:p w:rsidR="00A85EB3" w:rsidRDefault="00B07D03">
      <w:pPr>
        <w:rPr>
          <w:b/>
          <w:lang w:val="en-US"/>
        </w:rPr>
      </w:pPr>
      <w:r>
        <w:rPr>
          <w:b/>
        </w:rPr>
        <w:t>Таблица 14: Общи показатели за резултатите и показатели за резултатите за конкретната програма</w:t>
      </w:r>
    </w:p>
    <w:tbl>
      <w:tblPr>
        <w:tblW w:w="5088"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2"/>
        <w:gridCol w:w="1837"/>
        <w:gridCol w:w="3678"/>
        <w:gridCol w:w="2541"/>
        <w:gridCol w:w="5803"/>
      </w:tblGrid>
      <w:tr w:rsidR="004D6378" w:rsidRPr="00981F6F" w:rsidTr="00FF50B5">
        <w:tc>
          <w:tcPr>
            <w:tcW w:w="330" w:type="pct"/>
          </w:tcPr>
          <w:p w:rsidR="00A85EB3" w:rsidRDefault="00B07D03">
            <w:pPr>
              <w:autoSpaceDE w:val="0"/>
              <w:spacing w:line="276" w:lineRule="auto"/>
              <w:contextualSpacing/>
              <w:jc w:val="center"/>
              <w:rPr>
                <w:b/>
                <w:bCs/>
                <w:sz w:val="20"/>
                <w:lang w:val="en-US" w:eastAsia="ar-SA"/>
              </w:rPr>
            </w:pPr>
            <w:r>
              <w:rPr>
                <w:b/>
                <w:bCs/>
                <w:sz w:val="20"/>
                <w:lang w:eastAsia="ar-SA"/>
              </w:rPr>
              <w:t>Приоритетна ос</w:t>
            </w:r>
          </w:p>
        </w:tc>
        <w:tc>
          <w:tcPr>
            <w:tcW w:w="559" w:type="pct"/>
            <w:tcMar>
              <w:top w:w="0" w:type="dxa"/>
              <w:left w:w="108" w:type="dxa"/>
              <w:bottom w:w="0" w:type="dxa"/>
              <w:right w:w="108" w:type="dxa"/>
            </w:tcMar>
            <w:hideMark/>
          </w:tcPr>
          <w:p w:rsidR="00A85EB3" w:rsidRDefault="00B07D03">
            <w:pPr>
              <w:autoSpaceDE w:val="0"/>
              <w:spacing w:line="276" w:lineRule="auto"/>
              <w:contextualSpacing/>
              <w:jc w:val="center"/>
              <w:rPr>
                <w:b/>
                <w:bCs/>
                <w:sz w:val="20"/>
                <w:lang w:val="en-US" w:eastAsia="ar-SA"/>
              </w:rPr>
            </w:pPr>
            <w:r>
              <w:rPr>
                <w:b/>
                <w:bCs/>
                <w:sz w:val="20"/>
                <w:lang w:eastAsia="ar-SA"/>
              </w:rPr>
              <w:t>Тематичен приоритет</w:t>
            </w:r>
          </w:p>
        </w:tc>
        <w:tc>
          <w:tcPr>
            <w:tcW w:w="1262" w:type="pct"/>
            <w:tcMar>
              <w:top w:w="0" w:type="dxa"/>
              <w:left w:w="108" w:type="dxa"/>
              <w:bottom w:w="0" w:type="dxa"/>
              <w:right w:w="108" w:type="dxa"/>
            </w:tcMar>
            <w:hideMark/>
          </w:tcPr>
          <w:p w:rsidR="00A85EB3" w:rsidRDefault="008C2B13">
            <w:pPr>
              <w:autoSpaceDE w:val="0"/>
              <w:spacing w:line="276" w:lineRule="auto"/>
              <w:contextualSpacing/>
              <w:jc w:val="center"/>
              <w:rPr>
                <w:b/>
                <w:bCs/>
                <w:sz w:val="20"/>
                <w:lang w:val="en-US" w:eastAsia="ar-SA"/>
              </w:rPr>
            </w:pPr>
            <w:r>
              <w:rPr>
                <w:b/>
                <w:bCs/>
                <w:sz w:val="20"/>
                <w:lang w:eastAsia="ar-SA"/>
              </w:rPr>
              <w:t>Специфична</w:t>
            </w:r>
            <w:r w:rsidR="00B07D03">
              <w:rPr>
                <w:b/>
                <w:bCs/>
                <w:sz w:val="20"/>
                <w:lang w:eastAsia="ar-SA"/>
              </w:rPr>
              <w:t xml:space="preserve"> цел(и):</w:t>
            </w:r>
          </w:p>
        </w:tc>
        <w:tc>
          <w:tcPr>
            <w:tcW w:w="887" w:type="pct"/>
            <w:tcMar>
              <w:top w:w="0" w:type="dxa"/>
              <w:left w:w="108" w:type="dxa"/>
              <w:bottom w:w="0" w:type="dxa"/>
              <w:right w:w="108" w:type="dxa"/>
            </w:tcMar>
          </w:tcPr>
          <w:p w:rsidR="00A85EB3" w:rsidRDefault="00B07D03">
            <w:pPr>
              <w:autoSpaceDE w:val="0"/>
              <w:spacing w:line="276" w:lineRule="auto"/>
              <w:contextualSpacing/>
              <w:jc w:val="center"/>
              <w:rPr>
                <w:b/>
                <w:bCs/>
                <w:sz w:val="20"/>
                <w:lang w:val="en-US" w:eastAsia="ar-SA"/>
              </w:rPr>
            </w:pPr>
            <w:r>
              <w:rPr>
                <w:b/>
                <w:bCs/>
                <w:sz w:val="20"/>
                <w:lang w:eastAsia="ar-SA"/>
              </w:rPr>
              <w:t>Избрани показатели за резултати</w:t>
            </w:r>
          </w:p>
          <w:p w:rsidR="00A85EB3" w:rsidRDefault="00A85EB3">
            <w:pPr>
              <w:autoSpaceDE w:val="0"/>
              <w:spacing w:line="276" w:lineRule="auto"/>
              <w:contextualSpacing/>
              <w:jc w:val="center"/>
              <w:rPr>
                <w:b/>
                <w:bCs/>
                <w:sz w:val="20"/>
                <w:lang w:val="en-US" w:eastAsia="ar-SA"/>
              </w:rPr>
            </w:pPr>
          </w:p>
        </w:tc>
        <w:tc>
          <w:tcPr>
            <w:tcW w:w="1962" w:type="pct"/>
            <w:tcMar>
              <w:top w:w="0" w:type="dxa"/>
              <w:left w:w="108" w:type="dxa"/>
              <w:bottom w:w="0" w:type="dxa"/>
              <w:right w:w="108" w:type="dxa"/>
            </w:tcMar>
          </w:tcPr>
          <w:p w:rsidR="00A85EB3" w:rsidRDefault="00B07D03">
            <w:pPr>
              <w:autoSpaceDE w:val="0"/>
              <w:spacing w:line="276" w:lineRule="auto"/>
              <w:contextualSpacing/>
              <w:jc w:val="center"/>
              <w:rPr>
                <w:b/>
                <w:bCs/>
                <w:sz w:val="20"/>
                <w:lang w:val="en-US" w:eastAsia="ar-SA"/>
              </w:rPr>
            </w:pPr>
            <w:r>
              <w:rPr>
                <w:b/>
                <w:bCs/>
                <w:sz w:val="20"/>
                <w:lang w:eastAsia="ar-SA"/>
              </w:rPr>
              <w:t>Избрани показатели за работа</w:t>
            </w:r>
          </w:p>
          <w:p w:rsidR="00A85EB3" w:rsidRDefault="00A85EB3">
            <w:pPr>
              <w:autoSpaceDE w:val="0"/>
              <w:spacing w:line="276" w:lineRule="auto"/>
              <w:contextualSpacing/>
              <w:jc w:val="center"/>
              <w:rPr>
                <w:b/>
                <w:bCs/>
                <w:sz w:val="20"/>
                <w:lang w:val="en-US" w:eastAsia="ar-SA"/>
              </w:rPr>
            </w:pPr>
          </w:p>
        </w:tc>
      </w:tr>
      <w:tr w:rsidR="00CD16F2" w:rsidRPr="00981F6F" w:rsidTr="00FF50B5">
        <w:trPr>
          <w:trHeight w:val="2513"/>
        </w:trPr>
        <w:tc>
          <w:tcPr>
            <w:tcW w:w="330" w:type="pct"/>
            <w:vMerge w:val="restart"/>
            <w:textDirection w:val="btLr"/>
          </w:tcPr>
          <w:p w:rsidR="00A85EB3" w:rsidRDefault="00A85EB3">
            <w:pPr>
              <w:autoSpaceDE w:val="0"/>
              <w:spacing w:line="276" w:lineRule="auto"/>
              <w:ind w:left="146" w:right="113"/>
              <w:contextualSpacing/>
              <w:jc w:val="center"/>
              <w:rPr>
                <w:b/>
                <w:sz w:val="20"/>
                <w:lang w:val="en-US" w:eastAsia="ar-SA"/>
              </w:rPr>
            </w:pPr>
          </w:p>
          <w:p w:rsidR="00A85EB3" w:rsidRDefault="00B07D03">
            <w:pPr>
              <w:autoSpaceDE w:val="0"/>
              <w:spacing w:line="276" w:lineRule="auto"/>
              <w:ind w:left="146" w:right="113"/>
              <w:contextualSpacing/>
              <w:jc w:val="center"/>
              <w:rPr>
                <w:b/>
                <w:sz w:val="20"/>
                <w:lang w:val="en-US" w:eastAsia="ar-SA"/>
              </w:rPr>
            </w:pPr>
            <w:r>
              <w:rPr>
                <w:b/>
                <w:sz w:val="20"/>
                <w:lang w:eastAsia="ar-SA"/>
              </w:rPr>
              <w:t xml:space="preserve">ПО1 </w:t>
            </w:r>
          </w:p>
          <w:p w:rsidR="00A85EB3" w:rsidRDefault="00B07D03">
            <w:pPr>
              <w:autoSpaceDE w:val="0"/>
              <w:spacing w:line="276" w:lineRule="auto"/>
              <w:ind w:left="146" w:right="113"/>
              <w:contextualSpacing/>
              <w:jc w:val="center"/>
              <w:rPr>
                <w:b/>
                <w:sz w:val="20"/>
                <w:lang w:val="en-US" w:eastAsia="ar-SA"/>
              </w:rPr>
            </w:pPr>
            <w:r>
              <w:rPr>
                <w:b/>
                <w:sz w:val="20"/>
                <w:lang w:eastAsia="ar-SA"/>
              </w:rPr>
              <w:t>ОКОЛНА СРЕДА</w:t>
            </w:r>
          </w:p>
        </w:tc>
        <w:tc>
          <w:tcPr>
            <w:tcW w:w="559" w:type="pct"/>
            <w:vMerge w:val="restart"/>
            <w:tcMar>
              <w:top w:w="0" w:type="dxa"/>
              <w:left w:w="108" w:type="dxa"/>
              <w:bottom w:w="0" w:type="dxa"/>
              <w:right w:w="108" w:type="dxa"/>
            </w:tcMar>
          </w:tcPr>
          <w:p w:rsidR="00A85EB3" w:rsidRDefault="00B07D03">
            <w:pPr>
              <w:autoSpaceDE w:val="0"/>
              <w:spacing w:line="276" w:lineRule="auto"/>
              <w:ind w:left="62"/>
              <w:contextualSpacing/>
              <w:rPr>
                <w:sz w:val="20"/>
                <w:lang w:val="en-US" w:eastAsia="ar-SA"/>
              </w:rPr>
            </w:pPr>
            <w:r>
              <w:rPr>
                <w:sz w:val="20"/>
                <w:lang w:eastAsia="ar-SA"/>
              </w:rPr>
              <w:t>ТП (b):</w:t>
            </w:r>
          </w:p>
          <w:p w:rsidR="00A85EB3" w:rsidRDefault="00B07D03">
            <w:pPr>
              <w:autoSpaceDE w:val="0"/>
              <w:spacing w:line="276" w:lineRule="auto"/>
              <w:ind w:left="62"/>
              <w:contextualSpacing/>
              <w:rPr>
                <w:sz w:val="20"/>
                <w:lang w:val="en-US" w:eastAsia="ar-SA"/>
              </w:rPr>
            </w:pPr>
            <w:r>
              <w:rPr>
                <w:sz w:val="20"/>
              </w:rPr>
              <w:t xml:space="preserve"> Опазване на околната среда и подпомагане на приспособяването към изменението на климата, предотвратяване и управление на рискове</w:t>
            </w:r>
          </w:p>
        </w:tc>
        <w:tc>
          <w:tcPr>
            <w:tcW w:w="1262" w:type="pct"/>
            <w:tcMar>
              <w:top w:w="0" w:type="dxa"/>
              <w:left w:w="108" w:type="dxa"/>
              <w:bottom w:w="0" w:type="dxa"/>
              <w:right w:w="108" w:type="dxa"/>
            </w:tcMar>
          </w:tcPr>
          <w:p w:rsidR="00A85EB3" w:rsidRDefault="00B07D03">
            <w:pPr>
              <w:pStyle w:val="ListParagraph"/>
              <w:numPr>
                <w:ilvl w:val="1"/>
                <w:numId w:val="73"/>
              </w:numPr>
              <w:autoSpaceDE w:val="0"/>
              <w:spacing w:before="120" w:after="120" w:line="276" w:lineRule="auto"/>
              <w:ind w:left="34" w:firstLine="0"/>
              <w:rPr>
                <w:sz w:val="20"/>
                <w:lang w:val="en-US" w:eastAsia="ar-SA"/>
              </w:rPr>
            </w:pPr>
            <w:r>
              <w:rPr>
                <w:sz w:val="20"/>
                <w:lang w:eastAsia="ar-SA"/>
              </w:rPr>
              <w:t>Предотвратяване на рисковете и смекчаване на последиците от природните и предизвиканите от човека опасности и бедствия в географския район на ТГС</w:t>
            </w:r>
          </w:p>
        </w:tc>
        <w:tc>
          <w:tcPr>
            <w:tcW w:w="887" w:type="pct"/>
            <w:tcMar>
              <w:top w:w="0" w:type="dxa"/>
              <w:left w:w="108" w:type="dxa"/>
              <w:bottom w:w="0" w:type="dxa"/>
              <w:right w:w="108" w:type="dxa"/>
            </w:tcMar>
          </w:tcPr>
          <w:p w:rsidR="00A85EB3" w:rsidRDefault="00B07D03">
            <w:pPr>
              <w:pStyle w:val="ListParagraph"/>
              <w:widowControl w:val="0"/>
              <w:numPr>
                <w:ilvl w:val="0"/>
                <w:numId w:val="71"/>
              </w:numPr>
              <w:overflowPunct w:val="0"/>
              <w:autoSpaceDE w:val="0"/>
              <w:autoSpaceDN w:val="0"/>
              <w:adjustRightInd w:val="0"/>
              <w:spacing w:before="120" w:after="120" w:line="276" w:lineRule="auto"/>
              <w:ind w:left="175" w:hanging="141"/>
              <w:textAlignment w:val="baseline"/>
              <w:rPr>
                <w:sz w:val="20"/>
                <w:lang w:val="en-US" w:eastAsia="en-US"/>
              </w:rPr>
            </w:pPr>
            <w:r>
              <w:rPr>
                <w:sz w:val="20"/>
                <w:lang w:eastAsia="en-US"/>
              </w:rPr>
              <w:t>Повече съвместни дейности в областта на превенцията и управлението на риска</w:t>
            </w:r>
          </w:p>
          <w:p w:rsidR="00A85EB3" w:rsidRDefault="00A85EB3">
            <w:pPr>
              <w:widowControl w:val="0"/>
              <w:overflowPunct w:val="0"/>
              <w:autoSpaceDE w:val="0"/>
              <w:autoSpaceDN w:val="0"/>
              <w:adjustRightInd w:val="0"/>
              <w:spacing w:line="276" w:lineRule="auto"/>
              <w:textAlignment w:val="baseline"/>
              <w:rPr>
                <w:sz w:val="20"/>
                <w:lang w:val="en-US" w:eastAsia="en-US"/>
              </w:rPr>
            </w:pPr>
          </w:p>
          <w:p w:rsidR="00A85EB3" w:rsidRDefault="00A85EB3">
            <w:pPr>
              <w:widowControl w:val="0"/>
              <w:overflowPunct w:val="0"/>
              <w:autoSpaceDE w:val="0"/>
              <w:autoSpaceDN w:val="0"/>
              <w:adjustRightInd w:val="0"/>
              <w:spacing w:line="276" w:lineRule="auto"/>
              <w:textAlignment w:val="baseline"/>
              <w:rPr>
                <w:sz w:val="20"/>
                <w:lang w:val="en-US" w:eastAsia="en-US"/>
              </w:rPr>
            </w:pPr>
          </w:p>
          <w:p w:rsidR="00A85EB3" w:rsidRDefault="00B07D03">
            <w:pPr>
              <w:pStyle w:val="ListParagraph"/>
              <w:widowControl w:val="0"/>
              <w:numPr>
                <w:ilvl w:val="0"/>
                <w:numId w:val="71"/>
              </w:numPr>
              <w:overflowPunct w:val="0"/>
              <w:autoSpaceDE w:val="0"/>
              <w:autoSpaceDN w:val="0"/>
              <w:adjustRightInd w:val="0"/>
              <w:spacing w:before="120" w:after="120" w:line="276" w:lineRule="auto"/>
              <w:ind w:left="175" w:hanging="141"/>
              <w:textAlignment w:val="baseline"/>
              <w:rPr>
                <w:sz w:val="20"/>
                <w:lang w:val="en-US" w:eastAsia="en-US"/>
              </w:rPr>
            </w:pPr>
            <w:r>
              <w:rPr>
                <w:sz w:val="20"/>
                <w:lang w:eastAsia="en-US"/>
              </w:rPr>
              <w:t xml:space="preserve">Повече съвместни инициативи в областта на превенцията и управлението на риска </w:t>
            </w:r>
          </w:p>
          <w:p w:rsidR="00A85EB3" w:rsidRDefault="00A85EB3">
            <w:pPr>
              <w:pStyle w:val="ListParagraph"/>
              <w:widowControl w:val="0"/>
              <w:overflowPunct w:val="0"/>
              <w:autoSpaceDE w:val="0"/>
              <w:autoSpaceDN w:val="0"/>
              <w:adjustRightInd w:val="0"/>
              <w:spacing w:before="120" w:after="120" w:line="276" w:lineRule="auto"/>
              <w:ind w:left="175"/>
              <w:textAlignment w:val="baseline"/>
              <w:rPr>
                <w:sz w:val="20"/>
                <w:lang w:val="en-US" w:eastAsia="en-US"/>
              </w:rPr>
            </w:pPr>
          </w:p>
        </w:tc>
        <w:tc>
          <w:tcPr>
            <w:tcW w:w="1962" w:type="pct"/>
            <w:tcMar>
              <w:top w:w="0" w:type="dxa"/>
              <w:left w:w="108" w:type="dxa"/>
              <w:bottom w:w="0" w:type="dxa"/>
              <w:right w:w="108" w:type="dxa"/>
            </w:tcMar>
          </w:tcPr>
          <w:p w:rsidR="00A85EB3" w:rsidRDefault="00B07D03">
            <w:pPr>
              <w:pStyle w:val="ListParagraph"/>
              <w:numPr>
                <w:ilvl w:val="0"/>
                <w:numId w:val="70"/>
              </w:numPr>
              <w:autoSpaceDE w:val="0"/>
              <w:spacing w:before="120" w:after="120" w:line="276" w:lineRule="auto"/>
              <w:ind w:left="176" w:hanging="142"/>
              <w:rPr>
                <w:sz w:val="20"/>
                <w:lang w:val="en-US" w:eastAsia="en-US"/>
              </w:rPr>
            </w:pPr>
            <w:r>
              <w:rPr>
                <w:sz w:val="20"/>
                <w:lang w:eastAsia="en-US"/>
              </w:rPr>
              <w:t>Брой интервенции, свързани с превенцията на рискове и управлението на природни и предизвикани от човека опасности и бедствия</w:t>
            </w:r>
          </w:p>
          <w:p w:rsidR="00A85EB3" w:rsidRDefault="00A85EB3">
            <w:pPr>
              <w:autoSpaceDE w:val="0"/>
              <w:spacing w:line="276" w:lineRule="auto"/>
              <w:ind w:left="176" w:hanging="142"/>
              <w:rPr>
                <w:sz w:val="20"/>
                <w:lang w:val="en-US" w:eastAsia="en-US"/>
              </w:rPr>
            </w:pPr>
          </w:p>
          <w:p w:rsidR="00A85EB3" w:rsidRDefault="00B07D03">
            <w:pPr>
              <w:pStyle w:val="ListParagraph"/>
              <w:numPr>
                <w:ilvl w:val="0"/>
                <w:numId w:val="70"/>
              </w:numPr>
              <w:autoSpaceDE w:val="0"/>
              <w:spacing w:before="120" w:after="120" w:line="276" w:lineRule="auto"/>
              <w:ind w:left="176" w:hanging="142"/>
              <w:rPr>
                <w:sz w:val="20"/>
                <w:lang w:val="en-US" w:eastAsia="en-US"/>
              </w:rPr>
            </w:pPr>
            <w:r>
              <w:rPr>
                <w:sz w:val="20"/>
                <w:lang w:eastAsia="en-US"/>
              </w:rPr>
              <w:t>Брой на доставеното специализирано оборудване/дълготрайни активи; създадени или подобрени съвместни средства/услуги, свързани с превенцията на рискове и управлението на природни и предизвикани от човека опасности и бедствия</w:t>
            </w:r>
          </w:p>
          <w:p w:rsidR="00A85EB3" w:rsidRDefault="00A85EB3">
            <w:pPr>
              <w:autoSpaceDE w:val="0"/>
              <w:spacing w:line="276" w:lineRule="auto"/>
              <w:ind w:left="176" w:hanging="142"/>
              <w:rPr>
                <w:sz w:val="20"/>
                <w:lang w:val="en-US" w:eastAsia="en-US"/>
              </w:rPr>
            </w:pPr>
          </w:p>
          <w:p w:rsidR="00A85EB3" w:rsidRDefault="00B07D03">
            <w:pPr>
              <w:pStyle w:val="ListParagraph"/>
              <w:numPr>
                <w:ilvl w:val="0"/>
                <w:numId w:val="70"/>
              </w:numPr>
              <w:autoSpaceDE w:val="0"/>
              <w:spacing w:before="120" w:after="120" w:line="276" w:lineRule="auto"/>
              <w:ind w:left="176" w:hanging="142"/>
              <w:rPr>
                <w:sz w:val="20"/>
                <w:lang w:val="en-US" w:eastAsia="en-US"/>
              </w:rPr>
            </w:pPr>
            <w:r>
              <w:rPr>
                <w:sz w:val="20"/>
                <w:lang w:eastAsia="en-US"/>
              </w:rPr>
              <w:t>Брой съвместни стратегии/общи указания, обучения, кампании за повишаване на осведомеността, обмен на опит за превенцията на рискове и управлението на природни и предизвикани от човека опасности и бедствия</w:t>
            </w:r>
          </w:p>
        </w:tc>
      </w:tr>
      <w:tr w:rsidR="00CD16F2" w:rsidRPr="00981F6F" w:rsidTr="00FF50B5">
        <w:trPr>
          <w:trHeight w:val="1130"/>
        </w:trPr>
        <w:tc>
          <w:tcPr>
            <w:tcW w:w="330" w:type="pct"/>
            <w:vMerge/>
          </w:tcPr>
          <w:p w:rsidR="00A85EB3" w:rsidRDefault="00A85EB3">
            <w:pPr>
              <w:spacing w:line="276" w:lineRule="auto"/>
              <w:jc w:val="left"/>
              <w:rPr>
                <w:sz w:val="20"/>
                <w:lang w:val="en-US" w:eastAsia="ar-SA"/>
              </w:rPr>
            </w:pPr>
          </w:p>
        </w:tc>
        <w:tc>
          <w:tcPr>
            <w:tcW w:w="559" w:type="pct"/>
            <w:vMerge/>
            <w:vAlign w:val="center"/>
            <w:hideMark/>
          </w:tcPr>
          <w:p w:rsidR="00A85EB3" w:rsidRDefault="00A85EB3">
            <w:pPr>
              <w:spacing w:line="276" w:lineRule="auto"/>
              <w:ind w:left="62"/>
              <w:jc w:val="left"/>
              <w:rPr>
                <w:sz w:val="20"/>
                <w:lang w:val="en-US" w:eastAsia="ar-SA"/>
              </w:rPr>
            </w:pPr>
          </w:p>
        </w:tc>
        <w:tc>
          <w:tcPr>
            <w:tcW w:w="1262" w:type="pct"/>
            <w:tcMar>
              <w:top w:w="0" w:type="dxa"/>
              <w:left w:w="108" w:type="dxa"/>
              <w:bottom w:w="0" w:type="dxa"/>
              <w:right w:w="108" w:type="dxa"/>
            </w:tcMar>
          </w:tcPr>
          <w:p w:rsidR="00A85EB3" w:rsidRDefault="00B07D03">
            <w:pPr>
              <w:pStyle w:val="ListParagraph"/>
              <w:numPr>
                <w:ilvl w:val="1"/>
                <w:numId w:val="73"/>
              </w:numPr>
              <w:autoSpaceDE w:val="0"/>
              <w:spacing w:before="120" w:after="120" w:line="276" w:lineRule="auto"/>
              <w:ind w:left="34" w:hanging="34"/>
              <w:rPr>
                <w:sz w:val="20"/>
                <w:lang w:val="en-US" w:eastAsia="ar-SA"/>
              </w:rPr>
            </w:pPr>
            <w:r>
              <w:rPr>
                <w:sz w:val="20"/>
                <w:lang w:eastAsia="ar-SA"/>
              </w:rPr>
              <w:t>Подобряване на капацитета за опазване на природата и устойчиво използване на общите природни ресурси в географския район на ТГС</w:t>
            </w:r>
          </w:p>
          <w:p w:rsidR="00A85EB3" w:rsidRDefault="00A85EB3">
            <w:pPr>
              <w:autoSpaceDE w:val="0"/>
              <w:spacing w:line="276" w:lineRule="auto"/>
              <w:jc w:val="left"/>
              <w:rPr>
                <w:sz w:val="20"/>
                <w:lang w:val="en-US" w:eastAsia="ar-SA"/>
              </w:rPr>
            </w:pPr>
          </w:p>
        </w:tc>
        <w:tc>
          <w:tcPr>
            <w:tcW w:w="887" w:type="pct"/>
            <w:tcMar>
              <w:top w:w="0" w:type="dxa"/>
              <w:left w:w="108" w:type="dxa"/>
              <w:bottom w:w="0" w:type="dxa"/>
              <w:right w:w="108" w:type="dxa"/>
            </w:tcMar>
          </w:tcPr>
          <w:p w:rsidR="00A85EB3" w:rsidRDefault="00B07D03">
            <w:pPr>
              <w:pStyle w:val="ListParagraph"/>
              <w:widowControl w:val="0"/>
              <w:numPr>
                <w:ilvl w:val="0"/>
                <w:numId w:val="72"/>
              </w:numPr>
              <w:overflowPunct w:val="0"/>
              <w:autoSpaceDE w:val="0"/>
              <w:autoSpaceDN w:val="0"/>
              <w:adjustRightInd w:val="0"/>
              <w:spacing w:before="120" w:after="120" w:line="276" w:lineRule="auto"/>
              <w:ind w:left="173" w:hanging="173"/>
              <w:textAlignment w:val="baseline"/>
              <w:rPr>
                <w:sz w:val="20"/>
                <w:lang w:val="en-US" w:eastAsia="en-US"/>
              </w:rPr>
            </w:pPr>
            <w:r>
              <w:rPr>
                <w:sz w:val="20"/>
                <w:lang w:eastAsia="en-US"/>
              </w:rPr>
              <w:t>По-добро изграждане на капацитет за устойчиво използване на общи природни ресурси</w:t>
            </w:r>
          </w:p>
          <w:p w:rsidR="00A85EB3" w:rsidRDefault="00A85EB3">
            <w:pPr>
              <w:autoSpaceDE w:val="0"/>
              <w:spacing w:line="276" w:lineRule="auto"/>
              <w:ind w:firstLine="32"/>
              <w:jc w:val="left"/>
              <w:rPr>
                <w:sz w:val="20"/>
                <w:lang w:val="en-US" w:eastAsia="ar-SA"/>
              </w:rPr>
            </w:pPr>
          </w:p>
        </w:tc>
        <w:tc>
          <w:tcPr>
            <w:tcW w:w="1962" w:type="pct"/>
            <w:tcMar>
              <w:top w:w="0" w:type="dxa"/>
              <w:left w:w="108" w:type="dxa"/>
              <w:bottom w:w="0" w:type="dxa"/>
              <w:right w:w="108" w:type="dxa"/>
            </w:tcMar>
          </w:tcPr>
          <w:p w:rsidR="00A85EB3" w:rsidRPr="003A6822" w:rsidRDefault="00B07D03" w:rsidP="003A6822">
            <w:pPr>
              <w:pStyle w:val="ListParagraph"/>
              <w:numPr>
                <w:ilvl w:val="0"/>
                <w:numId w:val="70"/>
              </w:numPr>
              <w:spacing w:before="120" w:after="120" w:line="276" w:lineRule="auto"/>
              <w:ind w:left="176" w:hanging="142"/>
              <w:rPr>
                <w:sz w:val="20"/>
                <w:lang w:val="en-US" w:eastAsia="en-US"/>
              </w:rPr>
            </w:pPr>
            <w:r>
              <w:rPr>
                <w:sz w:val="20"/>
                <w:lang w:eastAsia="en-US"/>
              </w:rPr>
              <w:t xml:space="preserve">Брой защитени природни територии, повлияни от подкрепените действия  </w:t>
            </w:r>
          </w:p>
          <w:p w:rsidR="00A85EB3" w:rsidRPr="003A6822" w:rsidRDefault="00B07D03" w:rsidP="003A6822">
            <w:pPr>
              <w:pStyle w:val="ListParagraph"/>
              <w:numPr>
                <w:ilvl w:val="0"/>
                <w:numId w:val="70"/>
              </w:numPr>
              <w:spacing w:before="120" w:after="120" w:line="276" w:lineRule="auto"/>
              <w:ind w:left="176" w:hanging="142"/>
              <w:rPr>
                <w:sz w:val="20"/>
                <w:lang w:val="en-US" w:eastAsia="en-US"/>
              </w:rPr>
            </w:pPr>
            <w:r>
              <w:rPr>
                <w:sz w:val="20"/>
                <w:lang w:eastAsia="en-US"/>
              </w:rPr>
              <w:t xml:space="preserve">Брой инициативи за опазване на природата, обучения, обмен на опит и </w:t>
            </w:r>
            <w:proofErr w:type="spellStart"/>
            <w:r>
              <w:rPr>
                <w:sz w:val="20"/>
                <w:lang w:eastAsia="en-US"/>
              </w:rPr>
              <w:t>ноу-хау</w:t>
            </w:r>
            <w:proofErr w:type="spellEnd"/>
            <w:r>
              <w:rPr>
                <w:sz w:val="20"/>
                <w:lang w:eastAsia="en-US"/>
              </w:rPr>
              <w:t>, съвместни кампании за повишаване на осведомеността, планове за управление на защитени територии</w:t>
            </w:r>
          </w:p>
          <w:p w:rsidR="00A85EB3" w:rsidRPr="003A6822" w:rsidRDefault="00B07D03" w:rsidP="003A6822">
            <w:pPr>
              <w:pStyle w:val="ListParagraph"/>
              <w:numPr>
                <w:ilvl w:val="0"/>
                <w:numId w:val="70"/>
              </w:numPr>
              <w:spacing w:before="120" w:after="120" w:line="276" w:lineRule="auto"/>
              <w:ind w:left="176" w:hanging="142"/>
              <w:rPr>
                <w:sz w:val="20"/>
                <w:lang w:val="en-US" w:eastAsia="en-US"/>
              </w:rPr>
            </w:pPr>
            <w:r>
              <w:rPr>
                <w:sz w:val="20"/>
                <w:lang w:eastAsia="en-US"/>
              </w:rPr>
              <w:t>Брой лица, ангажирани в дейности за обучение и изграждане на капацитет в областта на опазването на природата</w:t>
            </w:r>
          </w:p>
        </w:tc>
      </w:tr>
      <w:tr w:rsidR="009F4669" w:rsidRPr="00981F6F" w:rsidTr="00FF50B5">
        <w:trPr>
          <w:trHeight w:val="552"/>
        </w:trPr>
        <w:tc>
          <w:tcPr>
            <w:tcW w:w="330" w:type="pct"/>
            <w:vMerge w:val="restart"/>
            <w:textDirection w:val="btLr"/>
          </w:tcPr>
          <w:p w:rsidR="00A85EB3" w:rsidRDefault="00A85EB3">
            <w:pPr>
              <w:autoSpaceDE w:val="0"/>
              <w:spacing w:line="276" w:lineRule="auto"/>
              <w:ind w:left="113" w:right="113"/>
              <w:jc w:val="left"/>
              <w:rPr>
                <w:b/>
                <w:sz w:val="20"/>
                <w:lang w:val="en-US" w:eastAsia="ar-SA"/>
              </w:rPr>
            </w:pPr>
          </w:p>
          <w:p w:rsidR="00A85EB3" w:rsidRDefault="00B07D03">
            <w:pPr>
              <w:autoSpaceDE w:val="0"/>
              <w:spacing w:line="276" w:lineRule="auto"/>
              <w:ind w:left="113" w:right="113"/>
              <w:jc w:val="center"/>
              <w:rPr>
                <w:b/>
                <w:sz w:val="20"/>
                <w:lang w:val="en-US" w:eastAsia="ar-SA"/>
              </w:rPr>
            </w:pPr>
            <w:r>
              <w:rPr>
                <w:b/>
                <w:sz w:val="20"/>
                <w:lang w:eastAsia="ar-SA"/>
              </w:rPr>
              <w:t xml:space="preserve">ПО 2 </w:t>
            </w:r>
          </w:p>
          <w:p w:rsidR="00A85EB3" w:rsidRDefault="00B07D03">
            <w:pPr>
              <w:autoSpaceDE w:val="0"/>
              <w:spacing w:line="276" w:lineRule="auto"/>
              <w:ind w:left="113" w:right="113"/>
              <w:jc w:val="center"/>
              <w:rPr>
                <w:b/>
                <w:sz w:val="20"/>
                <w:lang w:val="en-US" w:eastAsia="ar-SA"/>
              </w:rPr>
            </w:pPr>
            <w:r>
              <w:rPr>
                <w:b/>
                <w:sz w:val="20"/>
                <w:lang w:eastAsia="ar-SA"/>
              </w:rPr>
              <w:t>УСТОЙЧИВ ТУРИЗЪМ</w:t>
            </w:r>
          </w:p>
        </w:tc>
        <w:tc>
          <w:tcPr>
            <w:tcW w:w="559" w:type="pct"/>
            <w:vMerge w:val="restart"/>
            <w:tcMar>
              <w:top w:w="0" w:type="dxa"/>
              <w:left w:w="108" w:type="dxa"/>
              <w:bottom w:w="0" w:type="dxa"/>
              <w:right w:w="108" w:type="dxa"/>
            </w:tcMar>
            <w:hideMark/>
          </w:tcPr>
          <w:p w:rsidR="00A85EB3" w:rsidRDefault="00A85EB3">
            <w:pPr>
              <w:autoSpaceDE w:val="0"/>
              <w:spacing w:line="276" w:lineRule="auto"/>
              <w:ind w:left="62"/>
              <w:rPr>
                <w:sz w:val="20"/>
                <w:lang w:val="en-US" w:eastAsia="ar-SA"/>
              </w:rPr>
            </w:pPr>
          </w:p>
          <w:p w:rsidR="00A85EB3" w:rsidRDefault="00B07D03">
            <w:pPr>
              <w:autoSpaceDE w:val="0"/>
              <w:spacing w:line="276" w:lineRule="auto"/>
              <w:ind w:left="62"/>
              <w:rPr>
                <w:sz w:val="20"/>
                <w:lang w:val="en-US" w:eastAsia="ar-SA"/>
              </w:rPr>
            </w:pPr>
            <w:r>
              <w:rPr>
                <w:sz w:val="20"/>
                <w:lang w:eastAsia="ar-SA"/>
              </w:rPr>
              <w:t>ТП (d):</w:t>
            </w:r>
          </w:p>
          <w:p w:rsidR="00A85EB3" w:rsidRDefault="00B07D03">
            <w:pPr>
              <w:autoSpaceDE w:val="0"/>
              <w:spacing w:line="276" w:lineRule="auto"/>
              <w:ind w:left="62"/>
              <w:rPr>
                <w:sz w:val="20"/>
                <w:lang w:val="en-US" w:eastAsia="ar-SA"/>
              </w:rPr>
            </w:pPr>
            <w:r>
              <w:rPr>
                <w:sz w:val="20"/>
                <w:lang w:eastAsia="ar-SA"/>
              </w:rPr>
              <w:t xml:space="preserve"> Насърчаване на туризма и културното и природното наследство </w:t>
            </w:r>
          </w:p>
          <w:p w:rsidR="00A85EB3" w:rsidRDefault="00A85EB3">
            <w:pPr>
              <w:autoSpaceDE w:val="0"/>
              <w:spacing w:line="276" w:lineRule="auto"/>
              <w:ind w:left="62"/>
              <w:jc w:val="left"/>
              <w:rPr>
                <w:sz w:val="20"/>
                <w:lang w:val="en-US" w:eastAsia="ar-SA"/>
              </w:rPr>
            </w:pPr>
          </w:p>
        </w:tc>
        <w:tc>
          <w:tcPr>
            <w:tcW w:w="1262" w:type="pct"/>
            <w:tcMar>
              <w:top w:w="0" w:type="dxa"/>
              <w:left w:w="108" w:type="dxa"/>
              <w:bottom w:w="0" w:type="dxa"/>
              <w:right w:w="108" w:type="dxa"/>
            </w:tcMar>
          </w:tcPr>
          <w:p w:rsidR="00A85EB3" w:rsidRDefault="00B07D03">
            <w:pPr>
              <w:widowControl w:val="0"/>
              <w:spacing w:line="276" w:lineRule="auto"/>
              <w:rPr>
                <w:rFonts w:eastAsia="Times New Roman"/>
                <w:sz w:val="20"/>
                <w:lang w:val="en-US"/>
              </w:rPr>
            </w:pPr>
            <w:r>
              <w:rPr>
                <w:sz w:val="20"/>
                <w:lang w:eastAsia="ar-SA"/>
              </w:rPr>
              <w:t>2.1. Повишаване привлекателността за туризъм на трансграничния район чрез по-добро използване на природното, културното и историческото наследство и свързаната с него инфраструктура</w:t>
            </w:r>
          </w:p>
          <w:p w:rsidR="00A85EB3" w:rsidRDefault="00A85EB3">
            <w:pPr>
              <w:autoSpaceDE w:val="0"/>
              <w:spacing w:line="276" w:lineRule="auto"/>
              <w:jc w:val="left"/>
              <w:rPr>
                <w:sz w:val="20"/>
                <w:lang w:val="en-US" w:eastAsia="ar-SA"/>
              </w:rPr>
            </w:pPr>
          </w:p>
        </w:tc>
        <w:tc>
          <w:tcPr>
            <w:tcW w:w="887" w:type="pct"/>
            <w:tcMar>
              <w:top w:w="0" w:type="dxa"/>
              <w:left w:w="108" w:type="dxa"/>
              <w:bottom w:w="0" w:type="dxa"/>
              <w:right w:w="108" w:type="dxa"/>
            </w:tcMar>
          </w:tcPr>
          <w:p w:rsidR="00A85EB3" w:rsidRDefault="00B07D03" w:rsidP="003A6822">
            <w:pPr>
              <w:pStyle w:val="Tekstkader"/>
              <w:widowControl w:val="0"/>
              <w:numPr>
                <w:ilvl w:val="0"/>
                <w:numId w:val="70"/>
              </w:numPr>
              <w:pBdr>
                <w:left w:val="none" w:sz="0" w:space="0" w:color="auto"/>
              </w:pBdr>
              <w:suppressAutoHyphens w:val="0"/>
              <w:overflowPunct/>
              <w:autoSpaceDE/>
              <w:autoSpaceDN/>
              <w:adjustRightInd/>
              <w:spacing w:before="120" w:after="120" w:line="276" w:lineRule="auto"/>
              <w:ind w:left="173" w:hanging="173"/>
              <w:jc w:val="left"/>
              <w:textAlignment w:val="auto"/>
              <w:rPr>
                <w:rFonts w:ascii="Times New Roman" w:hAnsi="Times New Roman"/>
                <w:color w:val="auto"/>
                <w:sz w:val="20"/>
                <w:lang w:val="en-US" w:eastAsia="en-US"/>
              </w:rPr>
            </w:pPr>
            <w:r>
              <w:rPr>
                <w:rFonts w:ascii="Times New Roman" w:hAnsi="Times New Roman"/>
                <w:color w:val="auto"/>
                <w:sz w:val="20"/>
                <w:lang w:eastAsia="en-US"/>
              </w:rPr>
              <w:t>Повишаване на броя на нощувките в трансграничния район</w:t>
            </w:r>
          </w:p>
          <w:p w:rsidR="00A85EB3" w:rsidRDefault="00A85EB3">
            <w:pPr>
              <w:autoSpaceDE w:val="0"/>
              <w:spacing w:line="276" w:lineRule="auto"/>
              <w:ind w:left="173" w:hanging="173"/>
              <w:jc w:val="left"/>
              <w:rPr>
                <w:sz w:val="20"/>
                <w:lang w:val="en-US" w:eastAsia="ar-SA"/>
              </w:rPr>
            </w:pPr>
          </w:p>
        </w:tc>
        <w:tc>
          <w:tcPr>
            <w:tcW w:w="1962" w:type="pct"/>
            <w:tcMar>
              <w:top w:w="0" w:type="dxa"/>
              <w:left w:w="108" w:type="dxa"/>
              <w:bottom w:w="0" w:type="dxa"/>
              <w:right w:w="108" w:type="dxa"/>
            </w:tcMar>
          </w:tcPr>
          <w:p w:rsidR="00A85EB3" w:rsidRDefault="00B07D03">
            <w:pPr>
              <w:pStyle w:val="ListParagraph"/>
              <w:numPr>
                <w:ilvl w:val="0"/>
                <w:numId w:val="70"/>
              </w:numPr>
              <w:autoSpaceDE w:val="0"/>
              <w:spacing w:before="120" w:after="120" w:line="276" w:lineRule="auto"/>
              <w:ind w:left="174" w:hanging="174"/>
              <w:jc w:val="left"/>
              <w:rPr>
                <w:sz w:val="20"/>
                <w:lang w:val="en-US" w:eastAsia="en-US"/>
              </w:rPr>
            </w:pPr>
            <w:r>
              <w:rPr>
                <w:sz w:val="20"/>
                <w:lang w:eastAsia="en-US"/>
              </w:rPr>
              <w:t xml:space="preserve">Обща дължина на реконструираните или разширени пътища за достъп до природни, културни и исторически обекти </w:t>
            </w:r>
          </w:p>
          <w:p w:rsidR="00A85EB3" w:rsidRDefault="00B07D03">
            <w:pPr>
              <w:pStyle w:val="ListParagraph"/>
              <w:numPr>
                <w:ilvl w:val="0"/>
                <w:numId w:val="70"/>
              </w:numPr>
              <w:autoSpaceDE w:val="0"/>
              <w:spacing w:before="120" w:after="120" w:line="276" w:lineRule="auto"/>
              <w:ind w:left="174" w:hanging="174"/>
              <w:jc w:val="left"/>
              <w:rPr>
                <w:sz w:val="20"/>
                <w:lang w:val="en-US" w:eastAsia="en-US"/>
              </w:rPr>
            </w:pPr>
            <w:r>
              <w:rPr>
                <w:sz w:val="20"/>
                <w:lang w:eastAsia="en-US"/>
              </w:rPr>
              <w:t xml:space="preserve">Обща дължина на </w:t>
            </w:r>
            <w:proofErr w:type="spellStart"/>
            <w:r>
              <w:rPr>
                <w:sz w:val="20"/>
                <w:lang w:eastAsia="en-US"/>
              </w:rPr>
              <w:t>новоизградените</w:t>
            </w:r>
            <w:proofErr w:type="spellEnd"/>
            <w:r>
              <w:rPr>
                <w:sz w:val="20"/>
                <w:lang w:eastAsia="en-US"/>
              </w:rPr>
              <w:t xml:space="preserve">, реконструирани или разширени велосипедни/пешеходни алеи </w:t>
            </w:r>
          </w:p>
          <w:p w:rsidR="00A85EB3" w:rsidRDefault="00B07D03">
            <w:pPr>
              <w:pStyle w:val="ListParagraph"/>
              <w:numPr>
                <w:ilvl w:val="0"/>
                <w:numId w:val="70"/>
              </w:numPr>
              <w:autoSpaceDE w:val="0"/>
              <w:spacing w:before="120" w:after="120" w:line="276" w:lineRule="auto"/>
              <w:ind w:left="174" w:hanging="174"/>
              <w:jc w:val="left"/>
              <w:rPr>
                <w:sz w:val="20"/>
                <w:lang w:val="en-US" w:eastAsia="en-US"/>
              </w:rPr>
            </w:pPr>
            <w:r>
              <w:rPr>
                <w:sz w:val="20"/>
                <w:lang w:eastAsia="en-US"/>
              </w:rPr>
              <w:t xml:space="preserve">Брой </w:t>
            </w:r>
            <w:proofErr w:type="spellStart"/>
            <w:r>
              <w:rPr>
                <w:sz w:val="20"/>
                <w:lang w:eastAsia="en-US"/>
              </w:rPr>
              <w:t>новоизградени</w:t>
            </w:r>
            <w:proofErr w:type="spellEnd"/>
            <w:r>
              <w:rPr>
                <w:sz w:val="20"/>
                <w:lang w:eastAsia="en-US"/>
              </w:rPr>
              <w:t xml:space="preserve">/реконструирани съоръжения в/водещи до туристически обекти </w:t>
            </w:r>
          </w:p>
          <w:p w:rsidR="00A85EB3" w:rsidRDefault="00B07D03">
            <w:pPr>
              <w:pStyle w:val="ListParagraph"/>
              <w:numPr>
                <w:ilvl w:val="0"/>
                <w:numId w:val="70"/>
              </w:numPr>
              <w:autoSpaceDE w:val="0"/>
              <w:spacing w:before="120" w:after="120" w:line="276" w:lineRule="auto"/>
              <w:ind w:left="174" w:hanging="174"/>
              <w:jc w:val="left"/>
              <w:rPr>
                <w:sz w:val="20"/>
                <w:lang w:val="en-US" w:eastAsia="ar-SA"/>
              </w:rPr>
            </w:pPr>
            <w:r>
              <w:rPr>
                <w:sz w:val="20"/>
                <w:lang w:eastAsia="en-US"/>
              </w:rPr>
              <w:t xml:space="preserve">Брой реконструирани/възстановени културни и исторически туристически обекти </w:t>
            </w:r>
          </w:p>
        </w:tc>
      </w:tr>
      <w:tr w:rsidR="009F4669" w:rsidRPr="00981F6F" w:rsidTr="00FF50B5">
        <w:trPr>
          <w:trHeight w:val="552"/>
        </w:trPr>
        <w:tc>
          <w:tcPr>
            <w:tcW w:w="330" w:type="pct"/>
            <w:vMerge/>
          </w:tcPr>
          <w:p w:rsidR="00A85EB3" w:rsidRDefault="00A85EB3">
            <w:pPr>
              <w:autoSpaceDE w:val="0"/>
              <w:spacing w:line="276" w:lineRule="auto"/>
              <w:jc w:val="left"/>
              <w:rPr>
                <w:sz w:val="20"/>
                <w:lang w:val="en-US" w:eastAsia="ar-SA"/>
              </w:rPr>
            </w:pPr>
          </w:p>
        </w:tc>
        <w:tc>
          <w:tcPr>
            <w:tcW w:w="559" w:type="pct"/>
            <w:vMerge/>
            <w:tcMar>
              <w:top w:w="0" w:type="dxa"/>
              <w:left w:w="108" w:type="dxa"/>
              <w:bottom w:w="0" w:type="dxa"/>
              <w:right w:w="108" w:type="dxa"/>
            </w:tcMar>
          </w:tcPr>
          <w:p w:rsidR="00A85EB3" w:rsidRDefault="00A85EB3">
            <w:pPr>
              <w:autoSpaceDE w:val="0"/>
              <w:spacing w:line="276" w:lineRule="auto"/>
              <w:ind w:left="62"/>
              <w:rPr>
                <w:sz w:val="20"/>
                <w:lang w:val="en-US" w:eastAsia="ar-SA"/>
              </w:rPr>
            </w:pPr>
          </w:p>
        </w:tc>
        <w:tc>
          <w:tcPr>
            <w:tcW w:w="1262" w:type="pct"/>
            <w:tcMar>
              <w:top w:w="0" w:type="dxa"/>
              <w:left w:w="108" w:type="dxa"/>
              <w:bottom w:w="0" w:type="dxa"/>
              <w:right w:w="108" w:type="dxa"/>
            </w:tcMar>
          </w:tcPr>
          <w:p w:rsidR="00A85EB3" w:rsidRDefault="00B07D03">
            <w:pPr>
              <w:spacing w:line="276" w:lineRule="auto"/>
              <w:rPr>
                <w:rFonts w:eastAsia="Times New Roman"/>
                <w:sz w:val="20"/>
                <w:lang w:val="en-US"/>
              </w:rPr>
            </w:pPr>
            <w:r>
              <w:rPr>
                <w:rFonts w:eastAsia="Times New Roman"/>
                <w:sz w:val="20"/>
              </w:rPr>
              <w:t>2.</w:t>
            </w:r>
            <w:proofErr w:type="spellStart"/>
            <w:r>
              <w:rPr>
                <w:rFonts w:eastAsia="Times New Roman"/>
                <w:sz w:val="20"/>
              </w:rPr>
              <w:t>2</w:t>
            </w:r>
            <w:proofErr w:type="spellEnd"/>
            <w:r>
              <w:rPr>
                <w:rFonts w:eastAsia="Times New Roman"/>
                <w:sz w:val="20"/>
              </w:rPr>
              <w:t xml:space="preserve">. </w:t>
            </w:r>
            <w:r>
              <w:rPr>
                <w:sz w:val="20"/>
                <w:lang w:eastAsia="ar-SA"/>
              </w:rPr>
              <w:t>Повишаване на потенциала за трансграничен туризъм чрез развиване на общи дестинации</w:t>
            </w:r>
          </w:p>
          <w:p w:rsidR="00A85EB3" w:rsidRDefault="00A85EB3">
            <w:pPr>
              <w:widowControl w:val="0"/>
              <w:spacing w:line="276" w:lineRule="auto"/>
              <w:rPr>
                <w:sz w:val="20"/>
                <w:lang w:val="en-US" w:eastAsia="ar-SA"/>
              </w:rPr>
            </w:pPr>
          </w:p>
        </w:tc>
        <w:tc>
          <w:tcPr>
            <w:tcW w:w="887" w:type="pct"/>
            <w:tcMar>
              <w:top w:w="0" w:type="dxa"/>
              <w:left w:w="108" w:type="dxa"/>
              <w:bottom w:w="0" w:type="dxa"/>
              <w:right w:w="108" w:type="dxa"/>
            </w:tcMar>
          </w:tcPr>
          <w:p w:rsidR="00A85EB3" w:rsidRDefault="00B07D03" w:rsidP="003A6822">
            <w:pPr>
              <w:pStyle w:val="ListParagraph"/>
              <w:numPr>
                <w:ilvl w:val="0"/>
                <w:numId w:val="70"/>
              </w:numPr>
              <w:tabs>
                <w:tab w:val="left" w:pos="720"/>
              </w:tabs>
              <w:spacing w:before="120" w:after="120" w:line="276" w:lineRule="auto"/>
              <w:ind w:left="173" w:hanging="173"/>
              <w:jc w:val="left"/>
              <w:rPr>
                <w:sz w:val="20"/>
                <w:lang w:val="en-US"/>
              </w:rPr>
            </w:pPr>
            <w:r>
              <w:rPr>
                <w:sz w:val="20"/>
              </w:rPr>
              <w:t>Повече съвместни инициативи за повишаване стойността на природното, културното и историческото наследство</w:t>
            </w:r>
          </w:p>
          <w:p w:rsidR="00A85EB3" w:rsidRDefault="00A85EB3">
            <w:pPr>
              <w:autoSpaceDE w:val="0"/>
              <w:spacing w:line="276" w:lineRule="auto"/>
              <w:ind w:left="173" w:hanging="173"/>
              <w:jc w:val="left"/>
              <w:rPr>
                <w:sz w:val="20"/>
                <w:lang w:val="en-US" w:eastAsia="ar-SA"/>
              </w:rPr>
            </w:pPr>
          </w:p>
        </w:tc>
        <w:tc>
          <w:tcPr>
            <w:tcW w:w="1962" w:type="pct"/>
            <w:tcMar>
              <w:top w:w="0" w:type="dxa"/>
              <w:left w:w="108" w:type="dxa"/>
              <w:bottom w:w="0" w:type="dxa"/>
              <w:right w:w="108" w:type="dxa"/>
            </w:tcMar>
          </w:tcPr>
          <w:p w:rsidR="00A85EB3" w:rsidRDefault="00B07D03">
            <w:pPr>
              <w:pStyle w:val="ListParagraph"/>
              <w:numPr>
                <w:ilvl w:val="0"/>
                <w:numId w:val="74"/>
              </w:numPr>
              <w:autoSpaceDE w:val="0"/>
              <w:spacing w:before="120" w:after="120" w:line="276" w:lineRule="auto"/>
              <w:ind w:left="176" w:hanging="176"/>
              <w:jc w:val="left"/>
              <w:rPr>
                <w:sz w:val="20"/>
                <w:lang w:val="en-US" w:eastAsia="en-US"/>
              </w:rPr>
            </w:pPr>
            <w:r>
              <w:rPr>
                <w:sz w:val="20"/>
                <w:lang w:eastAsia="en-US"/>
              </w:rPr>
              <w:t xml:space="preserve">Брой стратегии/планове за действие на общи туристически дестинации </w:t>
            </w:r>
          </w:p>
          <w:p w:rsidR="00A85EB3" w:rsidRDefault="00B07D03">
            <w:pPr>
              <w:pStyle w:val="ListParagraph"/>
              <w:numPr>
                <w:ilvl w:val="0"/>
                <w:numId w:val="74"/>
              </w:numPr>
              <w:autoSpaceDE w:val="0"/>
              <w:spacing w:before="120" w:after="120" w:line="276" w:lineRule="auto"/>
              <w:ind w:left="176" w:hanging="176"/>
              <w:jc w:val="left"/>
              <w:rPr>
                <w:sz w:val="20"/>
                <w:lang w:val="en-US" w:eastAsia="en-US"/>
              </w:rPr>
            </w:pPr>
            <w:r>
              <w:rPr>
                <w:sz w:val="20"/>
                <w:lang w:eastAsia="en-US"/>
              </w:rPr>
              <w:t xml:space="preserve">Брой маркетингови и рекламни инициативи/събития, свързани с трансгранични туристически продукти и услуги </w:t>
            </w:r>
          </w:p>
          <w:p w:rsidR="00A85EB3" w:rsidRDefault="00B07D03">
            <w:pPr>
              <w:pStyle w:val="ListParagraph"/>
              <w:numPr>
                <w:ilvl w:val="0"/>
                <w:numId w:val="74"/>
              </w:numPr>
              <w:autoSpaceDE w:val="0"/>
              <w:spacing w:before="120" w:after="120" w:line="276" w:lineRule="auto"/>
              <w:ind w:left="176" w:hanging="176"/>
              <w:jc w:val="left"/>
              <w:rPr>
                <w:sz w:val="20"/>
                <w:lang w:val="en-US" w:eastAsia="en-US"/>
              </w:rPr>
            </w:pPr>
            <w:r>
              <w:rPr>
                <w:sz w:val="20"/>
                <w:lang w:eastAsia="en-US"/>
              </w:rPr>
              <w:t xml:space="preserve">Брой инструменти, разработени и/или приложени за рекламиране на потенциала за устойчив туризъм в трансграничната територия </w:t>
            </w:r>
          </w:p>
          <w:p w:rsidR="00A85EB3" w:rsidRDefault="00B07D03">
            <w:pPr>
              <w:pStyle w:val="ListParagraph"/>
              <w:numPr>
                <w:ilvl w:val="0"/>
                <w:numId w:val="74"/>
              </w:numPr>
              <w:autoSpaceDE w:val="0"/>
              <w:spacing w:before="120" w:after="120" w:line="276" w:lineRule="auto"/>
              <w:ind w:left="176" w:hanging="176"/>
              <w:jc w:val="left"/>
              <w:rPr>
                <w:sz w:val="20"/>
                <w:lang w:val="en-US" w:eastAsia="en-US"/>
              </w:rPr>
            </w:pPr>
            <w:r>
              <w:rPr>
                <w:sz w:val="20"/>
                <w:lang w:eastAsia="en-US"/>
              </w:rPr>
              <w:t>Брой обучения и консултантски услуги в областта на устойчивото използване на природното, културното и историческото наследство и ресурси</w:t>
            </w:r>
          </w:p>
          <w:p w:rsidR="00A85EB3" w:rsidRDefault="00B07D03">
            <w:pPr>
              <w:pStyle w:val="ListParagraph"/>
              <w:numPr>
                <w:ilvl w:val="0"/>
                <w:numId w:val="74"/>
              </w:numPr>
              <w:autoSpaceDE w:val="0"/>
              <w:spacing w:before="120" w:after="120" w:line="276" w:lineRule="auto"/>
              <w:ind w:left="176" w:hanging="176"/>
              <w:jc w:val="left"/>
              <w:rPr>
                <w:sz w:val="20"/>
                <w:lang w:val="en-US" w:eastAsia="ar-SA"/>
              </w:rPr>
            </w:pPr>
            <w:r>
              <w:rPr>
                <w:sz w:val="20"/>
                <w:lang w:eastAsia="en-US"/>
              </w:rPr>
              <w:t>Брой лица, ангажирани в дейности за обучение и изграждане на капацитет в областта на устойчивия туризъм</w:t>
            </w:r>
          </w:p>
        </w:tc>
      </w:tr>
      <w:tr w:rsidR="009F4669" w:rsidRPr="00981F6F" w:rsidTr="00FF50B5">
        <w:trPr>
          <w:trHeight w:val="552"/>
        </w:trPr>
        <w:tc>
          <w:tcPr>
            <w:tcW w:w="330" w:type="pct"/>
            <w:vMerge/>
          </w:tcPr>
          <w:p w:rsidR="00A85EB3" w:rsidRDefault="00A85EB3">
            <w:pPr>
              <w:autoSpaceDE w:val="0"/>
              <w:spacing w:line="276" w:lineRule="auto"/>
              <w:jc w:val="left"/>
              <w:rPr>
                <w:sz w:val="20"/>
                <w:lang w:val="en-US" w:eastAsia="ar-SA"/>
              </w:rPr>
            </w:pPr>
          </w:p>
        </w:tc>
        <w:tc>
          <w:tcPr>
            <w:tcW w:w="559" w:type="pct"/>
            <w:vMerge/>
            <w:tcMar>
              <w:top w:w="0" w:type="dxa"/>
              <w:left w:w="108" w:type="dxa"/>
              <w:bottom w:w="0" w:type="dxa"/>
              <w:right w:w="108" w:type="dxa"/>
            </w:tcMar>
          </w:tcPr>
          <w:p w:rsidR="00A85EB3" w:rsidRDefault="00A85EB3">
            <w:pPr>
              <w:autoSpaceDE w:val="0"/>
              <w:spacing w:line="276" w:lineRule="auto"/>
              <w:ind w:left="62"/>
              <w:rPr>
                <w:sz w:val="20"/>
                <w:lang w:val="en-US" w:eastAsia="ar-SA"/>
              </w:rPr>
            </w:pPr>
          </w:p>
        </w:tc>
        <w:tc>
          <w:tcPr>
            <w:tcW w:w="1262" w:type="pct"/>
            <w:tcMar>
              <w:top w:w="0" w:type="dxa"/>
              <w:left w:w="108" w:type="dxa"/>
              <w:bottom w:w="0" w:type="dxa"/>
              <w:right w:w="108" w:type="dxa"/>
            </w:tcMar>
          </w:tcPr>
          <w:p w:rsidR="00A85EB3" w:rsidRDefault="00B07D03">
            <w:pPr>
              <w:widowControl w:val="0"/>
              <w:spacing w:line="276" w:lineRule="auto"/>
              <w:rPr>
                <w:rFonts w:eastAsia="Times New Roman"/>
                <w:sz w:val="20"/>
                <w:lang w:val="en-US"/>
              </w:rPr>
            </w:pPr>
            <w:r>
              <w:rPr>
                <w:rFonts w:eastAsia="Times New Roman"/>
                <w:sz w:val="20"/>
              </w:rPr>
              <w:t>2.3.</w:t>
            </w:r>
            <w:r>
              <w:rPr>
                <w:sz w:val="20"/>
                <w:lang w:eastAsia="ar-SA"/>
              </w:rPr>
              <w:t xml:space="preserve"> Повишаване на използването на мрежи за обмен за устойчиво развитие на потенциала за туризъм</w:t>
            </w:r>
          </w:p>
          <w:p w:rsidR="00A85EB3" w:rsidRDefault="00A85EB3">
            <w:pPr>
              <w:widowControl w:val="0"/>
              <w:spacing w:line="276" w:lineRule="auto"/>
              <w:rPr>
                <w:sz w:val="20"/>
                <w:lang w:val="en-US" w:eastAsia="ar-SA"/>
              </w:rPr>
            </w:pPr>
          </w:p>
        </w:tc>
        <w:tc>
          <w:tcPr>
            <w:tcW w:w="887" w:type="pct"/>
            <w:tcMar>
              <w:top w:w="0" w:type="dxa"/>
              <w:left w:w="108" w:type="dxa"/>
              <w:bottom w:w="0" w:type="dxa"/>
              <w:right w:w="108" w:type="dxa"/>
            </w:tcMar>
          </w:tcPr>
          <w:p w:rsidR="00A85EB3" w:rsidRPr="003A6822" w:rsidRDefault="00B07D03" w:rsidP="003A6822">
            <w:pPr>
              <w:pStyle w:val="ListParagraph"/>
              <w:numPr>
                <w:ilvl w:val="0"/>
                <w:numId w:val="70"/>
              </w:numPr>
              <w:spacing w:before="120" w:after="120" w:line="276" w:lineRule="auto"/>
              <w:ind w:left="173" w:hanging="173"/>
              <w:jc w:val="left"/>
              <w:rPr>
                <w:sz w:val="20"/>
                <w:lang w:val="en-US"/>
              </w:rPr>
            </w:pPr>
            <w:r>
              <w:rPr>
                <w:sz w:val="20"/>
              </w:rPr>
              <w:t>По-голям брой трансгранични мрежи в областта на устойчивия туризъм</w:t>
            </w:r>
          </w:p>
        </w:tc>
        <w:tc>
          <w:tcPr>
            <w:tcW w:w="1962" w:type="pct"/>
            <w:tcMar>
              <w:top w:w="0" w:type="dxa"/>
              <w:left w:w="108" w:type="dxa"/>
              <w:bottom w:w="0" w:type="dxa"/>
              <w:right w:w="108" w:type="dxa"/>
            </w:tcMar>
          </w:tcPr>
          <w:p w:rsidR="00A85EB3" w:rsidRDefault="00B07D03">
            <w:pPr>
              <w:pStyle w:val="ListParagraph"/>
              <w:numPr>
                <w:ilvl w:val="0"/>
                <w:numId w:val="74"/>
              </w:numPr>
              <w:autoSpaceDE w:val="0"/>
              <w:spacing w:before="120" w:after="120" w:line="276" w:lineRule="auto"/>
              <w:ind w:left="176" w:hanging="176"/>
              <w:jc w:val="left"/>
              <w:rPr>
                <w:sz w:val="20"/>
                <w:lang w:val="en-US" w:eastAsia="en-US"/>
              </w:rPr>
            </w:pPr>
            <w:r>
              <w:rPr>
                <w:sz w:val="20"/>
                <w:lang w:eastAsia="en-US"/>
              </w:rPr>
              <w:t xml:space="preserve">Брой прояви за общуване в мрежи </w:t>
            </w:r>
          </w:p>
          <w:p w:rsidR="00A85EB3" w:rsidRDefault="00B07D03">
            <w:pPr>
              <w:pStyle w:val="ListParagraph"/>
              <w:numPr>
                <w:ilvl w:val="0"/>
                <w:numId w:val="74"/>
              </w:numPr>
              <w:autoSpaceDE w:val="0"/>
              <w:spacing w:before="120" w:after="120" w:line="276" w:lineRule="auto"/>
              <w:ind w:left="176" w:hanging="176"/>
              <w:jc w:val="left"/>
              <w:rPr>
                <w:sz w:val="20"/>
                <w:lang w:val="en-US" w:eastAsia="ar-SA"/>
              </w:rPr>
            </w:pPr>
            <w:r>
              <w:rPr>
                <w:sz w:val="20"/>
                <w:lang w:eastAsia="en-US"/>
              </w:rPr>
              <w:t>Брой на инициативите за информиране на обществеността, популяризиращи устойчиво използване на природното, културното и историческото наследство и ресурси</w:t>
            </w:r>
          </w:p>
        </w:tc>
      </w:tr>
    </w:tbl>
    <w:p w:rsidR="00A85EB3" w:rsidRPr="00800359" w:rsidRDefault="00B07D03" w:rsidP="00800359">
      <w:pPr>
        <w:keepNext/>
        <w:spacing w:before="360" w:after="240"/>
        <w:ind w:left="1560" w:hanging="1560"/>
        <w:outlineLvl w:val="0"/>
        <w:rPr>
          <w:rFonts w:eastAsia="Times New Roman"/>
          <w:b/>
          <w:bCs/>
          <w:smallCaps/>
          <w:szCs w:val="24"/>
          <w:lang w:val="en-US"/>
        </w:rPr>
      </w:pPr>
      <w:r>
        <w:rPr>
          <w:rFonts w:eastAsia="Times New Roman"/>
          <w:b/>
          <w:bCs/>
          <w:smallCaps/>
          <w:szCs w:val="24"/>
        </w:rPr>
        <w:br w:type="page"/>
      </w:r>
      <w:bookmarkStart w:id="70" w:name="_Toc408234916"/>
      <w:r>
        <w:lastRenderedPageBreak/>
        <w:t>РАЗДЕЛ 3.</w:t>
      </w:r>
      <w:r>
        <w:tab/>
        <w:t>План за финансиране</w:t>
      </w:r>
      <w:bookmarkEnd w:id="70"/>
      <w:r>
        <w:t xml:space="preserve"> </w:t>
      </w:r>
    </w:p>
    <w:p w:rsidR="00A85EB3" w:rsidRDefault="00B07D03">
      <w:pPr>
        <w:rPr>
          <w:lang w:val="en-US"/>
        </w:rPr>
      </w:pPr>
      <w:r>
        <w:rPr>
          <w:szCs w:val="24"/>
        </w:rPr>
        <w:t>(Източник: буква(d) на чл. 8(2) от Регламент (ЕС) № 1299/2013)</w:t>
      </w:r>
    </w:p>
    <w:p w:rsidR="00A85EB3" w:rsidRDefault="00A85EB3">
      <w:pPr>
        <w:rPr>
          <w:szCs w:val="24"/>
          <w:lang w:val="en-US"/>
        </w:rPr>
      </w:pPr>
    </w:p>
    <w:p w:rsidR="00A85EB3" w:rsidRDefault="00B07D03">
      <w:pPr>
        <w:pStyle w:val="Heading2"/>
        <w:numPr>
          <w:ilvl w:val="0"/>
          <w:numId w:val="0"/>
        </w:numPr>
        <w:ind w:left="850" w:hanging="850"/>
        <w:rPr>
          <w:rFonts w:eastAsia="Arial Unicode MS"/>
          <w:lang w:val="en-US"/>
        </w:rPr>
      </w:pPr>
      <w:bookmarkStart w:id="71" w:name="_Toc408234917"/>
      <w:r>
        <w:rPr>
          <w:rFonts w:eastAsia="Arial Unicode MS"/>
        </w:rPr>
        <w:t>3.1 Предвидени финансови средства от ИПП (в евро)</w:t>
      </w:r>
      <w:bookmarkEnd w:id="71"/>
      <w:r>
        <w:rPr>
          <w:rFonts w:eastAsia="Arial Unicode MS"/>
        </w:rPr>
        <w:t xml:space="preserve"> </w:t>
      </w:r>
    </w:p>
    <w:p w:rsidR="00A85EB3" w:rsidRDefault="00B07D03">
      <w:pPr>
        <w:rPr>
          <w:lang w:val="en-US"/>
        </w:rPr>
      </w:pPr>
      <w:r>
        <w:t>(Източник: буква(d)(i) на чл. 8(2) от Регламент (ЕС) № 1299/2013)</w:t>
      </w:r>
    </w:p>
    <w:p w:rsidR="00A85EB3" w:rsidRDefault="00A85EB3">
      <w:pPr>
        <w:rPr>
          <w:rFonts w:eastAsia="Arial Unicode MS"/>
          <w:b/>
          <w:bCs/>
          <w:lang w:val="en-US"/>
        </w:rPr>
      </w:pPr>
    </w:p>
    <w:p w:rsidR="00A85EB3" w:rsidRDefault="00B07D03">
      <w:pPr>
        <w:jc w:val="left"/>
        <w:rPr>
          <w:rFonts w:eastAsia="Arial Unicode MS"/>
          <w:b/>
          <w:lang w:val="en-US"/>
        </w:rPr>
      </w:pPr>
      <w:r>
        <w:rPr>
          <w:rFonts w:eastAsia="Arial Unicode MS"/>
          <w:b/>
        </w:rPr>
        <w:t>Таблица 15</w:t>
      </w:r>
    </w:p>
    <w:tbl>
      <w:tblPr>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5"/>
        <w:gridCol w:w="1570"/>
        <w:gridCol w:w="1570"/>
        <w:gridCol w:w="1570"/>
        <w:gridCol w:w="1571"/>
        <w:gridCol w:w="1570"/>
        <w:gridCol w:w="1570"/>
        <w:gridCol w:w="1570"/>
        <w:gridCol w:w="1996"/>
      </w:tblGrid>
      <w:tr w:rsidR="002909F4" w:rsidRPr="00981F6F" w:rsidTr="006B1B4B">
        <w:trPr>
          <w:trHeight w:val="525"/>
        </w:trPr>
        <w:tc>
          <w:tcPr>
            <w:tcW w:w="2005" w:type="dxa"/>
            <w:shd w:val="clear" w:color="auto" w:fill="auto"/>
          </w:tcPr>
          <w:p w:rsidR="00A85EB3" w:rsidRDefault="00B07D03">
            <w:pPr>
              <w:spacing w:after="240"/>
              <w:jc w:val="center"/>
              <w:rPr>
                <w:rFonts w:eastAsia="Times New Roman"/>
                <w:b/>
                <w:lang w:val="en-US"/>
              </w:rPr>
            </w:pPr>
            <w:r>
              <w:rPr>
                <w:rFonts w:eastAsia="Times New Roman"/>
                <w:b/>
              </w:rPr>
              <w:t>Фонд</w:t>
            </w:r>
          </w:p>
        </w:tc>
        <w:tc>
          <w:tcPr>
            <w:tcW w:w="1570" w:type="dxa"/>
            <w:shd w:val="clear" w:color="auto" w:fill="auto"/>
          </w:tcPr>
          <w:p w:rsidR="00A85EB3" w:rsidRDefault="00B07D03">
            <w:pPr>
              <w:spacing w:after="240"/>
              <w:jc w:val="center"/>
              <w:rPr>
                <w:rFonts w:eastAsia="Times New Roman"/>
                <w:b/>
                <w:lang w:val="en-US"/>
              </w:rPr>
            </w:pPr>
            <w:r>
              <w:rPr>
                <w:rFonts w:eastAsia="Times New Roman"/>
                <w:b/>
              </w:rPr>
              <w:t>2014</w:t>
            </w:r>
          </w:p>
        </w:tc>
        <w:tc>
          <w:tcPr>
            <w:tcW w:w="1570" w:type="dxa"/>
            <w:shd w:val="clear" w:color="auto" w:fill="auto"/>
          </w:tcPr>
          <w:p w:rsidR="00A85EB3" w:rsidRDefault="00B07D03">
            <w:pPr>
              <w:spacing w:after="240"/>
              <w:jc w:val="center"/>
              <w:rPr>
                <w:rFonts w:eastAsia="Times New Roman"/>
                <w:b/>
                <w:lang w:val="en-US"/>
              </w:rPr>
            </w:pPr>
            <w:r>
              <w:rPr>
                <w:rFonts w:eastAsia="Times New Roman"/>
                <w:b/>
              </w:rPr>
              <w:t>2015</w:t>
            </w:r>
          </w:p>
        </w:tc>
        <w:tc>
          <w:tcPr>
            <w:tcW w:w="1570" w:type="dxa"/>
            <w:shd w:val="clear" w:color="auto" w:fill="auto"/>
          </w:tcPr>
          <w:p w:rsidR="00A85EB3" w:rsidRDefault="00B07D03">
            <w:pPr>
              <w:spacing w:after="240"/>
              <w:jc w:val="center"/>
              <w:rPr>
                <w:rFonts w:eastAsia="Times New Roman"/>
                <w:b/>
                <w:lang w:val="en-US"/>
              </w:rPr>
            </w:pPr>
            <w:r>
              <w:rPr>
                <w:rFonts w:eastAsia="Times New Roman"/>
                <w:b/>
              </w:rPr>
              <w:t>2016</w:t>
            </w:r>
          </w:p>
        </w:tc>
        <w:tc>
          <w:tcPr>
            <w:tcW w:w="1571" w:type="dxa"/>
            <w:shd w:val="clear" w:color="auto" w:fill="auto"/>
          </w:tcPr>
          <w:p w:rsidR="00A85EB3" w:rsidRDefault="00B07D03">
            <w:pPr>
              <w:spacing w:after="240"/>
              <w:jc w:val="center"/>
              <w:rPr>
                <w:rFonts w:eastAsia="Times New Roman"/>
                <w:b/>
                <w:lang w:val="en-US"/>
              </w:rPr>
            </w:pPr>
            <w:r>
              <w:rPr>
                <w:rFonts w:eastAsia="Times New Roman"/>
                <w:b/>
              </w:rPr>
              <w:t>2017</w:t>
            </w:r>
          </w:p>
        </w:tc>
        <w:tc>
          <w:tcPr>
            <w:tcW w:w="1570" w:type="dxa"/>
            <w:shd w:val="clear" w:color="auto" w:fill="auto"/>
          </w:tcPr>
          <w:p w:rsidR="00A85EB3" w:rsidRDefault="00B07D03">
            <w:pPr>
              <w:spacing w:after="240"/>
              <w:jc w:val="center"/>
              <w:rPr>
                <w:rFonts w:eastAsia="Times New Roman"/>
                <w:b/>
                <w:lang w:val="en-US"/>
              </w:rPr>
            </w:pPr>
            <w:r>
              <w:rPr>
                <w:rFonts w:eastAsia="Times New Roman"/>
                <w:b/>
              </w:rPr>
              <w:t>2018</w:t>
            </w:r>
          </w:p>
        </w:tc>
        <w:tc>
          <w:tcPr>
            <w:tcW w:w="1570" w:type="dxa"/>
            <w:shd w:val="clear" w:color="auto" w:fill="auto"/>
          </w:tcPr>
          <w:p w:rsidR="00A85EB3" w:rsidRDefault="00B07D03">
            <w:pPr>
              <w:spacing w:after="240"/>
              <w:jc w:val="center"/>
              <w:rPr>
                <w:rFonts w:eastAsia="Times New Roman"/>
                <w:b/>
                <w:lang w:val="en-US"/>
              </w:rPr>
            </w:pPr>
            <w:r>
              <w:rPr>
                <w:rFonts w:eastAsia="Times New Roman"/>
                <w:b/>
              </w:rPr>
              <w:t>2019</w:t>
            </w:r>
          </w:p>
        </w:tc>
        <w:tc>
          <w:tcPr>
            <w:tcW w:w="1570" w:type="dxa"/>
            <w:shd w:val="clear" w:color="auto" w:fill="auto"/>
          </w:tcPr>
          <w:p w:rsidR="00A85EB3" w:rsidRDefault="00B07D03">
            <w:pPr>
              <w:spacing w:after="240"/>
              <w:jc w:val="center"/>
              <w:rPr>
                <w:rFonts w:eastAsia="Times New Roman"/>
                <w:b/>
                <w:lang w:val="en-US"/>
              </w:rPr>
            </w:pPr>
            <w:r>
              <w:rPr>
                <w:rFonts w:eastAsia="Times New Roman"/>
                <w:b/>
              </w:rPr>
              <w:t>2020</w:t>
            </w:r>
          </w:p>
        </w:tc>
        <w:tc>
          <w:tcPr>
            <w:tcW w:w="1996" w:type="dxa"/>
            <w:shd w:val="clear" w:color="auto" w:fill="auto"/>
          </w:tcPr>
          <w:p w:rsidR="00A85EB3" w:rsidRDefault="00B07D03">
            <w:pPr>
              <w:spacing w:after="240"/>
              <w:jc w:val="center"/>
              <w:rPr>
                <w:rFonts w:eastAsia="Times New Roman"/>
                <w:b/>
                <w:lang w:val="en-US"/>
              </w:rPr>
            </w:pPr>
            <w:r>
              <w:rPr>
                <w:rFonts w:eastAsia="Times New Roman"/>
                <w:b/>
              </w:rPr>
              <w:t>Общо</w:t>
            </w:r>
          </w:p>
        </w:tc>
      </w:tr>
      <w:tr w:rsidR="002909F4" w:rsidRPr="00981F6F" w:rsidDel="00F57C97" w:rsidTr="006B1B4B">
        <w:trPr>
          <w:trHeight w:val="525"/>
        </w:trPr>
        <w:tc>
          <w:tcPr>
            <w:tcW w:w="2005" w:type="dxa"/>
            <w:shd w:val="clear" w:color="auto" w:fill="auto"/>
          </w:tcPr>
          <w:p w:rsidR="00A85EB3" w:rsidRDefault="00B07D03">
            <w:pPr>
              <w:spacing w:after="240"/>
              <w:jc w:val="center"/>
              <w:rPr>
                <w:rFonts w:eastAsia="Times New Roman"/>
                <w:szCs w:val="24"/>
                <w:lang w:val="en-US"/>
              </w:rPr>
            </w:pPr>
            <w:r>
              <w:rPr>
                <w:rFonts w:eastAsia="Times New Roman"/>
                <w:szCs w:val="24"/>
              </w:rPr>
              <w:t>ИПП</w:t>
            </w:r>
          </w:p>
        </w:tc>
        <w:tc>
          <w:tcPr>
            <w:tcW w:w="1570" w:type="dxa"/>
            <w:shd w:val="clear" w:color="auto" w:fill="auto"/>
          </w:tcPr>
          <w:p w:rsidR="00A85EB3" w:rsidRDefault="00B07D03">
            <w:pPr>
              <w:spacing w:after="240"/>
              <w:jc w:val="center"/>
              <w:rPr>
                <w:rFonts w:eastAsia="Times New Roman"/>
                <w:szCs w:val="24"/>
                <w:lang w:val="en-US"/>
              </w:rPr>
            </w:pPr>
            <w:r>
              <w:rPr>
                <w:color w:val="000000"/>
                <w:szCs w:val="24"/>
                <w:lang w:eastAsia="bg-BG"/>
              </w:rPr>
              <w:t>1 257 945,86</w:t>
            </w:r>
          </w:p>
        </w:tc>
        <w:tc>
          <w:tcPr>
            <w:tcW w:w="1570" w:type="dxa"/>
            <w:shd w:val="clear" w:color="auto" w:fill="auto"/>
          </w:tcPr>
          <w:p w:rsidR="00A85EB3" w:rsidRDefault="00B07D03">
            <w:pPr>
              <w:spacing w:after="240"/>
              <w:jc w:val="center"/>
              <w:rPr>
                <w:rFonts w:eastAsia="Times New Roman"/>
                <w:szCs w:val="24"/>
                <w:lang w:val="en-US"/>
              </w:rPr>
            </w:pPr>
            <w:r>
              <w:rPr>
                <w:color w:val="000000"/>
                <w:szCs w:val="24"/>
                <w:lang w:eastAsia="bg-BG"/>
              </w:rPr>
              <w:t>1 821 205,17</w:t>
            </w:r>
          </w:p>
        </w:tc>
        <w:tc>
          <w:tcPr>
            <w:tcW w:w="1570" w:type="dxa"/>
            <w:shd w:val="clear" w:color="auto" w:fill="auto"/>
          </w:tcPr>
          <w:p w:rsidR="00A85EB3" w:rsidRDefault="00B07D03">
            <w:pPr>
              <w:spacing w:after="240"/>
              <w:jc w:val="center"/>
              <w:rPr>
                <w:rFonts w:eastAsia="Times New Roman"/>
                <w:szCs w:val="24"/>
                <w:lang w:val="en-US"/>
              </w:rPr>
            </w:pPr>
            <w:r>
              <w:rPr>
                <w:color w:val="000000"/>
                <w:szCs w:val="24"/>
                <w:lang w:eastAsia="bg-BG"/>
              </w:rPr>
              <w:t>2 609 768,70</w:t>
            </w:r>
          </w:p>
        </w:tc>
        <w:tc>
          <w:tcPr>
            <w:tcW w:w="1571" w:type="dxa"/>
            <w:shd w:val="clear" w:color="auto" w:fill="auto"/>
          </w:tcPr>
          <w:p w:rsidR="00A85EB3" w:rsidRDefault="00B07D03">
            <w:pPr>
              <w:spacing w:after="240"/>
              <w:jc w:val="center"/>
              <w:rPr>
                <w:rFonts w:eastAsia="Times New Roman"/>
                <w:szCs w:val="24"/>
                <w:lang w:val="en-US"/>
              </w:rPr>
            </w:pPr>
            <w:r>
              <w:rPr>
                <w:rFonts w:eastAsia="Times New Roman"/>
                <w:color w:val="000000"/>
                <w:szCs w:val="24"/>
                <w:lang w:eastAsia="bg-BG"/>
              </w:rPr>
              <w:t>4 731 376,14</w:t>
            </w:r>
          </w:p>
        </w:tc>
        <w:tc>
          <w:tcPr>
            <w:tcW w:w="1570" w:type="dxa"/>
            <w:shd w:val="clear" w:color="auto" w:fill="auto"/>
          </w:tcPr>
          <w:p w:rsidR="00A85EB3" w:rsidRDefault="00B07D03">
            <w:pPr>
              <w:spacing w:after="240"/>
              <w:jc w:val="center"/>
              <w:rPr>
                <w:rFonts w:eastAsia="Times New Roman"/>
                <w:szCs w:val="24"/>
                <w:lang w:val="en-US"/>
              </w:rPr>
            </w:pPr>
            <w:r>
              <w:rPr>
                <w:rFonts w:eastAsia="Times New Roman"/>
                <w:color w:val="000000"/>
                <w:szCs w:val="24"/>
                <w:lang w:eastAsia="bg-BG"/>
              </w:rPr>
              <w:t>4 825 253,11</w:t>
            </w:r>
          </w:p>
        </w:tc>
        <w:tc>
          <w:tcPr>
            <w:tcW w:w="1570" w:type="dxa"/>
            <w:shd w:val="clear" w:color="auto" w:fill="auto"/>
          </w:tcPr>
          <w:p w:rsidR="00A85EB3" w:rsidRDefault="00B07D03">
            <w:pPr>
              <w:spacing w:after="240"/>
              <w:jc w:val="center"/>
              <w:rPr>
                <w:rFonts w:eastAsia="Times New Roman"/>
                <w:szCs w:val="24"/>
                <w:lang w:val="en-US"/>
              </w:rPr>
            </w:pPr>
            <w:r>
              <w:rPr>
                <w:rFonts w:eastAsia="Times New Roman"/>
                <w:color w:val="000000"/>
                <w:szCs w:val="24"/>
                <w:lang w:eastAsia="bg-BG"/>
              </w:rPr>
              <w:t>4 919 130,08</w:t>
            </w:r>
          </w:p>
        </w:tc>
        <w:tc>
          <w:tcPr>
            <w:tcW w:w="1570" w:type="dxa"/>
            <w:shd w:val="clear" w:color="auto" w:fill="auto"/>
          </w:tcPr>
          <w:p w:rsidR="00A85EB3" w:rsidRDefault="00B07D03">
            <w:pPr>
              <w:spacing w:after="240"/>
              <w:jc w:val="center"/>
              <w:rPr>
                <w:rFonts w:eastAsia="Times New Roman"/>
                <w:szCs w:val="24"/>
                <w:lang w:val="en-US"/>
              </w:rPr>
            </w:pPr>
            <w:r>
              <w:rPr>
                <w:rFonts w:eastAsia="Times New Roman"/>
                <w:color w:val="000000"/>
                <w:szCs w:val="24"/>
                <w:lang w:eastAsia="bg-BG"/>
              </w:rPr>
              <w:t>5 031 780,94</w:t>
            </w:r>
          </w:p>
        </w:tc>
        <w:tc>
          <w:tcPr>
            <w:tcW w:w="1996" w:type="dxa"/>
            <w:shd w:val="clear" w:color="auto" w:fill="auto"/>
          </w:tcPr>
          <w:p w:rsidR="00A85EB3" w:rsidRDefault="00B07D03">
            <w:pPr>
              <w:spacing w:after="240"/>
              <w:jc w:val="center"/>
              <w:rPr>
                <w:rFonts w:eastAsia="Times New Roman"/>
                <w:szCs w:val="24"/>
                <w:lang w:val="en-US"/>
              </w:rPr>
            </w:pPr>
            <w:r>
              <w:rPr>
                <w:rFonts w:eastAsia="Times New Roman"/>
                <w:b/>
                <w:bCs/>
                <w:color w:val="000000"/>
                <w:szCs w:val="24"/>
                <w:lang w:eastAsia="bg-BG"/>
              </w:rPr>
              <w:t>25 196 460,00</w:t>
            </w:r>
          </w:p>
        </w:tc>
      </w:tr>
    </w:tbl>
    <w:p w:rsidR="00A85EB3" w:rsidRDefault="00A85EB3">
      <w:pPr>
        <w:rPr>
          <w:b/>
          <w:highlight w:val="magenta"/>
          <w:lang w:val="en-US"/>
        </w:rPr>
        <w:sectPr w:rsidR="00A85EB3" w:rsidSect="003D05CE">
          <w:footerReference w:type="default" r:id="rId47"/>
          <w:pgSz w:w="16838" w:h="11906" w:orient="landscape"/>
          <w:pgMar w:top="1276" w:right="1021" w:bottom="1701" w:left="1021" w:header="601" w:footer="1077" w:gutter="0"/>
          <w:cols w:space="720"/>
          <w:docGrid w:linePitch="326"/>
        </w:sectPr>
      </w:pPr>
    </w:p>
    <w:p w:rsidR="00A85EB3" w:rsidRDefault="00B07D03">
      <w:pPr>
        <w:pStyle w:val="Heading3"/>
        <w:numPr>
          <w:ilvl w:val="0"/>
          <w:numId w:val="0"/>
        </w:numPr>
        <w:ind w:left="850" w:hanging="850"/>
        <w:rPr>
          <w:rFonts w:eastAsia="Arial Unicode MS"/>
          <w:b/>
          <w:i w:val="0"/>
          <w:lang w:val="en-US" w:eastAsia="ar-SA"/>
        </w:rPr>
      </w:pPr>
      <w:bookmarkStart w:id="72" w:name="_Toc408234918"/>
      <w:r>
        <w:rPr>
          <w:rFonts w:eastAsia="Arial Unicode MS"/>
          <w:b/>
          <w:i w:val="0"/>
          <w:lang w:eastAsia="ar-SA"/>
        </w:rPr>
        <w:lastRenderedPageBreak/>
        <w:t xml:space="preserve">3.2.1 Общо предвидени финансови средства от ИПП и национално </w:t>
      </w:r>
      <w:proofErr w:type="spellStart"/>
      <w:r>
        <w:rPr>
          <w:rFonts w:eastAsia="Arial Unicode MS"/>
          <w:b/>
          <w:i w:val="0"/>
          <w:lang w:eastAsia="ar-SA"/>
        </w:rPr>
        <w:t>съфинансиране</w:t>
      </w:r>
      <w:proofErr w:type="spellEnd"/>
      <w:r>
        <w:rPr>
          <w:rFonts w:eastAsia="Arial Unicode MS"/>
          <w:b/>
          <w:i w:val="0"/>
          <w:lang w:eastAsia="ar-SA"/>
        </w:rPr>
        <w:t xml:space="preserve"> (в евро)</w:t>
      </w:r>
      <w:bookmarkEnd w:id="72"/>
      <w:r>
        <w:rPr>
          <w:rFonts w:eastAsia="Arial Unicode MS"/>
          <w:b/>
          <w:i w:val="0"/>
          <w:lang w:eastAsia="ar-SA"/>
        </w:rPr>
        <w:t xml:space="preserve"> </w:t>
      </w:r>
    </w:p>
    <w:p w:rsidR="00A85EB3" w:rsidRDefault="00B07D03">
      <w:pPr>
        <w:rPr>
          <w:lang w:val="en-US" w:eastAsia="ar-SA"/>
        </w:rPr>
      </w:pPr>
      <w:r>
        <w:rPr>
          <w:lang w:eastAsia="ar-SA"/>
        </w:rPr>
        <w:t>(Източник: буква(d)(ii) на чл. 8(2) от Регламент (ЕС) № 1299/2013)</w:t>
      </w:r>
    </w:p>
    <w:p w:rsidR="00A85EB3" w:rsidRDefault="00A85EB3">
      <w:pPr>
        <w:tabs>
          <w:tab w:val="left" w:pos="426"/>
        </w:tabs>
        <w:suppressAutoHyphens/>
        <w:spacing w:after="0"/>
        <w:rPr>
          <w:rFonts w:eastAsia="Arial Unicode MS"/>
          <w:b/>
          <w:szCs w:val="24"/>
          <w:lang w:val="en-US"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1"/>
      </w:tblGrid>
      <w:tr w:rsidR="00FB701A" w:rsidRPr="00981F6F" w:rsidTr="000D2382">
        <w:trPr>
          <w:trHeight w:val="1184"/>
        </w:trPr>
        <w:tc>
          <w:tcPr>
            <w:tcW w:w="14601" w:type="dxa"/>
            <w:shd w:val="clear" w:color="auto" w:fill="auto"/>
          </w:tcPr>
          <w:p w:rsidR="00A85EB3" w:rsidRDefault="00B07D03">
            <w:pPr>
              <w:numPr>
                <w:ilvl w:val="0"/>
                <w:numId w:val="17"/>
              </w:numPr>
              <w:tabs>
                <w:tab w:val="left" w:pos="426"/>
              </w:tabs>
              <w:suppressAutoHyphens/>
              <w:ind w:left="714" w:hanging="357"/>
              <w:rPr>
                <w:rFonts w:eastAsia="Arial Unicode MS"/>
                <w:i/>
                <w:sz w:val="16"/>
                <w:szCs w:val="16"/>
                <w:lang w:val="en-US" w:eastAsia="ar-SA"/>
              </w:rPr>
            </w:pPr>
            <w:r>
              <w:rPr>
                <w:rFonts w:eastAsia="Arial Unicode MS"/>
                <w:i/>
                <w:sz w:val="16"/>
                <w:szCs w:val="16"/>
                <w:lang w:eastAsia="ar-SA"/>
              </w:rPr>
              <w:t xml:space="preserve">Във финансовата таблица е даден финансовият план за програмата за сътрудничество по приоритетни оси. </w:t>
            </w:r>
          </w:p>
          <w:p w:rsidR="00A85EB3" w:rsidRDefault="00B07D03">
            <w:pPr>
              <w:numPr>
                <w:ilvl w:val="0"/>
                <w:numId w:val="17"/>
              </w:numPr>
              <w:tabs>
                <w:tab w:val="left" w:pos="426"/>
              </w:tabs>
              <w:suppressAutoHyphens/>
              <w:ind w:left="714" w:hanging="357"/>
              <w:rPr>
                <w:rFonts w:eastAsia="Arial Unicode MS"/>
                <w:i/>
                <w:sz w:val="16"/>
                <w:szCs w:val="16"/>
                <w:lang w:val="en-US" w:eastAsia="ar-SA"/>
              </w:rPr>
            </w:pPr>
            <w:r>
              <w:rPr>
                <w:rFonts w:eastAsia="Arial Unicode MS"/>
                <w:i/>
                <w:sz w:val="16"/>
                <w:szCs w:val="16"/>
                <w:lang w:eastAsia="ar-SA"/>
              </w:rPr>
              <w:t>Във финансовата таблица са показани за сведение и евентуални вноски от трети страни, участващи в програмата за сътрудничество (различни от вноски от ИПП и ЕИС)</w:t>
            </w:r>
          </w:p>
          <w:p w:rsidR="00A85EB3" w:rsidRDefault="00B07D03">
            <w:pPr>
              <w:numPr>
                <w:ilvl w:val="0"/>
                <w:numId w:val="17"/>
              </w:numPr>
              <w:tabs>
                <w:tab w:val="left" w:pos="426"/>
              </w:tabs>
              <w:suppressAutoHyphens/>
              <w:spacing w:before="0" w:after="0"/>
              <w:ind w:left="714" w:hanging="357"/>
              <w:rPr>
                <w:rFonts w:eastAsia="Arial Unicode MS"/>
                <w:szCs w:val="24"/>
                <w:lang w:val="en-US" w:eastAsia="ar-SA"/>
              </w:rPr>
            </w:pPr>
            <w:r>
              <w:rPr>
                <w:rFonts w:eastAsia="Arial Unicode MS"/>
                <w:i/>
                <w:sz w:val="16"/>
                <w:szCs w:val="16"/>
                <w:lang w:eastAsia="ar-SA"/>
              </w:rPr>
              <w:t>Вноската от ЕИБ</w:t>
            </w:r>
            <w:r>
              <w:rPr>
                <w:rStyle w:val="FootnoteReference"/>
                <w:rFonts w:eastAsia="Arial Unicode MS"/>
                <w:i/>
                <w:sz w:val="16"/>
                <w:szCs w:val="16"/>
                <w:lang w:eastAsia="ar-SA"/>
              </w:rPr>
              <w:footnoteReference w:id="13"/>
            </w:r>
            <w:r>
              <w:rPr>
                <w:rFonts w:eastAsia="Arial Unicode MS"/>
                <w:i/>
                <w:sz w:val="16"/>
                <w:szCs w:val="16"/>
                <w:lang w:eastAsia="ar-SA"/>
              </w:rPr>
              <w:t xml:space="preserve"> е представена на равнището на </w:t>
            </w:r>
            <w:proofErr w:type="spellStart"/>
            <w:r>
              <w:rPr>
                <w:rFonts w:eastAsia="Arial Unicode MS"/>
                <w:i/>
                <w:sz w:val="16"/>
                <w:szCs w:val="16"/>
                <w:lang w:eastAsia="ar-SA"/>
              </w:rPr>
              <w:t>приоритетата</w:t>
            </w:r>
            <w:proofErr w:type="spellEnd"/>
            <w:r>
              <w:rPr>
                <w:rFonts w:eastAsia="Arial Unicode MS"/>
                <w:i/>
                <w:sz w:val="16"/>
                <w:szCs w:val="16"/>
                <w:lang w:eastAsia="ar-SA"/>
              </w:rPr>
              <w:t xml:space="preserve"> ос.</w:t>
            </w:r>
          </w:p>
        </w:tc>
      </w:tr>
    </w:tbl>
    <w:p w:rsidR="00A85EB3" w:rsidRDefault="00B07D03">
      <w:pPr>
        <w:tabs>
          <w:tab w:val="left" w:pos="426"/>
        </w:tabs>
        <w:suppressAutoHyphens/>
        <w:rPr>
          <w:rFonts w:eastAsia="Arial Unicode MS"/>
          <w:b/>
          <w:szCs w:val="24"/>
          <w:lang w:val="en-US" w:eastAsia="ar-SA"/>
        </w:rPr>
      </w:pPr>
      <w:r>
        <w:rPr>
          <w:rFonts w:eastAsia="Arial Unicode MS"/>
          <w:b/>
          <w:szCs w:val="24"/>
          <w:lang w:eastAsia="ar-SA"/>
        </w:rPr>
        <w:t>Таблица 16: План за финансиране</w:t>
      </w:r>
    </w:p>
    <w:tbl>
      <w:tblPr>
        <w:tblW w:w="14631" w:type="dxa"/>
        <w:tblInd w:w="108" w:type="dxa"/>
        <w:tblBorders>
          <w:top w:val="single" w:sz="2" w:space="0" w:color="632423"/>
          <w:left w:val="single" w:sz="2" w:space="0" w:color="632423"/>
          <w:bottom w:val="single" w:sz="2" w:space="0" w:color="632423"/>
          <w:right w:val="single" w:sz="2" w:space="0" w:color="632423"/>
          <w:insideH w:val="single" w:sz="2" w:space="0" w:color="632423"/>
          <w:insideV w:val="single" w:sz="2" w:space="0" w:color="632423"/>
        </w:tblBorders>
        <w:tblLayout w:type="fixed"/>
        <w:tblLook w:val="01E0" w:firstRow="1" w:lastRow="1" w:firstColumn="1" w:lastColumn="1" w:noHBand="0" w:noVBand="0"/>
      </w:tblPr>
      <w:tblGrid>
        <w:gridCol w:w="1080"/>
        <w:gridCol w:w="1472"/>
        <w:gridCol w:w="1417"/>
        <w:gridCol w:w="1611"/>
        <w:gridCol w:w="1366"/>
        <w:gridCol w:w="1154"/>
        <w:gridCol w:w="1539"/>
        <w:gridCol w:w="1357"/>
        <w:gridCol w:w="1784"/>
        <w:gridCol w:w="1851"/>
      </w:tblGrid>
      <w:tr w:rsidR="002E5AA0" w:rsidRPr="00981F6F" w:rsidTr="003D05CE">
        <w:tc>
          <w:tcPr>
            <w:tcW w:w="1080" w:type="dxa"/>
            <w:vMerge w:val="restart"/>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overflowPunct w:val="0"/>
              <w:autoSpaceDE w:val="0"/>
              <w:autoSpaceDN w:val="0"/>
              <w:adjustRightInd w:val="0"/>
              <w:spacing w:before="60" w:after="60"/>
              <w:jc w:val="center"/>
              <w:textAlignment w:val="baseline"/>
              <w:rPr>
                <w:rFonts w:eastAsia="Times New Roman"/>
                <w:sz w:val="20"/>
                <w:lang w:val="en-US" w:eastAsia="en-US"/>
              </w:rPr>
            </w:pPr>
            <w:r>
              <w:rPr>
                <w:rFonts w:eastAsia="Times New Roman"/>
                <w:sz w:val="20"/>
                <w:lang w:eastAsia="en-US"/>
              </w:rPr>
              <w:t>Приоритетна ос</w:t>
            </w:r>
          </w:p>
        </w:tc>
        <w:tc>
          <w:tcPr>
            <w:tcW w:w="1472" w:type="dxa"/>
            <w:vMerge w:val="restart"/>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overflowPunct w:val="0"/>
              <w:autoSpaceDE w:val="0"/>
              <w:autoSpaceDN w:val="0"/>
              <w:adjustRightInd w:val="0"/>
              <w:spacing w:before="60" w:after="60"/>
              <w:jc w:val="center"/>
              <w:textAlignment w:val="baseline"/>
              <w:rPr>
                <w:rFonts w:eastAsia="Times New Roman"/>
                <w:sz w:val="20"/>
                <w:lang w:val="en-US" w:eastAsia="en-US"/>
              </w:rPr>
            </w:pPr>
            <w:r>
              <w:rPr>
                <w:rFonts w:eastAsia="Times New Roman"/>
                <w:sz w:val="20"/>
                <w:lang w:eastAsia="en-US"/>
              </w:rPr>
              <w:t>База за изчисление на помощта от ЕС</w:t>
            </w:r>
          </w:p>
          <w:p w:rsidR="00A85EB3" w:rsidRDefault="00B07D03">
            <w:pPr>
              <w:widowControl w:val="0"/>
              <w:overflowPunct w:val="0"/>
              <w:autoSpaceDE w:val="0"/>
              <w:autoSpaceDN w:val="0"/>
              <w:adjustRightInd w:val="0"/>
              <w:spacing w:before="60" w:after="60"/>
              <w:jc w:val="center"/>
              <w:textAlignment w:val="baseline"/>
              <w:rPr>
                <w:rFonts w:eastAsia="Times New Roman"/>
                <w:sz w:val="20"/>
                <w:lang w:val="en-US" w:eastAsia="en-US"/>
              </w:rPr>
            </w:pPr>
            <w:r>
              <w:rPr>
                <w:rFonts w:eastAsia="Times New Roman"/>
                <w:sz w:val="20"/>
                <w:lang w:eastAsia="en-US"/>
              </w:rPr>
              <w:t>(Общо допустими разходи или допустими публични разходи)</w:t>
            </w:r>
          </w:p>
        </w:tc>
        <w:tc>
          <w:tcPr>
            <w:tcW w:w="1417" w:type="dxa"/>
            <w:vMerge w:val="restart"/>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overflowPunct w:val="0"/>
              <w:autoSpaceDE w:val="0"/>
              <w:autoSpaceDN w:val="0"/>
              <w:adjustRightInd w:val="0"/>
              <w:spacing w:before="60" w:after="60"/>
              <w:jc w:val="center"/>
              <w:textAlignment w:val="baseline"/>
              <w:rPr>
                <w:rFonts w:eastAsia="Times New Roman"/>
                <w:sz w:val="20"/>
                <w:lang w:val="en-US" w:eastAsia="en-US"/>
              </w:rPr>
            </w:pPr>
            <w:r>
              <w:rPr>
                <w:rFonts w:eastAsia="Times New Roman"/>
                <w:sz w:val="20"/>
                <w:lang w:eastAsia="en-US"/>
              </w:rPr>
              <w:t>Помощ от Съюза</w:t>
            </w:r>
          </w:p>
          <w:p w:rsidR="00A85EB3" w:rsidRDefault="00B07D03">
            <w:pPr>
              <w:widowControl w:val="0"/>
              <w:overflowPunct w:val="0"/>
              <w:autoSpaceDE w:val="0"/>
              <w:autoSpaceDN w:val="0"/>
              <w:adjustRightInd w:val="0"/>
              <w:spacing w:before="60" w:after="60"/>
              <w:jc w:val="center"/>
              <w:textAlignment w:val="baseline"/>
              <w:rPr>
                <w:rFonts w:eastAsia="Times New Roman"/>
                <w:sz w:val="20"/>
                <w:lang w:val="en-US" w:eastAsia="en-US"/>
              </w:rPr>
            </w:pPr>
            <w:r>
              <w:rPr>
                <w:rFonts w:eastAsia="Times New Roman"/>
                <w:sz w:val="20"/>
                <w:lang w:eastAsia="en-US"/>
              </w:rPr>
              <w:t>(a)</w:t>
            </w:r>
          </w:p>
        </w:tc>
        <w:tc>
          <w:tcPr>
            <w:tcW w:w="1611" w:type="dxa"/>
            <w:vMerge w:val="restart"/>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overflowPunct w:val="0"/>
              <w:autoSpaceDE w:val="0"/>
              <w:autoSpaceDN w:val="0"/>
              <w:adjustRightInd w:val="0"/>
              <w:spacing w:before="60" w:after="60"/>
              <w:jc w:val="center"/>
              <w:textAlignment w:val="baseline"/>
              <w:rPr>
                <w:rFonts w:eastAsia="Times New Roman"/>
                <w:sz w:val="20"/>
                <w:lang w:val="en-US" w:eastAsia="en-US"/>
              </w:rPr>
            </w:pPr>
            <w:r>
              <w:rPr>
                <w:rFonts w:eastAsia="Times New Roman"/>
                <w:sz w:val="20"/>
                <w:lang w:eastAsia="en-US"/>
              </w:rPr>
              <w:t>Национално участие</w:t>
            </w:r>
          </w:p>
          <w:p w:rsidR="00A85EB3" w:rsidRDefault="00B07D03">
            <w:pPr>
              <w:widowControl w:val="0"/>
              <w:overflowPunct w:val="0"/>
              <w:autoSpaceDE w:val="0"/>
              <w:autoSpaceDN w:val="0"/>
              <w:adjustRightInd w:val="0"/>
              <w:spacing w:before="60" w:after="60"/>
              <w:jc w:val="center"/>
              <w:textAlignment w:val="baseline"/>
              <w:rPr>
                <w:rFonts w:eastAsia="Times New Roman"/>
                <w:sz w:val="20"/>
                <w:lang w:val="en-US" w:eastAsia="en-US"/>
              </w:rPr>
            </w:pPr>
            <w:r>
              <w:rPr>
                <w:rFonts w:eastAsia="Times New Roman"/>
                <w:sz w:val="20"/>
                <w:lang w:eastAsia="en-US"/>
              </w:rPr>
              <w:t>(b) = (c) + (d))</w:t>
            </w:r>
          </w:p>
        </w:tc>
        <w:tc>
          <w:tcPr>
            <w:tcW w:w="2520" w:type="dxa"/>
            <w:gridSpan w:val="2"/>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overflowPunct w:val="0"/>
              <w:autoSpaceDE w:val="0"/>
              <w:autoSpaceDN w:val="0"/>
              <w:adjustRightInd w:val="0"/>
              <w:spacing w:before="60" w:after="60"/>
              <w:jc w:val="center"/>
              <w:textAlignment w:val="baseline"/>
              <w:rPr>
                <w:rFonts w:eastAsia="Times New Roman"/>
                <w:sz w:val="20"/>
                <w:lang w:val="en-US" w:eastAsia="en-US"/>
              </w:rPr>
            </w:pPr>
            <w:r>
              <w:rPr>
                <w:rFonts w:eastAsia="Times New Roman"/>
                <w:sz w:val="20"/>
                <w:lang w:eastAsia="en-US"/>
              </w:rPr>
              <w:t>Индикативно разпределение на националния принос</w:t>
            </w:r>
          </w:p>
        </w:tc>
        <w:tc>
          <w:tcPr>
            <w:tcW w:w="1539" w:type="dxa"/>
            <w:vMerge w:val="restart"/>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overflowPunct w:val="0"/>
              <w:autoSpaceDE w:val="0"/>
              <w:autoSpaceDN w:val="0"/>
              <w:adjustRightInd w:val="0"/>
              <w:spacing w:before="60" w:after="60"/>
              <w:jc w:val="center"/>
              <w:textAlignment w:val="baseline"/>
              <w:rPr>
                <w:rFonts w:eastAsia="Times New Roman"/>
                <w:sz w:val="20"/>
                <w:lang w:val="en-US" w:eastAsia="en-US"/>
              </w:rPr>
            </w:pPr>
            <w:r>
              <w:rPr>
                <w:rFonts w:eastAsia="Times New Roman"/>
                <w:sz w:val="20"/>
                <w:lang w:eastAsia="en-US"/>
              </w:rPr>
              <w:t>Общо финансиране</w:t>
            </w:r>
          </w:p>
          <w:p w:rsidR="00A85EB3" w:rsidRDefault="00B07D03">
            <w:pPr>
              <w:widowControl w:val="0"/>
              <w:overflowPunct w:val="0"/>
              <w:autoSpaceDE w:val="0"/>
              <w:autoSpaceDN w:val="0"/>
              <w:adjustRightInd w:val="0"/>
              <w:spacing w:before="60" w:after="60"/>
              <w:jc w:val="center"/>
              <w:textAlignment w:val="baseline"/>
              <w:rPr>
                <w:rFonts w:eastAsia="Times New Roman"/>
                <w:sz w:val="20"/>
                <w:lang w:val="en-US" w:eastAsia="en-US"/>
              </w:rPr>
            </w:pPr>
            <w:r>
              <w:rPr>
                <w:rFonts w:eastAsia="Times New Roman"/>
                <w:sz w:val="20"/>
                <w:lang w:eastAsia="en-US"/>
              </w:rPr>
              <w:t xml:space="preserve">(e) = (a) + (b) </w:t>
            </w:r>
          </w:p>
        </w:tc>
        <w:tc>
          <w:tcPr>
            <w:tcW w:w="1357" w:type="dxa"/>
            <w:vMerge w:val="restart"/>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overflowPunct w:val="0"/>
              <w:autoSpaceDE w:val="0"/>
              <w:autoSpaceDN w:val="0"/>
              <w:adjustRightInd w:val="0"/>
              <w:spacing w:before="60" w:after="60"/>
              <w:jc w:val="center"/>
              <w:textAlignment w:val="baseline"/>
              <w:rPr>
                <w:rFonts w:eastAsia="Times New Roman"/>
                <w:sz w:val="20"/>
                <w:lang w:val="en-US" w:eastAsia="en-US"/>
              </w:rPr>
            </w:pPr>
            <w:r>
              <w:rPr>
                <w:rFonts w:eastAsia="Times New Roman"/>
                <w:sz w:val="20"/>
                <w:lang w:eastAsia="en-US"/>
              </w:rPr>
              <w:t xml:space="preserve">Процент на </w:t>
            </w:r>
            <w:proofErr w:type="spellStart"/>
            <w:r>
              <w:rPr>
                <w:rFonts w:eastAsia="Times New Roman"/>
                <w:sz w:val="20"/>
                <w:lang w:eastAsia="en-US"/>
              </w:rPr>
              <w:t>съфинансиране</w:t>
            </w:r>
            <w:proofErr w:type="spellEnd"/>
            <w:r>
              <w:rPr>
                <w:rFonts w:eastAsia="Times New Roman"/>
                <w:sz w:val="20"/>
                <w:lang w:eastAsia="en-US"/>
              </w:rPr>
              <w:t xml:space="preserve"> </w:t>
            </w:r>
          </w:p>
          <w:p w:rsidR="00A85EB3" w:rsidRDefault="00B07D03">
            <w:pPr>
              <w:widowControl w:val="0"/>
              <w:overflowPunct w:val="0"/>
              <w:autoSpaceDE w:val="0"/>
              <w:autoSpaceDN w:val="0"/>
              <w:adjustRightInd w:val="0"/>
              <w:spacing w:before="60" w:after="60"/>
              <w:jc w:val="center"/>
              <w:textAlignment w:val="baseline"/>
              <w:rPr>
                <w:rFonts w:eastAsia="Times New Roman"/>
                <w:sz w:val="20"/>
                <w:lang w:val="en-US" w:eastAsia="en-US"/>
              </w:rPr>
            </w:pPr>
            <w:r>
              <w:rPr>
                <w:rFonts w:eastAsia="Times New Roman"/>
                <w:sz w:val="20"/>
                <w:lang w:eastAsia="en-US"/>
              </w:rPr>
              <w:t xml:space="preserve">(f) = (a)/(e) (2) </w:t>
            </w:r>
          </w:p>
        </w:tc>
        <w:tc>
          <w:tcPr>
            <w:tcW w:w="3635" w:type="dxa"/>
            <w:gridSpan w:val="2"/>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overflowPunct w:val="0"/>
              <w:autoSpaceDE w:val="0"/>
              <w:autoSpaceDN w:val="0"/>
              <w:adjustRightInd w:val="0"/>
              <w:spacing w:before="60" w:after="60"/>
              <w:jc w:val="center"/>
              <w:textAlignment w:val="baseline"/>
              <w:rPr>
                <w:rFonts w:eastAsia="Times New Roman"/>
                <w:sz w:val="20"/>
                <w:lang w:val="en-US" w:eastAsia="en-US"/>
              </w:rPr>
            </w:pPr>
            <w:r>
              <w:rPr>
                <w:rFonts w:eastAsia="Times New Roman"/>
                <w:sz w:val="20"/>
                <w:lang w:eastAsia="en-US"/>
              </w:rPr>
              <w:t xml:space="preserve">Информация </w:t>
            </w:r>
          </w:p>
        </w:tc>
      </w:tr>
      <w:tr w:rsidR="002E5AA0" w:rsidRPr="00981F6F" w:rsidTr="003D05CE">
        <w:tc>
          <w:tcPr>
            <w:tcW w:w="1080" w:type="dxa"/>
            <w:vMerge/>
            <w:tcBorders>
              <w:top w:val="single" w:sz="2" w:space="0" w:color="auto"/>
              <w:left w:val="single" w:sz="2" w:space="0" w:color="auto"/>
              <w:bottom w:val="single" w:sz="2" w:space="0" w:color="auto"/>
              <w:right w:val="single" w:sz="2" w:space="0" w:color="auto"/>
            </w:tcBorders>
            <w:shd w:val="clear" w:color="auto" w:fill="auto"/>
          </w:tcPr>
          <w:p w:rsidR="00A85EB3" w:rsidRDefault="00A85EB3">
            <w:pPr>
              <w:widowControl w:val="0"/>
              <w:overflowPunct w:val="0"/>
              <w:autoSpaceDE w:val="0"/>
              <w:autoSpaceDN w:val="0"/>
              <w:adjustRightInd w:val="0"/>
              <w:spacing w:before="60" w:after="60"/>
              <w:jc w:val="center"/>
              <w:textAlignment w:val="baseline"/>
              <w:rPr>
                <w:rFonts w:eastAsia="Times New Roman"/>
                <w:spacing w:val="20"/>
                <w:sz w:val="20"/>
                <w:lang w:val="en-US" w:eastAsia="en-US"/>
              </w:rPr>
            </w:pPr>
          </w:p>
        </w:tc>
        <w:tc>
          <w:tcPr>
            <w:tcW w:w="1472" w:type="dxa"/>
            <w:vMerge/>
            <w:tcBorders>
              <w:top w:val="single" w:sz="2" w:space="0" w:color="auto"/>
              <w:left w:val="single" w:sz="2" w:space="0" w:color="auto"/>
              <w:bottom w:val="single" w:sz="2" w:space="0" w:color="auto"/>
              <w:right w:val="single" w:sz="2" w:space="0" w:color="auto"/>
            </w:tcBorders>
            <w:shd w:val="clear" w:color="auto" w:fill="auto"/>
          </w:tcPr>
          <w:p w:rsidR="00A85EB3" w:rsidRDefault="00A85EB3">
            <w:pPr>
              <w:widowControl w:val="0"/>
              <w:overflowPunct w:val="0"/>
              <w:autoSpaceDE w:val="0"/>
              <w:autoSpaceDN w:val="0"/>
              <w:adjustRightInd w:val="0"/>
              <w:spacing w:before="60" w:after="60"/>
              <w:jc w:val="center"/>
              <w:textAlignment w:val="baseline"/>
              <w:rPr>
                <w:rFonts w:eastAsia="Times New Roman"/>
                <w:spacing w:val="20"/>
                <w:sz w:val="20"/>
                <w:lang w:val="en-US" w:eastAsia="en-US"/>
              </w:rPr>
            </w:pPr>
          </w:p>
        </w:tc>
        <w:tc>
          <w:tcPr>
            <w:tcW w:w="1417" w:type="dxa"/>
            <w:vMerge/>
            <w:tcBorders>
              <w:top w:val="single" w:sz="2" w:space="0" w:color="auto"/>
              <w:left w:val="single" w:sz="2" w:space="0" w:color="auto"/>
              <w:bottom w:val="single" w:sz="2" w:space="0" w:color="auto"/>
              <w:right w:val="single" w:sz="2" w:space="0" w:color="auto"/>
            </w:tcBorders>
            <w:shd w:val="clear" w:color="auto" w:fill="auto"/>
          </w:tcPr>
          <w:p w:rsidR="00A85EB3" w:rsidRDefault="00A85EB3">
            <w:pPr>
              <w:widowControl w:val="0"/>
              <w:overflowPunct w:val="0"/>
              <w:autoSpaceDE w:val="0"/>
              <w:autoSpaceDN w:val="0"/>
              <w:adjustRightInd w:val="0"/>
              <w:spacing w:before="60" w:after="60"/>
              <w:jc w:val="center"/>
              <w:textAlignment w:val="baseline"/>
              <w:rPr>
                <w:rFonts w:eastAsia="Times New Roman"/>
                <w:spacing w:val="20"/>
                <w:sz w:val="20"/>
                <w:lang w:val="en-US" w:eastAsia="en-US"/>
              </w:rPr>
            </w:pPr>
          </w:p>
        </w:tc>
        <w:tc>
          <w:tcPr>
            <w:tcW w:w="1611" w:type="dxa"/>
            <w:vMerge/>
            <w:tcBorders>
              <w:top w:val="single" w:sz="2" w:space="0" w:color="auto"/>
              <w:left w:val="single" w:sz="2" w:space="0" w:color="auto"/>
              <w:bottom w:val="single" w:sz="2" w:space="0" w:color="auto"/>
              <w:right w:val="single" w:sz="2" w:space="0" w:color="auto"/>
            </w:tcBorders>
            <w:shd w:val="clear" w:color="auto" w:fill="auto"/>
          </w:tcPr>
          <w:p w:rsidR="00A85EB3" w:rsidRDefault="00A85EB3">
            <w:pPr>
              <w:widowControl w:val="0"/>
              <w:overflowPunct w:val="0"/>
              <w:autoSpaceDE w:val="0"/>
              <w:autoSpaceDN w:val="0"/>
              <w:adjustRightInd w:val="0"/>
              <w:spacing w:before="60" w:after="60"/>
              <w:jc w:val="center"/>
              <w:textAlignment w:val="baseline"/>
              <w:rPr>
                <w:rFonts w:eastAsia="Times New Roman"/>
                <w:spacing w:val="20"/>
                <w:sz w:val="20"/>
                <w:lang w:val="en-US" w:eastAsia="en-US"/>
              </w:rPr>
            </w:pPr>
          </w:p>
        </w:tc>
        <w:tc>
          <w:tcPr>
            <w:tcW w:w="1366"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overflowPunct w:val="0"/>
              <w:autoSpaceDE w:val="0"/>
              <w:autoSpaceDN w:val="0"/>
              <w:adjustRightInd w:val="0"/>
              <w:spacing w:before="60" w:after="60"/>
              <w:jc w:val="center"/>
              <w:textAlignment w:val="baseline"/>
              <w:rPr>
                <w:rFonts w:eastAsia="Times New Roman"/>
                <w:spacing w:val="20"/>
                <w:sz w:val="20"/>
                <w:lang w:val="en-US" w:eastAsia="en-US"/>
              </w:rPr>
            </w:pPr>
            <w:r>
              <w:rPr>
                <w:rFonts w:eastAsia="Times New Roman"/>
                <w:spacing w:val="20"/>
                <w:sz w:val="20"/>
                <w:lang w:eastAsia="en-US"/>
              </w:rPr>
              <w:t xml:space="preserve">Национално публично финансиране </w:t>
            </w:r>
          </w:p>
          <w:p w:rsidR="00A85EB3" w:rsidRDefault="00B07D03">
            <w:pPr>
              <w:widowControl w:val="0"/>
              <w:overflowPunct w:val="0"/>
              <w:autoSpaceDE w:val="0"/>
              <w:autoSpaceDN w:val="0"/>
              <w:adjustRightInd w:val="0"/>
              <w:spacing w:before="60" w:after="60"/>
              <w:jc w:val="center"/>
              <w:textAlignment w:val="baseline"/>
              <w:rPr>
                <w:rFonts w:eastAsia="Times New Roman"/>
                <w:spacing w:val="20"/>
                <w:sz w:val="20"/>
                <w:lang w:val="en-US" w:eastAsia="en-US"/>
              </w:rPr>
            </w:pPr>
            <w:r>
              <w:rPr>
                <w:rFonts w:eastAsia="Times New Roman"/>
                <w:spacing w:val="20"/>
                <w:sz w:val="20"/>
                <w:lang w:eastAsia="en-US"/>
              </w:rPr>
              <w:t>(с)</w:t>
            </w:r>
          </w:p>
        </w:tc>
        <w:tc>
          <w:tcPr>
            <w:tcW w:w="1154"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overflowPunct w:val="0"/>
              <w:autoSpaceDE w:val="0"/>
              <w:autoSpaceDN w:val="0"/>
              <w:adjustRightInd w:val="0"/>
              <w:spacing w:before="60" w:after="60"/>
              <w:jc w:val="center"/>
              <w:textAlignment w:val="baseline"/>
              <w:rPr>
                <w:rFonts w:eastAsia="Times New Roman"/>
                <w:spacing w:val="20"/>
                <w:sz w:val="20"/>
                <w:lang w:val="en-US" w:eastAsia="en-US"/>
              </w:rPr>
            </w:pPr>
            <w:r>
              <w:rPr>
                <w:rFonts w:eastAsia="Times New Roman"/>
                <w:spacing w:val="20"/>
                <w:sz w:val="20"/>
                <w:lang w:eastAsia="en-US"/>
              </w:rPr>
              <w:t xml:space="preserve">Национално частно финансиране  </w:t>
            </w:r>
          </w:p>
          <w:p w:rsidR="00A85EB3" w:rsidRDefault="00B07D03">
            <w:pPr>
              <w:widowControl w:val="0"/>
              <w:overflowPunct w:val="0"/>
              <w:autoSpaceDE w:val="0"/>
              <w:autoSpaceDN w:val="0"/>
              <w:adjustRightInd w:val="0"/>
              <w:spacing w:before="60" w:after="60"/>
              <w:jc w:val="center"/>
              <w:textAlignment w:val="baseline"/>
              <w:rPr>
                <w:rFonts w:eastAsia="Times New Roman"/>
                <w:spacing w:val="20"/>
                <w:sz w:val="20"/>
                <w:lang w:val="en-US" w:eastAsia="en-US"/>
              </w:rPr>
            </w:pPr>
            <w:r>
              <w:rPr>
                <w:rFonts w:eastAsia="Times New Roman"/>
                <w:spacing w:val="20"/>
                <w:sz w:val="20"/>
                <w:lang w:eastAsia="en-US"/>
              </w:rPr>
              <w:t>(d) (1)</w:t>
            </w:r>
          </w:p>
        </w:tc>
        <w:tc>
          <w:tcPr>
            <w:tcW w:w="1539" w:type="dxa"/>
            <w:vMerge/>
            <w:tcBorders>
              <w:top w:val="single" w:sz="2" w:space="0" w:color="auto"/>
              <w:left w:val="single" w:sz="2" w:space="0" w:color="auto"/>
              <w:bottom w:val="single" w:sz="2" w:space="0" w:color="auto"/>
              <w:right w:val="single" w:sz="2" w:space="0" w:color="auto"/>
            </w:tcBorders>
            <w:shd w:val="clear" w:color="auto" w:fill="auto"/>
          </w:tcPr>
          <w:p w:rsidR="00A85EB3" w:rsidRDefault="00A85EB3">
            <w:pPr>
              <w:widowControl w:val="0"/>
              <w:overflowPunct w:val="0"/>
              <w:autoSpaceDE w:val="0"/>
              <w:autoSpaceDN w:val="0"/>
              <w:adjustRightInd w:val="0"/>
              <w:spacing w:before="60" w:after="60"/>
              <w:jc w:val="center"/>
              <w:textAlignment w:val="baseline"/>
              <w:rPr>
                <w:rFonts w:eastAsia="Times New Roman"/>
                <w:spacing w:val="20"/>
                <w:sz w:val="20"/>
                <w:lang w:val="en-US" w:eastAsia="en-US"/>
              </w:rPr>
            </w:pPr>
          </w:p>
        </w:tc>
        <w:tc>
          <w:tcPr>
            <w:tcW w:w="1357" w:type="dxa"/>
            <w:vMerge/>
            <w:tcBorders>
              <w:top w:val="single" w:sz="2" w:space="0" w:color="auto"/>
              <w:left w:val="single" w:sz="2" w:space="0" w:color="auto"/>
              <w:bottom w:val="single" w:sz="2" w:space="0" w:color="auto"/>
              <w:right w:val="single" w:sz="2" w:space="0" w:color="auto"/>
            </w:tcBorders>
            <w:shd w:val="clear" w:color="auto" w:fill="auto"/>
          </w:tcPr>
          <w:p w:rsidR="00A85EB3" w:rsidRDefault="00A85EB3">
            <w:pPr>
              <w:widowControl w:val="0"/>
              <w:overflowPunct w:val="0"/>
              <w:autoSpaceDE w:val="0"/>
              <w:autoSpaceDN w:val="0"/>
              <w:adjustRightInd w:val="0"/>
              <w:spacing w:before="60" w:after="60"/>
              <w:jc w:val="center"/>
              <w:textAlignment w:val="baseline"/>
              <w:rPr>
                <w:rFonts w:eastAsia="Times New Roman"/>
                <w:spacing w:val="20"/>
                <w:sz w:val="20"/>
                <w:lang w:val="en-US" w:eastAsia="en-US"/>
              </w:rPr>
            </w:pPr>
          </w:p>
        </w:tc>
        <w:tc>
          <w:tcPr>
            <w:tcW w:w="1784"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overflowPunct w:val="0"/>
              <w:autoSpaceDE w:val="0"/>
              <w:autoSpaceDN w:val="0"/>
              <w:adjustRightInd w:val="0"/>
              <w:spacing w:before="60" w:after="60"/>
              <w:jc w:val="center"/>
              <w:textAlignment w:val="baseline"/>
              <w:rPr>
                <w:rFonts w:eastAsia="Times New Roman"/>
                <w:spacing w:val="20"/>
                <w:sz w:val="20"/>
                <w:lang w:val="en-US" w:eastAsia="en-US"/>
              </w:rPr>
            </w:pPr>
            <w:r>
              <w:rPr>
                <w:rFonts w:eastAsia="Times New Roman"/>
                <w:spacing w:val="20"/>
                <w:sz w:val="20"/>
                <w:lang w:eastAsia="en-US"/>
              </w:rPr>
              <w:t>Вноски от трети страни</w:t>
            </w:r>
          </w:p>
        </w:tc>
        <w:tc>
          <w:tcPr>
            <w:tcW w:w="1851"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tabs>
                <w:tab w:val="left" w:pos="1692"/>
                <w:tab w:val="left" w:pos="2412"/>
              </w:tabs>
              <w:overflowPunct w:val="0"/>
              <w:autoSpaceDE w:val="0"/>
              <w:autoSpaceDN w:val="0"/>
              <w:adjustRightInd w:val="0"/>
              <w:spacing w:before="60" w:after="60"/>
              <w:jc w:val="center"/>
              <w:textAlignment w:val="baseline"/>
              <w:rPr>
                <w:rFonts w:eastAsia="Times New Roman"/>
                <w:spacing w:val="20"/>
                <w:sz w:val="20"/>
                <w:lang w:val="en-US" w:eastAsia="en-US"/>
              </w:rPr>
            </w:pPr>
            <w:r>
              <w:rPr>
                <w:rFonts w:eastAsia="Times New Roman"/>
                <w:spacing w:val="20"/>
                <w:sz w:val="20"/>
                <w:lang w:eastAsia="en-US"/>
              </w:rPr>
              <w:t>Участие на ЕИБ</w:t>
            </w:r>
          </w:p>
        </w:tc>
      </w:tr>
      <w:tr w:rsidR="002E5AA0" w:rsidRPr="00981F6F" w:rsidTr="003D05CE">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rsidR="00A85EB3" w:rsidRDefault="00B07D03">
            <w:pPr>
              <w:widowControl w:val="0"/>
              <w:overflowPunct w:val="0"/>
              <w:autoSpaceDE w:val="0"/>
              <w:autoSpaceDN w:val="0"/>
              <w:adjustRightInd w:val="0"/>
              <w:spacing w:before="60" w:after="60"/>
              <w:textAlignment w:val="baseline"/>
              <w:rPr>
                <w:rFonts w:eastAsia="Times New Roman"/>
                <w:sz w:val="20"/>
                <w:lang w:val="en-US" w:eastAsia="en-US"/>
              </w:rPr>
            </w:pPr>
            <w:r>
              <w:rPr>
                <w:rFonts w:eastAsia="Times New Roman"/>
                <w:sz w:val="20"/>
                <w:lang w:eastAsia="en-US"/>
              </w:rPr>
              <w:t>ПО–1</w:t>
            </w:r>
          </w:p>
        </w:tc>
        <w:tc>
          <w:tcPr>
            <w:tcW w:w="1472" w:type="dxa"/>
            <w:tcBorders>
              <w:top w:val="single" w:sz="2" w:space="0" w:color="auto"/>
              <w:left w:val="single" w:sz="2" w:space="0" w:color="auto"/>
              <w:bottom w:val="single" w:sz="2" w:space="0" w:color="auto"/>
              <w:right w:val="single" w:sz="2" w:space="0" w:color="auto"/>
            </w:tcBorders>
            <w:shd w:val="clear" w:color="auto" w:fill="auto"/>
          </w:tcPr>
          <w:p w:rsidR="00A85EB3" w:rsidRDefault="00A85EB3">
            <w:pPr>
              <w:widowControl w:val="0"/>
              <w:spacing w:line="269" w:lineRule="auto"/>
              <w:jc w:val="center"/>
              <w:rPr>
                <w:rFonts w:eastAsia="Times New Roman"/>
                <w:i/>
                <w:sz w:val="20"/>
                <w:highlight w:val="yellow"/>
                <w:lang w:val="en-US" w:eastAsia="ar-SA"/>
              </w:rPr>
            </w:pP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spacing w:line="269" w:lineRule="auto"/>
              <w:jc w:val="center"/>
              <w:rPr>
                <w:rFonts w:eastAsia="Times New Roman"/>
                <w:i/>
                <w:sz w:val="20"/>
                <w:highlight w:val="yellow"/>
                <w:lang w:val="en-US" w:eastAsia="ar-SA"/>
              </w:rPr>
            </w:pPr>
            <w:r>
              <w:rPr>
                <w:rFonts w:eastAsia="Times New Roman"/>
                <w:sz w:val="20"/>
                <w:lang w:eastAsia="bg-BG"/>
              </w:rPr>
              <w:t>11 338 407,00</w:t>
            </w:r>
          </w:p>
        </w:tc>
        <w:tc>
          <w:tcPr>
            <w:tcW w:w="1611"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spacing w:line="269" w:lineRule="auto"/>
              <w:jc w:val="center"/>
              <w:rPr>
                <w:rFonts w:eastAsia="Times New Roman"/>
                <w:i/>
                <w:sz w:val="20"/>
                <w:highlight w:val="yellow"/>
                <w:lang w:val="en-US" w:eastAsia="ar-SA"/>
              </w:rPr>
            </w:pPr>
            <w:r>
              <w:rPr>
                <w:rFonts w:eastAsia="Times New Roman"/>
                <w:sz w:val="20"/>
                <w:lang w:eastAsia="bg-BG"/>
              </w:rPr>
              <w:t>2 000 895,35</w:t>
            </w:r>
          </w:p>
        </w:tc>
        <w:tc>
          <w:tcPr>
            <w:tcW w:w="1366"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spacing w:line="269" w:lineRule="auto"/>
              <w:rPr>
                <w:rFonts w:eastAsia="Times New Roman"/>
                <w:i/>
                <w:sz w:val="20"/>
                <w:highlight w:val="yellow"/>
                <w:lang w:val="en-US" w:eastAsia="ar-SA"/>
              </w:rPr>
            </w:pPr>
            <w:r>
              <w:rPr>
                <w:rFonts w:eastAsia="Times New Roman"/>
                <w:sz w:val="20"/>
                <w:lang w:eastAsia="bg-BG"/>
              </w:rPr>
              <w:t>2 000 895,35</w:t>
            </w:r>
          </w:p>
        </w:tc>
        <w:tc>
          <w:tcPr>
            <w:tcW w:w="1154"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spacing w:line="269" w:lineRule="auto"/>
              <w:jc w:val="center"/>
              <w:rPr>
                <w:rFonts w:eastAsia="Times New Roman"/>
                <w:sz w:val="20"/>
                <w:lang w:val="en-US" w:eastAsia="ar-SA"/>
              </w:rPr>
            </w:pPr>
            <w:r>
              <w:rPr>
                <w:rFonts w:eastAsia="Times New Roman"/>
                <w:sz w:val="20"/>
                <w:lang w:eastAsia="ar-SA"/>
              </w:rPr>
              <w:t>0</w:t>
            </w:r>
          </w:p>
        </w:tc>
        <w:tc>
          <w:tcPr>
            <w:tcW w:w="1539"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spacing w:line="269" w:lineRule="auto"/>
              <w:rPr>
                <w:rFonts w:eastAsia="Times New Roman"/>
                <w:i/>
                <w:sz w:val="20"/>
                <w:highlight w:val="yellow"/>
                <w:lang w:val="en-US" w:eastAsia="ar-SA"/>
              </w:rPr>
            </w:pPr>
            <w:r>
              <w:rPr>
                <w:rFonts w:eastAsia="Times New Roman"/>
                <w:sz w:val="20"/>
                <w:lang w:eastAsia="bg-BG"/>
              </w:rPr>
              <w:t>13 339 302,35</w:t>
            </w:r>
          </w:p>
        </w:tc>
        <w:tc>
          <w:tcPr>
            <w:tcW w:w="1357"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spacing w:line="269" w:lineRule="auto"/>
              <w:jc w:val="center"/>
              <w:rPr>
                <w:rFonts w:eastAsia="Times New Roman"/>
                <w:sz w:val="20"/>
                <w:lang w:val="en-US" w:eastAsia="ar-SA"/>
              </w:rPr>
            </w:pPr>
            <w:r>
              <w:rPr>
                <w:rFonts w:eastAsia="Times New Roman"/>
                <w:sz w:val="20"/>
                <w:lang w:eastAsia="ar-SA"/>
              </w:rPr>
              <w:t>85 %</w:t>
            </w:r>
          </w:p>
        </w:tc>
        <w:tc>
          <w:tcPr>
            <w:tcW w:w="1784"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spacing w:line="269" w:lineRule="auto"/>
              <w:jc w:val="center"/>
              <w:rPr>
                <w:rFonts w:eastAsia="Times New Roman"/>
                <w:i/>
                <w:sz w:val="20"/>
                <w:highlight w:val="yellow"/>
                <w:lang w:val="en-US" w:eastAsia="ar-SA"/>
              </w:rPr>
            </w:pPr>
            <w:r>
              <w:rPr>
                <w:rFonts w:eastAsia="Times New Roman"/>
                <w:i/>
                <w:sz w:val="20"/>
                <w:lang w:eastAsia="ar-SA"/>
              </w:rPr>
              <w:t>Не е приложимо</w:t>
            </w:r>
          </w:p>
        </w:tc>
        <w:tc>
          <w:tcPr>
            <w:tcW w:w="1851"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overflowPunct w:val="0"/>
              <w:autoSpaceDE w:val="0"/>
              <w:autoSpaceDN w:val="0"/>
              <w:adjustRightInd w:val="0"/>
              <w:spacing w:before="60" w:after="60"/>
              <w:jc w:val="center"/>
              <w:textAlignment w:val="baseline"/>
              <w:rPr>
                <w:rFonts w:eastAsia="Times New Roman"/>
                <w:sz w:val="20"/>
                <w:lang w:val="en-US" w:eastAsia="en-US"/>
              </w:rPr>
            </w:pPr>
            <w:r>
              <w:rPr>
                <w:rFonts w:eastAsia="Times New Roman"/>
                <w:i/>
                <w:sz w:val="20"/>
                <w:lang w:eastAsia="nl-NL"/>
              </w:rPr>
              <w:t>Не е приложимо</w:t>
            </w:r>
          </w:p>
        </w:tc>
      </w:tr>
      <w:tr w:rsidR="002E5AA0" w:rsidRPr="00981F6F" w:rsidTr="003D05CE">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rsidR="00A85EB3" w:rsidRDefault="00B07D03">
            <w:pPr>
              <w:widowControl w:val="0"/>
              <w:overflowPunct w:val="0"/>
              <w:autoSpaceDE w:val="0"/>
              <w:autoSpaceDN w:val="0"/>
              <w:adjustRightInd w:val="0"/>
              <w:spacing w:before="60" w:after="60"/>
              <w:textAlignment w:val="baseline"/>
              <w:rPr>
                <w:rFonts w:eastAsia="Times New Roman"/>
                <w:sz w:val="20"/>
                <w:lang w:val="en-US" w:eastAsia="en-US"/>
              </w:rPr>
            </w:pPr>
            <w:r>
              <w:rPr>
                <w:rFonts w:eastAsia="Times New Roman"/>
                <w:sz w:val="20"/>
                <w:lang w:eastAsia="en-US"/>
              </w:rPr>
              <w:t>ПО–2</w:t>
            </w:r>
          </w:p>
        </w:tc>
        <w:tc>
          <w:tcPr>
            <w:tcW w:w="1472" w:type="dxa"/>
            <w:tcBorders>
              <w:top w:val="single" w:sz="2" w:space="0" w:color="auto"/>
              <w:left w:val="single" w:sz="2" w:space="0" w:color="auto"/>
              <w:bottom w:val="single" w:sz="2" w:space="0" w:color="auto"/>
              <w:right w:val="single" w:sz="2" w:space="0" w:color="auto"/>
            </w:tcBorders>
            <w:shd w:val="clear" w:color="auto" w:fill="auto"/>
          </w:tcPr>
          <w:p w:rsidR="00A85EB3" w:rsidRDefault="00A85EB3">
            <w:pPr>
              <w:widowControl w:val="0"/>
              <w:spacing w:line="269" w:lineRule="auto"/>
              <w:jc w:val="center"/>
              <w:rPr>
                <w:rFonts w:eastAsia="Times New Roman"/>
                <w:i/>
                <w:sz w:val="20"/>
                <w:highlight w:val="yellow"/>
                <w:lang w:val="en-US" w:eastAsia="ar-SA"/>
              </w:rPr>
            </w:pP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overflowPunct w:val="0"/>
              <w:autoSpaceDE w:val="0"/>
              <w:autoSpaceDN w:val="0"/>
              <w:adjustRightInd w:val="0"/>
              <w:spacing w:before="60" w:after="60"/>
              <w:jc w:val="center"/>
              <w:textAlignment w:val="baseline"/>
              <w:rPr>
                <w:rFonts w:eastAsia="Times New Roman"/>
                <w:b/>
                <w:spacing w:val="20"/>
                <w:sz w:val="20"/>
                <w:lang w:val="en-US" w:eastAsia="en-US"/>
              </w:rPr>
            </w:pPr>
            <w:r>
              <w:rPr>
                <w:rFonts w:eastAsia="Times New Roman"/>
                <w:sz w:val="20"/>
                <w:lang w:eastAsia="bg-BG"/>
              </w:rPr>
              <w:t>11 338 407,00</w:t>
            </w:r>
          </w:p>
        </w:tc>
        <w:tc>
          <w:tcPr>
            <w:tcW w:w="1611"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spacing w:line="269" w:lineRule="auto"/>
              <w:jc w:val="center"/>
              <w:rPr>
                <w:rFonts w:eastAsia="Times New Roman"/>
                <w:i/>
                <w:sz w:val="20"/>
                <w:highlight w:val="yellow"/>
                <w:lang w:val="en-US" w:eastAsia="ar-SA"/>
              </w:rPr>
            </w:pPr>
            <w:r>
              <w:rPr>
                <w:rFonts w:eastAsia="Times New Roman"/>
                <w:sz w:val="20"/>
                <w:lang w:eastAsia="bg-BG"/>
              </w:rPr>
              <w:t>2 000 895,35</w:t>
            </w:r>
          </w:p>
        </w:tc>
        <w:tc>
          <w:tcPr>
            <w:tcW w:w="1366"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spacing w:line="269" w:lineRule="auto"/>
              <w:rPr>
                <w:rFonts w:eastAsia="Times New Roman"/>
                <w:i/>
                <w:sz w:val="20"/>
                <w:highlight w:val="yellow"/>
                <w:lang w:val="en-US" w:eastAsia="ar-SA"/>
              </w:rPr>
            </w:pPr>
            <w:r>
              <w:rPr>
                <w:rFonts w:eastAsia="Times New Roman"/>
                <w:sz w:val="20"/>
                <w:lang w:eastAsia="bg-BG"/>
              </w:rPr>
              <w:t>2 000 895,35</w:t>
            </w:r>
          </w:p>
        </w:tc>
        <w:tc>
          <w:tcPr>
            <w:tcW w:w="1154"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spacing w:line="269" w:lineRule="auto"/>
              <w:jc w:val="center"/>
              <w:rPr>
                <w:rFonts w:eastAsia="Times New Roman"/>
                <w:sz w:val="20"/>
                <w:lang w:val="en-US" w:eastAsia="ar-SA"/>
              </w:rPr>
            </w:pPr>
            <w:r>
              <w:rPr>
                <w:rFonts w:eastAsia="Times New Roman"/>
                <w:sz w:val="20"/>
                <w:lang w:eastAsia="ar-SA"/>
              </w:rPr>
              <w:t>0</w:t>
            </w:r>
          </w:p>
        </w:tc>
        <w:tc>
          <w:tcPr>
            <w:tcW w:w="1539"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spacing w:line="269" w:lineRule="auto"/>
              <w:rPr>
                <w:rFonts w:eastAsia="Times New Roman"/>
                <w:i/>
                <w:sz w:val="20"/>
                <w:highlight w:val="yellow"/>
                <w:lang w:val="en-US" w:eastAsia="ar-SA"/>
              </w:rPr>
            </w:pPr>
            <w:r>
              <w:rPr>
                <w:rFonts w:eastAsia="Times New Roman"/>
                <w:sz w:val="20"/>
                <w:lang w:eastAsia="bg-BG"/>
              </w:rPr>
              <w:t>13 339 302,35</w:t>
            </w:r>
          </w:p>
        </w:tc>
        <w:tc>
          <w:tcPr>
            <w:tcW w:w="1357"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spacing w:line="269" w:lineRule="auto"/>
              <w:jc w:val="center"/>
              <w:rPr>
                <w:rFonts w:eastAsia="Times New Roman"/>
                <w:sz w:val="20"/>
                <w:lang w:val="en-US" w:eastAsia="ar-SA"/>
              </w:rPr>
            </w:pPr>
            <w:r>
              <w:rPr>
                <w:rFonts w:eastAsia="Times New Roman"/>
                <w:sz w:val="20"/>
                <w:lang w:eastAsia="ar-SA"/>
              </w:rPr>
              <w:t>85 %</w:t>
            </w:r>
          </w:p>
        </w:tc>
        <w:tc>
          <w:tcPr>
            <w:tcW w:w="1784"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spacing w:line="269" w:lineRule="auto"/>
              <w:jc w:val="center"/>
              <w:rPr>
                <w:rFonts w:eastAsia="Times New Roman"/>
                <w:i/>
                <w:sz w:val="20"/>
                <w:highlight w:val="yellow"/>
                <w:lang w:val="en-US" w:eastAsia="ar-SA"/>
              </w:rPr>
            </w:pPr>
            <w:r>
              <w:rPr>
                <w:rFonts w:eastAsia="Times New Roman"/>
                <w:i/>
                <w:sz w:val="20"/>
                <w:lang w:eastAsia="ar-SA"/>
              </w:rPr>
              <w:t>Не е приложимо</w:t>
            </w:r>
          </w:p>
        </w:tc>
        <w:tc>
          <w:tcPr>
            <w:tcW w:w="1851"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overflowPunct w:val="0"/>
              <w:autoSpaceDE w:val="0"/>
              <w:autoSpaceDN w:val="0"/>
              <w:adjustRightInd w:val="0"/>
              <w:spacing w:before="60" w:after="60"/>
              <w:jc w:val="center"/>
              <w:textAlignment w:val="baseline"/>
              <w:rPr>
                <w:rFonts w:eastAsia="Times New Roman"/>
                <w:sz w:val="20"/>
                <w:lang w:val="en-US" w:eastAsia="en-US"/>
              </w:rPr>
            </w:pPr>
            <w:r>
              <w:rPr>
                <w:rFonts w:eastAsia="Times New Roman"/>
                <w:i/>
                <w:sz w:val="20"/>
                <w:lang w:eastAsia="nl-NL"/>
              </w:rPr>
              <w:t>Не е приложимо</w:t>
            </w:r>
          </w:p>
        </w:tc>
      </w:tr>
      <w:tr w:rsidR="002E5AA0" w:rsidRPr="00981F6F" w:rsidTr="003D05CE">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rsidR="00A85EB3" w:rsidRDefault="00B07D03">
            <w:pPr>
              <w:widowControl w:val="0"/>
              <w:overflowPunct w:val="0"/>
              <w:autoSpaceDE w:val="0"/>
              <w:autoSpaceDN w:val="0"/>
              <w:adjustRightInd w:val="0"/>
              <w:spacing w:before="60" w:after="60"/>
              <w:textAlignment w:val="baseline"/>
              <w:rPr>
                <w:rFonts w:eastAsia="Times New Roman"/>
                <w:sz w:val="20"/>
                <w:lang w:val="en-US" w:eastAsia="en-US"/>
              </w:rPr>
            </w:pPr>
            <w:r>
              <w:rPr>
                <w:rFonts w:eastAsia="Times New Roman"/>
                <w:sz w:val="20"/>
                <w:lang w:eastAsia="en-US"/>
              </w:rPr>
              <w:t>ПО–ТП</w:t>
            </w:r>
          </w:p>
        </w:tc>
        <w:tc>
          <w:tcPr>
            <w:tcW w:w="1472" w:type="dxa"/>
            <w:tcBorders>
              <w:top w:val="single" w:sz="2" w:space="0" w:color="auto"/>
              <w:left w:val="single" w:sz="2" w:space="0" w:color="auto"/>
              <w:bottom w:val="single" w:sz="2" w:space="0" w:color="auto"/>
              <w:right w:val="single" w:sz="2" w:space="0" w:color="auto"/>
            </w:tcBorders>
            <w:shd w:val="clear" w:color="auto" w:fill="auto"/>
          </w:tcPr>
          <w:p w:rsidR="00A85EB3" w:rsidRDefault="00A85EB3">
            <w:pPr>
              <w:widowControl w:val="0"/>
              <w:spacing w:line="269" w:lineRule="auto"/>
              <w:jc w:val="center"/>
              <w:rPr>
                <w:rFonts w:eastAsia="Times New Roman"/>
                <w:i/>
                <w:sz w:val="20"/>
                <w:highlight w:val="yellow"/>
                <w:lang w:val="en-US" w:eastAsia="ar-SA"/>
              </w:rPr>
            </w:pP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spacing w:line="269" w:lineRule="auto"/>
              <w:jc w:val="center"/>
              <w:rPr>
                <w:rFonts w:eastAsia="Times New Roman"/>
                <w:i/>
                <w:sz w:val="20"/>
                <w:highlight w:val="yellow"/>
                <w:lang w:val="en-US" w:eastAsia="ar-SA"/>
              </w:rPr>
            </w:pPr>
            <w:r>
              <w:rPr>
                <w:rFonts w:eastAsia="Times New Roman"/>
                <w:sz w:val="20"/>
                <w:lang w:eastAsia="bg-BG"/>
              </w:rPr>
              <w:t>2 519 646,00</w:t>
            </w:r>
          </w:p>
        </w:tc>
        <w:tc>
          <w:tcPr>
            <w:tcW w:w="1611"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spacing w:line="269" w:lineRule="auto"/>
              <w:jc w:val="center"/>
              <w:rPr>
                <w:rFonts w:eastAsia="Times New Roman"/>
                <w:i/>
                <w:sz w:val="20"/>
                <w:highlight w:val="yellow"/>
                <w:lang w:val="en-US" w:eastAsia="ar-SA"/>
              </w:rPr>
            </w:pPr>
            <w:r>
              <w:rPr>
                <w:rFonts w:eastAsia="Times New Roman"/>
                <w:sz w:val="20"/>
                <w:lang w:eastAsia="bg-BG"/>
              </w:rPr>
              <w:t>444 643,42</w:t>
            </w:r>
          </w:p>
        </w:tc>
        <w:tc>
          <w:tcPr>
            <w:tcW w:w="1366"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spacing w:line="269" w:lineRule="auto"/>
              <w:jc w:val="center"/>
              <w:rPr>
                <w:rFonts w:eastAsia="Times New Roman"/>
                <w:i/>
                <w:sz w:val="20"/>
                <w:highlight w:val="yellow"/>
                <w:lang w:val="en-US" w:eastAsia="ar-SA"/>
              </w:rPr>
            </w:pPr>
            <w:r>
              <w:rPr>
                <w:rFonts w:eastAsia="Times New Roman"/>
                <w:sz w:val="20"/>
                <w:lang w:eastAsia="bg-BG"/>
              </w:rPr>
              <w:t>444 643,42</w:t>
            </w:r>
          </w:p>
        </w:tc>
        <w:tc>
          <w:tcPr>
            <w:tcW w:w="1154"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spacing w:line="269" w:lineRule="auto"/>
              <w:jc w:val="center"/>
              <w:rPr>
                <w:rFonts w:eastAsia="Times New Roman"/>
                <w:sz w:val="20"/>
                <w:lang w:val="en-US" w:eastAsia="ar-SA"/>
              </w:rPr>
            </w:pPr>
            <w:r>
              <w:rPr>
                <w:rFonts w:eastAsia="Times New Roman"/>
                <w:sz w:val="20"/>
                <w:lang w:eastAsia="ar-SA"/>
              </w:rPr>
              <w:t>0</w:t>
            </w:r>
          </w:p>
        </w:tc>
        <w:tc>
          <w:tcPr>
            <w:tcW w:w="1539"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spacing w:line="269" w:lineRule="auto"/>
              <w:rPr>
                <w:rFonts w:eastAsia="Times New Roman"/>
                <w:i/>
                <w:sz w:val="20"/>
                <w:highlight w:val="yellow"/>
                <w:lang w:val="en-US" w:eastAsia="ar-SA"/>
              </w:rPr>
            </w:pPr>
            <w:r>
              <w:rPr>
                <w:rFonts w:eastAsia="Times New Roman"/>
                <w:sz w:val="20"/>
                <w:lang w:eastAsia="bg-BG"/>
              </w:rPr>
              <w:t>2 964 289,42</w:t>
            </w:r>
          </w:p>
        </w:tc>
        <w:tc>
          <w:tcPr>
            <w:tcW w:w="1357"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spacing w:line="269" w:lineRule="auto"/>
              <w:jc w:val="center"/>
              <w:rPr>
                <w:rFonts w:eastAsia="Times New Roman"/>
                <w:sz w:val="20"/>
                <w:lang w:val="en-US" w:eastAsia="ar-SA"/>
              </w:rPr>
            </w:pPr>
            <w:r>
              <w:rPr>
                <w:rFonts w:eastAsia="Times New Roman"/>
                <w:sz w:val="20"/>
                <w:lang w:eastAsia="ar-SA"/>
              </w:rPr>
              <w:t>85 %</w:t>
            </w:r>
          </w:p>
        </w:tc>
        <w:tc>
          <w:tcPr>
            <w:tcW w:w="1784"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spacing w:line="269" w:lineRule="auto"/>
              <w:jc w:val="center"/>
              <w:rPr>
                <w:rFonts w:eastAsia="Times New Roman"/>
                <w:i/>
                <w:sz w:val="20"/>
                <w:highlight w:val="yellow"/>
                <w:lang w:val="en-US" w:eastAsia="ar-SA"/>
              </w:rPr>
            </w:pPr>
            <w:r>
              <w:rPr>
                <w:rFonts w:eastAsia="Times New Roman"/>
                <w:i/>
                <w:sz w:val="20"/>
                <w:lang w:eastAsia="ar-SA"/>
              </w:rPr>
              <w:t>Не е приложимо</w:t>
            </w:r>
          </w:p>
        </w:tc>
        <w:tc>
          <w:tcPr>
            <w:tcW w:w="1851"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overflowPunct w:val="0"/>
              <w:autoSpaceDE w:val="0"/>
              <w:autoSpaceDN w:val="0"/>
              <w:adjustRightInd w:val="0"/>
              <w:spacing w:before="60" w:after="60"/>
              <w:jc w:val="center"/>
              <w:textAlignment w:val="baseline"/>
              <w:rPr>
                <w:rFonts w:eastAsia="Times New Roman"/>
                <w:sz w:val="20"/>
                <w:lang w:val="en-US" w:eastAsia="en-US"/>
              </w:rPr>
            </w:pPr>
            <w:r>
              <w:rPr>
                <w:rFonts w:eastAsia="Times New Roman"/>
                <w:i/>
                <w:sz w:val="20"/>
                <w:lang w:eastAsia="nl-NL"/>
              </w:rPr>
              <w:t>Не е приложимо</w:t>
            </w:r>
          </w:p>
        </w:tc>
      </w:tr>
      <w:tr w:rsidR="002E5AA0" w:rsidRPr="00981F6F" w:rsidTr="003D05CE">
        <w:tc>
          <w:tcPr>
            <w:tcW w:w="1080" w:type="dxa"/>
            <w:tcBorders>
              <w:top w:val="single" w:sz="2" w:space="0" w:color="auto"/>
              <w:left w:val="single" w:sz="2" w:space="0" w:color="auto"/>
              <w:bottom w:val="single" w:sz="2" w:space="0" w:color="auto"/>
              <w:right w:val="single" w:sz="2" w:space="0" w:color="auto"/>
            </w:tcBorders>
            <w:shd w:val="clear" w:color="auto" w:fill="auto"/>
            <w:vAlign w:val="center"/>
          </w:tcPr>
          <w:p w:rsidR="00A85EB3" w:rsidRDefault="00B07D03">
            <w:pPr>
              <w:widowControl w:val="0"/>
              <w:overflowPunct w:val="0"/>
              <w:autoSpaceDE w:val="0"/>
              <w:autoSpaceDN w:val="0"/>
              <w:adjustRightInd w:val="0"/>
              <w:spacing w:before="60" w:after="60"/>
              <w:textAlignment w:val="baseline"/>
              <w:rPr>
                <w:rFonts w:eastAsia="Times New Roman"/>
                <w:sz w:val="20"/>
                <w:lang w:val="en-US" w:eastAsia="en-US"/>
              </w:rPr>
            </w:pPr>
            <w:r>
              <w:rPr>
                <w:rFonts w:eastAsia="Times New Roman"/>
                <w:sz w:val="20"/>
                <w:lang w:eastAsia="en-US"/>
              </w:rPr>
              <w:t>ОБЩО</w:t>
            </w:r>
          </w:p>
        </w:tc>
        <w:tc>
          <w:tcPr>
            <w:tcW w:w="1472" w:type="dxa"/>
            <w:tcBorders>
              <w:top w:val="single" w:sz="2" w:space="0" w:color="auto"/>
              <w:left w:val="single" w:sz="2" w:space="0" w:color="auto"/>
              <w:bottom w:val="single" w:sz="2" w:space="0" w:color="auto"/>
              <w:right w:val="single" w:sz="2" w:space="0" w:color="auto"/>
            </w:tcBorders>
            <w:shd w:val="clear" w:color="auto" w:fill="auto"/>
          </w:tcPr>
          <w:p w:rsidR="00A85EB3" w:rsidRDefault="00A85EB3">
            <w:pPr>
              <w:widowControl w:val="0"/>
              <w:spacing w:line="269" w:lineRule="auto"/>
              <w:jc w:val="center"/>
              <w:rPr>
                <w:rFonts w:eastAsia="Times New Roman"/>
                <w:i/>
                <w:sz w:val="20"/>
                <w:highlight w:val="yellow"/>
                <w:lang w:val="en-US" w:eastAsia="ar-SA"/>
              </w:rPr>
            </w:pPr>
          </w:p>
        </w:tc>
        <w:tc>
          <w:tcPr>
            <w:tcW w:w="1417"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spacing w:line="269" w:lineRule="auto"/>
              <w:jc w:val="center"/>
              <w:rPr>
                <w:rFonts w:eastAsia="Times New Roman"/>
                <w:i/>
                <w:sz w:val="20"/>
                <w:highlight w:val="yellow"/>
                <w:lang w:val="en-US" w:eastAsia="ar-SA"/>
              </w:rPr>
            </w:pPr>
            <w:r>
              <w:rPr>
                <w:rFonts w:eastAsia="Times New Roman"/>
                <w:b/>
                <w:bCs/>
                <w:sz w:val="20"/>
                <w:lang w:eastAsia="bg-BG"/>
              </w:rPr>
              <w:t>25 196 460,00</w:t>
            </w:r>
          </w:p>
        </w:tc>
        <w:tc>
          <w:tcPr>
            <w:tcW w:w="1611"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spacing w:line="269" w:lineRule="auto"/>
              <w:jc w:val="center"/>
              <w:rPr>
                <w:rFonts w:eastAsia="Times New Roman"/>
                <w:i/>
                <w:sz w:val="20"/>
                <w:highlight w:val="yellow"/>
                <w:lang w:val="en-US" w:eastAsia="ar-SA"/>
              </w:rPr>
            </w:pPr>
            <w:r>
              <w:rPr>
                <w:rFonts w:eastAsia="Times New Roman"/>
                <w:b/>
                <w:bCs/>
                <w:sz w:val="20"/>
                <w:lang w:eastAsia="bg-BG"/>
              </w:rPr>
              <w:t>4 446 434,12</w:t>
            </w:r>
          </w:p>
        </w:tc>
        <w:tc>
          <w:tcPr>
            <w:tcW w:w="1366"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spacing w:line="269" w:lineRule="auto"/>
              <w:rPr>
                <w:rFonts w:eastAsia="Times New Roman"/>
                <w:i/>
                <w:sz w:val="20"/>
                <w:highlight w:val="yellow"/>
                <w:lang w:val="en-US" w:eastAsia="ar-SA"/>
              </w:rPr>
            </w:pPr>
            <w:r>
              <w:rPr>
                <w:rFonts w:eastAsia="Times New Roman"/>
                <w:b/>
                <w:bCs/>
                <w:sz w:val="20"/>
                <w:lang w:eastAsia="bg-BG"/>
              </w:rPr>
              <w:t>4 446 434,12</w:t>
            </w:r>
          </w:p>
        </w:tc>
        <w:tc>
          <w:tcPr>
            <w:tcW w:w="1154"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spacing w:line="269" w:lineRule="auto"/>
              <w:jc w:val="center"/>
              <w:rPr>
                <w:rFonts w:eastAsia="Times New Roman"/>
                <w:sz w:val="20"/>
                <w:lang w:val="en-US" w:eastAsia="ar-SA"/>
              </w:rPr>
            </w:pPr>
            <w:r>
              <w:rPr>
                <w:rFonts w:eastAsia="Times New Roman"/>
                <w:sz w:val="20"/>
                <w:lang w:eastAsia="ar-SA"/>
              </w:rPr>
              <w:t>0</w:t>
            </w:r>
          </w:p>
        </w:tc>
        <w:tc>
          <w:tcPr>
            <w:tcW w:w="1539"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spacing w:line="269" w:lineRule="auto"/>
              <w:rPr>
                <w:rFonts w:eastAsia="Times New Roman"/>
                <w:i/>
                <w:sz w:val="20"/>
                <w:highlight w:val="yellow"/>
                <w:lang w:val="en-US" w:eastAsia="ar-SA"/>
              </w:rPr>
            </w:pPr>
            <w:r>
              <w:rPr>
                <w:rFonts w:eastAsia="Times New Roman"/>
                <w:b/>
                <w:bCs/>
                <w:sz w:val="20"/>
                <w:lang w:eastAsia="bg-BG"/>
              </w:rPr>
              <w:t>29 642 894,12</w:t>
            </w:r>
          </w:p>
        </w:tc>
        <w:tc>
          <w:tcPr>
            <w:tcW w:w="1357" w:type="dxa"/>
            <w:tcBorders>
              <w:top w:val="single" w:sz="2" w:space="0" w:color="auto"/>
              <w:left w:val="single" w:sz="2" w:space="0" w:color="auto"/>
              <w:bottom w:val="single" w:sz="2" w:space="0" w:color="auto"/>
              <w:right w:val="single" w:sz="2" w:space="0" w:color="auto"/>
            </w:tcBorders>
            <w:shd w:val="clear" w:color="auto" w:fill="auto"/>
          </w:tcPr>
          <w:p w:rsidR="00A85EB3" w:rsidRDefault="00A85EB3">
            <w:pPr>
              <w:widowControl w:val="0"/>
              <w:spacing w:line="269" w:lineRule="auto"/>
              <w:rPr>
                <w:rFonts w:eastAsia="Times New Roman"/>
                <w:sz w:val="20"/>
                <w:lang w:val="en-US" w:eastAsia="ar-SA"/>
              </w:rPr>
            </w:pPr>
          </w:p>
        </w:tc>
        <w:tc>
          <w:tcPr>
            <w:tcW w:w="1784"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spacing w:line="269" w:lineRule="auto"/>
              <w:jc w:val="center"/>
              <w:rPr>
                <w:rFonts w:eastAsia="Times New Roman"/>
                <w:i/>
                <w:sz w:val="20"/>
                <w:highlight w:val="yellow"/>
                <w:lang w:val="en-US" w:eastAsia="ar-SA"/>
              </w:rPr>
            </w:pPr>
            <w:r>
              <w:rPr>
                <w:rFonts w:eastAsia="Times New Roman"/>
                <w:i/>
                <w:sz w:val="20"/>
                <w:lang w:eastAsia="ar-SA"/>
              </w:rPr>
              <w:t>Не е приложимо</w:t>
            </w:r>
          </w:p>
        </w:tc>
        <w:tc>
          <w:tcPr>
            <w:tcW w:w="1851" w:type="dxa"/>
            <w:tcBorders>
              <w:top w:val="single" w:sz="2" w:space="0" w:color="auto"/>
              <w:left w:val="single" w:sz="2" w:space="0" w:color="auto"/>
              <w:bottom w:val="single" w:sz="2" w:space="0" w:color="auto"/>
              <w:right w:val="single" w:sz="2" w:space="0" w:color="auto"/>
            </w:tcBorders>
            <w:shd w:val="clear" w:color="auto" w:fill="auto"/>
          </w:tcPr>
          <w:p w:rsidR="00A85EB3" w:rsidRDefault="00B07D03">
            <w:pPr>
              <w:widowControl w:val="0"/>
              <w:overflowPunct w:val="0"/>
              <w:autoSpaceDE w:val="0"/>
              <w:autoSpaceDN w:val="0"/>
              <w:adjustRightInd w:val="0"/>
              <w:spacing w:before="60" w:after="60"/>
              <w:jc w:val="center"/>
              <w:textAlignment w:val="baseline"/>
              <w:rPr>
                <w:rFonts w:eastAsia="Times New Roman"/>
                <w:sz w:val="20"/>
                <w:lang w:val="en-US" w:eastAsia="en-US"/>
              </w:rPr>
            </w:pPr>
            <w:r>
              <w:rPr>
                <w:rFonts w:eastAsia="Times New Roman"/>
                <w:i/>
                <w:sz w:val="20"/>
                <w:lang w:eastAsia="nl-NL"/>
              </w:rPr>
              <w:t>Не е приложимо</w:t>
            </w:r>
          </w:p>
        </w:tc>
      </w:tr>
    </w:tbl>
    <w:p w:rsidR="00A85EB3" w:rsidRDefault="00B07D03">
      <w:pPr>
        <w:spacing w:before="0" w:after="0"/>
        <w:rPr>
          <w:rFonts w:eastAsia="Times New Roman"/>
          <w:sz w:val="20"/>
          <w:lang w:val="en-US"/>
        </w:rPr>
      </w:pPr>
      <w:r>
        <w:rPr>
          <w:rFonts w:eastAsia="Times New Roman"/>
          <w:sz w:val="20"/>
        </w:rPr>
        <w:t>(1) Да се попълни само когато приоритетните оси са посочени като общи разходи.</w:t>
      </w:r>
    </w:p>
    <w:p w:rsidR="00A85EB3" w:rsidRDefault="00B07D03">
      <w:pPr>
        <w:spacing w:before="0" w:after="0"/>
        <w:rPr>
          <w:rFonts w:eastAsia="Times New Roman"/>
          <w:sz w:val="20"/>
          <w:lang w:val="en-US"/>
        </w:rPr>
        <w:sectPr w:rsidR="00A85EB3" w:rsidSect="006A4BDD">
          <w:headerReference w:type="default" r:id="rId48"/>
          <w:footerReference w:type="default" r:id="rId49"/>
          <w:headerReference w:type="first" r:id="rId50"/>
          <w:footerReference w:type="first" r:id="rId51"/>
          <w:pgSz w:w="16838" w:h="11906" w:orient="landscape"/>
          <w:pgMar w:top="1587" w:right="1020" w:bottom="1701" w:left="1020" w:header="601" w:footer="1077" w:gutter="0"/>
          <w:cols w:space="720"/>
          <w:docGrid w:linePitch="326"/>
        </w:sectPr>
      </w:pPr>
      <w:r>
        <w:rPr>
          <w:rFonts w:eastAsia="Times New Roman"/>
          <w:sz w:val="20"/>
        </w:rPr>
        <w:t xml:space="preserve">(2) Този процент може да бъде закръглен към следващото цяло число в таблицата. Точният процент, използван за възстановяване </w:t>
      </w:r>
      <w:r w:rsidR="003A6822">
        <w:rPr>
          <w:rFonts w:eastAsia="Times New Roman"/>
          <w:sz w:val="20"/>
        </w:rPr>
        <w:t>на плащания, е съотношението (f</w:t>
      </w:r>
      <w:r w:rsidR="00800359">
        <w:rPr>
          <w:rFonts w:eastAsia="Times New Roman"/>
          <w:sz w:val="20"/>
        </w:rPr>
        <w:t>).</w:t>
      </w:r>
    </w:p>
    <w:p w:rsidR="00A85EB3" w:rsidRDefault="00B07D03">
      <w:pPr>
        <w:pStyle w:val="Heading3"/>
        <w:numPr>
          <w:ilvl w:val="0"/>
          <w:numId w:val="0"/>
        </w:numPr>
        <w:ind w:left="850" w:hanging="850"/>
        <w:rPr>
          <w:b/>
          <w:i w:val="0"/>
          <w:lang w:val="en-US"/>
        </w:rPr>
      </w:pPr>
      <w:bookmarkStart w:id="73" w:name="_Toc408234919"/>
      <w:r>
        <w:rPr>
          <w:b/>
          <w:i w:val="0"/>
        </w:rPr>
        <w:lastRenderedPageBreak/>
        <w:t>3.2.2</w:t>
      </w:r>
      <w:r>
        <w:rPr>
          <w:b/>
          <w:i w:val="0"/>
        </w:rPr>
        <w:tab/>
        <w:t>Разбивка по приоритетни оси и тематични приоритети</w:t>
      </w:r>
      <w:bookmarkEnd w:id="73"/>
      <w:r>
        <w:rPr>
          <w:b/>
          <w:i w:val="0"/>
        </w:rPr>
        <w:t xml:space="preserve"> </w:t>
      </w:r>
    </w:p>
    <w:p w:rsidR="00A85EB3" w:rsidRDefault="00B07D03">
      <w:pPr>
        <w:rPr>
          <w:lang w:val="en-US"/>
        </w:rPr>
      </w:pPr>
      <w:r>
        <w:t>(Източник: буква(d)(ii) на чл. 8(2) от Регламент (ЕС) № 1299/2013)</w:t>
      </w:r>
    </w:p>
    <w:p w:rsidR="00A85EB3" w:rsidRDefault="00B07D03">
      <w:pPr>
        <w:rPr>
          <w:rFonts w:eastAsia="Times New Roman"/>
          <w:b/>
          <w:szCs w:val="24"/>
          <w:lang w:val="en-US"/>
        </w:rPr>
      </w:pPr>
      <w:r>
        <w:rPr>
          <w:rFonts w:eastAsia="Times New Roman"/>
          <w:b/>
          <w:szCs w:val="24"/>
        </w:rPr>
        <w:t xml:space="preserve">Таблица 17 </w:t>
      </w:r>
    </w:p>
    <w:tbl>
      <w:tblPr>
        <w:tblW w:w="5000" w:type="pct"/>
        <w:tblBorders>
          <w:top w:val="single" w:sz="2" w:space="0" w:color="632423"/>
          <w:left w:val="single" w:sz="2" w:space="0" w:color="632423"/>
          <w:bottom w:val="single" w:sz="2" w:space="0" w:color="632423"/>
          <w:right w:val="single" w:sz="2" w:space="0" w:color="632423"/>
          <w:insideH w:val="single" w:sz="2" w:space="0" w:color="632423"/>
          <w:insideV w:val="single" w:sz="2" w:space="0" w:color="632423"/>
        </w:tblBorders>
        <w:tblLook w:val="01E0" w:firstRow="1" w:lastRow="1" w:firstColumn="1" w:lastColumn="1" w:noHBand="0" w:noVBand="0"/>
      </w:tblPr>
      <w:tblGrid>
        <w:gridCol w:w="1645"/>
        <w:gridCol w:w="2044"/>
        <w:gridCol w:w="1784"/>
        <w:gridCol w:w="1593"/>
        <w:gridCol w:w="1767"/>
      </w:tblGrid>
      <w:tr w:rsidR="002C2629" w:rsidRPr="00981F6F" w:rsidTr="00E7405D">
        <w:tc>
          <w:tcPr>
            <w:tcW w:w="619" w:type="pct"/>
            <w:tcBorders>
              <w:top w:val="single" w:sz="2" w:space="0" w:color="auto"/>
              <w:left w:val="single" w:sz="2" w:space="0" w:color="auto"/>
              <w:bottom w:val="single" w:sz="2" w:space="0" w:color="auto"/>
              <w:right w:val="single" w:sz="2" w:space="0" w:color="auto"/>
            </w:tcBorders>
            <w:shd w:val="clear" w:color="auto" w:fill="auto"/>
          </w:tcPr>
          <w:p w:rsidR="00A85EB3" w:rsidRDefault="00B07D03">
            <w:pPr>
              <w:pStyle w:val="Tekstkader"/>
              <w:widowControl w:val="0"/>
              <w:pBdr>
                <w:left w:val="none" w:sz="0" w:space="0" w:color="auto"/>
              </w:pBdr>
              <w:suppressAutoHyphens w:val="0"/>
              <w:spacing w:before="60" w:after="60" w:line="240" w:lineRule="auto"/>
              <w:ind w:left="0"/>
              <w:jc w:val="center"/>
              <w:rPr>
                <w:rFonts w:ascii="Times New Roman" w:hAnsi="Times New Roman"/>
                <w:b/>
                <w:color w:val="auto"/>
                <w:spacing w:val="20"/>
                <w:sz w:val="20"/>
                <w:lang w:val="en-US" w:eastAsia="en-US"/>
              </w:rPr>
            </w:pPr>
            <w:r>
              <w:rPr>
                <w:rFonts w:ascii="Times New Roman" w:hAnsi="Times New Roman"/>
                <w:b/>
                <w:color w:val="auto"/>
                <w:spacing w:val="20"/>
                <w:sz w:val="20"/>
                <w:lang w:eastAsia="en-US"/>
              </w:rPr>
              <w:t>Приоритетна ос</w:t>
            </w:r>
          </w:p>
        </w:tc>
        <w:tc>
          <w:tcPr>
            <w:tcW w:w="1235" w:type="pct"/>
            <w:tcBorders>
              <w:top w:val="single" w:sz="2" w:space="0" w:color="auto"/>
              <w:left w:val="single" w:sz="2" w:space="0" w:color="auto"/>
              <w:bottom w:val="single" w:sz="2" w:space="0" w:color="auto"/>
              <w:right w:val="single" w:sz="2" w:space="0" w:color="auto"/>
            </w:tcBorders>
            <w:shd w:val="clear" w:color="auto" w:fill="auto"/>
          </w:tcPr>
          <w:p w:rsidR="00A85EB3" w:rsidRDefault="00B07D03">
            <w:pPr>
              <w:pStyle w:val="Tekstkader"/>
              <w:widowControl w:val="0"/>
              <w:pBdr>
                <w:left w:val="none" w:sz="0" w:space="0" w:color="auto"/>
              </w:pBdr>
              <w:suppressAutoHyphens w:val="0"/>
              <w:spacing w:before="60" w:after="60" w:line="240" w:lineRule="auto"/>
              <w:ind w:left="0"/>
              <w:jc w:val="center"/>
              <w:rPr>
                <w:rFonts w:ascii="Times New Roman" w:hAnsi="Times New Roman"/>
                <w:b/>
                <w:color w:val="auto"/>
                <w:spacing w:val="20"/>
                <w:sz w:val="20"/>
                <w:lang w:val="en-US" w:eastAsia="en-US"/>
              </w:rPr>
            </w:pPr>
            <w:r>
              <w:rPr>
                <w:rFonts w:ascii="Times New Roman" w:hAnsi="Times New Roman"/>
                <w:b/>
                <w:color w:val="auto"/>
                <w:spacing w:val="20"/>
                <w:sz w:val="20"/>
                <w:lang w:eastAsia="en-US"/>
              </w:rPr>
              <w:t xml:space="preserve">Тематичен приоритет </w:t>
            </w:r>
          </w:p>
        </w:tc>
        <w:tc>
          <w:tcPr>
            <w:tcW w:w="1088" w:type="pct"/>
            <w:tcBorders>
              <w:top w:val="single" w:sz="2" w:space="0" w:color="auto"/>
              <w:left w:val="single" w:sz="2" w:space="0" w:color="auto"/>
              <w:bottom w:val="single" w:sz="2" w:space="0" w:color="auto"/>
              <w:right w:val="single" w:sz="2" w:space="0" w:color="auto"/>
            </w:tcBorders>
            <w:shd w:val="clear" w:color="auto" w:fill="auto"/>
          </w:tcPr>
          <w:p w:rsidR="00A85EB3" w:rsidRDefault="00B07D03">
            <w:pPr>
              <w:pStyle w:val="Tekstkader"/>
              <w:widowControl w:val="0"/>
              <w:pBdr>
                <w:left w:val="none" w:sz="0" w:space="0" w:color="auto"/>
              </w:pBdr>
              <w:suppressAutoHyphens w:val="0"/>
              <w:spacing w:before="60" w:after="60" w:line="240" w:lineRule="auto"/>
              <w:ind w:left="0"/>
              <w:jc w:val="center"/>
              <w:rPr>
                <w:rFonts w:ascii="Times New Roman" w:hAnsi="Times New Roman"/>
                <w:b/>
                <w:color w:val="auto"/>
                <w:spacing w:val="20"/>
                <w:sz w:val="20"/>
                <w:lang w:val="en-US" w:eastAsia="en-US"/>
              </w:rPr>
            </w:pPr>
            <w:r>
              <w:rPr>
                <w:rFonts w:ascii="Times New Roman" w:hAnsi="Times New Roman"/>
                <w:b/>
                <w:color w:val="auto"/>
                <w:spacing w:val="20"/>
                <w:sz w:val="20"/>
                <w:lang w:eastAsia="en-US"/>
              </w:rPr>
              <w:t>Помощ от Съюза</w:t>
            </w:r>
          </w:p>
        </w:tc>
        <w:tc>
          <w:tcPr>
            <w:tcW w:w="980" w:type="pct"/>
            <w:tcBorders>
              <w:top w:val="single" w:sz="2" w:space="0" w:color="auto"/>
              <w:left w:val="single" w:sz="2" w:space="0" w:color="auto"/>
              <w:bottom w:val="single" w:sz="2" w:space="0" w:color="auto"/>
              <w:right w:val="single" w:sz="2" w:space="0" w:color="auto"/>
            </w:tcBorders>
            <w:shd w:val="clear" w:color="auto" w:fill="auto"/>
          </w:tcPr>
          <w:p w:rsidR="00A85EB3" w:rsidRDefault="00B07D03">
            <w:pPr>
              <w:pStyle w:val="Tekstkader"/>
              <w:widowControl w:val="0"/>
              <w:pBdr>
                <w:left w:val="none" w:sz="0" w:space="0" w:color="auto"/>
              </w:pBdr>
              <w:suppressAutoHyphens w:val="0"/>
              <w:spacing w:before="60" w:after="60" w:line="240" w:lineRule="auto"/>
              <w:ind w:left="0"/>
              <w:jc w:val="center"/>
              <w:rPr>
                <w:rFonts w:ascii="Times New Roman" w:hAnsi="Times New Roman"/>
                <w:b/>
                <w:color w:val="auto"/>
                <w:spacing w:val="20"/>
                <w:sz w:val="20"/>
                <w:lang w:val="en-US" w:eastAsia="en-US"/>
              </w:rPr>
            </w:pPr>
            <w:r>
              <w:rPr>
                <w:rFonts w:ascii="Times New Roman" w:hAnsi="Times New Roman"/>
                <w:b/>
                <w:color w:val="auto"/>
                <w:spacing w:val="20"/>
                <w:sz w:val="20"/>
                <w:lang w:eastAsia="en-US"/>
              </w:rPr>
              <w:t>Национално участие</w:t>
            </w:r>
          </w:p>
        </w:tc>
        <w:tc>
          <w:tcPr>
            <w:tcW w:w="1078" w:type="pct"/>
            <w:tcBorders>
              <w:top w:val="single" w:sz="2" w:space="0" w:color="auto"/>
              <w:left w:val="single" w:sz="2" w:space="0" w:color="auto"/>
              <w:bottom w:val="single" w:sz="2" w:space="0" w:color="auto"/>
              <w:right w:val="single" w:sz="2" w:space="0" w:color="auto"/>
            </w:tcBorders>
            <w:shd w:val="clear" w:color="auto" w:fill="auto"/>
          </w:tcPr>
          <w:p w:rsidR="00A85EB3" w:rsidRDefault="00B07D03">
            <w:pPr>
              <w:pStyle w:val="Tekstkader"/>
              <w:widowControl w:val="0"/>
              <w:pBdr>
                <w:left w:val="none" w:sz="0" w:space="0" w:color="auto"/>
              </w:pBdr>
              <w:suppressAutoHyphens w:val="0"/>
              <w:spacing w:before="60" w:after="60" w:line="240" w:lineRule="auto"/>
              <w:ind w:left="0"/>
              <w:jc w:val="center"/>
              <w:rPr>
                <w:rFonts w:ascii="Times New Roman" w:hAnsi="Times New Roman"/>
                <w:b/>
                <w:color w:val="auto"/>
                <w:spacing w:val="20"/>
                <w:sz w:val="20"/>
                <w:lang w:val="en-US" w:eastAsia="en-US"/>
              </w:rPr>
            </w:pPr>
            <w:r>
              <w:rPr>
                <w:rFonts w:ascii="Times New Roman" w:hAnsi="Times New Roman"/>
                <w:b/>
                <w:color w:val="auto"/>
                <w:spacing w:val="20"/>
                <w:sz w:val="20"/>
                <w:lang w:eastAsia="en-US"/>
              </w:rPr>
              <w:t>Общо финансиране</w:t>
            </w:r>
          </w:p>
        </w:tc>
      </w:tr>
      <w:tr w:rsidR="002C2629" w:rsidRPr="00981F6F" w:rsidTr="00E7405D">
        <w:tc>
          <w:tcPr>
            <w:tcW w:w="619" w:type="pct"/>
            <w:tcBorders>
              <w:top w:val="single" w:sz="2" w:space="0" w:color="auto"/>
              <w:left w:val="single" w:sz="2" w:space="0" w:color="auto"/>
              <w:bottom w:val="single" w:sz="2" w:space="0" w:color="auto"/>
              <w:right w:val="single" w:sz="2" w:space="0" w:color="auto"/>
            </w:tcBorders>
            <w:shd w:val="clear" w:color="auto" w:fill="auto"/>
            <w:vAlign w:val="center"/>
          </w:tcPr>
          <w:p w:rsidR="00A85EB3" w:rsidRDefault="00B07D03">
            <w:pPr>
              <w:pStyle w:val="Tekstkader"/>
              <w:widowControl w:val="0"/>
              <w:pBdr>
                <w:left w:val="none" w:sz="0" w:space="0" w:color="auto"/>
              </w:pBdr>
              <w:suppressAutoHyphens w:val="0"/>
              <w:spacing w:before="60" w:after="60" w:line="240" w:lineRule="auto"/>
              <w:ind w:left="0"/>
              <w:rPr>
                <w:rFonts w:ascii="Times New Roman" w:hAnsi="Times New Roman"/>
                <w:color w:val="auto"/>
                <w:sz w:val="20"/>
                <w:lang w:val="en-US" w:eastAsia="en-US"/>
              </w:rPr>
            </w:pPr>
            <w:r>
              <w:rPr>
                <w:rFonts w:ascii="Times New Roman" w:hAnsi="Times New Roman"/>
                <w:color w:val="auto"/>
                <w:sz w:val="20"/>
                <w:lang w:eastAsia="en-US"/>
              </w:rPr>
              <w:t>ПО–1</w:t>
            </w:r>
          </w:p>
        </w:tc>
        <w:tc>
          <w:tcPr>
            <w:tcW w:w="1235" w:type="pct"/>
            <w:tcBorders>
              <w:top w:val="single" w:sz="2" w:space="0" w:color="auto"/>
              <w:left w:val="single" w:sz="2" w:space="0" w:color="auto"/>
              <w:bottom w:val="single" w:sz="2" w:space="0" w:color="auto"/>
              <w:right w:val="single" w:sz="2" w:space="0" w:color="auto"/>
            </w:tcBorders>
            <w:shd w:val="clear" w:color="auto" w:fill="auto"/>
          </w:tcPr>
          <w:p w:rsidR="00A85EB3" w:rsidRDefault="00B07D03">
            <w:pPr>
              <w:pStyle w:val="NormalWeb"/>
              <w:widowControl w:val="0"/>
              <w:suppressAutoHyphens w:val="0"/>
              <w:spacing w:before="120" w:after="120" w:line="269" w:lineRule="auto"/>
              <w:jc w:val="center"/>
              <w:rPr>
                <w:sz w:val="20"/>
                <w:szCs w:val="20"/>
                <w:lang w:val="en-US"/>
              </w:rPr>
            </w:pPr>
            <w:r>
              <w:rPr>
                <w:sz w:val="20"/>
                <w:szCs w:val="20"/>
              </w:rPr>
              <w:t>Околна среда</w:t>
            </w:r>
          </w:p>
        </w:tc>
        <w:tc>
          <w:tcPr>
            <w:tcW w:w="1088" w:type="pct"/>
            <w:tcBorders>
              <w:top w:val="single" w:sz="2" w:space="0" w:color="auto"/>
              <w:left w:val="single" w:sz="2" w:space="0" w:color="auto"/>
              <w:bottom w:val="single" w:sz="2" w:space="0" w:color="auto"/>
              <w:right w:val="single" w:sz="2" w:space="0" w:color="auto"/>
            </w:tcBorders>
            <w:shd w:val="clear" w:color="auto" w:fill="auto"/>
          </w:tcPr>
          <w:p w:rsidR="00A85EB3" w:rsidRDefault="00B07D03">
            <w:pPr>
              <w:pStyle w:val="NormalWeb"/>
              <w:widowControl w:val="0"/>
              <w:suppressAutoHyphens w:val="0"/>
              <w:spacing w:before="120" w:after="120" w:line="269" w:lineRule="auto"/>
              <w:jc w:val="center"/>
              <w:rPr>
                <w:i/>
                <w:color w:val="FF0000"/>
                <w:sz w:val="20"/>
                <w:szCs w:val="20"/>
                <w:highlight w:val="yellow"/>
                <w:lang w:val="en-US"/>
              </w:rPr>
            </w:pPr>
            <w:r>
              <w:rPr>
                <w:color w:val="000000"/>
                <w:sz w:val="20"/>
                <w:szCs w:val="20"/>
                <w:lang w:eastAsia="bg-BG"/>
              </w:rPr>
              <w:t>11 338 407,00</w:t>
            </w:r>
          </w:p>
        </w:tc>
        <w:tc>
          <w:tcPr>
            <w:tcW w:w="980" w:type="pct"/>
            <w:tcBorders>
              <w:top w:val="single" w:sz="2" w:space="0" w:color="auto"/>
              <w:left w:val="single" w:sz="2" w:space="0" w:color="auto"/>
              <w:bottom w:val="single" w:sz="2" w:space="0" w:color="auto"/>
              <w:right w:val="single" w:sz="2" w:space="0" w:color="auto"/>
            </w:tcBorders>
            <w:shd w:val="clear" w:color="auto" w:fill="auto"/>
          </w:tcPr>
          <w:p w:rsidR="00A85EB3" w:rsidRDefault="00B07D03">
            <w:pPr>
              <w:pStyle w:val="NormalWeb"/>
              <w:widowControl w:val="0"/>
              <w:suppressAutoHyphens w:val="0"/>
              <w:spacing w:before="120" w:after="120" w:line="269" w:lineRule="auto"/>
              <w:jc w:val="center"/>
              <w:rPr>
                <w:i/>
                <w:color w:val="FF0000"/>
                <w:sz w:val="20"/>
                <w:szCs w:val="20"/>
                <w:highlight w:val="yellow"/>
                <w:lang w:val="en-US"/>
              </w:rPr>
            </w:pPr>
            <w:r>
              <w:rPr>
                <w:color w:val="000000"/>
                <w:sz w:val="20"/>
                <w:szCs w:val="20"/>
                <w:lang w:eastAsia="bg-BG"/>
              </w:rPr>
              <w:t>2 000 895,35</w:t>
            </w:r>
          </w:p>
        </w:tc>
        <w:tc>
          <w:tcPr>
            <w:tcW w:w="1078" w:type="pct"/>
            <w:tcBorders>
              <w:top w:val="single" w:sz="2" w:space="0" w:color="auto"/>
              <w:left w:val="single" w:sz="2" w:space="0" w:color="auto"/>
              <w:bottom w:val="single" w:sz="2" w:space="0" w:color="auto"/>
              <w:right w:val="single" w:sz="2" w:space="0" w:color="auto"/>
            </w:tcBorders>
            <w:shd w:val="clear" w:color="auto" w:fill="auto"/>
          </w:tcPr>
          <w:p w:rsidR="00A85EB3" w:rsidRDefault="00B07D03">
            <w:pPr>
              <w:pStyle w:val="Tekstkader"/>
              <w:widowControl w:val="0"/>
              <w:pBdr>
                <w:left w:val="none" w:sz="0" w:space="0" w:color="auto"/>
              </w:pBdr>
              <w:suppressAutoHyphens w:val="0"/>
              <w:spacing w:before="60" w:after="60" w:line="240" w:lineRule="auto"/>
              <w:ind w:left="0"/>
              <w:jc w:val="center"/>
              <w:rPr>
                <w:rFonts w:ascii="Times New Roman" w:hAnsi="Times New Roman"/>
                <w:color w:val="auto"/>
                <w:sz w:val="20"/>
                <w:lang w:val="en-US" w:eastAsia="en-US"/>
              </w:rPr>
            </w:pPr>
            <w:r>
              <w:rPr>
                <w:rFonts w:ascii="Times New Roman" w:hAnsi="Times New Roman"/>
                <w:color w:val="000000"/>
                <w:sz w:val="20"/>
                <w:lang w:eastAsia="bg-BG"/>
              </w:rPr>
              <w:t>13 339 302,35</w:t>
            </w:r>
          </w:p>
        </w:tc>
      </w:tr>
      <w:tr w:rsidR="002C2629" w:rsidRPr="00981F6F" w:rsidTr="00E7405D">
        <w:tc>
          <w:tcPr>
            <w:tcW w:w="619" w:type="pct"/>
            <w:tcBorders>
              <w:top w:val="single" w:sz="2" w:space="0" w:color="auto"/>
              <w:left w:val="single" w:sz="2" w:space="0" w:color="auto"/>
              <w:bottom w:val="single" w:sz="2" w:space="0" w:color="auto"/>
              <w:right w:val="single" w:sz="2" w:space="0" w:color="auto"/>
            </w:tcBorders>
            <w:shd w:val="clear" w:color="auto" w:fill="auto"/>
            <w:vAlign w:val="center"/>
          </w:tcPr>
          <w:p w:rsidR="00A85EB3" w:rsidRDefault="00B07D03">
            <w:pPr>
              <w:pStyle w:val="Tekstkader"/>
              <w:widowControl w:val="0"/>
              <w:pBdr>
                <w:left w:val="none" w:sz="0" w:space="0" w:color="auto"/>
              </w:pBdr>
              <w:suppressAutoHyphens w:val="0"/>
              <w:spacing w:before="60" w:after="60" w:line="240" w:lineRule="auto"/>
              <w:ind w:left="0"/>
              <w:rPr>
                <w:rFonts w:ascii="Times New Roman" w:hAnsi="Times New Roman"/>
                <w:color w:val="auto"/>
                <w:sz w:val="20"/>
                <w:lang w:val="en-US" w:eastAsia="en-US"/>
              </w:rPr>
            </w:pPr>
            <w:r>
              <w:rPr>
                <w:rFonts w:ascii="Times New Roman" w:hAnsi="Times New Roman"/>
                <w:color w:val="auto"/>
                <w:sz w:val="20"/>
                <w:lang w:eastAsia="en-US"/>
              </w:rPr>
              <w:t>ПО–2</w:t>
            </w:r>
          </w:p>
        </w:tc>
        <w:tc>
          <w:tcPr>
            <w:tcW w:w="1235" w:type="pct"/>
            <w:tcBorders>
              <w:top w:val="single" w:sz="2" w:space="0" w:color="auto"/>
              <w:left w:val="single" w:sz="2" w:space="0" w:color="auto"/>
              <w:bottom w:val="single" w:sz="2" w:space="0" w:color="auto"/>
              <w:right w:val="single" w:sz="2" w:space="0" w:color="auto"/>
            </w:tcBorders>
            <w:shd w:val="clear" w:color="auto" w:fill="auto"/>
          </w:tcPr>
          <w:p w:rsidR="00A85EB3" w:rsidRDefault="00B07D03">
            <w:pPr>
              <w:pStyle w:val="NormalWeb"/>
              <w:widowControl w:val="0"/>
              <w:suppressAutoHyphens w:val="0"/>
              <w:spacing w:before="120" w:after="120" w:line="269" w:lineRule="auto"/>
              <w:jc w:val="center"/>
              <w:rPr>
                <w:sz w:val="20"/>
                <w:szCs w:val="20"/>
                <w:lang w:val="en-US"/>
              </w:rPr>
            </w:pPr>
            <w:r>
              <w:rPr>
                <w:sz w:val="20"/>
                <w:szCs w:val="20"/>
              </w:rPr>
              <w:t>Устойчив туризъм</w:t>
            </w:r>
          </w:p>
        </w:tc>
        <w:tc>
          <w:tcPr>
            <w:tcW w:w="1088" w:type="pct"/>
            <w:tcBorders>
              <w:top w:val="single" w:sz="2" w:space="0" w:color="auto"/>
              <w:left w:val="single" w:sz="2" w:space="0" w:color="auto"/>
              <w:bottom w:val="single" w:sz="2" w:space="0" w:color="auto"/>
              <w:right w:val="single" w:sz="2" w:space="0" w:color="auto"/>
            </w:tcBorders>
            <w:shd w:val="clear" w:color="auto" w:fill="auto"/>
          </w:tcPr>
          <w:p w:rsidR="00A85EB3" w:rsidRDefault="00B07D03">
            <w:pPr>
              <w:pStyle w:val="NormalWeb"/>
              <w:widowControl w:val="0"/>
              <w:suppressAutoHyphens w:val="0"/>
              <w:spacing w:before="120" w:after="120" w:line="269" w:lineRule="auto"/>
              <w:jc w:val="center"/>
              <w:rPr>
                <w:i/>
                <w:color w:val="FF0000"/>
                <w:sz w:val="20"/>
                <w:szCs w:val="20"/>
                <w:highlight w:val="yellow"/>
                <w:lang w:val="en-US"/>
              </w:rPr>
            </w:pPr>
            <w:r>
              <w:rPr>
                <w:color w:val="000000"/>
                <w:sz w:val="20"/>
                <w:szCs w:val="20"/>
                <w:lang w:eastAsia="bg-BG"/>
              </w:rPr>
              <w:t>11 338 407,00</w:t>
            </w:r>
          </w:p>
        </w:tc>
        <w:tc>
          <w:tcPr>
            <w:tcW w:w="980" w:type="pct"/>
            <w:tcBorders>
              <w:top w:val="single" w:sz="2" w:space="0" w:color="auto"/>
              <w:left w:val="single" w:sz="2" w:space="0" w:color="auto"/>
              <w:bottom w:val="single" w:sz="2" w:space="0" w:color="auto"/>
              <w:right w:val="single" w:sz="2" w:space="0" w:color="auto"/>
            </w:tcBorders>
            <w:shd w:val="clear" w:color="auto" w:fill="auto"/>
          </w:tcPr>
          <w:p w:rsidR="00A85EB3" w:rsidRDefault="00B07D03">
            <w:pPr>
              <w:pStyle w:val="NormalWeb"/>
              <w:widowControl w:val="0"/>
              <w:suppressAutoHyphens w:val="0"/>
              <w:spacing w:before="120" w:after="120" w:line="269" w:lineRule="auto"/>
              <w:jc w:val="center"/>
              <w:rPr>
                <w:i/>
                <w:color w:val="FF0000"/>
                <w:sz w:val="20"/>
                <w:szCs w:val="20"/>
                <w:highlight w:val="yellow"/>
                <w:lang w:val="en-US"/>
              </w:rPr>
            </w:pPr>
            <w:r>
              <w:rPr>
                <w:color w:val="000000"/>
                <w:sz w:val="20"/>
                <w:szCs w:val="20"/>
                <w:lang w:eastAsia="bg-BG"/>
              </w:rPr>
              <w:t>2 000 895,35</w:t>
            </w:r>
          </w:p>
        </w:tc>
        <w:tc>
          <w:tcPr>
            <w:tcW w:w="1078" w:type="pct"/>
            <w:tcBorders>
              <w:top w:val="single" w:sz="2" w:space="0" w:color="auto"/>
              <w:left w:val="single" w:sz="2" w:space="0" w:color="auto"/>
              <w:bottom w:val="single" w:sz="2" w:space="0" w:color="auto"/>
              <w:right w:val="single" w:sz="2" w:space="0" w:color="auto"/>
            </w:tcBorders>
            <w:shd w:val="clear" w:color="auto" w:fill="auto"/>
          </w:tcPr>
          <w:p w:rsidR="00A85EB3" w:rsidRDefault="00B07D03">
            <w:pPr>
              <w:pStyle w:val="Tekstkader"/>
              <w:widowControl w:val="0"/>
              <w:pBdr>
                <w:left w:val="none" w:sz="0" w:space="0" w:color="auto"/>
              </w:pBdr>
              <w:suppressAutoHyphens w:val="0"/>
              <w:spacing w:before="60" w:after="60" w:line="240" w:lineRule="auto"/>
              <w:ind w:left="0"/>
              <w:jc w:val="center"/>
              <w:rPr>
                <w:rFonts w:ascii="Times New Roman" w:hAnsi="Times New Roman"/>
                <w:color w:val="auto"/>
                <w:sz w:val="20"/>
                <w:lang w:val="en-US" w:eastAsia="en-US"/>
              </w:rPr>
            </w:pPr>
            <w:r>
              <w:rPr>
                <w:rFonts w:ascii="Times New Roman" w:hAnsi="Times New Roman"/>
                <w:color w:val="000000"/>
                <w:sz w:val="20"/>
                <w:lang w:eastAsia="bg-BG"/>
              </w:rPr>
              <w:t>13 339 302,35</w:t>
            </w:r>
          </w:p>
        </w:tc>
      </w:tr>
      <w:tr w:rsidR="002C2629" w:rsidRPr="00981F6F" w:rsidTr="00E7405D">
        <w:tc>
          <w:tcPr>
            <w:tcW w:w="619" w:type="pct"/>
            <w:tcBorders>
              <w:top w:val="single" w:sz="2" w:space="0" w:color="auto"/>
              <w:left w:val="single" w:sz="2" w:space="0" w:color="auto"/>
              <w:bottom w:val="single" w:sz="2" w:space="0" w:color="auto"/>
              <w:right w:val="single" w:sz="2" w:space="0" w:color="auto"/>
            </w:tcBorders>
            <w:shd w:val="clear" w:color="auto" w:fill="auto"/>
            <w:vAlign w:val="center"/>
          </w:tcPr>
          <w:p w:rsidR="00A85EB3" w:rsidRDefault="00B07D03">
            <w:pPr>
              <w:pStyle w:val="Tekstkader"/>
              <w:widowControl w:val="0"/>
              <w:pBdr>
                <w:left w:val="none" w:sz="0" w:space="0" w:color="auto"/>
              </w:pBdr>
              <w:suppressAutoHyphens w:val="0"/>
              <w:spacing w:before="60" w:after="60" w:line="240" w:lineRule="auto"/>
              <w:ind w:left="0"/>
              <w:rPr>
                <w:rFonts w:ascii="Times New Roman" w:hAnsi="Times New Roman"/>
                <w:color w:val="auto"/>
                <w:sz w:val="20"/>
                <w:lang w:val="en-US" w:eastAsia="en-US"/>
              </w:rPr>
            </w:pPr>
            <w:r>
              <w:rPr>
                <w:rFonts w:ascii="Times New Roman" w:hAnsi="Times New Roman"/>
                <w:color w:val="auto"/>
                <w:sz w:val="20"/>
                <w:lang w:eastAsia="en-US"/>
              </w:rPr>
              <w:t>ПО–ТП</w:t>
            </w:r>
          </w:p>
        </w:tc>
        <w:tc>
          <w:tcPr>
            <w:tcW w:w="1235" w:type="pct"/>
            <w:tcBorders>
              <w:top w:val="single" w:sz="2" w:space="0" w:color="auto"/>
              <w:left w:val="single" w:sz="2" w:space="0" w:color="auto"/>
              <w:bottom w:val="single" w:sz="2" w:space="0" w:color="auto"/>
              <w:right w:val="single" w:sz="2" w:space="0" w:color="auto"/>
            </w:tcBorders>
            <w:shd w:val="clear" w:color="auto" w:fill="auto"/>
          </w:tcPr>
          <w:p w:rsidR="00A85EB3" w:rsidRDefault="00B07D03">
            <w:pPr>
              <w:pStyle w:val="NormalWeb"/>
              <w:widowControl w:val="0"/>
              <w:suppressAutoHyphens w:val="0"/>
              <w:spacing w:before="120" w:after="120" w:line="269" w:lineRule="auto"/>
              <w:jc w:val="center"/>
              <w:rPr>
                <w:i/>
                <w:color w:val="FF0000"/>
                <w:sz w:val="20"/>
                <w:szCs w:val="20"/>
                <w:highlight w:val="yellow"/>
                <w:lang w:val="en-US"/>
              </w:rPr>
            </w:pPr>
            <w:r>
              <w:rPr>
                <w:color w:val="000000"/>
                <w:sz w:val="20"/>
                <w:szCs w:val="20"/>
                <w:lang w:eastAsia="bg-BG"/>
              </w:rPr>
              <w:t>Техническа помощ</w:t>
            </w:r>
          </w:p>
        </w:tc>
        <w:tc>
          <w:tcPr>
            <w:tcW w:w="1088" w:type="pct"/>
            <w:tcBorders>
              <w:top w:val="single" w:sz="2" w:space="0" w:color="auto"/>
              <w:left w:val="single" w:sz="2" w:space="0" w:color="auto"/>
              <w:bottom w:val="single" w:sz="2" w:space="0" w:color="auto"/>
              <w:right w:val="single" w:sz="2" w:space="0" w:color="auto"/>
            </w:tcBorders>
            <w:shd w:val="clear" w:color="auto" w:fill="auto"/>
          </w:tcPr>
          <w:p w:rsidR="00A85EB3" w:rsidRDefault="00B07D03">
            <w:pPr>
              <w:pStyle w:val="NormalWeb"/>
              <w:widowControl w:val="0"/>
              <w:suppressAutoHyphens w:val="0"/>
              <w:spacing w:before="120" w:after="120" w:line="269" w:lineRule="auto"/>
              <w:jc w:val="center"/>
              <w:rPr>
                <w:i/>
                <w:color w:val="FF0000"/>
                <w:sz w:val="20"/>
                <w:szCs w:val="20"/>
                <w:highlight w:val="yellow"/>
                <w:lang w:val="en-US"/>
              </w:rPr>
            </w:pPr>
            <w:r>
              <w:rPr>
                <w:color w:val="000000"/>
                <w:sz w:val="20"/>
                <w:szCs w:val="20"/>
                <w:lang w:eastAsia="bg-BG"/>
              </w:rPr>
              <w:t>2 519 646,00</w:t>
            </w:r>
          </w:p>
        </w:tc>
        <w:tc>
          <w:tcPr>
            <w:tcW w:w="980" w:type="pct"/>
            <w:tcBorders>
              <w:top w:val="single" w:sz="2" w:space="0" w:color="auto"/>
              <w:left w:val="single" w:sz="2" w:space="0" w:color="auto"/>
              <w:bottom w:val="single" w:sz="2" w:space="0" w:color="auto"/>
              <w:right w:val="single" w:sz="2" w:space="0" w:color="auto"/>
            </w:tcBorders>
            <w:shd w:val="clear" w:color="auto" w:fill="auto"/>
          </w:tcPr>
          <w:p w:rsidR="00A85EB3" w:rsidRDefault="00B07D03">
            <w:pPr>
              <w:pStyle w:val="NormalWeb"/>
              <w:widowControl w:val="0"/>
              <w:suppressAutoHyphens w:val="0"/>
              <w:spacing w:before="120" w:after="120" w:line="269" w:lineRule="auto"/>
              <w:jc w:val="center"/>
              <w:rPr>
                <w:i/>
                <w:color w:val="FF0000"/>
                <w:sz w:val="20"/>
                <w:szCs w:val="20"/>
                <w:highlight w:val="yellow"/>
                <w:lang w:val="en-US"/>
              </w:rPr>
            </w:pPr>
            <w:r>
              <w:rPr>
                <w:color w:val="000000"/>
                <w:sz w:val="20"/>
                <w:szCs w:val="20"/>
                <w:lang w:eastAsia="bg-BG"/>
              </w:rPr>
              <w:t>444 643,42</w:t>
            </w:r>
          </w:p>
        </w:tc>
        <w:tc>
          <w:tcPr>
            <w:tcW w:w="1078" w:type="pct"/>
            <w:tcBorders>
              <w:top w:val="single" w:sz="2" w:space="0" w:color="auto"/>
              <w:left w:val="single" w:sz="2" w:space="0" w:color="auto"/>
              <w:bottom w:val="single" w:sz="2" w:space="0" w:color="auto"/>
              <w:right w:val="single" w:sz="2" w:space="0" w:color="auto"/>
            </w:tcBorders>
            <w:shd w:val="clear" w:color="auto" w:fill="auto"/>
          </w:tcPr>
          <w:p w:rsidR="00A85EB3" w:rsidRDefault="00B07D03">
            <w:pPr>
              <w:pStyle w:val="Tekstkader"/>
              <w:widowControl w:val="0"/>
              <w:pBdr>
                <w:left w:val="none" w:sz="0" w:space="0" w:color="auto"/>
              </w:pBdr>
              <w:suppressAutoHyphens w:val="0"/>
              <w:spacing w:before="60" w:after="60" w:line="240" w:lineRule="auto"/>
              <w:ind w:left="0"/>
              <w:jc w:val="center"/>
              <w:rPr>
                <w:rFonts w:ascii="Times New Roman" w:hAnsi="Times New Roman"/>
                <w:color w:val="auto"/>
                <w:sz w:val="20"/>
                <w:lang w:val="en-US" w:eastAsia="en-US"/>
              </w:rPr>
            </w:pPr>
            <w:r>
              <w:rPr>
                <w:rFonts w:ascii="Times New Roman" w:hAnsi="Times New Roman"/>
                <w:color w:val="000000"/>
                <w:sz w:val="20"/>
                <w:lang w:eastAsia="bg-BG"/>
              </w:rPr>
              <w:t>2 964 289,42</w:t>
            </w:r>
          </w:p>
        </w:tc>
      </w:tr>
      <w:tr w:rsidR="002C2629" w:rsidRPr="00981F6F" w:rsidTr="00E7405D">
        <w:tc>
          <w:tcPr>
            <w:tcW w:w="619" w:type="pct"/>
            <w:tcBorders>
              <w:top w:val="single" w:sz="2" w:space="0" w:color="auto"/>
              <w:left w:val="single" w:sz="2" w:space="0" w:color="auto"/>
              <w:bottom w:val="single" w:sz="2" w:space="0" w:color="auto"/>
              <w:right w:val="single" w:sz="2" w:space="0" w:color="auto"/>
            </w:tcBorders>
            <w:shd w:val="clear" w:color="auto" w:fill="auto"/>
            <w:vAlign w:val="center"/>
          </w:tcPr>
          <w:p w:rsidR="00A85EB3" w:rsidRDefault="00B07D03">
            <w:pPr>
              <w:pStyle w:val="Tekstkader"/>
              <w:widowControl w:val="0"/>
              <w:pBdr>
                <w:left w:val="none" w:sz="0" w:space="0" w:color="auto"/>
              </w:pBdr>
              <w:suppressAutoHyphens w:val="0"/>
              <w:spacing w:before="60" w:after="60" w:line="240" w:lineRule="auto"/>
              <w:ind w:left="0"/>
              <w:rPr>
                <w:rFonts w:ascii="Times New Roman" w:hAnsi="Times New Roman"/>
                <w:color w:val="auto"/>
                <w:sz w:val="20"/>
                <w:lang w:val="en-US" w:eastAsia="en-US"/>
              </w:rPr>
            </w:pPr>
            <w:r>
              <w:rPr>
                <w:rFonts w:ascii="Times New Roman" w:hAnsi="Times New Roman"/>
                <w:color w:val="auto"/>
                <w:sz w:val="20"/>
                <w:lang w:eastAsia="en-US"/>
              </w:rPr>
              <w:t>ОБЩО</w:t>
            </w:r>
          </w:p>
        </w:tc>
        <w:tc>
          <w:tcPr>
            <w:tcW w:w="1235" w:type="pct"/>
            <w:tcBorders>
              <w:top w:val="single" w:sz="2" w:space="0" w:color="auto"/>
              <w:left w:val="single" w:sz="2" w:space="0" w:color="auto"/>
              <w:bottom w:val="single" w:sz="2" w:space="0" w:color="auto"/>
              <w:right w:val="single" w:sz="2" w:space="0" w:color="auto"/>
            </w:tcBorders>
            <w:shd w:val="clear" w:color="auto" w:fill="auto"/>
          </w:tcPr>
          <w:p w:rsidR="00A85EB3" w:rsidRDefault="00A85EB3">
            <w:pPr>
              <w:pStyle w:val="NormalWeb"/>
              <w:widowControl w:val="0"/>
              <w:suppressAutoHyphens w:val="0"/>
              <w:spacing w:before="120" w:after="120" w:line="269" w:lineRule="auto"/>
              <w:rPr>
                <w:i/>
                <w:color w:val="FF0000"/>
                <w:sz w:val="20"/>
                <w:szCs w:val="20"/>
                <w:highlight w:val="yellow"/>
                <w:lang w:val="en-US"/>
              </w:rPr>
            </w:pPr>
          </w:p>
        </w:tc>
        <w:tc>
          <w:tcPr>
            <w:tcW w:w="1088" w:type="pct"/>
            <w:tcBorders>
              <w:top w:val="single" w:sz="2" w:space="0" w:color="auto"/>
              <w:left w:val="single" w:sz="2" w:space="0" w:color="auto"/>
              <w:bottom w:val="single" w:sz="2" w:space="0" w:color="auto"/>
              <w:right w:val="single" w:sz="2" w:space="0" w:color="auto"/>
            </w:tcBorders>
            <w:shd w:val="clear" w:color="auto" w:fill="auto"/>
          </w:tcPr>
          <w:p w:rsidR="00A85EB3" w:rsidRDefault="00B07D03">
            <w:pPr>
              <w:pStyle w:val="NormalWeb"/>
              <w:widowControl w:val="0"/>
              <w:suppressAutoHyphens w:val="0"/>
              <w:spacing w:before="120" w:after="120" w:line="269" w:lineRule="auto"/>
              <w:jc w:val="center"/>
              <w:rPr>
                <w:i/>
                <w:color w:val="FF0000"/>
                <w:sz w:val="20"/>
                <w:szCs w:val="20"/>
                <w:highlight w:val="yellow"/>
                <w:lang w:val="en-US"/>
              </w:rPr>
            </w:pPr>
            <w:r>
              <w:rPr>
                <w:b/>
                <w:bCs/>
                <w:color w:val="000000"/>
                <w:sz w:val="20"/>
                <w:szCs w:val="20"/>
                <w:lang w:eastAsia="bg-BG"/>
              </w:rPr>
              <w:t>25 196 460,00</w:t>
            </w:r>
          </w:p>
        </w:tc>
        <w:tc>
          <w:tcPr>
            <w:tcW w:w="980" w:type="pct"/>
            <w:tcBorders>
              <w:top w:val="single" w:sz="2" w:space="0" w:color="auto"/>
              <w:left w:val="single" w:sz="2" w:space="0" w:color="auto"/>
              <w:bottom w:val="single" w:sz="2" w:space="0" w:color="auto"/>
              <w:right w:val="single" w:sz="2" w:space="0" w:color="auto"/>
            </w:tcBorders>
            <w:shd w:val="clear" w:color="auto" w:fill="auto"/>
          </w:tcPr>
          <w:p w:rsidR="00A85EB3" w:rsidRDefault="00B07D03">
            <w:pPr>
              <w:pStyle w:val="NormalWeb"/>
              <w:widowControl w:val="0"/>
              <w:suppressAutoHyphens w:val="0"/>
              <w:spacing w:before="120" w:after="120" w:line="269" w:lineRule="auto"/>
              <w:jc w:val="center"/>
              <w:rPr>
                <w:i/>
                <w:color w:val="FF0000"/>
                <w:sz w:val="20"/>
                <w:szCs w:val="20"/>
                <w:highlight w:val="yellow"/>
                <w:lang w:val="en-US"/>
              </w:rPr>
            </w:pPr>
            <w:r>
              <w:rPr>
                <w:b/>
                <w:bCs/>
                <w:color w:val="000000"/>
                <w:sz w:val="20"/>
                <w:szCs w:val="20"/>
                <w:lang w:eastAsia="bg-BG"/>
              </w:rPr>
              <w:t>4 446 434,12</w:t>
            </w:r>
          </w:p>
        </w:tc>
        <w:tc>
          <w:tcPr>
            <w:tcW w:w="1078" w:type="pct"/>
            <w:tcBorders>
              <w:top w:val="single" w:sz="2" w:space="0" w:color="auto"/>
              <w:left w:val="single" w:sz="2" w:space="0" w:color="auto"/>
              <w:bottom w:val="single" w:sz="2" w:space="0" w:color="auto"/>
              <w:right w:val="single" w:sz="2" w:space="0" w:color="auto"/>
            </w:tcBorders>
            <w:shd w:val="clear" w:color="auto" w:fill="auto"/>
          </w:tcPr>
          <w:p w:rsidR="00A85EB3" w:rsidRDefault="00B07D03">
            <w:pPr>
              <w:pStyle w:val="Tekstkader"/>
              <w:widowControl w:val="0"/>
              <w:pBdr>
                <w:left w:val="none" w:sz="0" w:space="0" w:color="auto"/>
              </w:pBdr>
              <w:suppressAutoHyphens w:val="0"/>
              <w:spacing w:before="60" w:after="60" w:line="240" w:lineRule="auto"/>
              <w:ind w:left="0"/>
              <w:jc w:val="center"/>
              <w:rPr>
                <w:rFonts w:ascii="Times New Roman" w:hAnsi="Times New Roman"/>
                <w:color w:val="auto"/>
                <w:sz w:val="20"/>
                <w:lang w:val="en-US" w:eastAsia="en-US"/>
              </w:rPr>
            </w:pPr>
            <w:r>
              <w:rPr>
                <w:rFonts w:ascii="Times New Roman" w:hAnsi="Times New Roman"/>
                <w:b/>
                <w:bCs/>
                <w:color w:val="000000"/>
                <w:sz w:val="20"/>
                <w:lang w:eastAsia="bg-BG"/>
              </w:rPr>
              <w:t>29 642 894,12</w:t>
            </w:r>
          </w:p>
        </w:tc>
      </w:tr>
    </w:tbl>
    <w:p w:rsidR="00A85EB3" w:rsidRDefault="00A85EB3">
      <w:pPr>
        <w:rPr>
          <w:rFonts w:eastAsia="Times New Roman"/>
          <w:b/>
          <w:lang w:val="en-US"/>
        </w:rPr>
      </w:pPr>
    </w:p>
    <w:p w:rsidR="00A85EB3" w:rsidRDefault="00B07D03">
      <w:pPr>
        <w:pStyle w:val="Heading1"/>
        <w:numPr>
          <w:ilvl w:val="0"/>
          <w:numId w:val="0"/>
        </w:numPr>
        <w:ind w:left="1418" w:hanging="1418"/>
        <w:rPr>
          <w:lang w:val="en-US"/>
        </w:rPr>
      </w:pPr>
      <w:bookmarkStart w:id="74" w:name="_Toc408234920"/>
      <w:r>
        <w:t>РАЗДЕЛ 4</w:t>
      </w:r>
      <w:r>
        <w:tab/>
        <w:t>Интегриран подход към териториалното развитие (ако е уместно)</w:t>
      </w:r>
      <w:bookmarkEnd w:id="74"/>
    </w:p>
    <w:p w:rsidR="00A85EB3" w:rsidRDefault="00B07D03">
      <w:pPr>
        <w:rPr>
          <w:szCs w:val="24"/>
          <w:lang w:val="en-US"/>
        </w:rPr>
      </w:pPr>
      <w:r>
        <w:t>(Източник: чл. 35(2) от Регламента за изпълнение ИПП II и чл. 8(3) от Регламент (ЕС) № 1299/2013)</w:t>
      </w:r>
    </w:p>
    <w:p w:rsidR="00A85EB3" w:rsidRDefault="00B07D03">
      <w:pPr>
        <w:spacing w:after="240"/>
        <w:rPr>
          <w:rFonts w:eastAsia="Times New Roman"/>
          <w:lang w:val="en-US"/>
        </w:rPr>
      </w:pPr>
      <w:r>
        <w:rPr>
          <w:rFonts w:eastAsia="Times New Roman"/>
          <w:szCs w:val="24"/>
        </w:rPr>
        <w:t>Описание на интегрирания подход към териториалното развитие, като се отчитат съдържанието и целите на програмата за сътрудничество и се показва как тя съдейства за постигането на програмните цели и очакваните резултати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FB701A" w:rsidRPr="00981F6F" w:rsidTr="00D17A3D">
        <w:trPr>
          <w:trHeight w:val="707"/>
        </w:trPr>
        <w:tc>
          <w:tcPr>
            <w:tcW w:w="8834" w:type="dxa"/>
            <w:shd w:val="clear" w:color="auto" w:fill="auto"/>
          </w:tcPr>
          <w:p w:rsidR="00A85EB3" w:rsidRDefault="00B07D03">
            <w:pPr>
              <w:spacing w:after="240"/>
              <w:jc w:val="center"/>
              <w:rPr>
                <w:rFonts w:eastAsia="Times New Roman"/>
                <w:b/>
                <w:szCs w:val="24"/>
                <w:lang w:val="en-US"/>
              </w:rPr>
            </w:pPr>
            <w:r>
              <w:rPr>
                <w:rFonts w:eastAsia="Times New Roman"/>
                <w:b/>
                <w:i/>
                <w:szCs w:val="24"/>
              </w:rPr>
              <w:t>н/п</w:t>
            </w:r>
          </w:p>
        </w:tc>
      </w:tr>
    </w:tbl>
    <w:p w:rsidR="00A85EB3" w:rsidRDefault="00A85EB3">
      <w:pPr>
        <w:spacing w:after="240"/>
        <w:ind w:left="709" w:hanging="709"/>
        <w:rPr>
          <w:rFonts w:eastAsia="Times New Roman"/>
          <w:b/>
          <w:lang w:val="en-US"/>
        </w:rPr>
      </w:pPr>
    </w:p>
    <w:p w:rsidR="00A85EB3" w:rsidRDefault="00B07D03">
      <w:pPr>
        <w:spacing w:after="240"/>
        <w:ind w:left="709" w:hanging="709"/>
        <w:rPr>
          <w:rFonts w:eastAsia="Times New Roman"/>
          <w:b/>
          <w:lang w:val="en-US"/>
        </w:rPr>
      </w:pPr>
      <w:bookmarkStart w:id="75" w:name="_Toc408234921"/>
      <w:r>
        <w:rPr>
          <w:rStyle w:val="Heading2Char"/>
          <w:rFonts w:eastAsia="Calibri"/>
        </w:rPr>
        <w:t>4.1 Водено от общностите местно развитие</w:t>
      </w:r>
      <w:bookmarkEnd w:id="75"/>
      <w:r>
        <w:rPr>
          <w:rFonts w:eastAsia="Times New Roman"/>
        </w:rPr>
        <w:t xml:space="preserve"> (където е подходящо)</w:t>
      </w:r>
    </w:p>
    <w:p w:rsidR="00A85EB3" w:rsidRDefault="00B07D03">
      <w:pPr>
        <w:rPr>
          <w:lang w:val="en-US"/>
        </w:rPr>
      </w:pPr>
      <w:r>
        <w:t xml:space="preserve">Подход към използването на инструментите и принципите на воденото от общностите местно развитие за определяне на областите, където те ще бъдат приложени </w:t>
      </w:r>
    </w:p>
    <w:p w:rsidR="00A85EB3" w:rsidRDefault="00B07D03">
      <w:pPr>
        <w:rPr>
          <w:lang w:val="en-US"/>
        </w:rPr>
      </w:pPr>
      <w:r>
        <w:t>(Източник: чл. 35(2) от Регламента за изпълнение ИПП II и буква (а) на чл. 8(3) от Регламент (ЕС) № 1299/2013)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FB701A" w:rsidRPr="00981F6F" w:rsidTr="00E7405D">
        <w:trPr>
          <w:trHeight w:val="842"/>
        </w:trPr>
        <w:tc>
          <w:tcPr>
            <w:tcW w:w="5000" w:type="pct"/>
            <w:shd w:val="clear" w:color="auto" w:fill="auto"/>
          </w:tcPr>
          <w:p w:rsidR="00A85EB3" w:rsidRDefault="00B07D03">
            <w:pPr>
              <w:spacing w:after="240"/>
              <w:jc w:val="center"/>
              <w:rPr>
                <w:rFonts w:eastAsia="Times New Roman"/>
                <w:i/>
                <w:lang w:val="en-US"/>
              </w:rPr>
            </w:pPr>
            <w:r>
              <w:rPr>
                <w:rFonts w:eastAsia="Times New Roman"/>
                <w:b/>
                <w:i/>
                <w:szCs w:val="24"/>
              </w:rPr>
              <w:t>н/п</w:t>
            </w:r>
          </w:p>
        </w:tc>
      </w:tr>
    </w:tbl>
    <w:p w:rsidR="00A85EB3" w:rsidRDefault="00A85EB3">
      <w:pPr>
        <w:ind w:left="709" w:hanging="709"/>
        <w:rPr>
          <w:rFonts w:eastAsia="Times New Roman"/>
          <w:b/>
          <w:lang w:val="en-US"/>
        </w:rPr>
      </w:pPr>
    </w:p>
    <w:p w:rsidR="00A85EB3" w:rsidRDefault="00B07D03">
      <w:pPr>
        <w:ind w:left="709" w:hanging="709"/>
        <w:rPr>
          <w:rFonts w:eastAsia="Times New Roman"/>
          <w:b/>
          <w:lang w:val="en-US"/>
        </w:rPr>
      </w:pPr>
      <w:bookmarkStart w:id="76" w:name="_Toc408234922"/>
      <w:r>
        <w:rPr>
          <w:rStyle w:val="Heading2Char"/>
          <w:rFonts w:eastAsia="Calibri"/>
        </w:rPr>
        <w:t>4.3</w:t>
      </w:r>
      <w:r>
        <w:rPr>
          <w:rStyle w:val="Heading2Char"/>
          <w:rFonts w:eastAsia="Calibri"/>
        </w:rPr>
        <w:tab/>
        <w:t>Интегрирани териториални инвестиции (ИТИ)</w:t>
      </w:r>
      <w:bookmarkEnd w:id="76"/>
      <w:r>
        <w:tab/>
        <w:t>(където е уместно)</w:t>
      </w:r>
    </w:p>
    <w:p w:rsidR="00A85EB3" w:rsidRDefault="00B07D03">
      <w:pPr>
        <w:rPr>
          <w:lang w:val="en-US"/>
        </w:rPr>
      </w:pPr>
      <w:r>
        <w:t xml:space="preserve">Подход към използването на Интегрирани териториални инвестиции (ИТИ) (така както е определен в член 36 на Регламент (ЕС) № 1303/2013) освен в случаите, включени в 4.2, и индикативни отпуснати финансови средства от всяка приоритетна ос </w:t>
      </w:r>
    </w:p>
    <w:p w:rsidR="00A85EB3" w:rsidRDefault="00B07D03">
      <w:pPr>
        <w:rPr>
          <w:lang w:val="en-US"/>
        </w:rPr>
      </w:pPr>
      <w:r>
        <w:lastRenderedPageBreak/>
        <w:t>(Източник: чл. 35(2) от Регламента за изпълнение ИПП II и буква (c) на чл. 8(3) от Регламент (ЕС) № 1299/2013)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FB701A" w:rsidRPr="00981F6F" w:rsidTr="000E6A5C">
        <w:trPr>
          <w:trHeight w:val="943"/>
        </w:trPr>
        <w:tc>
          <w:tcPr>
            <w:tcW w:w="5000" w:type="pct"/>
            <w:shd w:val="clear" w:color="auto" w:fill="auto"/>
          </w:tcPr>
          <w:p w:rsidR="00A85EB3" w:rsidRDefault="00B07D03">
            <w:pPr>
              <w:spacing w:after="240"/>
              <w:jc w:val="center"/>
              <w:rPr>
                <w:rFonts w:eastAsia="Times New Roman"/>
                <w:lang w:val="en-US"/>
              </w:rPr>
            </w:pPr>
            <w:r>
              <w:rPr>
                <w:rFonts w:eastAsia="Times New Roman"/>
                <w:b/>
                <w:i/>
                <w:szCs w:val="24"/>
              </w:rPr>
              <w:t>н/п</w:t>
            </w:r>
          </w:p>
        </w:tc>
      </w:tr>
    </w:tbl>
    <w:p w:rsidR="00A85EB3" w:rsidRDefault="00A85EB3">
      <w:pPr>
        <w:tabs>
          <w:tab w:val="left" w:pos="2160"/>
        </w:tabs>
        <w:rPr>
          <w:rFonts w:eastAsia="Times New Roman"/>
          <w:b/>
          <w:lang w:val="en-US"/>
        </w:rPr>
      </w:pPr>
    </w:p>
    <w:p w:rsidR="00A85EB3" w:rsidRDefault="00B07D03">
      <w:pPr>
        <w:tabs>
          <w:tab w:val="left" w:pos="2160"/>
        </w:tabs>
        <w:rPr>
          <w:rFonts w:eastAsia="Times New Roman"/>
          <w:b/>
          <w:lang w:val="en-US"/>
        </w:rPr>
      </w:pPr>
      <w:r>
        <w:rPr>
          <w:rFonts w:eastAsia="Times New Roman"/>
          <w:b/>
        </w:rPr>
        <w:t>Таблица 18: Примерни финансови средства, отпуснати за ИТИ (обща сума)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6446"/>
      </w:tblGrid>
      <w:tr w:rsidR="00FB701A" w:rsidRPr="00981F6F" w:rsidTr="00E7405D">
        <w:trPr>
          <w:jc w:val="center"/>
        </w:trPr>
        <w:tc>
          <w:tcPr>
            <w:tcW w:w="1305" w:type="pct"/>
            <w:shd w:val="clear" w:color="auto" w:fill="auto"/>
            <w:vAlign w:val="center"/>
          </w:tcPr>
          <w:p w:rsidR="00A85EB3" w:rsidRDefault="00B07D03">
            <w:pPr>
              <w:tabs>
                <w:tab w:val="left" w:pos="3237"/>
              </w:tabs>
              <w:suppressAutoHyphens/>
              <w:ind w:left="720"/>
              <w:rPr>
                <w:rFonts w:eastAsia="Times New Roman"/>
                <w:b/>
                <w:lang w:val="en-US" w:eastAsia="ar-SA"/>
              </w:rPr>
            </w:pPr>
            <w:r>
              <w:rPr>
                <w:rFonts w:eastAsia="Times New Roman"/>
                <w:b/>
                <w:lang w:eastAsia="ar-SA"/>
              </w:rPr>
              <w:t>Приоритетна ос</w:t>
            </w:r>
          </w:p>
        </w:tc>
        <w:tc>
          <w:tcPr>
            <w:tcW w:w="3695" w:type="pct"/>
            <w:shd w:val="clear" w:color="auto" w:fill="auto"/>
            <w:vAlign w:val="center"/>
          </w:tcPr>
          <w:p w:rsidR="00A85EB3" w:rsidRDefault="00B07D03">
            <w:pPr>
              <w:tabs>
                <w:tab w:val="left" w:pos="3237"/>
              </w:tabs>
              <w:suppressAutoHyphens/>
              <w:spacing w:line="480" w:lineRule="auto"/>
              <w:rPr>
                <w:rFonts w:eastAsia="Times New Roman"/>
                <w:b/>
                <w:lang w:val="en-US" w:eastAsia="ar-SA"/>
              </w:rPr>
            </w:pPr>
            <w:r>
              <w:rPr>
                <w:rFonts w:eastAsia="Times New Roman"/>
                <w:b/>
                <w:lang w:eastAsia="ar-SA"/>
              </w:rPr>
              <w:t>Примерни отпуснати финансови средства (подкрепа от Съюза) (евро)</w:t>
            </w:r>
          </w:p>
        </w:tc>
      </w:tr>
      <w:tr w:rsidR="00FB701A" w:rsidRPr="00981F6F" w:rsidTr="00E7405D">
        <w:trPr>
          <w:jc w:val="center"/>
        </w:trPr>
        <w:tc>
          <w:tcPr>
            <w:tcW w:w="1305" w:type="pct"/>
            <w:shd w:val="clear" w:color="auto" w:fill="auto"/>
            <w:vAlign w:val="center"/>
          </w:tcPr>
          <w:p w:rsidR="00A85EB3" w:rsidRDefault="00A85EB3">
            <w:pPr>
              <w:tabs>
                <w:tab w:val="left" w:pos="3237"/>
              </w:tabs>
              <w:suppressAutoHyphens/>
              <w:spacing w:after="0"/>
              <w:rPr>
                <w:rFonts w:eastAsia="Times New Roman"/>
                <w:lang w:val="en-US" w:eastAsia="ar-SA"/>
              </w:rPr>
            </w:pPr>
          </w:p>
        </w:tc>
        <w:tc>
          <w:tcPr>
            <w:tcW w:w="3695" w:type="pct"/>
            <w:shd w:val="clear" w:color="auto" w:fill="auto"/>
            <w:vAlign w:val="center"/>
          </w:tcPr>
          <w:p w:rsidR="00A85EB3" w:rsidRDefault="00B07D03">
            <w:pPr>
              <w:tabs>
                <w:tab w:val="left" w:pos="3237"/>
              </w:tabs>
              <w:suppressAutoHyphens/>
              <w:spacing w:after="0"/>
              <w:jc w:val="left"/>
              <w:rPr>
                <w:rFonts w:eastAsia="Times New Roman"/>
                <w:b/>
                <w:i/>
                <w:szCs w:val="24"/>
                <w:lang w:val="en-US"/>
              </w:rPr>
            </w:pPr>
            <w:r>
              <w:rPr>
                <w:rFonts w:eastAsia="Times New Roman"/>
                <w:b/>
                <w:i/>
                <w:szCs w:val="24"/>
              </w:rPr>
              <w:t xml:space="preserve">                                н/п</w:t>
            </w:r>
          </w:p>
          <w:p w:rsidR="00A85EB3" w:rsidRDefault="00A85EB3">
            <w:pPr>
              <w:tabs>
                <w:tab w:val="left" w:pos="3237"/>
              </w:tabs>
              <w:suppressAutoHyphens/>
              <w:spacing w:after="0"/>
              <w:jc w:val="center"/>
              <w:rPr>
                <w:rFonts w:eastAsia="Times New Roman"/>
                <w:i/>
                <w:lang w:val="en-US" w:eastAsia="ar-SA"/>
              </w:rPr>
            </w:pPr>
          </w:p>
        </w:tc>
      </w:tr>
    </w:tbl>
    <w:p w:rsidR="00A85EB3" w:rsidRDefault="00A85EB3">
      <w:pPr>
        <w:spacing w:after="240"/>
        <w:rPr>
          <w:rFonts w:eastAsia="Times New Roman"/>
          <w:lang w:val="en-US"/>
        </w:rPr>
      </w:pPr>
    </w:p>
    <w:p w:rsidR="00A85EB3" w:rsidRDefault="00B07D03">
      <w:pPr>
        <w:widowControl w:val="0"/>
        <w:ind w:left="720" w:hanging="720"/>
        <w:rPr>
          <w:lang w:val="en-US"/>
        </w:rPr>
      </w:pPr>
      <w:bookmarkStart w:id="77" w:name="_Toc408234923"/>
      <w:r>
        <w:rPr>
          <w:rStyle w:val="Heading2Char"/>
          <w:rFonts w:eastAsia="Calibri"/>
        </w:rPr>
        <w:t>4.4</w:t>
      </w:r>
      <w:r>
        <w:rPr>
          <w:rStyle w:val="Heading2Char"/>
          <w:rFonts w:eastAsia="Calibri"/>
        </w:rPr>
        <w:tab/>
        <w:t xml:space="preserve">Принос на планираните дейности за макрорегионалните стратегии и стратегиите за морските басейни, като се отчитат нуждите на програмния район, така както са определени от съответните държави–партньори, и като се вземат под внимание, когато е приложимо, стратегически важните проекти, определени в тези стратегии </w:t>
      </w:r>
      <w:r w:rsidRPr="003A6822">
        <w:rPr>
          <w:rStyle w:val="Heading2Char"/>
          <w:rFonts w:eastAsia="Calibri"/>
          <w:b w:val="0"/>
        </w:rPr>
        <w:t>(където е уместно)</w:t>
      </w:r>
      <w:bookmarkEnd w:id="77"/>
    </w:p>
    <w:p w:rsidR="00A85EB3" w:rsidRDefault="00B07D03">
      <w:pPr>
        <w:widowControl w:val="0"/>
        <w:ind w:left="720"/>
        <w:rPr>
          <w:rFonts w:eastAsia="Times New Roman"/>
          <w:b/>
          <w:bCs/>
          <w:lang w:val="en-US"/>
        </w:rPr>
      </w:pPr>
      <w:r>
        <w:rPr>
          <w:rFonts w:eastAsia="Times New Roman"/>
          <w:b/>
          <w:bCs/>
        </w:rPr>
        <w:t>(</w:t>
      </w:r>
      <w:r>
        <w:rPr>
          <w:b/>
        </w:rPr>
        <w:t>Когато страните-партньори и регионите участват в макрорегионални стратегии и/или стратегии за морските басейни</w:t>
      </w:r>
      <w:r>
        <w:t>)</w:t>
      </w:r>
    </w:p>
    <w:p w:rsidR="00A85EB3" w:rsidRDefault="00B07D03">
      <w:pPr>
        <w:rPr>
          <w:lang w:val="en-US" w:eastAsia="fr-BE"/>
        </w:rPr>
      </w:pPr>
      <w:r>
        <w:t xml:space="preserve">(Източник: буква(d) на чл. 8(3) от Регламент (ЕС) № 1299/2013)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FB701A" w:rsidRPr="00981F6F" w:rsidTr="00D17A3D">
        <w:tc>
          <w:tcPr>
            <w:tcW w:w="8834" w:type="dxa"/>
            <w:shd w:val="clear" w:color="auto" w:fill="auto"/>
          </w:tcPr>
          <w:p w:rsidR="00A85EB3" w:rsidRDefault="00B07D03">
            <w:pPr>
              <w:spacing w:line="276" w:lineRule="auto"/>
              <w:rPr>
                <w:rFonts w:eastAsia="Times New Roman"/>
                <w:szCs w:val="24"/>
                <w:lang w:val="en-US"/>
              </w:rPr>
            </w:pPr>
            <w:r>
              <w:rPr>
                <w:rFonts w:eastAsia="Times New Roman"/>
                <w:szCs w:val="24"/>
              </w:rPr>
              <w:t xml:space="preserve">Макро-регионалните стратегии като интегрирани рамки за справяне с общите предизвикателства допринасят за икономическо, социално и териториално сближаване. Двете съществуващи макро-регионални европейски стратегии (Европейските стратегии за региона на Балтийско море и за региона на река Дунав) не засягат пряко трансграничната територия, въпреки че регионът се влияе от региона на Дунав поради пространствената си близост и основните екологични влияния. </w:t>
            </w:r>
          </w:p>
          <w:p w:rsidR="00A85EB3" w:rsidRDefault="00B07D03">
            <w:pPr>
              <w:spacing w:line="276" w:lineRule="auto"/>
              <w:rPr>
                <w:rFonts w:eastAsia="Times New Roman"/>
                <w:szCs w:val="24"/>
                <w:lang w:val="en-US"/>
              </w:rPr>
            </w:pPr>
            <w:r>
              <w:rPr>
                <w:rFonts w:eastAsia="Times New Roman"/>
                <w:szCs w:val="24"/>
              </w:rPr>
              <w:t xml:space="preserve">Районите на Черноморското крайбрежие в България и Турция (включително Бургас и </w:t>
            </w:r>
            <w:proofErr w:type="spellStart"/>
            <w:r>
              <w:rPr>
                <w:rFonts w:eastAsia="Times New Roman"/>
                <w:szCs w:val="24"/>
              </w:rPr>
              <w:t>Къркларели</w:t>
            </w:r>
            <w:proofErr w:type="spellEnd"/>
            <w:r>
              <w:rPr>
                <w:rFonts w:eastAsia="Times New Roman"/>
                <w:szCs w:val="24"/>
              </w:rPr>
              <w:t xml:space="preserve"> като региони на ниво NUTS III) са обхванати от стратегията на ЕС за син растеж и Конвенцията за опазване на Черно море от замърсяване (по-нататък „Конвенцията от Букурещ“). Конвенцията от Букурещ е основното споразумение, ратифицирано през 1994 г. от всички шест законодателни събрания на страните от Черноморския регион, и обхваща три конкретни области, а именно: контрол на наземните източници на замърсяване; изхвърляне на отпадъци и съвместни действия в случай на произшествия (като нефтени разливи).</w:t>
            </w:r>
          </w:p>
          <w:p w:rsidR="00A85EB3" w:rsidRDefault="00B07D03">
            <w:pPr>
              <w:spacing w:line="276" w:lineRule="auto"/>
              <w:rPr>
                <w:rFonts w:eastAsia="Times New Roman"/>
                <w:szCs w:val="24"/>
                <w:lang w:val="en-US"/>
              </w:rPr>
            </w:pPr>
            <w:r>
              <w:rPr>
                <w:rFonts w:eastAsia="Times New Roman"/>
                <w:szCs w:val="24"/>
              </w:rPr>
              <w:t xml:space="preserve">В допълнение към това, Стратегическият план за действие за опазване на околната </w:t>
            </w:r>
            <w:r>
              <w:rPr>
                <w:rFonts w:eastAsia="Times New Roman"/>
                <w:szCs w:val="24"/>
              </w:rPr>
              <w:lastRenderedPageBreak/>
              <w:t>среда и възстановяване на Черно море</w:t>
            </w:r>
            <w:r>
              <w:rPr>
                <w:rFonts w:eastAsia="Times New Roman"/>
                <w:szCs w:val="24"/>
                <w:vertAlign w:val="superscript"/>
              </w:rPr>
              <w:footnoteReference w:id="14"/>
            </w:r>
            <w:r>
              <w:rPr>
                <w:rFonts w:eastAsia="Times New Roman"/>
                <w:szCs w:val="24"/>
              </w:rPr>
              <w:t xml:space="preserve">, въпреки че не е макроикономическа стратегия на ЕС, е от значение за територията. Този план за действие се съсредоточава по-специално върху въпроса за </w:t>
            </w:r>
            <w:proofErr w:type="spellStart"/>
            <w:r>
              <w:rPr>
                <w:rFonts w:eastAsia="Times New Roman"/>
                <w:szCs w:val="24"/>
              </w:rPr>
              <w:t>еутрофикацията</w:t>
            </w:r>
            <w:proofErr w:type="spellEnd"/>
            <w:r>
              <w:rPr>
                <w:rFonts w:eastAsia="Times New Roman"/>
                <w:szCs w:val="24"/>
              </w:rPr>
              <w:t xml:space="preserve">, морските ресурси, замърсяването на околната среда, биоразнообразието и др. </w:t>
            </w:r>
          </w:p>
          <w:p w:rsidR="00A85EB3" w:rsidRDefault="00B07D03">
            <w:pPr>
              <w:spacing w:before="0" w:after="0" w:line="276" w:lineRule="auto"/>
              <w:rPr>
                <w:rFonts w:eastAsia="Times New Roman"/>
                <w:szCs w:val="24"/>
                <w:lang w:val="en-US" w:eastAsia="en-US"/>
              </w:rPr>
            </w:pPr>
            <w:r>
              <w:rPr>
                <w:rFonts w:eastAsia="Times New Roman"/>
                <w:szCs w:val="24"/>
              </w:rPr>
              <w:t>Синият растеж</w:t>
            </w:r>
            <w:r>
              <w:rPr>
                <w:rFonts w:eastAsia="Times New Roman"/>
                <w:szCs w:val="24"/>
                <w:vertAlign w:val="superscript"/>
              </w:rPr>
              <w:footnoteReference w:id="15"/>
            </w:r>
            <w:r>
              <w:rPr>
                <w:rFonts w:eastAsia="Times New Roman"/>
                <w:szCs w:val="24"/>
              </w:rPr>
              <w:t xml:space="preserve"> е дългосрочната стратегия в помощ на устойчивия растеж в морския и крайбрежния сектор като цяло. Моретата и океаните са движещи сили за европейската икономика и имат огромен потенциал за иновации и растеж. Това е приносът на мореплаването за постигането на целите на „Европа 2020“ – Стратегия за интелигентен, устойчив и приобщаващ растеж. Стратегията има за цел да осигури по-последователен подход към морските въпроси чрез увеличаване на координацията между различните области на политиката, за да се засили сътрудничеството между държавите–членки и страните–кандидатки на ЕС с излаз на море. Стратегията включва три компонента:</w:t>
            </w:r>
          </w:p>
          <w:p w:rsidR="00A85EB3" w:rsidRDefault="00B07D03">
            <w:pPr>
              <w:pStyle w:val="ListParagraph"/>
              <w:numPr>
                <w:ilvl w:val="0"/>
                <w:numId w:val="57"/>
              </w:numPr>
              <w:shd w:val="clear" w:color="auto" w:fill="FFFFFF"/>
              <w:spacing w:after="0" w:line="276" w:lineRule="auto"/>
              <w:jc w:val="left"/>
              <w:rPr>
                <w:szCs w:val="24"/>
                <w:lang w:val="en-US" w:eastAsia="en-US"/>
              </w:rPr>
            </w:pPr>
            <w:r>
              <w:rPr>
                <w:bCs/>
                <w:szCs w:val="24"/>
                <w:lang w:eastAsia="en-US"/>
              </w:rPr>
              <w:t xml:space="preserve">Развиване на сектори, които имат голям потенциал за устойчиви работни места и растеж; </w:t>
            </w:r>
          </w:p>
          <w:p w:rsidR="00A85EB3" w:rsidRDefault="00B07D03">
            <w:pPr>
              <w:pStyle w:val="NumPar1"/>
              <w:numPr>
                <w:ilvl w:val="0"/>
                <w:numId w:val="57"/>
              </w:numPr>
              <w:rPr>
                <w:lang w:val="en-US"/>
              </w:rPr>
            </w:pPr>
            <w:r>
              <w:t>Съществени компоненти за предоставяне на знания, правна сигурност и безопасност в синята икономика;</w:t>
            </w:r>
          </w:p>
          <w:p w:rsidR="00A85EB3" w:rsidRDefault="00B07D03">
            <w:pPr>
              <w:pStyle w:val="NumPar1"/>
              <w:numPr>
                <w:ilvl w:val="0"/>
                <w:numId w:val="57"/>
              </w:numPr>
              <w:rPr>
                <w:lang w:val="en-US"/>
              </w:rPr>
            </w:pPr>
            <w:r>
              <w:t>Стратегии за морските басейни с цел осигуряване на пригодени към конкретните условия мерки и подпомагане на сътрудничеството между страните.</w:t>
            </w:r>
          </w:p>
          <w:p w:rsidR="00A85EB3" w:rsidRDefault="00B07D03">
            <w:pPr>
              <w:autoSpaceDE w:val="0"/>
              <w:autoSpaceDN w:val="0"/>
              <w:adjustRightInd w:val="0"/>
              <w:spacing w:before="0" w:after="0" w:line="276" w:lineRule="auto"/>
              <w:rPr>
                <w:rFonts w:eastAsia="Times New Roman"/>
                <w:i/>
                <w:lang w:val="en-US" w:eastAsia="fr-BE"/>
              </w:rPr>
            </w:pPr>
            <w:r>
              <w:rPr>
                <w:rFonts w:eastAsia="Times New Roman"/>
                <w:szCs w:val="24"/>
              </w:rPr>
              <w:t>Ключов елемент по първия компонент е крайбрежният туризъм</w:t>
            </w:r>
            <w:r>
              <w:rPr>
                <w:rFonts w:eastAsia="Times New Roman"/>
                <w:szCs w:val="24"/>
                <w:vertAlign w:val="superscript"/>
              </w:rPr>
              <w:footnoteReference w:id="16"/>
            </w:r>
            <w:r>
              <w:rPr>
                <w:rFonts w:eastAsia="Times New Roman"/>
                <w:szCs w:val="24"/>
              </w:rPr>
              <w:t xml:space="preserve">. Изключителната красотата, културното богатство и голямото разнообразие на крайбрежните райони на ЕС са ги превърнали в предпочитана дестинация за много туристи от Европа и чужбина, което прави крайбрежния и морския туризъм важен сектор на туризма. С над 3,2 милиона заети лица, този сектор генерира брутна добавена стойност в размер на 183 милиарда евро и заема над една-трета от морската икономика. 51% от </w:t>
            </w:r>
            <w:proofErr w:type="spellStart"/>
            <w:r>
              <w:rPr>
                <w:rFonts w:eastAsia="Times New Roman"/>
                <w:szCs w:val="24"/>
              </w:rPr>
              <w:t>легловата</w:t>
            </w:r>
            <w:proofErr w:type="spellEnd"/>
            <w:r>
              <w:rPr>
                <w:rFonts w:eastAsia="Times New Roman"/>
                <w:szCs w:val="24"/>
              </w:rPr>
              <w:t xml:space="preserve"> база в хотелите в Европа е съсредоточена в райони, граничещи с морета. На 20 февруари 2014 г. Европейската комисия прие съобщение относно „Европейска стратегия за по-голям растеж и повече работни места в сектора на крайбрежния и морския туризъм“, в което представи нова стратегия за засилване на крайбрежния и морския туризъм в Европа с цел отключване на потенциала на този обещаващ сектор. Комисията идентифицира 14 дейности, които могат да помогнат на сектора да расте устойчиво и да осигурят допълнителен тласък на крайбрежните райони на Европа. Например, Комисията предлага да се изготви онлайн ръководство, съдържащо преглед на основните възможности за финансиране в сектора, и да се подпомага развитието на транснационални и </w:t>
            </w:r>
            <w:proofErr w:type="spellStart"/>
            <w:r>
              <w:rPr>
                <w:rFonts w:eastAsia="Times New Roman"/>
                <w:szCs w:val="24"/>
              </w:rPr>
              <w:t>междурегионални</w:t>
            </w:r>
            <w:proofErr w:type="spellEnd"/>
            <w:r>
              <w:rPr>
                <w:rFonts w:eastAsia="Times New Roman"/>
                <w:szCs w:val="24"/>
              </w:rPr>
              <w:t xml:space="preserve"> партньорства, мрежи, клъстери и стратегии за интелигентна специализация в сектора на крайбрежния и морския туризъм. Комисията ще работи с държавите–членки, регионалните и местните органи и фирмите в бранша за </w:t>
            </w:r>
            <w:r>
              <w:rPr>
                <w:rFonts w:eastAsia="Times New Roman"/>
                <w:szCs w:val="24"/>
              </w:rPr>
              <w:lastRenderedPageBreak/>
              <w:t xml:space="preserve">изпълнението на тези дейности. Бъдещите дейности по Приоритетна ос 2 могат да се считат за конкретен инструмент, развиващ </w:t>
            </w:r>
            <w:proofErr w:type="spellStart"/>
            <w:r>
              <w:rPr>
                <w:rFonts w:eastAsia="Times New Roman"/>
                <w:szCs w:val="24"/>
              </w:rPr>
              <w:t>междусекторни</w:t>
            </w:r>
            <w:proofErr w:type="spellEnd"/>
            <w:r>
              <w:rPr>
                <w:rFonts w:eastAsia="Times New Roman"/>
                <w:szCs w:val="24"/>
              </w:rPr>
              <w:t xml:space="preserve"> хоризонтални действия, които са необходими, за да се подкрепи устойчив и балансиран дългосрочен растеж на морските икономически дейности и по този начин да се насърчава сътрудничеството между страните от Черноморския басейн.</w:t>
            </w:r>
          </w:p>
        </w:tc>
      </w:tr>
    </w:tbl>
    <w:p w:rsidR="00A85EB3" w:rsidRDefault="00B07D03">
      <w:pPr>
        <w:pStyle w:val="Heading1"/>
        <w:numPr>
          <w:ilvl w:val="0"/>
          <w:numId w:val="0"/>
        </w:numPr>
        <w:ind w:left="850" w:hanging="850"/>
        <w:rPr>
          <w:lang w:val="en-US"/>
        </w:rPr>
      </w:pPr>
      <w:r>
        <w:rPr>
          <w:lang w:eastAsia="fr-BE"/>
        </w:rPr>
        <w:lastRenderedPageBreak/>
        <w:br w:type="page"/>
      </w:r>
      <w:bookmarkStart w:id="78" w:name="_Toc408234924"/>
      <w:r>
        <w:lastRenderedPageBreak/>
        <w:t>Раздел 5 Разпоредби по прилагането на програмата за сътрудничество</w:t>
      </w:r>
      <w:bookmarkEnd w:id="78"/>
      <w:r>
        <w:t xml:space="preserve"> </w:t>
      </w:r>
    </w:p>
    <w:p w:rsidR="00A85EB3" w:rsidRDefault="00B07D03">
      <w:pPr>
        <w:rPr>
          <w:lang w:val="en-US"/>
        </w:rPr>
      </w:pPr>
      <w:r>
        <w:t>(Източник: чл. 8(4) от Регламент (ЕС) № 1299/2013)</w:t>
      </w:r>
    </w:p>
    <w:p w:rsidR="00A85EB3" w:rsidRDefault="00A85EB3">
      <w:pPr>
        <w:rPr>
          <w:lang w:val="en-US"/>
        </w:rPr>
      </w:pPr>
    </w:p>
    <w:p w:rsidR="00A85EB3" w:rsidRDefault="00B07D03">
      <w:pPr>
        <w:pStyle w:val="Heading2"/>
        <w:numPr>
          <w:ilvl w:val="0"/>
          <w:numId w:val="0"/>
        </w:numPr>
        <w:ind w:left="850" w:hanging="850"/>
        <w:rPr>
          <w:lang w:val="en-US"/>
        </w:rPr>
      </w:pPr>
      <w:bookmarkStart w:id="79" w:name="_Toc408234925"/>
      <w:r>
        <w:t>5.1</w:t>
      </w:r>
      <w:r>
        <w:tab/>
        <w:t>Съответни власти и органи</w:t>
      </w:r>
      <w:bookmarkEnd w:id="79"/>
      <w:r>
        <w:t xml:space="preserve"> </w:t>
      </w:r>
    </w:p>
    <w:p w:rsidR="00A85EB3" w:rsidRDefault="00B07D03">
      <w:pPr>
        <w:suppressAutoHyphens/>
        <w:spacing w:after="240"/>
        <w:ind w:left="720" w:hanging="720"/>
        <w:rPr>
          <w:rFonts w:eastAsia="Times New Roman"/>
          <w:lang w:val="en-US"/>
        </w:rPr>
      </w:pPr>
      <w:r>
        <w:rPr>
          <w:rFonts w:eastAsia="Times New Roman"/>
        </w:rPr>
        <w:t>(Източник: чл. 8(4) от Регламент (ЕС) № 1299/2013)</w:t>
      </w:r>
    </w:p>
    <w:p w:rsidR="00A85EB3" w:rsidRDefault="00B07D03">
      <w:pPr>
        <w:suppressAutoHyphens/>
        <w:rPr>
          <w:rFonts w:eastAsia="Times New Roman"/>
          <w:b/>
          <w:lang w:val="en-US"/>
        </w:rPr>
      </w:pPr>
      <w:r>
        <w:rPr>
          <w:rFonts w:eastAsia="Times New Roman"/>
          <w:b/>
        </w:rPr>
        <w:t>Таблица 19: Органи на Програмата</w:t>
      </w:r>
    </w:p>
    <w:p w:rsidR="00A85EB3" w:rsidRDefault="00B07D03">
      <w:pPr>
        <w:suppressAutoHyphens/>
        <w:spacing w:after="240"/>
        <w:ind w:left="720" w:hanging="720"/>
        <w:rPr>
          <w:rFonts w:eastAsia="Times New Roman"/>
          <w:lang w:val="en-US"/>
        </w:rPr>
      </w:pPr>
      <w:r>
        <w:rPr>
          <w:rFonts w:eastAsia="Times New Roman"/>
        </w:rPr>
        <w:t xml:space="preserve">(Източник: </w:t>
      </w:r>
      <w:r>
        <w:t xml:space="preserve">буква(a)(i) на </w:t>
      </w:r>
      <w:r>
        <w:rPr>
          <w:rFonts w:eastAsia="Times New Roman"/>
        </w:rPr>
        <w:t>чл. 8(4) от Регламент (ЕС) № 1299/2013)</w:t>
      </w:r>
    </w:p>
    <w:tbl>
      <w:tblPr>
        <w:tblW w:w="50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3465"/>
        <w:gridCol w:w="3069"/>
      </w:tblGrid>
      <w:tr w:rsidR="00A1790F" w:rsidRPr="00981F6F" w:rsidTr="00D50480">
        <w:trPr>
          <w:jc w:val="center"/>
        </w:trPr>
        <w:tc>
          <w:tcPr>
            <w:tcW w:w="2280" w:type="dxa"/>
            <w:shd w:val="clear" w:color="auto" w:fill="auto"/>
          </w:tcPr>
          <w:p w:rsidR="00A85EB3" w:rsidRDefault="00B07D03">
            <w:pPr>
              <w:suppressAutoHyphens/>
              <w:jc w:val="center"/>
              <w:rPr>
                <w:rFonts w:eastAsia="Times New Roman"/>
                <w:b/>
                <w:sz w:val="22"/>
                <w:szCs w:val="22"/>
                <w:lang w:val="en-US"/>
              </w:rPr>
            </w:pPr>
            <w:r>
              <w:rPr>
                <w:rFonts w:eastAsia="Times New Roman"/>
                <w:b/>
                <w:sz w:val="22"/>
                <w:szCs w:val="22"/>
              </w:rPr>
              <w:t>Ведомство/орган</w:t>
            </w:r>
          </w:p>
        </w:tc>
        <w:tc>
          <w:tcPr>
            <w:tcW w:w="3376" w:type="dxa"/>
            <w:shd w:val="clear" w:color="auto" w:fill="auto"/>
          </w:tcPr>
          <w:p w:rsidR="00A85EB3" w:rsidRDefault="00B07D03">
            <w:pPr>
              <w:suppressAutoHyphens/>
              <w:jc w:val="center"/>
              <w:rPr>
                <w:rFonts w:eastAsia="Times New Roman"/>
                <w:b/>
                <w:sz w:val="22"/>
                <w:szCs w:val="22"/>
                <w:lang w:val="en-US"/>
              </w:rPr>
            </w:pPr>
            <w:r>
              <w:rPr>
                <w:b/>
                <w:sz w:val="22"/>
                <w:szCs w:val="22"/>
              </w:rPr>
              <w:t xml:space="preserve">Наименование на ведомството/органа и отдела или звеното </w:t>
            </w:r>
          </w:p>
        </w:tc>
        <w:tc>
          <w:tcPr>
            <w:tcW w:w="2990" w:type="dxa"/>
            <w:shd w:val="clear" w:color="auto" w:fill="auto"/>
          </w:tcPr>
          <w:p w:rsidR="00A85EB3" w:rsidRDefault="00B07D03">
            <w:pPr>
              <w:suppressAutoHyphens/>
              <w:jc w:val="center"/>
              <w:rPr>
                <w:rFonts w:eastAsia="Times New Roman"/>
                <w:b/>
                <w:sz w:val="22"/>
                <w:szCs w:val="22"/>
                <w:lang w:val="en-US"/>
              </w:rPr>
            </w:pPr>
            <w:r>
              <w:rPr>
                <w:b/>
                <w:sz w:val="22"/>
                <w:szCs w:val="22"/>
              </w:rPr>
              <w:t>Ръководител на ведомството/органа (длъжност или пост)</w:t>
            </w:r>
          </w:p>
        </w:tc>
      </w:tr>
      <w:tr w:rsidR="00FB701A" w:rsidRPr="00981F6F" w:rsidTr="00D50480">
        <w:trPr>
          <w:jc w:val="center"/>
        </w:trPr>
        <w:tc>
          <w:tcPr>
            <w:tcW w:w="2280" w:type="dxa"/>
            <w:tcBorders>
              <w:bottom w:val="single" w:sz="4" w:space="0" w:color="auto"/>
            </w:tcBorders>
            <w:shd w:val="clear" w:color="auto" w:fill="auto"/>
          </w:tcPr>
          <w:p w:rsidR="00A85EB3" w:rsidRDefault="00B07D03">
            <w:pPr>
              <w:suppressAutoHyphens/>
              <w:rPr>
                <w:rFonts w:eastAsia="Times New Roman"/>
                <w:sz w:val="22"/>
                <w:szCs w:val="22"/>
                <w:lang w:val="en-US"/>
              </w:rPr>
            </w:pPr>
            <w:r>
              <w:rPr>
                <w:rFonts w:eastAsia="Times New Roman"/>
                <w:sz w:val="22"/>
                <w:szCs w:val="22"/>
              </w:rPr>
              <w:t xml:space="preserve">Управляващ орган </w:t>
            </w:r>
          </w:p>
        </w:tc>
        <w:tc>
          <w:tcPr>
            <w:tcW w:w="3376" w:type="dxa"/>
            <w:tcBorders>
              <w:bottom w:val="single" w:sz="4" w:space="0" w:color="auto"/>
            </w:tcBorders>
            <w:shd w:val="clear" w:color="auto" w:fill="auto"/>
          </w:tcPr>
          <w:p w:rsidR="00A85EB3" w:rsidRDefault="00B07D03">
            <w:pPr>
              <w:shd w:val="clear" w:color="auto" w:fill="FFFFFF"/>
              <w:jc w:val="center"/>
              <w:rPr>
                <w:rFonts w:eastAsia="Times New Roman"/>
                <w:color w:val="548DD4"/>
                <w:sz w:val="22"/>
                <w:szCs w:val="22"/>
                <w:lang w:val="en-US"/>
              </w:rPr>
            </w:pPr>
            <w:r>
              <w:rPr>
                <w:rFonts w:eastAsia="Times New Roman"/>
                <w:iCs/>
                <w:sz w:val="22"/>
                <w:szCs w:val="22"/>
                <w:lang w:eastAsia="bg-BG"/>
              </w:rPr>
              <w:t>Главна дирекция „Управление на териториалното сътрудничество“ – Министерство на регионалното развитие на Република България</w:t>
            </w:r>
          </w:p>
        </w:tc>
        <w:tc>
          <w:tcPr>
            <w:tcW w:w="2990" w:type="dxa"/>
            <w:tcBorders>
              <w:bottom w:val="single" w:sz="4" w:space="0" w:color="auto"/>
            </w:tcBorders>
            <w:shd w:val="clear" w:color="auto" w:fill="auto"/>
          </w:tcPr>
          <w:p w:rsidR="00A85EB3" w:rsidRDefault="00B07D03">
            <w:pPr>
              <w:suppressAutoHyphens/>
              <w:jc w:val="center"/>
              <w:rPr>
                <w:rFonts w:eastAsia="Times New Roman"/>
                <w:color w:val="548DD4"/>
                <w:sz w:val="22"/>
                <w:szCs w:val="22"/>
                <w:lang w:val="en-US"/>
              </w:rPr>
            </w:pPr>
            <w:r>
              <w:rPr>
                <w:rFonts w:eastAsia="Times New Roman"/>
                <w:i/>
                <w:color w:val="548DD4"/>
                <w:sz w:val="22"/>
                <w:szCs w:val="22"/>
              </w:rPr>
              <w:t xml:space="preserve">. </w:t>
            </w:r>
            <w:r>
              <w:rPr>
                <w:sz w:val="22"/>
                <w:szCs w:val="22"/>
              </w:rPr>
              <w:t>Главен директор на Главна дирекция „Управление на териториалното сътрудничество“ към Министерство на регионалното развитие</w:t>
            </w:r>
            <w:r w:rsidR="00B76199">
              <w:rPr>
                <w:sz w:val="22"/>
                <w:szCs w:val="22"/>
              </w:rPr>
              <w:t xml:space="preserve"> и благоустройството</w:t>
            </w:r>
            <w:r>
              <w:rPr>
                <w:sz w:val="22"/>
                <w:szCs w:val="22"/>
              </w:rPr>
              <w:t xml:space="preserve"> на Република България</w:t>
            </w:r>
          </w:p>
        </w:tc>
      </w:tr>
      <w:tr w:rsidR="00FB701A" w:rsidRPr="00981F6F" w:rsidTr="00D50480">
        <w:trPr>
          <w:jc w:val="center"/>
        </w:trPr>
        <w:tc>
          <w:tcPr>
            <w:tcW w:w="2280" w:type="dxa"/>
            <w:shd w:val="clear" w:color="auto" w:fill="auto"/>
          </w:tcPr>
          <w:p w:rsidR="00A85EB3" w:rsidRDefault="00B07D03">
            <w:pPr>
              <w:suppressAutoHyphens/>
              <w:rPr>
                <w:rFonts w:eastAsia="Times New Roman"/>
                <w:sz w:val="22"/>
                <w:szCs w:val="22"/>
                <w:lang w:val="en-US"/>
              </w:rPr>
            </w:pPr>
            <w:r>
              <w:rPr>
                <w:rFonts w:eastAsia="Times New Roman"/>
                <w:sz w:val="22"/>
                <w:szCs w:val="22"/>
              </w:rPr>
              <w:t xml:space="preserve">Сертифициращ орган </w:t>
            </w:r>
          </w:p>
        </w:tc>
        <w:tc>
          <w:tcPr>
            <w:tcW w:w="3376" w:type="dxa"/>
            <w:shd w:val="clear" w:color="auto" w:fill="auto"/>
          </w:tcPr>
          <w:p w:rsidR="00A85EB3" w:rsidRDefault="00B07D03">
            <w:pPr>
              <w:autoSpaceDE w:val="0"/>
              <w:autoSpaceDN w:val="0"/>
              <w:adjustRightInd w:val="0"/>
              <w:jc w:val="center"/>
              <w:rPr>
                <w:rFonts w:eastAsia="Times New Roman"/>
                <w:sz w:val="22"/>
                <w:szCs w:val="22"/>
                <w:lang w:val="en-US" w:eastAsia="bg-BG"/>
              </w:rPr>
            </w:pPr>
            <w:r>
              <w:rPr>
                <w:rFonts w:eastAsia="Times New Roman"/>
                <w:sz w:val="22"/>
                <w:szCs w:val="22"/>
                <w:lang w:eastAsia="bg-BG"/>
              </w:rPr>
              <w:t>Дирекция „Национален фонд“ към Министерството на финансите на Република България</w:t>
            </w:r>
          </w:p>
          <w:p w:rsidR="00A85EB3" w:rsidRDefault="00A85EB3">
            <w:pPr>
              <w:suppressAutoHyphens/>
              <w:jc w:val="center"/>
              <w:rPr>
                <w:rFonts w:eastAsia="Times New Roman"/>
                <w:color w:val="548DD4"/>
                <w:sz w:val="22"/>
                <w:szCs w:val="22"/>
                <w:lang w:val="en-US"/>
              </w:rPr>
            </w:pPr>
          </w:p>
        </w:tc>
        <w:tc>
          <w:tcPr>
            <w:tcW w:w="2990" w:type="dxa"/>
            <w:shd w:val="clear" w:color="auto" w:fill="auto"/>
          </w:tcPr>
          <w:p w:rsidR="00A85EB3" w:rsidRDefault="00B07D03">
            <w:pPr>
              <w:suppressAutoHyphens/>
              <w:jc w:val="center"/>
              <w:rPr>
                <w:rFonts w:eastAsia="Times New Roman"/>
                <w:color w:val="548DD4"/>
                <w:sz w:val="22"/>
                <w:szCs w:val="22"/>
                <w:lang w:val="en-US"/>
              </w:rPr>
            </w:pPr>
            <w:r>
              <w:rPr>
                <w:rFonts w:eastAsia="Times New Roman"/>
                <w:i/>
                <w:color w:val="548DD4"/>
                <w:sz w:val="22"/>
                <w:szCs w:val="22"/>
              </w:rPr>
              <w:t xml:space="preserve">. </w:t>
            </w:r>
            <w:r>
              <w:rPr>
                <w:sz w:val="22"/>
                <w:szCs w:val="22"/>
              </w:rPr>
              <w:t>Директор на Дирекция „Национален фонд“ към Министерството на финансите на Република България</w:t>
            </w:r>
          </w:p>
        </w:tc>
      </w:tr>
      <w:tr w:rsidR="00D0770B" w:rsidRPr="00981F6F" w:rsidTr="00D50480">
        <w:trPr>
          <w:jc w:val="center"/>
        </w:trPr>
        <w:tc>
          <w:tcPr>
            <w:tcW w:w="2280" w:type="dxa"/>
            <w:tcBorders>
              <w:bottom w:val="single" w:sz="4" w:space="0" w:color="auto"/>
            </w:tcBorders>
            <w:shd w:val="clear" w:color="auto" w:fill="auto"/>
          </w:tcPr>
          <w:p w:rsidR="00A85EB3" w:rsidRDefault="00B07D03">
            <w:pPr>
              <w:suppressAutoHyphens/>
              <w:rPr>
                <w:rFonts w:eastAsia="Times New Roman"/>
                <w:sz w:val="22"/>
                <w:szCs w:val="22"/>
                <w:lang w:val="en-US"/>
              </w:rPr>
            </w:pPr>
            <w:proofErr w:type="spellStart"/>
            <w:r>
              <w:rPr>
                <w:rFonts w:eastAsia="Times New Roman"/>
                <w:sz w:val="22"/>
                <w:szCs w:val="22"/>
              </w:rPr>
              <w:t>Одитен</w:t>
            </w:r>
            <w:proofErr w:type="spellEnd"/>
            <w:r>
              <w:rPr>
                <w:rFonts w:eastAsia="Times New Roman"/>
                <w:sz w:val="22"/>
                <w:szCs w:val="22"/>
              </w:rPr>
              <w:t xml:space="preserve"> органи</w:t>
            </w:r>
          </w:p>
        </w:tc>
        <w:tc>
          <w:tcPr>
            <w:tcW w:w="3376" w:type="dxa"/>
            <w:tcBorders>
              <w:bottom w:val="single" w:sz="4" w:space="0" w:color="auto"/>
            </w:tcBorders>
            <w:shd w:val="clear" w:color="auto" w:fill="auto"/>
          </w:tcPr>
          <w:p w:rsidR="00A85EB3" w:rsidRDefault="00B07D03">
            <w:pPr>
              <w:autoSpaceDE w:val="0"/>
              <w:autoSpaceDN w:val="0"/>
              <w:adjustRightInd w:val="0"/>
              <w:jc w:val="center"/>
              <w:rPr>
                <w:rFonts w:eastAsia="Times New Roman"/>
                <w:i/>
                <w:color w:val="548DD4"/>
                <w:sz w:val="22"/>
                <w:szCs w:val="22"/>
                <w:lang w:val="en-US"/>
              </w:rPr>
            </w:pPr>
            <w:r>
              <w:rPr>
                <w:rFonts w:eastAsia="Times New Roman"/>
                <w:sz w:val="22"/>
                <w:szCs w:val="22"/>
                <w:lang w:eastAsia="bg-BG"/>
              </w:rPr>
              <w:t>Изпълнителна агенция „Одит на средствата от ЕС“ към министъра на финансите на Република България</w:t>
            </w:r>
          </w:p>
        </w:tc>
        <w:tc>
          <w:tcPr>
            <w:tcW w:w="2990" w:type="dxa"/>
            <w:tcBorders>
              <w:bottom w:val="single" w:sz="4" w:space="0" w:color="auto"/>
            </w:tcBorders>
            <w:shd w:val="clear" w:color="auto" w:fill="auto"/>
          </w:tcPr>
          <w:p w:rsidR="00A85EB3" w:rsidRDefault="00B07D03">
            <w:pPr>
              <w:suppressAutoHyphens/>
              <w:jc w:val="center"/>
              <w:rPr>
                <w:sz w:val="22"/>
                <w:szCs w:val="22"/>
                <w:lang w:val="en-US"/>
              </w:rPr>
            </w:pPr>
            <w:r>
              <w:rPr>
                <w:sz w:val="22"/>
                <w:szCs w:val="22"/>
              </w:rPr>
              <w:t xml:space="preserve">Изпълнителен директор на Изпълнителна агенция „Одит на средствата от ЕС“ </w:t>
            </w:r>
            <w:r>
              <w:rPr>
                <w:rFonts w:eastAsia="Times New Roman"/>
                <w:sz w:val="22"/>
                <w:szCs w:val="22"/>
                <w:lang w:eastAsia="bg-BG"/>
              </w:rPr>
              <w:t>към министъра на финансите</w:t>
            </w:r>
            <w:r>
              <w:rPr>
                <w:sz w:val="22"/>
                <w:szCs w:val="22"/>
              </w:rPr>
              <w:t xml:space="preserve"> на Република България</w:t>
            </w:r>
          </w:p>
        </w:tc>
      </w:tr>
      <w:tr w:rsidR="00FB701A" w:rsidRPr="00981F6F" w:rsidTr="00D50480">
        <w:trPr>
          <w:jc w:val="center"/>
        </w:trPr>
        <w:tc>
          <w:tcPr>
            <w:tcW w:w="2280" w:type="dxa"/>
            <w:tcBorders>
              <w:bottom w:val="single" w:sz="4" w:space="0" w:color="auto"/>
            </w:tcBorders>
            <w:shd w:val="clear" w:color="auto" w:fill="auto"/>
          </w:tcPr>
          <w:p w:rsidR="00A85EB3" w:rsidRDefault="00B07D03">
            <w:pPr>
              <w:suppressAutoHyphens/>
              <w:rPr>
                <w:rFonts w:eastAsia="Times New Roman"/>
                <w:sz w:val="22"/>
                <w:szCs w:val="22"/>
                <w:lang w:val="en-US"/>
              </w:rPr>
            </w:pPr>
            <w:r>
              <w:rPr>
                <w:rFonts w:eastAsia="Times New Roman"/>
                <w:sz w:val="22"/>
                <w:szCs w:val="22"/>
              </w:rPr>
              <w:t>Национални органи</w:t>
            </w:r>
          </w:p>
        </w:tc>
        <w:tc>
          <w:tcPr>
            <w:tcW w:w="3376" w:type="dxa"/>
            <w:tcBorders>
              <w:bottom w:val="single" w:sz="4" w:space="0" w:color="auto"/>
            </w:tcBorders>
            <w:shd w:val="clear" w:color="auto" w:fill="auto"/>
          </w:tcPr>
          <w:p w:rsidR="00A85EB3" w:rsidRDefault="00B07D03">
            <w:pPr>
              <w:suppressAutoHyphens/>
              <w:jc w:val="center"/>
              <w:rPr>
                <w:rFonts w:eastAsia="Times New Roman"/>
                <w:color w:val="548DD4"/>
                <w:sz w:val="22"/>
                <w:szCs w:val="22"/>
                <w:lang w:val="en-US"/>
              </w:rPr>
            </w:pPr>
            <w:r>
              <w:rPr>
                <w:rFonts w:cs="Arial"/>
                <w:sz w:val="22"/>
                <w:szCs w:val="22"/>
                <w:lang w:eastAsia="bg-BG"/>
              </w:rPr>
              <w:t>Дирекция „Финансово сътрудничество“, Министерство за въпросите на ЕС на Република Турция</w:t>
            </w:r>
          </w:p>
        </w:tc>
        <w:tc>
          <w:tcPr>
            <w:tcW w:w="2990" w:type="dxa"/>
            <w:tcBorders>
              <w:bottom w:val="single" w:sz="4" w:space="0" w:color="auto"/>
            </w:tcBorders>
            <w:shd w:val="clear" w:color="auto" w:fill="auto"/>
          </w:tcPr>
          <w:p w:rsidR="00A85EB3" w:rsidRDefault="00B07D03">
            <w:pPr>
              <w:suppressAutoHyphens/>
              <w:jc w:val="center"/>
              <w:rPr>
                <w:rFonts w:eastAsia="Times New Roman"/>
                <w:color w:val="548DD4"/>
                <w:sz w:val="22"/>
                <w:szCs w:val="22"/>
                <w:lang w:val="en-US"/>
              </w:rPr>
            </w:pPr>
            <w:r>
              <w:rPr>
                <w:sz w:val="22"/>
                <w:szCs w:val="22"/>
              </w:rPr>
              <w:t>Директор на Дирекция „Финансово сътрудничество“</w:t>
            </w:r>
          </w:p>
        </w:tc>
      </w:tr>
      <w:tr w:rsidR="00FB701A" w:rsidRPr="00981F6F" w:rsidTr="00D50480">
        <w:trPr>
          <w:jc w:val="center"/>
        </w:trPr>
        <w:tc>
          <w:tcPr>
            <w:tcW w:w="8646" w:type="dxa"/>
            <w:gridSpan w:val="3"/>
            <w:tcBorders>
              <w:top w:val="single" w:sz="4" w:space="0" w:color="auto"/>
              <w:left w:val="nil"/>
              <w:bottom w:val="nil"/>
              <w:right w:val="nil"/>
            </w:tcBorders>
            <w:shd w:val="clear" w:color="auto" w:fill="auto"/>
          </w:tcPr>
          <w:p w:rsidR="00A85EB3" w:rsidRDefault="00A85EB3">
            <w:pPr>
              <w:suppressAutoHyphens/>
              <w:rPr>
                <w:rFonts w:eastAsia="Times New Roman"/>
                <w:sz w:val="22"/>
                <w:szCs w:val="22"/>
                <w:lang w:val="en-US"/>
              </w:rPr>
            </w:pPr>
          </w:p>
          <w:p w:rsidR="00A85EB3" w:rsidRDefault="00B07D03">
            <w:pPr>
              <w:suppressAutoHyphens/>
              <w:rPr>
                <w:rFonts w:eastAsia="Times New Roman"/>
                <w:b/>
                <w:sz w:val="22"/>
                <w:szCs w:val="22"/>
                <w:lang w:val="en-US"/>
              </w:rPr>
            </w:pPr>
            <w:r>
              <w:rPr>
                <w:rFonts w:eastAsia="Times New Roman"/>
                <w:b/>
                <w:sz w:val="22"/>
                <w:szCs w:val="22"/>
              </w:rPr>
              <w:t>Органът, на който Комисията ще превежда плащанията, е:</w:t>
            </w:r>
          </w:p>
          <w:p w:rsidR="00A85EB3" w:rsidRPr="00D50480" w:rsidRDefault="00B07D03" w:rsidP="00D50480">
            <w:pPr>
              <w:suppressAutoHyphens/>
              <w:spacing w:after="240"/>
              <w:ind w:left="720" w:hanging="720"/>
              <w:rPr>
                <w:rFonts w:eastAsia="Times New Roman"/>
                <w:sz w:val="22"/>
                <w:szCs w:val="22"/>
                <w:lang w:val="en-US"/>
              </w:rPr>
            </w:pPr>
            <w:r>
              <w:rPr>
                <w:rFonts w:eastAsia="Times New Roman"/>
                <w:sz w:val="22"/>
                <w:szCs w:val="22"/>
              </w:rPr>
              <w:t xml:space="preserve">(Източник: </w:t>
            </w:r>
            <w:r>
              <w:rPr>
                <w:sz w:val="22"/>
                <w:szCs w:val="22"/>
              </w:rPr>
              <w:t xml:space="preserve">буква(b) на </w:t>
            </w:r>
            <w:r>
              <w:rPr>
                <w:rFonts w:eastAsia="Times New Roman"/>
                <w:sz w:val="22"/>
                <w:szCs w:val="22"/>
              </w:rPr>
              <w:t>чл. 8(4) от Регламент (ЕС) № 1299/2013)</w:t>
            </w:r>
          </w:p>
          <w:tbl>
            <w:tblPr>
              <w:tblW w:w="9180"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345"/>
            </w:tblGrid>
            <w:tr w:rsidR="00FB701A" w:rsidRPr="00981F6F" w:rsidTr="00D50480">
              <w:trPr>
                <w:trHeight w:val="726"/>
              </w:trPr>
              <w:tc>
                <w:tcPr>
                  <w:tcW w:w="1544" w:type="pct"/>
                  <w:shd w:val="clear" w:color="auto" w:fill="auto"/>
                </w:tcPr>
                <w:p w:rsidR="00A85EB3" w:rsidRDefault="00B07D03">
                  <w:pPr>
                    <w:suppressAutoHyphens/>
                    <w:rPr>
                      <w:rFonts w:eastAsia="Times New Roman"/>
                      <w:sz w:val="22"/>
                      <w:szCs w:val="22"/>
                      <w:lang w:val="en-US"/>
                    </w:rPr>
                  </w:pPr>
                  <w:r>
                    <w:rPr>
                      <w:rFonts w:eastAsia="Times New Roman"/>
                      <w:sz w:val="22"/>
                      <w:szCs w:val="22"/>
                    </w:rPr>
                    <w:fldChar w:fldCharType="begin">
                      <w:ffData>
                        <w:name w:val="Check1"/>
                        <w:enabled/>
                        <w:calcOnExit w:val="0"/>
                        <w:checkBox>
                          <w:sizeAuto/>
                          <w:default w:val="0"/>
                        </w:checkBox>
                      </w:ffData>
                    </w:fldChar>
                  </w:r>
                  <w:r>
                    <w:rPr>
                      <w:rFonts w:eastAsia="Times New Roman"/>
                      <w:sz w:val="22"/>
                      <w:szCs w:val="22"/>
                    </w:rPr>
                    <w:instrText xml:space="preserve"> FORMCHECKBOX </w:instrText>
                  </w:r>
                  <w:r w:rsidR="00F81407">
                    <w:rPr>
                      <w:rFonts w:eastAsia="Times New Roman"/>
                      <w:sz w:val="22"/>
                      <w:szCs w:val="22"/>
                    </w:rPr>
                  </w:r>
                  <w:r w:rsidR="00F81407">
                    <w:rPr>
                      <w:rFonts w:eastAsia="Times New Roman"/>
                      <w:sz w:val="22"/>
                      <w:szCs w:val="22"/>
                    </w:rPr>
                    <w:fldChar w:fldCharType="separate"/>
                  </w:r>
                  <w:r>
                    <w:rPr>
                      <w:rFonts w:eastAsia="Times New Roman"/>
                      <w:sz w:val="22"/>
                      <w:szCs w:val="22"/>
                    </w:rPr>
                    <w:fldChar w:fldCharType="end"/>
                  </w:r>
                  <w:r>
                    <w:rPr>
                      <w:rFonts w:eastAsia="Times New Roman"/>
                      <w:sz w:val="22"/>
                      <w:szCs w:val="22"/>
                    </w:rPr>
                    <w:t xml:space="preserve"> Управляващия орган</w:t>
                  </w:r>
                </w:p>
              </w:tc>
              <w:tc>
                <w:tcPr>
                  <w:tcW w:w="3456" w:type="pct"/>
                  <w:tcBorders>
                    <w:bottom w:val="single" w:sz="4" w:space="0" w:color="auto"/>
                    <w:right w:val="single" w:sz="4" w:space="0" w:color="auto"/>
                  </w:tcBorders>
                  <w:shd w:val="clear" w:color="auto" w:fill="auto"/>
                </w:tcPr>
                <w:p w:rsidR="00A85EB3" w:rsidRDefault="00B07D03">
                  <w:pPr>
                    <w:suppressAutoHyphens/>
                    <w:ind w:right="355"/>
                    <w:rPr>
                      <w:rFonts w:eastAsia="Times New Roman"/>
                      <w:i/>
                      <w:color w:val="8DB3E2"/>
                      <w:sz w:val="22"/>
                      <w:szCs w:val="22"/>
                      <w:lang w:val="en-US"/>
                    </w:rPr>
                  </w:pPr>
                  <w:r>
                    <w:rPr>
                      <w:rFonts w:cs="Arial"/>
                      <w:iCs/>
                      <w:sz w:val="22"/>
                      <w:szCs w:val="22"/>
                      <w:lang w:eastAsia="bg-BG"/>
                    </w:rPr>
                    <w:t>Главна дирекция „Управление на териториалното сътрудничество“ към Министерството на регионалното развитие</w:t>
                  </w:r>
                  <w:r w:rsidR="00B76199">
                    <w:rPr>
                      <w:rFonts w:cs="Arial"/>
                      <w:iCs/>
                      <w:sz w:val="22"/>
                      <w:szCs w:val="22"/>
                      <w:lang w:eastAsia="bg-BG"/>
                    </w:rPr>
                    <w:t xml:space="preserve"> и благоустройството</w:t>
                  </w:r>
                  <w:r>
                    <w:rPr>
                      <w:rFonts w:cs="Arial"/>
                      <w:iCs/>
                      <w:sz w:val="22"/>
                      <w:szCs w:val="22"/>
                      <w:lang w:eastAsia="bg-BG"/>
                    </w:rPr>
                    <w:t xml:space="preserve"> на Република България </w:t>
                  </w:r>
                </w:p>
              </w:tc>
            </w:tr>
            <w:tr w:rsidR="00FB701A" w:rsidRPr="00981F6F" w:rsidTr="00D50480">
              <w:trPr>
                <w:trHeight w:val="741"/>
              </w:trPr>
              <w:tc>
                <w:tcPr>
                  <w:tcW w:w="1544" w:type="pct"/>
                  <w:shd w:val="clear" w:color="auto" w:fill="auto"/>
                </w:tcPr>
                <w:p w:rsidR="00A85EB3" w:rsidRDefault="00B07D03">
                  <w:pPr>
                    <w:suppressAutoHyphens/>
                    <w:rPr>
                      <w:rFonts w:eastAsia="Times New Roman"/>
                      <w:sz w:val="22"/>
                      <w:szCs w:val="22"/>
                      <w:lang w:val="en-US"/>
                    </w:rPr>
                  </w:pPr>
                  <w:r>
                    <w:rPr>
                      <w:b/>
                      <w:spacing w:val="20"/>
                      <w:sz w:val="22"/>
                      <w:szCs w:val="22"/>
                      <w:lang w:eastAsia="en-US"/>
                    </w:rPr>
                    <w:lastRenderedPageBreak/>
                    <w:fldChar w:fldCharType="begin">
                      <w:ffData>
                        <w:name w:val=""/>
                        <w:enabled/>
                        <w:calcOnExit w:val="0"/>
                        <w:checkBox>
                          <w:sizeAuto/>
                          <w:default w:val="1"/>
                        </w:checkBox>
                      </w:ffData>
                    </w:fldChar>
                  </w:r>
                  <w:r>
                    <w:rPr>
                      <w:b/>
                      <w:spacing w:val="20"/>
                      <w:sz w:val="22"/>
                      <w:szCs w:val="22"/>
                      <w:lang w:eastAsia="en-US"/>
                    </w:rPr>
                    <w:instrText xml:space="preserve"> FORMCHECKBOX </w:instrText>
                  </w:r>
                  <w:r w:rsidR="00F81407">
                    <w:rPr>
                      <w:b/>
                      <w:spacing w:val="20"/>
                      <w:sz w:val="22"/>
                      <w:szCs w:val="22"/>
                      <w:lang w:eastAsia="en-US"/>
                    </w:rPr>
                  </w:r>
                  <w:r w:rsidR="00F81407">
                    <w:rPr>
                      <w:b/>
                      <w:spacing w:val="20"/>
                      <w:sz w:val="22"/>
                      <w:szCs w:val="22"/>
                      <w:lang w:eastAsia="en-US"/>
                    </w:rPr>
                    <w:fldChar w:fldCharType="separate"/>
                  </w:r>
                  <w:r>
                    <w:rPr>
                      <w:b/>
                      <w:spacing w:val="20"/>
                      <w:sz w:val="22"/>
                      <w:szCs w:val="22"/>
                      <w:lang w:eastAsia="en-US"/>
                    </w:rPr>
                    <w:fldChar w:fldCharType="end"/>
                  </w:r>
                  <w:r>
                    <w:rPr>
                      <w:rFonts w:eastAsia="Times New Roman"/>
                      <w:sz w:val="22"/>
                      <w:szCs w:val="22"/>
                    </w:rPr>
                    <w:t xml:space="preserve"> Сертифициращия орган</w:t>
                  </w:r>
                </w:p>
              </w:tc>
              <w:tc>
                <w:tcPr>
                  <w:tcW w:w="3456" w:type="pct"/>
                  <w:tcBorders>
                    <w:right w:val="single" w:sz="4" w:space="0" w:color="auto"/>
                  </w:tcBorders>
                  <w:shd w:val="clear" w:color="auto" w:fill="auto"/>
                </w:tcPr>
                <w:p w:rsidR="00A85EB3" w:rsidRDefault="00B07D03">
                  <w:pPr>
                    <w:suppressAutoHyphens/>
                    <w:ind w:right="355"/>
                    <w:rPr>
                      <w:rFonts w:eastAsia="Times New Roman"/>
                      <w:i/>
                      <w:color w:val="8DB3E2"/>
                      <w:sz w:val="22"/>
                      <w:szCs w:val="22"/>
                      <w:lang w:val="en-US"/>
                    </w:rPr>
                  </w:pPr>
                  <w:r>
                    <w:rPr>
                      <w:rFonts w:cs="Arial"/>
                      <w:sz w:val="22"/>
                      <w:szCs w:val="22"/>
                      <w:lang w:eastAsia="bg-BG"/>
                    </w:rPr>
                    <w:t>Дирекция „Национален фонд“ към Министерството на финансите на Република България</w:t>
                  </w:r>
                </w:p>
              </w:tc>
            </w:tr>
          </w:tbl>
          <w:p w:rsidR="00A85EB3" w:rsidRDefault="00A85EB3">
            <w:pPr>
              <w:suppressAutoHyphens/>
              <w:rPr>
                <w:rFonts w:eastAsia="Times New Roman"/>
                <w:sz w:val="22"/>
                <w:szCs w:val="22"/>
                <w:lang w:val="en-US"/>
              </w:rPr>
            </w:pPr>
          </w:p>
        </w:tc>
      </w:tr>
    </w:tbl>
    <w:p w:rsidR="00A85EB3" w:rsidRDefault="00B07D03" w:rsidP="00EE7C3F">
      <w:pPr>
        <w:pStyle w:val="Caption"/>
        <w:rPr>
          <w:lang w:val="en-US"/>
        </w:rPr>
      </w:pPr>
      <w:bookmarkStart w:id="80" w:name="_Toc396914315"/>
      <w:r>
        <w:lastRenderedPageBreak/>
        <w:t>Таблица 20: Орган или органи, изпълняващи задачи в областта на контрола и одита</w:t>
      </w:r>
      <w:bookmarkEnd w:id="80"/>
    </w:p>
    <w:p w:rsidR="00A85EB3" w:rsidRDefault="00B07D03">
      <w:pPr>
        <w:keepNext/>
        <w:suppressAutoHyphens/>
        <w:spacing w:after="240"/>
        <w:ind w:left="720" w:hanging="720"/>
        <w:rPr>
          <w:rFonts w:eastAsia="Times New Roman"/>
          <w:lang w:val="en-US"/>
        </w:rPr>
      </w:pPr>
      <w:r>
        <w:rPr>
          <w:rFonts w:eastAsia="Times New Roman"/>
        </w:rPr>
        <w:t xml:space="preserve">(Източник: </w:t>
      </w:r>
      <w:r>
        <w:t xml:space="preserve">буква(a)(ii) и (iii) на </w:t>
      </w:r>
      <w:r>
        <w:rPr>
          <w:rFonts w:eastAsia="Times New Roman"/>
        </w:rPr>
        <w:t>чл. 8(4) от Регламент (ЕС) № 1299/2013)</w:t>
      </w:r>
    </w:p>
    <w:tbl>
      <w:tblPr>
        <w:tblW w:w="49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8"/>
        <w:gridCol w:w="3118"/>
        <w:gridCol w:w="3275"/>
      </w:tblGrid>
      <w:tr w:rsidR="00A1790F" w:rsidRPr="00981F6F" w:rsidTr="00D50480">
        <w:trPr>
          <w:jc w:val="center"/>
        </w:trPr>
        <w:tc>
          <w:tcPr>
            <w:tcW w:w="2317" w:type="dxa"/>
            <w:shd w:val="clear" w:color="auto" w:fill="auto"/>
          </w:tcPr>
          <w:p w:rsidR="00A85EB3" w:rsidRDefault="00B07D03">
            <w:pPr>
              <w:suppressAutoHyphens/>
              <w:jc w:val="center"/>
              <w:rPr>
                <w:rFonts w:eastAsia="Times New Roman"/>
                <w:b/>
                <w:szCs w:val="24"/>
                <w:lang w:val="en-US"/>
              </w:rPr>
            </w:pPr>
            <w:r>
              <w:rPr>
                <w:rFonts w:eastAsia="Times New Roman"/>
                <w:b/>
                <w:szCs w:val="24"/>
              </w:rPr>
              <w:t>Ведомство/орган</w:t>
            </w:r>
          </w:p>
        </w:tc>
        <w:tc>
          <w:tcPr>
            <w:tcW w:w="3038" w:type="dxa"/>
            <w:shd w:val="clear" w:color="auto" w:fill="auto"/>
          </w:tcPr>
          <w:p w:rsidR="00A85EB3" w:rsidRDefault="00B07D03">
            <w:pPr>
              <w:suppressAutoHyphens/>
              <w:jc w:val="center"/>
              <w:rPr>
                <w:rFonts w:eastAsia="Times New Roman"/>
                <w:b/>
                <w:szCs w:val="24"/>
                <w:lang w:val="en-US"/>
              </w:rPr>
            </w:pPr>
            <w:r>
              <w:rPr>
                <w:b/>
                <w:szCs w:val="24"/>
              </w:rPr>
              <w:t xml:space="preserve">Наименование на ведомството/органа и отдела или звеното </w:t>
            </w:r>
          </w:p>
        </w:tc>
        <w:tc>
          <w:tcPr>
            <w:tcW w:w="3191" w:type="dxa"/>
            <w:shd w:val="clear" w:color="auto" w:fill="auto"/>
          </w:tcPr>
          <w:p w:rsidR="00A85EB3" w:rsidRDefault="00B07D03">
            <w:pPr>
              <w:suppressAutoHyphens/>
              <w:jc w:val="center"/>
              <w:rPr>
                <w:rFonts w:eastAsia="Times New Roman"/>
                <w:b/>
                <w:szCs w:val="24"/>
                <w:lang w:val="en-US"/>
              </w:rPr>
            </w:pPr>
            <w:r>
              <w:rPr>
                <w:b/>
                <w:szCs w:val="24"/>
              </w:rPr>
              <w:t>Ръководител на ведомството/органа (длъжност или пост)</w:t>
            </w:r>
          </w:p>
        </w:tc>
      </w:tr>
      <w:tr w:rsidR="00902C27" w:rsidRPr="00981F6F" w:rsidTr="00D50480">
        <w:trPr>
          <w:jc w:val="center"/>
        </w:trPr>
        <w:tc>
          <w:tcPr>
            <w:tcW w:w="2317" w:type="dxa"/>
            <w:vMerge w:val="restart"/>
            <w:shd w:val="clear" w:color="auto" w:fill="auto"/>
          </w:tcPr>
          <w:p w:rsidR="00A85EB3" w:rsidRDefault="00B07D03">
            <w:pPr>
              <w:suppressAutoHyphens/>
              <w:rPr>
                <w:rFonts w:eastAsia="Times New Roman"/>
                <w:b/>
                <w:sz w:val="22"/>
                <w:szCs w:val="22"/>
                <w:lang w:val="en-US"/>
              </w:rPr>
            </w:pPr>
            <w:r>
              <w:rPr>
                <w:rFonts w:eastAsia="Times New Roman"/>
                <w:sz w:val="22"/>
                <w:szCs w:val="22"/>
              </w:rPr>
              <w:t>Орган или органи, определени да изпълняват контролни функции</w:t>
            </w:r>
          </w:p>
        </w:tc>
        <w:tc>
          <w:tcPr>
            <w:tcW w:w="3038" w:type="dxa"/>
            <w:shd w:val="clear" w:color="auto" w:fill="auto"/>
          </w:tcPr>
          <w:p w:rsidR="00A85EB3" w:rsidRDefault="00B07D03">
            <w:pPr>
              <w:suppressAutoHyphens/>
              <w:jc w:val="left"/>
              <w:rPr>
                <w:rFonts w:eastAsia="Times New Roman"/>
                <w:i/>
                <w:szCs w:val="24"/>
                <w:lang w:val="en-US"/>
              </w:rPr>
            </w:pPr>
            <w:r>
              <w:rPr>
                <w:sz w:val="20"/>
                <w:u w:val="single"/>
              </w:rPr>
              <w:t>За Република България:</w:t>
            </w:r>
            <w:r>
              <w:rPr>
                <w:sz w:val="20"/>
              </w:rPr>
              <w:t xml:space="preserve"> Министер</w:t>
            </w:r>
            <w:r w:rsidR="00B76199">
              <w:rPr>
                <w:sz w:val="20"/>
              </w:rPr>
              <w:t xml:space="preserve">ството на регионалното развитие и благоустройството </w:t>
            </w:r>
            <w:r>
              <w:rPr>
                <w:sz w:val="20"/>
              </w:rPr>
              <w:t>на Република България</w:t>
            </w:r>
          </w:p>
        </w:tc>
        <w:tc>
          <w:tcPr>
            <w:tcW w:w="3191" w:type="dxa"/>
            <w:shd w:val="clear" w:color="auto" w:fill="auto"/>
          </w:tcPr>
          <w:p w:rsidR="00A85EB3" w:rsidRDefault="00B07D03">
            <w:pPr>
              <w:suppressAutoHyphens/>
              <w:jc w:val="center"/>
              <w:rPr>
                <w:rFonts w:eastAsia="Times New Roman"/>
                <w:szCs w:val="24"/>
                <w:lang w:val="en-US"/>
              </w:rPr>
            </w:pPr>
            <w:r>
              <w:rPr>
                <w:sz w:val="22"/>
                <w:szCs w:val="22"/>
              </w:rPr>
              <w:t>Министър на регионалното развитие на Република България</w:t>
            </w:r>
          </w:p>
        </w:tc>
      </w:tr>
      <w:tr w:rsidR="00902C27" w:rsidRPr="00981F6F" w:rsidTr="00D50480">
        <w:trPr>
          <w:jc w:val="center"/>
        </w:trPr>
        <w:tc>
          <w:tcPr>
            <w:tcW w:w="2317" w:type="dxa"/>
            <w:vMerge/>
            <w:shd w:val="clear" w:color="auto" w:fill="auto"/>
          </w:tcPr>
          <w:p w:rsidR="00A85EB3" w:rsidRDefault="00A85EB3">
            <w:pPr>
              <w:suppressAutoHyphens/>
              <w:rPr>
                <w:rFonts w:eastAsia="Times New Roman"/>
                <w:sz w:val="22"/>
                <w:szCs w:val="22"/>
                <w:lang w:val="en-US"/>
              </w:rPr>
            </w:pPr>
          </w:p>
        </w:tc>
        <w:tc>
          <w:tcPr>
            <w:tcW w:w="3038" w:type="dxa"/>
            <w:shd w:val="clear" w:color="auto" w:fill="auto"/>
          </w:tcPr>
          <w:p w:rsidR="00A85EB3" w:rsidRDefault="00B07D03">
            <w:pPr>
              <w:suppressAutoHyphens/>
              <w:jc w:val="left"/>
              <w:rPr>
                <w:rFonts w:eastAsia="Times New Roman"/>
                <w:szCs w:val="24"/>
                <w:lang w:val="en-US" w:eastAsia="bg-BG"/>
              </w:rPr>
            </w:pPr>
            <w:r>
              <w:rPr>
                <w:sz w:val="20"/>
                <w:u w:val="single"/>
              </w:rPr>
              <w:t>За Република Турция:</w:t>
            </w:r>
            <w:r>
              <w:rPr>
                <w:sz w:val="20"/>
              </w:rPr>
              <w:t xml:space="preserve"> </w:t>
            </w:r>
            <w:r>
              <w:rPr>
                <w:rFonts w:cs="Arial"/>
                <w:sz w:val="22"/>
                <w:szCs w:val="22"/>
                <w:lang w:eastAsia="bg-BG"/>
              </w:rPr>
              <w:t>Дирекция „Финансово сътрудничество“, Министерство за въпросите на ЕС на Република Турция</w:t>
            </w:r>
          </w:p>
        </w:tc>
        <w:tc>
          <w:tcPr>
            <w:tcW w:w="3191" w:type="dxa"/>
            <w:shd w:val="clear" w:color="auto" w:fill="auto"/>
          </w:tcPr>
          <w:p w:rsidR="00A85EB3" w:rsidRDefault="00B07D03">
            <w:pPr>
              <w:suppressAutoHyphens/>
              <w:jc w:val="center"/>
              <w:rPr>
                <w:rFonts w:eastAsia="Times New Roman"/>
                <w:szCs w:val="24"/>
                <w:lang w:val="en-US" w:eastAsia="bg-BG"/>
              </w:rPr>
            </w:pPr>
            <w:r>
              <w:rPr>
                <w:sz w:val="22"/>
                <w:szCs w:val="22"/>
              </w:rPr>
              <w:t>Директор на Дирекция „Финансово сътрудничество“</w:t>
            </w:r>
          </w:p>
        </w:tc>
      </w:tr>
      <w:tr w:rsidR="00902C27" w:rsidRPr="00981F6F" w:rsidTr="00D50480">
        <w:trPr>
          <w:jc w:val="center"/>
        </w:trPr>
        <w:tc>
          <w:tcPr>
            <w:tcW w:w="2317" w:type="dxa"/>
            <w:vMerge w:val="restart"/>
            <w:shd w:val="clear" w:color="auto" w:fill="auto"/>
          </w:tcPr>
          <w:p w:rsidR="00A85EB3" w:rsidRDefault="00B07D03">
            <w:pPr>
              <w:suppressAutoHyphens/>
              <w:rPr>
                <w:rFonts w:eastAsia="Times New Roman"/>
                <w:sz w:val="22"/>
                <w:szCs w:val="22"/>
                <w:lang w:val="en-US"/>
              </w:rPr>
            </w:pPr>
            <w:r>
              <w:rPr>
                <w:rFonts w:eastAsia="Times New Roman"/>
                <w:sz w:val="22"/>
                <w:szCs w:val="22"/>
              </w:rPr>
              <w:t xml:space="preserve">Орган или органи, определени да отговарят за изпълнение на </w:t>
            </w:r>
            <w:proofErr w:type="spellStart"/>
            <w:r>
              <w:rPr>
                <w:rFonts w:eastAsia="Times New Roman"/>
                <w:sz w:val="22"/>
                <w:szCs w:val="22"/>
              </w:rPr>
              <w:t>одитни</w:t>
            </w:r>
            <w:proofErr w:type="spellEnd"/>
            <w:r>
              <w:rPr>
                <w:rFonts w:eastAsia="Times New Roman"/>
                <w:sz w:val="22"/>
                <w:szCs w:val="22"/>
              </w:rPr>
              <w:t xml:space="preserve"> функции</w:t>
            </w:r>
          </w:p>
        </w:tc>
        <w:tc>
          <w:tcPr>
            <w:tcW w:w="3038" w:type="dxa"/>
            <w:shd w:val="clear" w:color="auto" w:fill="auto"/>
          </w:tcPr>
          <w:p w:rsidR="00A85EB3" w:rsidRDefault="00B07D03">
            <w:pPr>
              <w:suppressAutoHyphens/>
              <w:jc w:val="left"/>
              <w:rPr>
                <w:sz w:val="22"/>
                <w:szCs w:val="22"/>
                <w:lang w:val="en-US"/>
              </w:rPr>
            </w:pPr>
            <w:r>
              <w:rPr>
                <w:sz w:val="20"/>
                <w:u w:val="single"/>
              </w:rPr>
              <w:t>За Република България:</w:t>
            </w:r>
            <w:r>
              <w:rPr>
                <w:sz w:val="20"/>
              </w:rPr>
              <w:t xml:space="preserve"> </w:t>
            </w:r>
            <w:r>
              <w:rPr>
                <w:sz w:val="22"/>
                <w:szCs w:val="22"/>
              </w:rPr>
              <w:t>Изпълнителна агенция „Одит на средствата от ЕС“ към министъра на финансите на Република България</w:t>
            </w:r>
          </w:p>
        </w:tc>
        <w:tc>
          <w:tcPr>
            <w:tcW w:w="3191" w:type="dxa"/>
            <w:shd w:val="clear" w:color="auto" w:fill="auto"/>
          </w:tcPr>
          <w:p w:rsidR="00A85EB3" w:rsidRDefault="00B07D03">
            <w:pPr>
              <w:suppressAutoHyphens/>
              <w:jc w:val="center"/>
              <w:rPr>
                <w:sz w:val="22"/>
                <w:szCs w:val="22"/>
                <w:lang w:val="en-US"/>
              </w:rPr>
            </w:pPr>
            <w:r>
              <w:rPr>
                <w:sz w:val="22"/>
                <w:szCs w:val="22"/>
              </w:rPr>
              <w:t xml:space="preserve">Изпълнителен директор на Изпълнителна агенция „Одит на средствата от ЕС“ към министъра на финансите на Република България </w:t>
            </w:r>
          </w:p>
        </w:tc>
      </w:tr>
      <w:tr w:rsidR="00902C27" w:rsidRPr="00981F6F" w:rsidTr="00D50480">
        <w:trPr>
          <w:jc w:val="center"/>
        </w:trPr>
        <w:tc>
          <w:tcPr>
            <w:tcW w:w="2317" w:type="dxa"/>
            <w:vMerge/>
            <w:shd w:val="clear" w:color="auto" w:fill="auto"/>
          </w:tcPr>
          <w:p w:rsidR="00A85EB3" w:rsidRDefault="00A85EB3">
            <w:pPr>
              <w:suppressAutoHyphens/>
              <w:rPr>
                <w:rFonts w:eastAsia="Times New Roman"/>
                <w:sz w:val="22"/>
                <w:szCs w:val="22"/>
                <w:lang w:val="en-US"/>
              </w:rPr>
            </w:pPr>
          </w:p>
        </w:tc>
        <w:tc>
          <w:tcPr>
            <w:tcW w:w="3038" w:type="dxa"/>
            <w:shd w:val="clear" w:color="auto" w:fill="auto"/>
          </w:tcPr>
          <w:p w:rsidR="00A85EB3" w:rsidRDefault="00B07D03">
            <w:pPr>
              <w:suppressAutoHyphens/>
              <w:jc w:val="left"/>
              <w:rPr>
                <w:sz w:val="22"/>
                <w:szCs w:val="22"/>
                <w:lang w:val="en-US"/>
              </w:rPr>
            </w:pPr>
            <w:r>
              <w:rPr>
                <w:sz w:val="20"/>
                <w:u w:val="single"/>
              </w:rPr>
              <w:t>За Република Турция:</w:t>
            </w:r>
            <w:r>
              <w:rPr>
                <w:sz w:val="20"/>
              </w:rPr>
              <w:t xml:space="preserve"> Представителна група </w:t>
            </w:r>
            <w:proofErr w:type="spellStart"/>
            <w:r>
              <w:rPr>
                <w:sz w:val="20"/>
              </w:rPr>
              <w:t>одитори</w:t>
            </w:r>
            <w:proofErr w:type="spellEnd"/>
            <w:r>
              <w:rPr>
                <w:sz w:val="20"/>
              </w:rPr>
              <w:t xml:space="preserve"> – Съвета на контрольорите на хазната към Заместник</w:t>
            </w:r>
            <w:r w:rsidR="00B76199">
              <w:rPr>
                <w:sz w:val="20"/>
              </w:rPr>
              <w:t xml:space="preserve"> </w:t>
            </w:r>
            <w:r>
              <w:rPr>
                <w:sz w:val="20"/>
              </w:rPr>
              <w:t>министъра на финансите</w:t>
            </w:r>
          </w:p>
        </w:tc>
        <w:tc>
          <w:tcPr>
            <w:tcW w:w="3191" w:type="dxa"/>
            <w:shd w:val="clear" w:color="auto" w:fill="auto"/>
          </w:tcPr>
          <w:p w:rsidR="00A85EB3" w:rsidRDefault="00B07D03">
            <w:pPr>
              <w:suppressAutoHyphens/>
              <w:jc w:val="center"/>
              <w:rPr>
                <w:sz w:val="22"/>
                <w:szCs w:val="22"/>
                <w:lang w:val="en-US"/>
              </w:rPr>
            </w:pPr>
            <w:r>
              <w:rPr>
                <w:sz w:val="22"/>
                <w:szCs w:val="22"/>
              </w:rPr>
              <w:t>Началник на Съвета на контрол</w:t>
            </w:r>
            <w:r w:rsidR="00B76199">
              <w:rPr>
                <w:sz w:val="22"/>
                <w:szCs w:val="22"/>
              </w:rPr>
              <w:t xml:space="preserve">ьорите на хазната към Заместник </w:t>
            </w:r>
            <w:r>
              <w:rPr>
                <w:sz w:val="22"/>
                <w:szCs w:val="22"/>
              </w:rPr>
              <w:t>министъра на финансите</w:t>
            </w:r>
          </w:p>
        </w:tc>
      </w:tr>
    </w:tbl>
    <w:p w:rsidR="00A85EB3" w:rsidRDefault="00A85EB3">
      <w:pPr>
        <w:spacing w:after="240"/>
        <w:rPr>
          <w:rFonts w:eastAsia="Times New Roman"/>
          <w:b/>
          <w:lang w:val="en-US"/>
        </w:rPr>
      </w:pPr>
    </w:p>
    <w:p w:rsidR="00D50480" w:rsidRDefault="00D50480">
      <w:pPr>
        <w:spacing w:after="240"/>
        <w:rPr>
          <w:rFonts w:eastAsia="Times New Roman"/>
          <w:b/>
          <w:lang w:val="en-US"/>
        </w:rPr>
      </w:pPr>
    </w:p>
    <w:p w:rsidR="00A85EB3" w:rsidRDefault="00B07D03">
      <w:pPr>
        <w:pStyle w:val="Heading2"/>
        <w:numPr>
          <w:ilvl w:val="0"/>
          <w:numId w:val="0"/>
        </w:numPr>
        <w:ind w:left="850" w:hanging="850"/>
        <w:rPr>
          <w:lang w:val="en-US"/>
        </w:rPr>
      </w:pPr>
      <w:bookmarkStart w:id="81" w:name="_Toc408234926"/>
      <w:r>
        <w:t>5.2 Съвместен комитет за наблюдение</w:t>
      </w:r>
      <w:bookmarkEnd w:id="81"/>
    </w:p>
    <w:p w:rsidR="00A85EB3" w:rsidRDefault="00B07D03">
      <w:pPr>
        <w:spacing w:after="240"/>
        <w:rPr>
          <w:rFonts w:eastAsia="Times New Roman"/>
          <w:b/>
          <w:lang w:val="en-US"/>
        </w:rPr>
      </w:pPr>
      <w:r>
        <w:rPr>
          <w:rFonts w:eastAsia="Times New Roman"/>
          <w:b/>
        </w:rPr>
        <w:t>Таблица 21: Примерен списък на Съвместния комитет за наблюдение</w:t>
      </w:r>
    </w:p>
    <w:tbl>
      <w:tblPr>
        <w:tblW w:w="8637" w:type="dxa"/>
        <w:shd w:val="clear" w:color="auto" w:fill="FFFFFF"/>
        <w:tblCellMar>
          <w:left w:w="0" w:type="dxa"/>
          <w:right w:w="0" w:type="dxa"/>
        </w:tblCellMar>
        <w:tblLook w:val="04A0" w:firstRow="1" w:lastRow="0" w:firstColumn="1" w:lastColumn="0" w:noHBand="0" w:noVBand="1"/>
      </w:tblPr>
      <w:tblGrid>
        <w:gridCol w:w="3156"/>
        <w:gridCol w:w="1764"/>
        <w:gridCol w:w="3717"/>
      </w:tblGrid>
      <w:tr w:rsidR="00CE50B0" w:rsidRPr="00981F6F" w:rsidTr="00930169">
        <w:tc>
          <w:tcPr>
            <w:tcW w:w="315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pacing w:before="0" w:after="0"/>
              <w:jc w:val="left"/>
              <w:rPr>
                <w:rFonts w:eastAsia="Times New Roman"/>
                <w:color w:val="222222"/>
                <w:szCs w:val="24"/>
                <w:lang w:val="en-US" w:eastAsia="bg-BG"/>
              </w:rPr>
            </w:pPr>
            <w:r>
              <w:rPr>
                <w:rFonts w:eastAsia="Times New Roman"/>
                <w:b/>
                <w:bCs/>
                <w:color w:val="222222"/>
                <w:szCs w:val="24"/>
                <w:lang w:eastAsia="bg-BG"/>
              </w:rPr>
              <w:t>Наименование на ведомството/органа и отдела или звеното</w:t>
            </w:r>
          </w:p>
        </w:tc>
        <w:tc>
          <w:tcPr>
            <w:tcW w:w="17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pacing w:before="0" w:after="0"/>
              <w:jc w:val="center"/>
              <w:rPr>
                <w:rFonts w:eastAsia="Times New Roman"/>
                <w:color w:val="222222"/>
                <w:szCs w:val="24"/>
                <w:lang w:val="en-US" w:eastAsia="bg-BG"/>
              </w:rPr>
            </w:pPr>
            <w:r>
              <w:rPr>
                <w:rFonts w:eastAsia="Times New Roman"/>
                <w:b/>
                <w:bCs/>
                <w:color w:val="222222"/>
                <w:szCs w:val="24"/>
                <w:lang w:eastAsia="bg-BG"/>
              </w:rPr>
              <w:t>Роля в програмата</w:t>
            </w:r>
          </w:p>
        </w:tc>
        <w:tc>
          <w:tcPr>
            <w:tcW w:w="37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pacing w:before="0" w:after="0"/>
              <w:jc w:val="left"/>
              <w:rPr>
                <w:rFonts w:eastAsia="Times New Roman"/>
                <w:color w:val="222222"/>
                <w:szCs w:val="24"/>
                <w:lang w:val="en-US" w:eastAsia="bg-BG"/>
              </w:rPr>
            </w:pPr>
            <w:r>
              <w:rPr>
                <w:rFonts w:eastAsia="Times New Roman"/>
                <w:b/>
                <w:bCs/>
                <w:color w:val="222222"/>
                <w:szCs w:val="24"/>
                <w:lang w:eastAsia="bg-BG"/>
              </w:rPr>
              <w:t>Данни за връзка с ведомството/органа</w:t>
            </w:r>
          </w:p>
        </w:tc>
      </w:tr>
      <w:tr w:rsidR="00CE50B0" w:rsidRPr="00981F6F" w:rsidTr="00930169">
        <w:tc>
          <w:tcPr>
            <w:tcW w:w="31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pacing w:before="0" w:after="0"/>
              <w:jc w:val="left"/>
              <w:rPr>
                <w:rFonts w:eastAsia="Times New Roman"/>
                <w:color w:val="222222"/>
                <w:szCs w:val="24"/>
                <w:lang w:val="en-US" w:eastAsia="bg-BG"/>
              </w:rPr>
            </w:pPr>
            <w:r>
              <w:rPr>
                <w:rFonts w:eastAsia="Times New Roman"/>
                <w:color w:val="222222"/>
                <w:szCs w:val="24"/>
                <w:lang w:eastAsia="bg-BG"/>
              </w:rPr>
              <w:t>Европейска комисия</w:t>
            </w:r>
          </w:p>
        </w:tc>
        <w:tc>
          <w:tcPr>
            <w:tcW w:w="17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hd w:val="clear" w:color="auto" w:fill="FFFFFF"/>
              <w:spacing w:before="0" w:after="0"/>
              <w:jc w:val="center"/>
              <w:rPr>
                <w:rFonts w:eastAsia="Times New Roman"/>
                <w:color w:val="222222"/>
                <w:szCs w:val="24"/>
                <w:lang w:val="en-US" w:eastAsia="bg-BG"/>
              </w:rPr>
            </w:pPr>
            <w:r>
              <w:rPr>
                <w:rFonts w:eastAsia="Times New Roman"/>
                <w:color w:val="222222"/>
                <w:szCs w:val="24"/>
                <w:lang w:eastAsia="bg-BG"/>
              </w:rPr>
              <w:t>Съвещателна</w:t>
            </w:r>
          </w:p>
        </w:tc>
        <w:tc>
          <w:tcPr>
            <w:tcW w:w="37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rsidP="00B76199">
            <w:pPr>
              <w:shd w:val="clear" w:color="auto" w:fill="FFFFFF"/>
              <w:spacing w:before="0" w:after="0"/>
              <w:jc w:val="left"/>
              <w:rPr>
                <w:rFonts w:eastAsia="Times New Roman"/>
                <w:color w:val="222222"/>
                <w:sz w:val="22"/>
                <w:szCs w:val="22"/>
                <w:lang w:val="en-US" w:eastAsia="bg-BG"/>
              </w:rPr>
            </w:pPr>
            <w:r>
              <w:rPr>
                <w:rFonts w:eastAsia="Times New Roman"/>
                <w:color w:val="222222"/>
                <w:sz w:val="22"/>
                <w:szCs w:val="22"/>
                <w:lang w:eastAsia="bg-BG"/>
              </w:rPr>
              <w:t xml:space="preserve">Европейска комисия, Дирекция „Регионална и </w:t>
            </w:r>
            <w:r w:rsidR="00B76199">
              <w:rPr>
                <w:rFonts w:eastAsia="Times New Roman"/>
                <w:color w:val="222222"/>
                <w:sz w:val="22"/>
                <w:szCs w:val="22"/>
                <w:lang w:eastAsia="bg-BG"/>
              </w:rPr>
              <w:t xml:space="preserve">селищна </w:t>
            </w:r>
            <w:r>
              <w:rPr>
                <w:rFonts w:eastAsia="Times New Roman"/>
                <w:color w:val="222222"/>
                <w:sz w:val="22"/>
                <w:szCs w:val="22"/>
                <w:lang w:eastAsia="bg-BG"/>
              </w:rPr>
              <w:t>политика“</w:t>
            </w:r>
          </w:p>
        </w:tc>
      </w:tr>
      <w:tr w:rsidR="00CE50B0" w:rsidRPr="00981F6F" w:rsidTr="00930169">
        <w:trPr>
          <w:trHeight w:val="595"/>
        </w:trPr>
        <w:tc>
          <w:tcPr>
            <w:tcW w:w="31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pacing w:before="0" w:after="0"/>
              <w:jc w:val="left"/>
              <w:rPr>
                <w:rFonts w:eastAsia="Times New Roman"/>
                <w:color w:val="222222"/>
                <w:szCs w:val="24"/>
                <w:lang w:val="en-US" w:eastAsia="bg-BG"/>
              </w:rPr>
            </w:pPr>
            <w:r>
              <w:rPr>
                <w:rFonts w:eastAsia="Times New Roman"/>
                <w:color w:val="222222"/>
                <w:szCs w:val="24"/>
                <w:lang w:eastAsia="bg-BG"/>
              </w:rPr>
              <w:t>Управляващ орган</w:t>
            </w:r>
          </w:p>
        </w:tc>
        <w:tc>
          <w:tcPr>
            <w:tcW w:w="17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hd w:val="clear" w:color="auto" w:fill="FFFFFF"/>
              <w:spacing w:before="0" w:after="0"/>
              <w:jc w:val="center"/>
              <w:rPr>
                <w:rFonts w:eastAsia="Times New Roman"/>
                <w:color w:val="222222"/>
                <w:szCs w:val="24"/>
                <w:lang w:val="en-US" w:eastAsia="bg-BG"/>
              </w:rPr>
            </w:pPr>
            <w:r>
              <w:rPr>
                <w:rFonts w:eastAsia="Times New Roman"/>
                <w:color w:val="222222"/>
                <w:szCs w:val="24"/>
                <w:lang w:eastAsia="bg-BG"/>
              </w:rPr>
              <w:t>Решение</w:t>
            </w:r>
          </w:p>
        </w:tc>
        <w:tc>
          <w:tcPr>
            <w:tcW w:w="37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hd w:val="clear" w:color="auto" w:fill="FFFFFF"/>
              <w:spacing w:before="0" w:after="0"/>
              <w:jc w:val="left"/>
              <w:rPr>
                <w:rFonts w:eastAsia="Times New Roman"/>
                <w:color w:val="222222"/>
                <w:sz w:val="22"/>
                <w:szCs w:val="22"/>
                <w:lang w:val="en-US" w:eastAsia="bg-BG"/>
              </w:rPr>
            </w:pPr>
            <w:r>
              <w:rPr>
                <w:rFonts w:eastAsia="Times New Roman"/>
                <w:color w:val="222222"/>
                <w:sz w:val="22"/>
                <w:szCs w:val="22"/>
                <w:lang w:eastAsia="bg-BG"/>
              </w:rPr>
              <w:t>Министер</w:t>
            </w:r>
            <w:r w:rsidR="00B76199">
              <w:rPr>
                <w:rFonts w:eastAsia="Times New Roman"/>
                <w:color w:val="222222"/>
                <w:sz w:val="22"/>
                <w:szCs w:val="22"/>
                <w:lang w:eastAsia="bg-BG"/>
              </w:rPr>
              <w:t xml:space="preserve">ството на регионалното развитие и благоустройството </w:t>
            </w:r>
            <w:r>
              <w:rPr>
                <w:rFonts w:eastAsia="Times New Roman"/>
                <w:color w:val="222222"/>
                <w:sz w:val="22"/>
                <w:szCs w:val="22"/>
                <w:lang w:eastAsia="bg-BG"/>
              </w:rPr>
              <w:t>на Република България</w:t>
            </w:r>
          </w:p>
          <w:p w:rsidR="00A85EB3" w:rsidRDefault="00B07D03">
            <w:pPr>
              <w:shd w:val="clear" w:color="auto" w:fill="FFFFFF"/>
              <w:spacing w:before="0" w:after="0"/>
              <w:jc w:val="left"/>
              <w:rPr>
                <w:rFonts w:eastAsia="Times New Roman"/>
                <w:i/>
                <w:iCs/>
                <w:color w:val="1155CC"/>
                <w:sz w:val="22"/>
                <w:szCs w:val="22"/>
                <w:u w:val="single"/>
                <w:lang w:val="en-US" w:eastAsia="bg-BG"/>
              </w:rPr>
            </w:pPr>
            <w:r>
              <w:rPr>
                <w:rFonts w:eastAsia="Times New Roman"/>
                <w:i/>
                <w:iCs/>
                <w:color w:val="222222"/>
                <w:sz w:val="22"/>
                <w:szCs w:val="22"/>
                <w:lang w:eastAsia="bg-BG"/>
              </w:rPr>
              <w:t>ул. „Кирил и Методий“ № 17–19, София 1202, България</w:t>
            </w:r>
            <w:r>
              <w:rPr>
                <w:rFonts w:eastAsia="Times New Roman"/>
                <w:i/>
                <w:iCs/>
                <w:color w:val="222222"/>
                <w:sz w:val="22"/>
                <w:szCs w:val="22"/>
                <w:lang w:eastAsia="bg-BG"/>
              </w:rPr>
              <w:br/>
              <w:t>тел.: +359 2 9405 487, факс: +359 2 9870 737</w:t>
            </w:r>
            <w:r>
              <w:rPr>
                <w:rFonts w:eastAsia="Times New Roman"/>
                <w:i/>
                <w:iCs/>
                <w:color w:val="222222"/>
                <w:sz w:val="22"/>
                <w:szCs w:val="22"/>
                <w:lang w:eastAsia="bg-BG"/>
              </w:rPr>
              <w:br/>
            </w:r>
            <w:hyperlink r:id="rId52" w:tgtFrame="_blank" w:history="1">
              <w:r>
                <w:rPr>
                  <w:rFonts w:eastAsia="Times New Roman"/>
                  <w:i/>
                  <w:iCs/>
                  <w:color w:val="1155CC"/>
                  <w:sz w:val="22"/>
                  <w:szCs w:val="22"/>
                  <w:u w:val="single"/>
                  <w:lang w:eastAsia="bg-BG"/>
                </w:rPr>
                <w:t>www.mrrb.government.bg</w:t>
              </w:r>
            </w:hyperlink>
          </w:p>
        </w:tc>
      </w:tr>
      <w:tr w:rsidR="00CE50B0" w:rsidRPr="00981F6F" w:rsidTr="00930169">
        <w:tc>
          <w:tcPr>
            <w:tcW w:w="31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pacing w:before="0" w:after="0"/>
              <w:jc w:val="left"/>
              <w:rPr>
                <w:rFonts w:eastAsia="Times New Roman"/>
                <w:color w:val="222222"/>
                <w:szCs w:val="24"/>
                <w:lang w:val="en-US" w:eastAsia="bg-BG"/>
              </w:rPr>
            </w:pPr>
            <w:r>
              <w:rPr>
                <w:rFonts w:eastAsia="Times New Roman"/>
                <w:color w:val="222222"/>
                <w:szCs w:val="24"/>
                <w:lang w:eastAsia="bg-BG"/>
              </w:rPr>
              <w:lastRenderedPageBreak/>
              <w:t>Национални органи/НКИПП</w:t>
            </w:r>
          </w:p>
        </w:tc>
        <w:tc>
          <w:tcPr>
            <w:tcW w:w="17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hd w:val="clear" w:color="auto" w:fill="FFFFFF"/>
              <w:spacing w:before="0" w:after="0"/>
              <w:jc w:val="center"/>
              <w:rPr>
                <w:rFonts w:eastAsia="Times New Roman"/>
                <w:color w:val="222222"/>
                <w:szCs w:val="24"/>
                <w:lang w:val="en-US" w:eastAsia="bg-BG"/>
              </w:rPr>
            </w:pPr>
            <w:r>
              <w:rPr>
                <w:rFonts w:eastAsia="Times New Roman"/>
                <w:color w:val="222222"/>
                <w:szCs w:val="24"/>
                <w:lang w:eastAsia="bg-BG"/>
              </w:rPr>
              <w:t>Решение</w:t>
            </w:r>
          </w:p>
        </w:tc>
        <w:tc>
          <w:tcPr>
            <w:tcW w:w="37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76199">
            <w:pPr>
              <w:shd w:val="clear" w:color="auto" w:fill="FFFFFF"/>
              <w:spacing w:before="0" w:after="0"/>
              <w:jc w:val="left"/>
              <w:rPr>
                <w:rFonts w:eastAsia="Times New Roman"/>
                <w:color w:val="222222"/>
                <w:sz w:val="22"/>
                <w:szCs w:val="22"/>
                <w:lang w:val="en-US" w:eastAsia="bg-BG"/>
              </w:rPr>
            </w:pPr>
            <w:r>
              <w:rPr>
                <w:rFonts w:eastAsia="Times New Roman"/>
                <w:color w:val="222222"/>
                <w:sz w:val="22"/>
                <w:szCs w:val="22"/>
                <w:lang w:eastAsia="bg-BG"/>
              </w:rPr>
              <w:t>Министерство по</w:t>
            </w:r>
            <w:r w:rsidR="00B07D03">
              <w:rPr>
                <w:rFonts w:eastAsia="Times New Roman"/>
                <w:color w:val="222222"/>
                <w:sz w:val="22"/>
                <w:szCs w:val="22"/>
                <w:lang w:eastAsia="bg-BG"/>
              </w:rPr>
              <w:t xml:space="preserve"> въпросите на Е</w:t>
            </w:r>
            <w:r>
              <w:rPr>
                <w:rFonts w:eastAsia="Times New Roman"/>
                <w:color w:val="222222"/>
                <w:sz w:val="22"/>
                <w:szCs w:val="22"/>
                <w:lang w:eastAsia="bg-BG"/>
              </w:rPr>
              <w:t xml:space="preserve">вропейския </w:t>
            </w:r>
            <w:proofErr w:type="spellStart"/>
            <w:r w:rsidR="00B07D03">
              <w:rPr>
                <w:rFonts w:eastAsia="Times New Roman"/>
                <w:color w:val="222222"/>
                <w:sz w:val="22"/>
                <w:szCs w:val="22"/>
                <w:lang w:eastAsia="bg-BG"/>
              </w:rPr>
              <w:t>С</w:t>
            </w:r>
            <w:r>
              <w:rPr>
                <w:rFonts w:eastAsia="Times New Roman"/>
                <w:color w:val="222222"/>
                <w:sz w:val="22"/>
                <w:szCs w:val="22"/>
                <w:lang w:eastAsia="bg-BG"/>
              </w:rPr>
              <w:t>ьюз</w:t>
            </w:r>
            <w:proofErr w:type="spellEnd"/>
            <w:r w:rsidR="00B07D03">
              <w:rPr>
                <w:rFonts w:eastAsia="Times New Roman"/>
                <w:color w:val="222222"/>
                <w:sz w:val="22"/>
                <w:szCs w:val="22"/>
                <w:lang w:eastAsia="bg-BG"/>
              </w:rPr>
              <w:t xml:space="preserve"> на Република Турция, Дирекция „Финансово сътрудничество“</w:t>
            </w:r>
          </w:p>
          <w:p w:rsidR="00A85EB3" w:rsidRDefault="00B07D03">
            <w:pPr>
              <w:shd w:val="clear" w:color="auto" w:fill="FFFFFF"/>
              <w:spacing w:before="0" w:after="0"/>
              <w:jc w:val="left"/>
              <w:rPr>
                <w:rFonts w:eastAsia="Times New Roman"/>
                <w:color w:val="222222"/>
                <w:sz w:val="22"/>
                <w:szCs w:val="22"/>
                <w:lang w:val="en-US" w:eastAsia="bg-BG"/>
              </w:rPr>
            </w:pPr>
            <w:r>
              <w:rPr>
                <w:rFonts w:eastAsia="Times New Roman"/>
                <w:i/>
                <w:iCs/>
                <w:color w:val="222222"/>
                <w:sz w:val="22"/>
                <w:szCs w:val="22"/>
                <w:lang w:eastAsia="bg-BG"/>
              </w:rPr>
              <w:t xml:space="preserve">Мустафа Кемал </w:t>
            </w:r>
            <w:proofErr w:type="spellStart"/>
            <w:r>
              <w:rPr>
                <w:rFonts w:eastAsia="Times New Roman"/>
                <w:i/>
                <w:iCs/>
                <w:color w:val="222222"/>
                <w:sz w:val="22"/>
                <w:szCs w:val="22"/>
                <w:lang w:eastAsia="bg-BG"/>
              </w:rPr>
              <w:t>Мухалеши</w:t>
            </w:r>
            <w:proofErr w:type="spellEnd"/>
            <w:r>
              <w:rPr>
                <w:rFonts w:eastAsia="Times New Roman"/>
                <w:i/>
                <w:iCs/>
                <w:color w:val="222222"/>
                <w:sz w:val="22"/>
                <w:szCs w:val="22"/>
                <w:lang w:eastAsia="bg-BG"/>
              </w:rPr>
              <w:t xml:space="preserve">, 2082, </w:t>
            </w:r>
            <w:proofErr w:type="spellStart"/>
            <w:r>
              <w:rPr>
                <w:rFonts w:eastAsia="Times New Roman"/>
                <w:i/>
                <w:iCs/>
                <w:color w:val="222222"/>
                <w:sz w:val="22"/>
                <w:szCs w:val="22"/>
                <w:lang w:eastAsia="bg-BG"/>
              </w:rPr>
              <w:t>Кад</w:t>
            </w:r>
            <w:proofErr w:type="spellEnd"/>
            <w:r>
              <w:rPr>
                <w:rFonts w:eastAsia="Times New Roman"/>
                <w:i/>
                <w:iCs/>
                <w:color w:val="222222"/>
                <w:sz w:val="22"/>
                <w:szCs w:val="22"/>
                <w:lang w:eastAsia="bg-BG"/>
              </w:rPr>
              <w:t xml:space="preserve"> </w:t>
            </w:r>
            <w:proofErr w:type="spellStart"/>
            <w:r>
              <w:rPr>
                <w:rFonts w:eastAsia="Times New Roman"/>
                <w:i/>
                <w:iCs/>
                <w:color w:val="222222"/>
                <w:sz w:val="22"/>
                <w:szCs w:val="22"/>
                <w:lang w:eastAsia="bg-BG"/>
              </w:rPr>
              <w:t>No</w:t>
            </w:r>
            <w:proofErr w:type="spellEnd"/>
            <w:r>
              <w:rPr>
                <w:rFonts w:eastAsia="Times New Roman"/>
                <w:i/>
                <w:iCs/>
                <w:color w:val="222222"/>
                <w:sz w:val="22"/>
                <w:szCs w:val="22"/>
                <w:lang w:eastAsia="bg-BG"/>
              </w:rPr>
              <w:t>: 4, </w:t>
            </w:r>
            <w:r>
              <w:rPr>
                <w:rFonts w:eastAsia="Times New Roman"/>
                <w:i/>
                <w:iCs/>
                <w:color w:val="222222"/>
                <w:sz w:val="22"/>
                <w:szCs w:val="22"/>
                <w:lang w:eastAsia="bg-BG"/>
              </w:rPr>
              <w:br/>
              <w:t xml:space="preserve">06800 </w:t>
            </w:r>
            <w:proofErr w:type="spellStart"/>
            <w:r>
              <w:rPr>
                <w:rFonts w:eastAsia="Times New Roman"/>
                <w:i/>
                <w:iCs/>
                <w:color w:val="222222"/>
                <w:sz w:val="22"/>
                <w:szCs w:val="22"/>
                <w:lang w:eastAsia="bg-BG"/>
              </w:rPr>
              <w:t>Билкент</w:t>
            </w:r>
            <w:proofErr w:type="spellEnd"/>
            <w:r>
              <w:rPr>
                <w:rFonts w:eastAsia="Times New Roman"/>
                <w:i/>
                <w:iCs/>
                <w:color w:val="222222"/>
                <w:sz w:val="22"/>
                <w:szCs w:val="22"/>
                <w:lang w:eastAsia="bg-BG"/>
              </w:rPr>
              <w:t>, Анкара – Турция</w:t>
            </w:r>
          </w:p>
          <w:p w:rsidR="00A85EB3" w:rsidRDefault="00B07D03">
            <w:pPr>
              <w:shd w:val="clear" w:color="auto" w:fill="FFFFFF"/>
              <w:spacing w:before="0" w:after="0"/>
              <w:jc w:val="left"/>
              <w:rPr>
                <w:rFonts w:eastAsia="Times New Roman"/>
                <w:color w:val="222222"/>
                <w:sz w:val="22"/>
                <w:szCs w:val="22"/>
                <w:lang w:val="en-US" w:eastAsia="bg-BG"/>
              </w:rPr>
            </w:pPr>
            <w:r>
              <w:rPr>
                <w:rFonts w:eastAsia="Times New Roman"/>
                <w:i/>
                <w:iCs/>
                <w:color w:val="222222"/>
                <w:sz w:val="22"/>
                <w:szCs w:val="22"/>
                <w:lang w:eastAsia="bg-BG"/>
              </w:rPr>
              <w:t>Тел.: </w:t>
            </w:r>
            <w:hyperlink r:id="rId53" w:tgtFrame="_blank" w:history="1">
              <w:r>
                <w:rPr>
                  <w:rFonts w:eastAsia="Times New Roman"/>
                  <w:i/>
                  <w:iCs/>
                  <w:sz w:val="22"/>
                  <w:szCs w:val="22"/>
                  <w:lang w:eastAsia="bg-BG"/>
                </w:rPr>
                <w:t>+90 312 218 1662</w:t>
              </w:r>
            </w:hyperlink>
            <w:r>
              <w:rPr>
                <w:rFonts w:eastAsia="Times New Roman"/>
                <w:i/>
                <w:iCs/>
                <w:sz w:val="22"/>
                <w:szCs w:val="22"/>
                <w:lang w:eastAsia="bg-BG"/>
              </w:rPr>
              <w:br/>
              <w:t>Факс: </w:t>
            </w:r>
            <w:hyperlink r:id="rId54" w:tgtFrame="_blank" w:history="1">
              <w:r>
                <w:rPr>
                  <w:rFonts w:eastAsia="Times New Roman"/>
                  <w:i/>
                  <w:iCs/>
                  <w:sz w:val="22"/>
                  <w:szCs w:val="22"/>
                  <w:lang w:eastAsia="bg-BG"/>
                </w:rPr>
                <w:t>+90 312 218 14 89</w:t>
              </w:r>
            </w:hyperlink>
            <w:r>
              <w:rPr>
                <w:rFonts w:eastAsia="Times New Roman"/>
                <w:sz w:val="22"/>
                <w:szCs w:val="22"/>
                <w:lang w:eastAsia="bg-BG"/>
              </w:rPr>
              <w:br/>
            </w:r>
            <w:hyperlink r:id="rId55" w:history="1"/>
            <w:hyperlink r:id="rId56" w:tgtFrame="_blank" w:history="1">
              <w:r>
                <w:rPr>
                  <w:rFonts w:eastAsia="Times New Roman"/>
                  <w:i/>
                  <w:iCs/>
                  <w:color w:val="1155CC"/>
                  <w:sz w:val="22"/>
                  <w:szCs w:val="22"/>
                  <w:u w:val="single"/>
                  <w:lang w:eastAsia="bg-BG"/>
                </w:rPr>
                <w:t>cbcbgtr@ab.gov.tr</w:t>
              </w:r>
            </w:hyperlink>
          </w:p>
        </w:tc>
      </w:tr>
      <w:tr w:rsidR="00CE50B0" w:rsidRPr="00981F6F" w:rsidTr="00930169">
        <w:tc>
          <w:tcPr>
            <w:tcW w:w="3156"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A85EB3" w:rsidRDefault="00B07D03">
            <w:pPr>
              <w:spacing w:before="0" w:after="0"/>
              <w:jc w:val="left"/>
              <w:rPr>
                <w:rFonts w:eastAsia="Times New Roman"/>
                <w:color w:val="222222"/>
                <w:szCs w:val="24"/>
                <w:lang w:val="en-US" w:eastAsia="bg-BG"/>
              </w:rPr>
            </w:pPr>
            <w:r>
              <w:rPr>
                <w:rFonts w:eastAsia="Times New Roman"/>
                <w:color w:val="222222"/>
                <w:szCs w:val="24"/>
                <w:lang w:eastAsia="bg-BG"/>
              </w:rPr>
              <w:t>Регионални органи</w:t>
            </w:r>
          </w:p>
        </w:tc>
        <w:tc>
          <w:tcPr>
            <w:tcW w:w="176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A85EB3" w:rsidRDefault="00B07D03">
            <w:pPr>
              <w:shd w:val="clear" w:color="auto" w:fill="FFFFFF"/>
              <w:spacing w:before="0" w:after="0"/>
              <w:jc w:val="center"/>
              <w:rPr>
                <w:rFonts w:eastAsia="Times New Roman"/>
                <w:color w:val="222222"/>
                <w:szCs w:val="24"/>
                <w:lang w:val="en-US" w:eastAsia="bg-BG"/>
              </w:rPr>
            </w:pPr>
            <w:r>
              <w:rPr>
                <w:rFonts w:eastAsia="Times New Roman"/>
                <w:color w:val="222222"/>
                <w:szCs w:val="24"/>
                <w:lang w:eastAsia="bg-BG"/>
              </w:rPr>
              <w:t>Консултативна</w:t>
            </w:r>
          </w:p>
        </w:tc>
        <w:tc>
          <w:tcPr>
            <w:tcW w:w="371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A85EB3" w:rsidRDefault="00B07D03">
            <w:pPr>
              <w:shd w:val="clear" w:color="auto" w:fill="FFFFFF"/>
              <w:spacing w:before="0" w:after="0"/>
              <w:jc w:val="left"/>
              <w:rPr>
                <w:rFonts w:eastAsia="Times New Roman"/>
                <w:color w:val="222222"/>
                <w:sz w:val="22"/>
                <w:szCs w:val="22"/>
                <w:lang w:val="en-US" w:eastAsia="bg-BG"/>
              </w:rPr>
            </w:pPr>
            <w:r>
              <w:rPr>
                <w:rFonts w:eastAsia="Times New Roman"/>
                <w:color w:val="222222"/>
                <w:sz w:val="22"/>
                <w:szCs w:val="22"/>
                <w:lang w:eastAsia="bg-BG"/>
              </w:rPr>
              <w:t> </w:t>
            </w:r>
          </w:p>
        </w:tc>
      </w:tr>
      <w:tr w:rsidR="00CE50B0" w:rsidRPr="00981F6F" w:rsidTr="00930169">
        <w:tc>
          <w:tcPr>
            <w:tcW w:w="3156"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pacing w:before="0" w:after="0"/>
              <w:jc w:val="left"/>
              <w:rPr>
                <w:rFonts w:eastAsia="Times New Roman"/>
                <w:color w:val="222222"/>
                <w:szCs w:val="24"/>
                <w:lang w:val="en-US" w:eastAsia="bg-BG"/>
              </w:rPr>
            </w:pPr>
            <w:r>
              <w:rPr>
                <w:rFonts w:eastAsia="Times New Roman"/>
                <w:color w:val="222222"/>
                <w:szCs w:val="24"/>
                <w:lang w:eastAsia="bg-BG"/>
              </w:rPr>
              <w:t>Местни органи</w:t>
            </w:r>
          </w:p>
        </w:tc>
        <w:tc>
          <w:tcPr>
            <w:tcW w:w="176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hd w:val="clear" w:color="auto" w:fill="FFFFFF"/>
              <w:spacing w:before="0" w:after="0"/>
              <w:jc w:val="center"/>
              <w:rPr>
                <w:rFonts w:eastAsia="Times New Roman"/>
                <w:color w:val="222222"/>
                <w:szCs w:val="24"/>
                <w:lang w:val="en-US" w:eastAsia="bg-BG"/>
              </w:rPr>
            </w:pPr>
            <w:r>
              <w:rPr>
                <w:rFonts w:eastAsia="Times New Roman"/>
                <w:color w:val="222222"/>
                <w:szCs w:val="24"/>
                <w:lang w:eastAsia="bg-BG"/>
              </w:rPr>
              <w:t>Решение</w:t>
            </w:r>
          </w:p>
        </w:tc>
        <w:tc>
          <w:tcPr>
            <w:tcW w:w="371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hd w:val="clear" w:color="auto" w:fill="FFFFFF"/>
              <w:spacing w:before="0" w:after="0"/>
              <w:jc w:val="left"/>
              <w:rPr>
                <w:rFonts w:eastAsia="Times New Roman"/>
                <w:color w:val="222222"/>
                <w:sz w:val="22"/>
                <w:szCs w:val="22"/>
                <w:lang w:val="en-US" w:eastAsia="bg-BG"/>
              </w:rPr>
            </w:pPr>
            <w:r>
              <w:rPr>
                <w:rFonts w:eastAsia="Times New Roman"/>
                <w:color w:val="222222"/>
                <w:sz w:val="22"/>
                <w:szCs w:val="22"/>
                <w:lang w:eastAsia="bg-BG"/>
              </w:rPr>
              <w:t> </w:t>
            </w:r>
          </w:p>
        </w:tc>
      </w:tr>
      <w:tr w:rsidR="00CE50B0" w:rsidRPr="00981F6F" w:rsidTr="00930169">
        <w:tc>
          <w:tcPr>
            <w:tcW w:w="3156"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rsidR="00A85EB3" w:rsidRDefault="00B07D03">
            <w:pPr>
              <w:spacing w:before="0" w:after="0"/>
              <w:jc w:val="left"/>
              <w:rPr>
                <w:rFonts w:eastAsia="Times New Roman"/>
                <w:color w:val="222222"/>
                <w:szCs w:val="24"/>
                <w:lang w:val="en-US" w:eastAsia="bg-BG"/>
              </w:rPr>
            </w:pPr>
            <w:r>
              <w:rPr>
                <w:rFonts w:eastAsia="Times New Roman"/>
                <w:color w:val="222222"/>
                <w:szCs w:val="24"/>
                <w:lang w:eastAsia="bg-BG"/>
              </w:rPr>
              <w:t>Компетентни органи на централната публична администрация</w:t>
            </w:r>
          </w:p>
        </w:tc>
        <w:tc>
          <w:tcPr>
            <w:tcW w:w="176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A85EB3" w:rsidRDefault="00B07D03">
            <w:pPr>
              <w:shd w:val="clear" w:color="auto" w:fill="FFFFFF"/>
              <w:spacing w:before="0" w:after="0"/>
              <w:jc w:val="center"/>
              <w:rPr>
                <w:rFonts w:eastAsia="Times New Roman"/>
                <w:color w:val="222222"/>
                <w:szCs w:val="24"/>
                <w:lang w:val="en-US" w:eastAsia="bg-BG"/>
              </w:rPr>
            </w:pPr>
            <w:r>
              <w:rPr>
                <w:rFonts w:eastAsia="Times New Roman"/>
                <w:color w:val="222222"/>
                <w:szCs w:val="24"/>
                <w:lang w:eastAsia="bg-BG"/>
              </w:rPr>
              <w:t>Решение</w:t>
            </w:r>
          </w:p>
        </w:tc>
        <w:tc>
          <w:tcPr>
            <w:tcW w:w="371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rsidR="00A85EB3" w:rsidRDefault="00B07D03">
            <w:pPr>
              <w:shd w:val="clear" w:color="auto" w:fill="FFFFFF"/>
              <w:spacing w:before="0" w:after="0"/>
              <w:jc w:val="left"/>
              <w:rPr>
                <w:rFonts w:eastAsia="Times New Roman"/>
                <w:color w:val="222222"/>
                <w:sz w:val="22"/>
                <w:szCs w:val="22"/>
                <w:lang w:val="en-US" w:eastAsia="bg-BG"/>
              </w:rPr>
            </w:pPr>
            <w:r>
              <w:rPr>
                <w:rFonts w:eastAsia="Times New Roman"/>
                <w:color w:val="222222"/>
                <w:sz w:val="22"/>
                <w:szCs w:val="22"/>
                <w:lang w:eastAsia="bg-BG"/>
              </w:rPr>
              <w:t> </w:t>
            </w:r>
          </w:p>
        </w:tc>
      </w:tr>
      <w:tr w:rsidR="00CE50B0" w:rsidRPr="00981F6F" w:rsidTr="00930169">
        <w:trPr>
          <w:trHeight w:val="779"/>
        </w:trPr>
        <w:tc>
          <w:tcPr>
            <w:tcW w:w="3156"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pacing w:before="0" w:after="0"/>
              <w:jc w:val="left"/>
              <w:rPr>
                <w:rFonts w:eastAsia="Times New Roman"/>
                <w:color w:val="222222"/>
                <w:szCs w:val="24"/>
                <w:lang w:val="en-US" w:eastAsia="bg-BG"/>
              </w:rPr>
            </w:pPr>
            <w:r>
              <w:rPr>
                <w:rFonts w:eastAsia="Times New Roman"/>
                <w:color w:val="222222"/>
                <w:szCs w:val="24"/>
                <w:lang w:eastAsia="bg-BG"/>
              </w:rPr>
              <w:t>Социални и икономически партньори</w:t>
            </w:r>
          </w:p>
        </w:tc>
        <w:tc>
          <w:tcPr>
            <w:tcW w:w="176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hd w:val="clear" w:color="auto" w:fill="FFFFFF"/>
              <w:spacing w:before="0" w:after="0"/>
              <w:jc w:val="center"/>
              <w:rPr>
                <w:rFonts w:eastAsia="Times New Roman"/>
                <w:color w:val="222222"/>
                <w:szCs w:val="24"/>
                <w:lang w:val="en-US" w:eastAsia="bg-BG"/>
              </w:rPr>
            </w:pPr>
            <w:r>
              <w:rPr>
                <w:rFonts w:eastAsia="Times New Roman"/>
                <w:color w:val="222222"/>
                <w:szCs w:val="24"/>
                <w:lang w:eastAsia="bg-BG"/>
              </w:rPr>
              <w:t>Решение</w:t>
            </w:r>
          </w:p>
        </w:tc>
        <w:tc>
          <w:tcPr>
            <w:tcW w:w="371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hd w:val="clear" w:color="auto" w:fill="FFFFFF"/>
              <w:spacing w:before="0" w:after="0"/>
              <w:jc w:val="left"/>
              <w:rPr>
                <w:rFonts w:eastAsia="Times New Roman"/>
                <w:color w:val="222222"/>
                <w:sz w:val="22"/>
                <w:szCs w:val="22"/>
                <w:lang w:val="en-US" w:eastAsia="bg-BG"/>
              </w:rPr>
            </w:pPr>
            <w:r>
              <w:rPr>
                <w:rFonts w:eastAsia="Times New Roman"/>
                <w:color w:val="222222"/>
                <w:sz w:val="22"/>
                <w:szCs w:val="22"/>
                <w:lang w:eastAsia="bg-BG"/>
              </w:rPr>
              <w:t> </w:t>
            </w:r>
          </w:p>
        </w:tc>
      </w:tr>
      <w:tr w:rsidR="00CE50B0" w:rsidRPr="00981F6F" w:rsidTr="00930169">
        <w:tc>
          <w:tcPr>
            <w:tcW w:w="31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pacing w:before="0" w:after="0"/>
              <w:jc w:val="left"/>
              <w:rPr>
                <w:rFonts w:eastAsia="Times New Roman"/>
                <w:color w:val="222222"/>
                <w:szCs w:val="24"/>
                <w:lang w:val="en-US" w:eastAsia="bg-BG"/>
              </w:rPr>
            </w:pPr>
            <w:r>
              <w:rPr>
                <w:rFonts w:eastAsia="Times New Roman"/>
                <w:color w:val="222222"/>
                <w:szCs w:val="24"/>
                <w:lang w:eastAsia="bg-BG"/>
              </w:rPr>
              <w:t>Организации на гражданското общество (околна среда, равни възможности, недопускане на дискриминация)</w:t>
            </w:r>
          </w:p>
        </w:tc>
        <w:tc>
          <w:tcPr>
            <w:tcW w:w="17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hd w:val="clear" w:color="auto" w:fill="FFFFFF"/>
              <w:spacing w:before="0" w:after="0"/>
              <w:jc w:val="center"/>
              <w:rPr>
                <w:rFonts w:eastAsia="Times New Roman"/>
                <w:color w:val="222222"/>
                <w:szCs w:val="24"/>
                <w:lang w:val="en-US" w:eastAsia="bg-BG"/>
              </w:rPr>
            </w:pPr>
            <w:r>
              <w:rPr>
                <w:rFonts w:eastAsia="Times New Roman"/>
                <w:color w:val="222222"/>
                <w:szCs w:val="24"/>
                <w:lang w:eastAsia="bg-BG"/>
              </w:rPr>
              <w:t>Решение</w:t>
            </w:r>
          </w:p>
        </w:tc>
        <w:tc>
          <w:tcPr>
            <w:tcW w:w="37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hd w:val="clear" w:color="auto" w:fill="FFFFFF"/>
              <w:spacing w:before="0" w:after="0"/>
              <w:jc w:val="left"/>
              <w:rPr>
                <w:rFonts w:eastAsia="Times New Roman"/>
                <w:color w:val="222222"/>
                <w:sz w:val="22"/>
                <w:szCs w:val="22"/>
                <w:lang w:val="en-US" w:eastAsia="bg-BG"/>
              </w:rPr>
            </w:pPr>
            <w:r>
              <w:rPr>
                <w:rFonts w:eastAsia="Times New Roman"/>
                <w:color w:val="222222"/>
                <w:sz w:val="22"/>
                <w:szCs w:val="22"/>
                <w:lang w:eastAsia="bg-BG"/>
              </w:rPr>
              <w:t> </w:t>
            </w:r>
          </w:p>
        </w:tc>
      </w:tr>
      <w:tr w:rsidR="00CE50B0" w:rsidRPr="00981F6F" w:rsidTr="00930169">
        <w:tc>
          <w:tcPr>
            <w:tcW w:w="31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pacing w:before="0" w:after="0"/>
              <w:jc w:val="left"/>
              <w:rPr>
                <w:rFonts w:eastAsia="Times New Roman"/>
                <w:color w:val="222222"/>
                <w:szCs w:val="24"/>
                <w:lang w:val="en-US" w:eastAsia="bg-BG"/>
              </w:rPr>
            </w:pPr>
            <w:r>
              <w:rPr>
                <w:rFonts w:eastAsia="Times New Roman"/>
                <w:color w:val="222222"/>
                <w:szCs w:val="24"/>
                <w:lang w:eastAsia="bg-BG"/>
              </w:rPr>
              <w:t>Академична и научна общност</w:t>
            </w:r>
          </w:p>
        </w:tc>
        <w:tc>
          <w:tcPr>
            <w:tcW w:w="17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hd w:val="clear" w:color="auto" w:fill="FFFFFF"/>
              <w:spacing w:before="0" w:after="0"/>
              <w:jc w:val="center"/>
              <w:rPr>
                <w:rFonts w:eastAsia="Times New Roman"/>
                <w:color w:val="222222"/>
                <w:szCs w:val="24"/>
                <w:lang w:val="en-US" w:eastAsia="bg-BG"/>
              </w:rPr>
            </w:pPr>
            <w:r>
              <w:rPr>
                <w:rFonts w:eastAsia="Times New Roman"/>
                <w:color w:val="222222"/>
                <w:szCs w:val="24"/>
                <w:lang w:eastAsia="bg-BG"/>
              </w:rPr>
              <w:t>Решение</w:t>
            </w:r>
          </w:p>
        </w:tc>
        <w:tc>
          <w:tcPr>
            <w:tcW w:w="37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hd w:val="clear" w:color="auto" w:fill="FFFFFF"/>
              <w:spacing w:before="0" w:after="0"/>
              <w:jc w:val="left"/>
              <w:rPr>
                <w:rFonts w:eastAsia="Times New Roman"/>
                <w:color w:val="222222"/>
                <w:sz w:val="22"/>
                <w:szCs w:val="22"/>
                <w:lang w:val="en-US" w:eastAsia="bg-BG"/>
              </w:rPr>
            </w:pPr>
            <w:r>
              <w:rPr>
                <w:rFonts w:eastAsia="Times New Roman"/>
                <w:color w:val="222222"/>
                <w:sz w:val="22"/>
                <w:szCs w:val="22"/>
                <w:lang w:eastAsia="bg-BG"/>
              </w:rPr>
              <w:t> </w:t>
            </w:r>
          </w:p>
        </w:tc>
      </w:tr>
      <w:tr w:rsidR="00CE50B0" w:rsidRPr="00981F6F" w:rsidTr="00930169">
        <w:tc>
          <w:tcPr>
            <w:tcW w:w="31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pacing w:before="0" w:after="0"/>
              <w:jc w:val="left"/>
              <w:rPr>
                <w:rFonts w:eastAsia="Times New Roman"/>
                <w:color w:val="222222"/>
                <w:szCs w:val="24"/>
                <w:lang w:val="en-US" w:eastAsia="bg-BG"/>
              </w:rPr>
            </w:pPr>
            <w:r>
              <w:rPr>
                <w:rFonts w:eastAsia="Times New Roman"/>
                <w:color w:val="222222"/>
                <w:szCs w:val="24"/>
                <w:lang w:eastAsia="bg-BG"/>
              </w:rPr>
              <w:t>ЕИБ (по избор)</w:t>
            </w:r>
          </w:p>
        </w:tc>
        <w:tc>
          <w:tcPr>
            <w:tcW w:w="17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hd w:val="clear" w:color="auto" w:fill="FFFFFF"/>
              <w:spacing w:before="0" w:after="0"/>
              <w:jc w:val="center"/>
              <w:rPr>
                <w:rFonts w:eastAsia="Times New Roman"/>
                <w:color w:val="222222"/>
                <w:szCs w:val="24"/>
                <w:lang w:val="en-US" w:eastAsia="bg-BG"/>
              </w:rPr>
            </w:pPr>
            <w:r>
              <w:rPr>
                <w:rFonts w:eastAsia="Times New Roman"/>
                <w:color w:val="222222"/>
                <w:szCs w:val="24"/>
                <w:lang w:eastAsia="bg-BG"/>
              </w:rPr>
              <w:t>Консултативна</w:t>
            </w:r>
          </w:p>
        </w:tc>
        <w:tc>
          <w:tcPr>
            <w:tcW w:w="37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hd w:val="clear" w:color="auto" w:fill="FFFFFF"/>
              <w:spacing w:before="0" w:after="0"/>
              <w:jc w:val="left"/>
              <w:rPr>
                <w:rFonts w:eastAsia="Times New Roman"/>
                <w:color w:val="222222"/>
                <w:sz w:val="22"/>
                <w:szCs w:val="22"/>
                <w:lang w:val="en-US" w:eastAsia="bg-BG"/>
              </w:rPr>
            </w:pPr>
            <w:r>
              <w:rPr>
                <w:rFonts w:eastAsia="Times New Roman"/>
                <w:color w:val="222222"/>
                <w:sz w:val="22"/>
                <w:szCs w:val="22"/>
                <w:lang w:eastAsia="bg-BG"/>
              </w:rPr>
              <w:t> </w:t>
            </w:r>
          </w:p>
        </w:tc>
      </w:tr>
      <w:tr w:rsidR="00CE50B0" w:rsidRPr="00981F6F" w:rsidTr="00930169">
        <w:tc>
          <w:tcPr>
            <w:tcW w:w="315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pacing w:before="0" w:after="0"/>
              <w:jc w:val="left"/>
              <w:rPr>
                <w:rFonts w:eastAsia="Times New Roman"/>
                <w:color w:val="222222"/>
                <w:szCs w:val="24"/>
                <w:lang w:val="en-US" w:eastAsia="bg-BG"/>
              </w:rPr>
            </w:pPr>
            <w:r>
              <w:rPr>
                <w:rFonts w:eastAsia="Times New Roman"/>
                <w:color w:val="222222"/>
                <w:szCs w:val="24"/>
                <w:lang w:eastAsia="bg-BG"/>
              </w:rPr>
              <w:t>Други (по договореност между държавите партньори)</w:t>
            </w:r>
          </w:p>
        </w:tc>
        <w:tc>
          <w:tcPr>
            <w:tcW w:w="17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hd w:val="clear" w:color="auto" w:fill="FFFFFF"/>
              <w:spacing w:before="0" w:after="0"/>
              <w:jc w:val="center"/>
              <w:rPr>
                <w:rFonts w:eastAsia="Times New Roman"/>
                <w:color w:val="222222"/>
                <w:szCs w:val="24"/>
                <w:lang w:val="en-US" w:eastAsia="bg-BG"/>
              </w:rPr>
            </w:pPr>
            <w:r>
              <w:rPr>
                <w:rFonts w:eastAsia="Times New Roman"/>
                <w:color w:val="222222"/>
                <w:szCs w:val="24"/>
                <w:lang w:eastAsia="bg-BG"/>
              </w:rPr>
              <w:t>Консултативна</w:t>
            </w:r>
          </w:p>
        </w:tc>
        <w:tc>
          <w:tcPr>
            <w:tcW w:w="37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85EB3" w:rsidRDefault="00B07D03">
            <w:pPr>
              <w:spacing w:before="0" w:after="0"/>
              <w:jc w:val="left"/>
              <w:rPr>
                <w:rFonts w:eastAsia="Times New Roman"/>
                <w:color w:val="222222"/>
                <w:sz w:val="22"/>
                <w:szCs w:val="22"/>
                <w:lang w:val="en-US" w:eastAsia="bg-BG"/>
              </w:rPr>
            </w:pPr>
            <w:r>
              <w:rPr>
                <w:rFonts w:eastAsia="Times New Roman"/>
                <w:color w:val="222222"/>
                <w:sz w:val="22"/>
                <w:szCs w:val="22"/>
                <w:lang w:eastAsia="bg-BG"/>
              </w:rPr>
              <w:t>Сертифициращ орган – Дирекция „Национален фонд“ към Министерството на финансите на Република България</w:t>
            </w:r>
          </w:p>
          <w:p w:rsidR="00A85EB3" w:rsidRDefault="00B07D03">
            <w:pPr>
              <w:shd w:val="clear" w:color="auto" w:fill="FFFFFF"/>
              <w:spacing w:before="0" w:after="0"/>
              <w:jc w:val="left"/>
              <w:rPr>
                <w:rFonts w:eastAsia="Times New Roman"/>
                <w:color w:val="222222"/>
                <w:sz w:val="22"/>
                <w:szCs w:val="22"/>
                <w:lang w:val="en-US" w:eastAsia="bg-BG"/>
              </w:rPr>
            </w:pPr>
            <w:r>
              <w:rPr>
                <w:rFonts w:eastAsia="Times New Roman"/>
                <w:i/>
                <w:iCs/>
                <w:color w:val="222222"/>
                <w:sz w:val="22"/>
                <w:szCs w:val="22"/>
                <w:lang w:eastAsia="bg-BG"/>
              </w:rPr>
              <w:t>ул. „Г. С. Раковски“ № 102, София 1040, България</w:t>
            </w:r>
            <w:r>
              <w:rPr>
                <w:rFonts w:eastAsia="Times New Roman"/>
                <w:i/>
                <w:iCs/>
                <w:color w:val="222222"/>
                <w:sz w:val="22"/>
                <w:szCs w:val="22"/>
                <w:lang w:eastAsia="bg-BG"/>
              </w:rPr>
              <w:br/>
              <w:t>тел.: +359 2 9859 2781, +359 2 9859 2790</w:t>
            </w:r>
          </w:p>
          <w:p w:rsidR="00A85EB3" w:rsidRDefault="00B07D03">
            <w:pPr>
              <w:spacing w:before="0" w:after="0"/>
              <w:jc w:val="left"/>
              <w:rPr>
                <w:rFonts w:eastAsia="Times New Roman"/>
                <w:color w:val="222222"/>
                <w:sz w:val="22"/>
                <w:szCs w:val="22"/>
                <w:lang w:val="en-US" w:eastAsia="bg-BG"/>
              </w:rPr>
            </w:pPr>
            <w:proofErr w:type="spellStart"/>
            <w:r>
              <w:rPr>
                <w:rFonts w:eastAsia="Times New Roman"/>
                <w:color w:val="222222"/>
                <w:sz w:val="22"/>
                <w:szCs w:val="22"/>
                <w:lang w:eastAsia="bg-BG"/>
              </w:rPr>
              <w:t>Одитен</w:t>
            </w:r>
            <w:proofErr w:type="spellEnd"/>
            <w:r>
              <w:rPr>
                <w:rFonts w:eastAsia="Times New Roman"/>
                <w:color w:val="222222"/>
                <w:sz w:val="22"/>
                <w:szCs w:val="22"/>
                <w:lang w:eastAsia="bg-BG"/>
              </w:rPr>
              <w:t xml:space="preserve"> орган – Изпълнителна агенция „Одит на средствата от ЕС“ към министъра на финансите на Република България</w:t>
            </w:r>
          </w:p>
          <w:p w:rsidR="00A85EB3" w:rsidRDefault="00B07D03">
            <w:pPr>
              <w:shd w:val="clear" w:color="auto" w:fill="FFFFFF"/>
              <w:spacing w:before="0" w:after="0"/>
              <w:jc w:val="left"/>
              <w:rPr>
                <w:rFonts w:eastAsia="Times New Roman"/>
                <w:color w:val="222222"/>
                <w:sz w:val="22"/>
                <w:szCs w:val="22"/>
                <w:lang w:val="en-US" w:eastAsia="bg-BG"/>
              </w:rPr>
            </w:pPr>
            <w:r>
              <w:rPr>
                <w:rFonts w:eastAsia="Times New Roman"/>
                <w:i/>
                <w:iCs/>
                <w:color w:val="222222"/>
                <w:sz w:val="22"/>
                <w:szCs w:val="22"/>
                <w:lang w:eastAsia="bg-BG"/>
              </w:rPr>
              <w:t>ул. „Славянска“ № 4, София 1040, България</w:t>
            </w:r>
            <w:r>
              <w:rPr>
                <w:rFonts w:eastAsia="Times New Roman"/>
                <w:i/>
                <w:iCs/>
                <w:color w:val="222222"/>
                <w:sz w:val="22"/>
                <w:szCs w:val="22"/>
                <w:lang w:eastAsia="bg-BG"/>
              </w:rPr>
              <w:br/>
              <w:t>тел. +359 2 9859 5200; факс: +359 2 9859 5202</w:t>
            </w:r>
          </w:p>
        </w:tc>
      </w:tr>
    </w:tbl>
    <w:p w:rsidR="00A85EB3" w:rsidRDefault="00A85EB3">
      <w:pPr>
        <w:spacing w:after="240"/>
        <w:rPr>
          <w:rFonts w:eastAsia="Times New Roman"/>
          <w:b/>
          <w:lang w:val="en-US"/>
        </w:rPr>
      </w:pPr>
    </w:p>
    <w:p w:rsidR="00A85EB3" w:rsidRDefault="00B07D03">
      <w:pPr>
        <w:pStyle w:val="Heading2"/>
        <w:numPr>
          <w:ilvl w:val="0"/>
          <w:numId w:val="0"/>
        </w:numPr>
        <w:ind w:left="850" w:hanging="850"/>
        <w:rPr>
          <w:lang w:val="en-US"/>
        </w:rPr>
      </w:pPr>
      <w:bookmarkStart w:id="82" w:name="_Toc408234927"/>
      <w:r>
        <w:t>5.3</w:t>
      </w:r>
      <w:r>
        <w:tab/>
        <w:t>Процедура за сформиране на Съвместния секретариат</w:t>
      </w:r>
      <w:bookmarkEnd w:id="82"/>
    </w:p>
    <w:p w:rsidR="00A85EB3" w:rsidRDefault="00B07D03">
      <w:pPr>
        <w:suppressAutoHyphens/>
        <w:spacing w:after="240"/>
        <w:ind w:left="720" w:hanging="720"/>
        <w:rPr>
          <w:rFonts w:eastAsia="Times New Roman"/>
          <w:lang w:val="en-US"/>
        </w:rPr>
      </w:pPr>
      <w:r>
        <w:rPr>
          <w:rFonts w:eastAsia="Times New Roman"/>
        </w:rPr>
        <w:t xml:space="preserve">(Източник: </w:t>
      </w:r>
      <w:r>
        <w:t xml:space="preserve">буква(a)(iv) на </w:t>
      </w:r>
      <w:r>
        <w:rPr>
          <w:rFonts w:eastAsia="Times New Roman"/>
        </w:rPr>
        <w:t>чл. 8(4) от Регламент (ЕС) № 1299/2013)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FB701A" w:rsidRPr="00981F6F" w:rsidTr="004808E5">
        <w:tc>
          <w:tcPr>
            <w:tcW w:w="5000" w:type="pct"/>
            <w:shd w:val="clear" w:color="auto" w:fill="auto"/>
          </w:tcPr>
          <w:p w:rsidR="00A85EB3" w:rsidRDefault="00B07D03">
            <w:pPr>
              <w:spacing w:line="269" w:lineRule="auto"/>
              <w:rPr>
                <w:rFonts w:eastAsia="Times New Roman"/>
                <w:bCs/>
                <w:szCs w:val="24"/>
                <w:lang w:val="en-US"/>
              </w:rPr>
            </w:pPr>
            <w:r>
              <w:rPr>
                <w:rFonts w:eastAsia="Times New Roman"/>
                <w:bCs/>
                <w:szCs w:val="24"/>
              </w:rPr>
              <w:t xml:space="preserve">Съгласно член 23 (2) на Регламент (ЕС) № 1299/2013, Управляващият орган (УО) </w:t>
            </w:r>
            <w:r>
              <w:rPr>
                <w:rFonts w:eastAsia="Times New Roman"/>
                <w:bCs/>
                <w:szCs w:val="24"/>
              </w:rPr>
              <w:lastRenderedPageBreak/>
              <w:t xml:space="preserve">съгласувано с Националния орган създава Съвместен секретариат (СС). След анализиране на различните сценарии, Съвместната работна група (СРГ) за изготвянето на Програмата взе решение на второто си заседание, проведено на 13.05.2014 г. в Анкара, Република Турция, да остави Съвместния секретариат на същото място в Хасково, Република България, с клон в Одрин, Република Турция, за програмния период 2014–2020 г., </w:t>
            </w:r>
            <w:r w:rsidR="005F06D8">
              <w:rPr>
                <w:rFonts w:eastAsia="Times New Roman"/>
                <w:bCs/>
                <w:szCs w:val="24"/>
              </w:rPr>
              <w:t>където е бил и за</w:t>
            </w:r>
            <w:r>
              <w:rPr>
                <w:rFonts w:eastAsia="Times New Roman"/>
                <w:bCs/>
                <w:szCs w:val="24"/>
              </w:rPr>
              <w:t xml:space="preserve"> Програмата за трансгранично сътрудничество България – Турция 2007–2013 г., поради следните причини:</w:t>
            </w:r>
          </w:p>
          <w:p w:rsidR="00A85EB3" w:rsidRDefault="00B07D03">
            <w:pPr>
              <w:pStyle w:val="ListParagraph"/>
              <w:numPr>
                <w:ilvl w:val="0"/>
                <w:numId w:val="80"/>
              </w:numPr>
              <w:autoSpaceDE w:val="0"/>
              <w:autoSpaceDN w:val="0"/>
              <w:adjustRightInd w:val="0"/>
              <w:spacing w:after="0" w:line="269" w:lineRule="auto"/>
              <w:rPr>
                <w:bCs/>
                <w:szCs w:val="24"/>
                <w:lang w:val="en-US"/>
              </w:rPr>
            </w:pPr>
            <w:r>
              <w:rPr>
                <w:bCs/>
                <w:szCs w:val="24"/>
              </w:rPr>
              <w:t>опитът от един цял програмен период ще позволи да се започне изпълнението на новата програма колкото е възможно по-бързо (бързо пускане на Поканите за представяне на предложения след одобрението на програмата, за да се осигури висока степен на усвояване);</w:t>
            </w:r>
          </w:p>
          <w:p w:rsidR="00A85EB3" w:rsidRDefault="00B07D03">
            <w:pPr>
              <w:pStyle w:val="ListParagraph"/>
              <w:numPr>
                <w:ilvl w:val="0"/>
                <w:numId w:val="80"/>
              </w:numPr>
              <w:autoSpaceDE w:val="0"/>
              <w:autoSpaceDN w:val="0"/>
              <w:adjustRightInd w:val="0"/>
              <w:spacing w:after="0" w:line="269" w:lineRule="auto"/>
              <w:rPr>
                <w:bCs/>
                <w:szCs w:val="24"/>
                <w:lang w:val="en-US"/>
              </w:rPr>
            </w:pPr>
            <w:r>
              <w:rPr>
                <w:bCs/>
                <w:szCs w:val="24"/>
              </w:rPr>
              <w:t xml:space="preserve">офисите в Хасково и Одрин са вече съществуващи административни органи с напълно функциониращи структури за управление и с опит в управлението на програмата Това ще гарантира намаляване на разходите за дейността, като например разходите за обучение; </w:t>
            </w:r>
          </w:p>
          <w:p w:rsidR="00A85EB3" w:rsidRDefault="00B07D03">
            <w:pPr>
              <w:pStyle w:val="ListParagraph"/>
              <w:numPr>
                <w:ilvl w:val="0"/>
                <w:numId w:val="80"/>
              </w:numPr>
              <w:autoSpaceDE w:val="0"/>
              <w:autoSpaceDN w:val="0"/>
              <w:adjustRightInd w:val="0"/>
              <w:spacing w:after="0" w:line="269" w:lineRule="auto"/>
              <w:rPr>
                <w:bCs/>
                <w:szCs w:val="24"/>
                <w:lang w:val="en-US"/>
              </w:rPr>
            </w:pPr>
            <w:r>
              <w:rPr>
                <w:bCs/>
                <w:szCs w:val="24"/>
              </w:rPr>
              <w:t xml:space="preserve">работните процедури на съществуващия СС вече са били </w:t>
            </w:r>
            <w:proofErr w:type="spellStart"/>
            <w:r>
              <w:rPr>
                <w:bCs/>
                <w:szCs w:val="24"/>
              </w:rPr>
              <w:t>одитирани</w:t>
            </w:r>
            <w:proofErr w:type="spellEnd"/>
            <w:r>
              <w:rPr>
                <w:bCs/>
                <w:szCs w:val="24"/>
              </w:rPr>
              <w:t xml:space="preserve"> и може лесно да бъдат актуализирани в съответствие с разпоредбите на новите регламенти на ЕС и извлечените поуки.  </w:t>
            </w:r>
          </w:p>
          <w:p w:rsidR="00A85EB3" w:rsidRDefault="00B07D03">
            <w:pPr>
              <w:spacing w:before="0" w:after="0" w:line="269" w:lineRule="auto"/>
              <w:rPr>
                <w:rFonts w:eastAsia="Times New Roman"/>
                <w:bCs/>
                <w:szCs w:val="24"/>
                <w:lang w:val="en-US"/>
              </w:rPr>
            </w:pPr>
            <w:r>
              <w:rPr>
                <w:rFonts w:eastAsia="Times New Roman"/>
                <w:bCs/>
                <w:szCs w:val="24"/>
              </w:rPr>
              <w:t>Разходите за задачите на СС ще бъдат финансирани от бюджета за Техническа помощ на програмата. Персоналът на СС ще говори добре английски, както и един от официалните езици на държавите–партньори (български или турски).</w:t>
            </w:r>
          </w:p>
          <w:p w:rsidR="00A85EB3" w:rsidRDefault="00B07D03">
            <w:pPr>
              <w:spacing w:before="0" w:after="0" w:line="269" w:lineRule="auto"/>
              <w:rPr>
                <w:rFonts w:eastAsia="Times New Roman"/>
                <w:bCs/>
                <w:szCs w:val="24"/>
                <w:lang w:val="en-US"/>
              </w:rPr>
            </w:pPr>
            <w:r>
              <w:rPr>
                <w:rFonts w:eastAsia="Times New Roman"/>
                <w:bCs/>
                <w:szCs w:val="24"/>
              </w:rPr>
              <w:t xml:space="preserve">Главната роля на клона в Одрин ще бъде да служи като местен пункт за контакт за бенефициентите или потенциалните бенефициенти на проекти. </w:t>
            </w:r>
          </w:p>
          <w:p w:rsidR="00A85EB3" w:rsidRDefault="00B07D03">
            <w:pPr>
              <w:spacing w:before="0" w:after="0" w:line="269" w:lineRule="auto"/>
              <w:rPr>
                <w:rFonts w:eastAsia="Times New Roman"/>
                <w:bCs/>
                <w:szCs w:val="24"/>
                <w:lang w:val="en-US"/>
              </w:rPr>
            </w:pPr>
            <w:r>
              <w:rPr>
                <w:rFonts w:eastAsia="Times New Roman"/>
                <w:bCs/>
                <w:szCs w:val="24"/>
              </w:rPr>
              <w:t>Тай като персоналът СС на Програмата за ТГС по ИПП България – Турция вече е обучен и има опит, той ще поеме допълнителни отговорности за Програмата за ТГС по ИПП България – Турция 2014–2020 г. в съответствие със специализацията на всяко лице.</w:t>
            </w:r>
          </w:p>
          <w:p w:rsidR="00A85EB3" w:rsidRDefault="00B07D03">
            <w:pPr>
              <w:spacing w:before="0" w:after="0" w:line="269" w:lineRule="auto"/>
              <w:rPr>
                <w:rFonts w:eastAsia="Times New Roman"/>
                <w:bCs/>
                <w:szCs w:val="24"/>
                <w:lang w:val="en-US"/>
              </w:rPr>
            </w:pPr>
            <w:r>
              <w:rPr>
                <w:rFonts w:eastAsia="Times New Roman"/>
                <w:bCs/>
                <w:szCs w:val="24"/>
              </w:rPr>
              <w:t>Набирането на нов персонал за СС (в главния офис и в клона) ще се организира чрез публична и прозрачна процедура, осигуряваща баланс на броя на експертите от двете страни чрез насърчаване на равни възможности сред кандидатите.</w:t>
            </w:r>
          </w:p>
          <w:p w:rsidR="00A85EB3" w:rsidRDefault="00B07D03">
            <w:pPr>
              <w:spacing w:before="0" w:after="0" w:line="269" w:lineRule="auto"/>
              <w:rPr>
                <w:rFonts w:eastAsia="Times New Roman"/>
                <w:i/>
                <w:lang w:val="en-US" w:eastAsia="fr-BE"/>
              </w:rPr>
            </w:pPr>
            <w:r>
              <w:rPr>
                <w:rFonts w:eastAsia="Times New Roman"/>
                <w:bCs/>
                <w:szCs w:val="24"/>
              </w:rPr>
              <w:t>Процедурата за подбор на персонал ще се извършва само от УО и/или НО съгласно съответните национални разпоредби и/или постановления и ще се състои от четири етапа: (1) административно съответствие на подаденото заявление и допустимост на кандидата, (2) оценка на представената документация, (3) писмен изпит и (4) интервю. Разходите на СС ще се покриват от бюджета на ПО 4 „Техническа помощ“. Броят на персонала и длъжностните характеристики на СС ще подлежат на одобрение от СКН.</w:t>
            </w:r>
          </w:p>
        </w:tc>
      </w:tr>
    </w:tbl>
    <w:p w:rsidR="00A85EB3" w:rsidRDefault="00A85EB3">
      <w:pPr>
        <w:spacing w:after="240"/>
        <w:rPr>
          <w:rFonts w:eastAsia="Times New Roman"/>
          <w:lang w:val="en-US"/>
        </w:rPr>
      </w:pPr>
    </w:p>
    <w:p w:rsidR="00A85EB3" w:rsidRDefault="00B07D03">
      <w:pPr>
        <w:pStyle w:val="Heading2"/>
        <w:numPr>
          <w:ilvl w:val="0"/>
          <w:numId w:val="0"/>
        </w:numPr>
        <w:ind w:left="850" w:hanging="850"/>
        <w:rPr>
          <w:lang w:val="en-US"/>
        </w:rPr>
      </w:pPr>
      <w:bookmarkStart w:id="83" w:name="_Toc408234928"/>
      <w:r>
        <w:t>5.4</w:t>
      </w:r>
      <w:r>
        <w:tab/>
        <w:t>Обобщено описание на организацията по управлението и контрола</w:t>
      </w:r>
      <w:bookmarkEnd w:id="83"/>
    </w:p>
    <w:p w:rsidR="00A85EB3" w:rsidRDefault="00B07D03">
      <w:pPr>
        <w:suppressAutoHyphens/>
        <w:spacing w:after="240"/>
        <w:ind w:left="720" w:hanging="720"/>
        <w:rPr>
          <w:rFonts w:eastAsia="Times New Roman"/>
          <w:lang w:val="en-US"/>
        </w:rPr>
      </w:pPr>
      <w:r>
        <w:rPr>
          <w:rFonts w:eastAsia="Times New Roman"/>
        </w:rPr>
        <w:t xml:space="preserve">(Източник: </w:t>
      </w:r>
      <w:r>
        <w:t xml:space="preserve">буква(a)(v) на </w:t>
      </w:r>
      <w:r>
        <w:rPr>
          <w:rFonts w:eastAsia="Times New Roman"/>
        </w:rPr>
        <w:t>чл. 8(4) от Регламент (ЕС) № 1299/2013)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FB701A" w:rsidRPr="00981F6F" w:rsidTr="00D17A3D">
        <w:tc>
          <w:tcPr>
            <w:tcW w:w="8834" w:type="dxa"/>
            <w:shd w:val="clear" w:color="auto" w:fill="auto"/>
          </w:tcPr>
          <w:p w:rsidR="00A85EB3" w:rsidRDefault="00B07D03">
            <w:pPr>
              <w:pStyle w:val="ListParagraph"/>
              <w:numPr>
                <w:ilvl w:val="0"/>
                <w:numId w:val="75"/>
              </w:numPr>
              <w:autoSpaceDE w:val="0"/>
              <w:autoSpaceDN w:val="0"/>
              <w:adjustRightInd w:val="0"/>
              <w:spacing w:line="276" w:lineRule="auto"/>
              <w:rPr>
                <w:b/>
                <w:szCs w:val="24"/>
                <w:u w:val="single"/>
                <w:lang w:val="en-US"/>
              </w:rPr>
            </w:pPr>
            <w:r>
              <w:rPr>
                <w:b/>
                <w:bCs/>
                <w:iCs/>
                <w:szCs w:val="24"/>
                <w:lang w:eastAsia="ar-SA"/>
              </w:rPr>
              <w:t>Органи на Програмата</w:t>
            </w:r>
          </w:p>
          <w:p w:rsidR="00A85EB3" w:rsidRDefault="00B07D03">
            <w:pPr>
              <w:autoSpaceDE w:val="0"/>
              <w:autoSpaceDN w:val="0"/>
              <w:adjustRightInd w:val="0"/>
              <w:spacing w:line="276" w:lineRule="auto"/>
              <w:rPr>
                <w:rFonts w:eastAsia="Times New Roman"/>
                <w:b/>
                <w:szCs w:val="24"/>
                <w:u w:val="single"/>
                <w:lang w:val="en-US"/>
              </w:rPr>
            </w:pPr>
            <w:r>
              <w:rPr>
                <w:rFonts w:eastAsia="Times New Roman"/>
                <w:b/>
                <w:szCs w:val="24"/>
                <w:u w:val="single"/>
              </w:rPr>
              <w:lastRenderedPageBreak/>
              <w:t>Съвместен комитет за наблюдение (СКН)</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Съгласно член 38 на Регламент за изпълнение (ЕС) № 447/214 на Комисията от 2 май 2014 година относно специфичните правила за изпълнение на Регламент (ЕС) № 231/2014 на Европейския парламент и на Съвета за създаване на Инструмент за предприсъединителна помощ (ИПП II), държавите–членки трябва да създадат Съвместен комитет за наблюдение (СКН) в срок от 3 месеца след уведомлението за одобрението на програмата от Европейската комисия.</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СКН ще се състои от представители на Управляващия орган (УО), Националния орган (НО), Комисията и националния координатор по ИПП, както и други съответни национални органи и заинтересовани страни, включително гражданското общество и организации от частния сектор. Съставът на СКН ще спазва принципите на партньорство и многостепенно управление.</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 xml:space="preserve">Комисията, Сертифициращият орган (СО) и </w:t>
            </w:r>
            <w:proofErr w:type="spellStart"/>
            <w:r>
              <w:rPr>
                <w:rFonts w:eastAsia="Times New Roman"/>
                <w:szCs w:val="24"/>
              </w:rPr>
              <w:t>Одитният</w:t>
            </w:r>
            <w:proofErr w:type="spellEnd"/>
            <w:r>
              <w:rPr>
                <w:rFonts w:eastAsia="Times New Roman"/>
                <w:szCs w:val="24"/>
              </w:rPr>
              <w:t xml:space="preserve"> орган (ОО) ще участват в работата на СКН със съвещателен глас.</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СКН ще изпълнява функциите си в съответствие с разпоредбите на член 38 на Регламента за изпълнение ИПП II и членове 49 и 110 на Регламент (ЕС) № 1303/2013. Основните компетенции и отговорности на СКН са следните:</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Преглед на общата ефективност, качество и последователност на изпълнението на всички действия за постигане на целите, поставени в трансграничната програма, финансовите споразумения и съответните стратегически документи. Той може да прави препоръки за коригиращи действия, когато това е необходимо.</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Наблюдение чрез референтни показатели, посочени в програмата за трансгранично сътрудничество, в съответствие с чл. 16 на Регламент (ЕС) № 1299/2013.</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СКН ще разглежда и одобрява:</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всички въпроси, които засягат изпълнението на оперативната програма;</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методологията и критериите, които се използват за подбор на дейностите;</w:t>
            </w:r>
          </w:p>
          <w:p w:rsidR="00A85EB3" w:rsidRDefault="00B07D03">
            <w:pPr>
              <w:numPr>
                <w:ilvl w:val="0"/>
                <w:numId w:val="58"/>
              </w:numPr>
              <w:autoSpaceDE w:val="0"/>
              <w:autoSpaceDN w:val="0"/>
              <w:adjustRightInd w:val="0"/>
              <w:spacing w:line="276" w:lineRule="auto"/>
              <w:rPr>
                <w:rFonts w:eastAsia="Times New Roman"/>
                <w:szCs w:val="24"/>
                <w:lang w:val="en-US"/>
              </w:rPr>
            </w:pPr>
            <w:r>
              <w:rPr>
                <w:szCs w:val="24"/>
              </w:rPr>
              <w:t>избора на проекти и размера на отпуснатите по програмата финансови средства за всяка операция;</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годишните и окончателния доклад за изпълнението;</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плана за оценка на оперативната програма и всички изменения на плана за оценка, включително когато той е част от общ план за оценка съгласно чл. 114(1). СКН ще разглежда постигнатия напредък при изпълнението на плана за оценка и </w:t>
            </w:r>
            <w:proofErr w:type="spellStart"/>
            <w:r>
              <w:rPr>
                <w:rFonts w:eastAsia="Times New Roman"/>
                <w:szCs w:val="24"/>
              </w:rPr>
              <w:t>последващите</w:t>
            </w:r>
            <w:proofErr w:type="spellEnd"/>
            <w:r>
              <w:rPr>
                <w:rFonts w:eastAsia="Times New Roman"/>
                <w:szCs w:val="24"/>
              </w:rPr>
              <w:t xml:space="preserve"> действия по констатациите от оценките;</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комуникационната стратегия/план за оперативната програма и всички изменения на стратегията/плана;</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lastRenderedPageBreak/>
              <w:t>всякакви предложения на УО за изменения на оперативната програма.</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 xml:space="preserve">СКН приема процедурните си правила на първото си заседание. Процедурните правила трябва да включват като една от другите теми подробен списък на задачите на СКН. </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 xml:space="preserve">СКН ще се ръководи от Председател (УО) и </w:t>
            </w:r>
            <w:proofErr w:type="spellStart"/>
            <w:r>
              <w:rPr>
                <w:rFonts w:eastAsia="Times New Roman"/>
                <w:szCs w:val="24"/>
              </w:rPr>
              <w:t>Съпредседател</w:t>
            </w:r>
            <w:proofErr w:type="spellEnd"/>
            <w:r>
              <w:rPr>
                <w:rFonts w:eastAsia="Times New Roman"/>
                <w:szCs w:val="24"/>
              </w:rPr>
              <w:t xml:space="preserve"> (НО). Заседанията на СКН ще се ръководят от представителя на страната-домакин или УО. Решенията ще се вземат единодушно.</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СКН ще заседава поне веднъж годишно. Могат да се свикват и допълнителни заседания по инициатива на една от участващите страни или на Комисията, в частност на тематична основа.</w:t>
            </w:r>
          </w:p>
          <w:p w:rsidR="00A85EB3" w:rsidRDefault="00B07D03">
            <w:pPr>
              <w:suppressAutoHyphens/>
              <w:autoSpaceDN w:val="0"/>
              <w:spacing w:line="276" w:lineRule="auto"/>
              <w:jc w:val="left"/>
              <w:textAlignment w:val="baseline"/>
              <w:rPr>
                <w:rFonts w:eastAsia="Times New Roman"/>
                <w:b/>
                <w:szCs w:val="24"/>
                <w:u w:val="single"/>
                <w:lang w:val="en-US"/>
              </w:rPr>
            </w:pPr>
            <w:r>
              <w:rPr>
                <w:rFonts w:eastAsia="Times New Roman"/>
                <w:b/>
                <w:szCs w:val="24"/>
                <w:u w:val="single"/>
              </w:rPr>
              <w:t>Управляващ орган (УО)</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Главна дирекция „Управление на териториалното сътрудничество“ – Министерство на регионалното развитие</w:t>
            </w:r>
            <w:r w:rsidR="00667D5F">
              <w:rPr>
                <w:rFonts w:eastAsia="Times New Roman"/>
                <w:szCs w:val="24"/>
              </w:rPr>
              <w:t xml:space="preserve"> и благоустройството</w:t>
            </w:r>
            <w:r>
              <w:rPr>
                <w:rFonts w:eastAsia="Times New Roman"/>
                <w:szCs w:val="24"/>
              </w:rPr>
              <w:t xml:space="preserve"> на Република България е определена да изпълнява функциите на единствен Управляващ орган по трансграничната програма България – Турция.</w:t>
            </w:r>
          </w:p>
          <w:p w:rsidR="00A85EB3" w:rsidRDefault="00B07D03">
            <w:pPr>
              <w:autoSpaceDE w:val="0"/>
              <w:autoSpaceDN w:val="0"/>
              <w:adjustRightInd w:val="0"/>
              <w:spacing w:line="276" w:lineRule="auto"/>
              <w:rPr>
                <w:rFonts w:eastAsia="Times New Roman"/>
                <w:szCs w:val="24"/>
                <w:lang w:val="en-US" w:eastAsia="ar-SA"/>
              </w:rPr>
            </w:pPr>
            <w:r>
              <w:rPr>
                <w:rFonts w:eastAsia="Times New Roman"/>
                <w:szCs w:val="24"/>
              </w:rPr>
              <w:t xml:space="preserve">Управляващият орган отговаря за управлението и изпълнението на програмата за ТГС по ИПП в съответствие с принципа за доброто финансово управление и разпоредбите на член 125 от Регламент (ЕС) № 1303/2013, и по-конкретно за: </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подпомагане на работата на Комитета за наблюдение, посочен в чл. 47 Регламента за </w:t>
            </w:r>
            <w:proofErr w:type="spellStart"/>
            <w:r>
              <w:rPr>
                <w:rFonts w:eastAsia="Times New Roman"/>
                <w:szCs w:val="24"/>
              </w:rPr>
              <w:t>общоприложимите</w:t>
            </w:r>
            <w:proofErr w:type="spellEnd"/>
            <w:r>
              <w:rPr>
                <w:rFonts w:eastAsia="Times New Roman"/>
                <w:szCs w:val="24"/>
              </w:rPr>
              <w:t xml:space="preserve"> разпоредби, и предоставяне на информацията, която му е необходима за изпълнение на задачите му (данни, свързани с напредъка на оперативната програмата по постигане на целите ѝ, финансова информация и информация, свързана с показателите и етапите); </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съставяне и представяне пред Комисията след одобрение от СКН на годишни и окончателния доклад за изпълнението;</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предоставяне на междинните органи и бенефициентите на информация, която има отношение съответно към изпълнението на техните задачи и осъществяването на дейностите; </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създаване на система за записване и съхраняване в електронна форма на данни за всяка дейност, необходими за мониторинг, оценка, финансово управление, проверка и одит, включително данни за отделните участници в дейностите, ако е приложимо; </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осигуряване на това данните, посочени в горната точка, да се събират, въвеждат и съхраняват в Информационната система за управление (ИСУ). </w:t>
            </w:r>
          </w:p>
          <w:p w:rsidR="00A85EB3" w:rsidRDefault="00FA35A5">
            <w:pPr>
              <w:widowControl w:val="0"/>
              <w:suppressAutoHyphens/>
              <w:spacing w:line="276" w:lineRule="auto"/>
              <w:rPr>
                <w:rFonts w:eastAsia="Times New Roman"/>
                <w:i/>
                <w:szCs w:val="24"/>
                <w:lang w:val="en-US" w:eastAsia="ar-SA"/>
              </w:rPr>
            </w:pPr>
            <w:r>
              <w:rPr>
                <w:rFonts w:eastAsia="Times New Roman"/>
                <w:i/>
                <w:szCs w:val="24"/>
                <w:lang w:eastAsia="ar-SA"/>
              </w:rPr>
              <w:t>По отношение на</w:t>
            </w:r>
            <w:r w:rsidR="00B07D03">
              <w:rPr>
                <w:rFonts w:eastAsia="Times New Roman"/>
                <w:i/>
                <w:szCs w:val="24"/>
                <w:lang w:eastAsia="ar-SA"/>
              </w:rPr>
              <w:t xml:space="preserve"> подбора на дейностите, УО отговаря за: </w:t>
            </w:r>
          </w:p>
          <w:p w:rsidR="00A85EB3" w:rsidRDefault="00AB3C57">
            <w:pPr>
              <w:numPr>
                <w:ilvl w:val="0"/>
                <w:numId w:val="58"/>
              </w:numPr>
              <w:autoSpaceDE w:val="0"/>
              <w:autoSpaceDN w:val="0"/>
              <w:adjustRightInd w:val="0"/>
              <w:spacing w:line="276" w:lineRule="auto"/>
              <w:rPr>
                <w:rFonts w:eastAsia="Times New Roman"/>
                <w:szCs w:val="24"/>
                <w:lang w:val="en-US"/>
              </w:rPr>
            </w:pPr>
            <w:r>
              <w:rPr>
                <w:rFonts w:eastAsia="Times New Roman"/>
                <w:szCs w:val="24"/>
              </w:rPr>
              <w:t>съставяне и, след като бъдат одобрени</w:t>
            </w:r>
            <w:r w:rsidR="00B07D03">
              <w:rPr>
                <w:rFonts w:eastAsia="Times New Roman"/>
                <w:szCs w:val="24"/>
              </w:rPr>
              <w:t xml:space="preserve">, прилагане на процедури и критерии за подбор, които: </w:t>
            </w:r>
          </w:p>
          <w:p w:rsidR="00A85EB3" w:rsidRDefault="00B07D03">
            <w:pPr>
              <w:numPr>
                <w:ilvl w:val="0"/>
                <w:numId w:val="58"/>
              </w:numPr>
              <w:suppressAutoHyphens/>
              <w:spacing w:line="276" w:lineRule="auto"/>
              <w:rPr>
                <w:rFonts w:eastAsia="Times New Roman"/>
                <w:szCs w:val="24"/>
                <w:lang w:val="en-US"/>
              </w:rPr>
            </w:pPr>
            <w:r>
              <w:rPr>
                <w:rFonts w:eastAsia="Times New Roman"/>
                <w:szCs w:val="24"/>
              </w:rPr>
              <w:lastRenderedPageBreak/>
              <w:t xml:space="preserve">гарантират приноса на дейностите за постигане на конкретните цели и резултати на съответната приоритетна ос; </w:t>
            </w:r>
          </w:p>
          <w:p w:rsidR="00A85EB3" w:rsidRDefault="00B07D03">
            <w:pPr>
              <w:numPr>
                <w:ilvl w:val="0"/>
                <w:numId w:val="58"/>
              </w:numPr>
              <w:suppressAutoHyphens/>
              <w:spacing w:line="276" w:lineRule="auto"/>
              <w:rPr>
                <w:rFonts w:eastAsia="Times New Roman"/>
                <w:szCs w:val="24"/>
                <w:lang w:val="en-US" w:eastAsia="ar-SA"/>
              </w:rPr>
            </w:pPr>
            <w:r>
              <w:rPr>
                <w:rFonts w:eastAsia="Times New Roman"/>
                <w:szCs w:val="24"/>
              </w:rPr>
              <w:t xml:space="preserve">са недискриминационни и прозрачни; </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гарантира</w:t>
            </w:r>
            <w:r w:rsidR="00AB3C57">
              <w:rPr>
                <w:rFonts w:eastAsia="Times New Roman"/>
                <w:szCs w:val="24"/>
              </w:rPr>
              <w:t xml:space="preserve">т, че </w:t>
            </w:r>
            <w:r>
              <w:rPr>
                <w:rFonts w:eastAsia="Times New Roman"/>
                <w:szCs w:val="24"/>
              </w:rPr>
              <w:t>изб</w:t>
            </w:r>
            <w:r w:rsidR="00AB3C57">
              <w:rPr>
                <w:rFonts w:eastAsia="Times New Roman"/>
                <w:szCs w:val="24"/>
              </w:rPr>
              <w:t xml:space="preserve">орът на дейности за финансиране </w:t>
            </w:r>
            <w:r>
              <w:rPr>
                <w:rFonts w:eastAsia="Times New Roman"/>
                <w:szCs w:val="24"/>
              </w:rPr>
              <w:t xml:space="preserve">става съгласно критериите, приложими към трансграничната програма и те съответстват на действащите </w:t>
            </w:r>
            <w:proofErr w:type="spellStart"/>
            <w:r>
              <w:rPr>
                <w:rFonts w:eastAsia="Times New Roman"/>
                <w:szCs w:val="24"/>
              </w:rPr>
              <w:t>Общностни</w:t>
            </w:r>
            <w:proofErr w:type="spellEnd"/>
            <w:r>
              <w:rPr>
                <w:rFonts w:eastAsia="Times New Roman"/>
                <w:szCs w:val="24"/>
              </w:rPr>
              <w:t xml:space="preserve"> и национални правила през целия период на изпълнението; </w:t>
            </w:r>
          </w:p>
          <w:p w:rsidR="00A85EB3" w:rsidRDefault="009B3E56">
            <w:pPr>
              <w:numPr>
                <w:ilvl w:val="0"/>
                <w:numId w:val="58"/>
              </w:numPr>
              <w:autoSpaceDE w:val="0"/>
              <w:autoSpaceDN w:val="0"/>
              <w:adjustRightInd w:val="0"/>
              <w:spacing w:line="276" w:lineRule="auto"/>
              <w:rPr>
                <w:rFonts w:eastAsia="Times New Roman"/>
                <w:szCs w:val="24"/>
                <w:lang w:val="en-US"/>
              </w:rPr>
            </w:pPr>
            <w:r>
              <w:rPr>
                <w:rFonts w:eastAsia="Times New Roman"/>
                <w:szCs w:val="24"/>
              </w:rPr>
              <w:t>гарантират получаването на документи от бенефициентите</w:t>
            </w:r>
            <w:r w:rsidR="00B07D03">
              <w:rPr>
                <w:rFonts w:eastAsia="Times New Roman"/>
                <w:szCs w:val="24"/>
              </w:rPr>
              <w:t xml:space="preserve">, </w:t>
            </w:r>
            <w:r>
              <w:rPr>
                <w:rFonts w:eastAsia="Times New Roman"/>
                <w:szCs w:val="24"/>
              </w:rPr>
              <w:t xml:space="preserve">които посочват </w:t>
            </w:r>
            <w:r w:rsidR="00B07D03">
              <w:rPr>
                <w:rFonts w:eastAsia="Times New Roman"/>
                <w:szCs w:val="24"/>
              </w:rPr>
              <w:t xml:space="preserve">условията за подпомагане за всяка дейност, включително конкретните изисквания относно продуктите или услугите, които трябва да доставят по дейността, финансовия план и сроковете за изпълнение; </w:t>
            </w:r>
          </w:p>
          <w:p w:rsidR="00A85EB3" w:rsidRDefault="00F81407">
            <w:pPr>
              <w:numPr>
                <w:ilvl w:val="0"/>
                <w:numId w:val="58"/>
              </w:numPr>
              <w:autoSpaceDE w:val="0"/>
              <w:autoSpaceDN w:val="0"/>
              <w:adjustRightInd w:val="0"/>
              <w:spacing w:line="276" w:lineRule="auto"/>
              <w:rPr>
                <w:rFonts w:eastAsia="Times New Roman"/>
                <w:szCs w:val="24"/>
                <w:lang w:val="en-US"/>
              </w:rPr>
            </w:pPr>
            <w:r>
              <w:rPr>
                <w:rFonts w:eastAsia="Times New Roman"/>
                <w:szCs w:val="24"/>
              </w:rPr>
              <w:t>удостоверяват</w:t>
            </w:r>
            <w:r w:rsidR="00B07D03">
              <w:rPr>
                <w:rFonts w:eastAsia="Times New Roman"/>
                <w:szCs w:val="24"/>
              </w:rPr>
              <w:t xml:space="preserve">, че бенефициентите имат административния, финансов и оперативен капацитет да изпълнят условията, посочени в горната точка, преди одобрението на дейността; </w:t>
            </w:r>
          </w:p>
          <w:p w:rsidR="00A85EB3" w:rsidRDefault="00DE6424">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осигуряват, че </w:t>
            </w:r>
            <w:r w:rsidR="00B07D03">
              <w:rPr>
                <w:rFonts w:eastAsia="Times New Roman"/>
                <w:szCs w:val="24"/>
              </w:rPr>
              <w:t>дейностите, избран</w:t>
            </w:r>
            <w:r>
              <w:rPr>
                <w:rFonts w:eastAsia="Times New Roman"/>
                <w:szCs w:val="24"/>
              </w:rPr>
              <w:t xml:space="preserve">и за подпомагане от фондовете, </w:t>
            </w:r>
            <w:r w:rsidR="00B07D03">
              <w:rPr>
                <w:rFonts w:eastAsia="Times New Roman"/>
                <w:szCs w:val="24"/>
              </w:rPr>
              <w:t xml:space="preserve">не включват дейности, които са били част от операция, която е била или трябва да е била обект на възстановяване съгласно член 71 от Регламент (ЕС) № 1303/2013 след преместване на производствена дейност извън програмния район; </w:t>
            </w:r>
          </w:p>
          <w:p w:rsidR="00A85EB3" w:rsidRDefault="00DE6424">
            <w:pPr>
              <w:numPr>
                <w:ilvl w:val="0"/>
                <w:numId w:val="58"/>
              </w:numPr>
              <w:autoSpaceDE w:val="0"/>
              <w:autoSpaceDN w:val="0"/>
              <w:adjustRightInd w:val="0"/>
              <w:spacing w:line="276" w:lineRule="auto"/>
              <w:rPr>
                <w:rFonts w:eastAsia="Times New Roman"/>
                <w:szCs w:val="24"/>
                <w:lang w:val="en-US"/>
              </w:rPr>
            </w:pPr>
            <w:r>
              <w:rPr>
                <w:rFonts w:eastAsia="Times New Roman"/>
                <w:szCs w:val="24"/>
              </w:rPr>
              <w:t>определят</w:t>
            </w:r>
            <w:r w:rsidR="00B07D03">
              <w:rPr>
                <w:rFonts w:eastAsia="Times New Roman"/>
                <w:szCs w:val="24"/>
              </w:rPr>
              <w:t xml:space="preserve"> категориите дейности и мерките, </w:t>
            </w:r>
            <w:r>
              <w:rPr>
                <w:rFonts w:eastAsia="Times New Roman"/>
                <w:szCs w:val="24"/>
              </w:rPr>
              <w:t xml:space="preserve">за </w:t>
            </w:r>
            <w:r w:rsidRPr="00DE6424">
              <w:rPr>
                <w:rFonts w:eastAsia="Times New Roman"/>
                <w:szCs w:val="24"/>
                <w:highlight w:val="yellow"/>
              </w:rPr>
              <w:t>които възникват</w:t>
            </w:r>
            <w:r w:rsidR="00B07D03">
              <w:rPr>
                <w:rFonts w:eastAsia="Times New Roman"/>
                <w:szCs w:val="24"/>
              </w:rPr>
              <w:t xml:space="preserve"> разходи. </w:t>
            </w:r>
          </w:p>
          <w:p w:rsidR="00A85EB3" w:rsidRDefault="00A85EB3">
            <w:pPr>
              <w:autoSpaceDE w:val="0"/>
              <w:autoSpaceDN w:val="0"/>
              <w:adjustRightInd w:val="0"/>
              <w:spacing w:line="276" w:lineRule="auto"/>
              <w:ind w:left="720"/>
              <w:rPr>
                <w:rFonts w:eastAsia="Times New Roman"/>
                <w:szCs w:val="24"/>
                <w:lang w:val="en-US"/>
              </w:rPr>
            </w:pPr>
          </w:p>
          <w:p w:rsidR="00A85EB3" w:rsidRDefault="00D375FA">
            <w:pPr>
              <w:widowControl w:val="0"/>
              <w:suppressAutoHyphens/>
              <w:spacing w:line="276" w:lineRule="auto"/>
              <w:rPr>
                <w:rFonts w:eastAsia="Times New Roman"/>
                <w:i/>
                <w:szCs w:val="24"/>
                <w:lang w:val="en-US" w:eastAsia="ar-SA"/>
              </w:rPr>
            </w:pPr>
            <w:r>
              <w:rPr>
                <w:rFonts w:eastAsia="Times New Roman"/>
                <w:i/>
                <w:szCs w:val="24"/>
                <w:lang w:eastAsia="ar-SA"/>
              </w:rPr>
              <w:t>По отношение на</w:t>
            </w:r>
            <w:r w:rsidR="00B07D03">
              <w:rPr>
                <w:rFonts w:eastAsia="Times New Roman"/>
                <w:i/>
                <w:szCs w:val="24"/>
                <w:lang w:eastAsia="ar-SA"/>
              </w:rPr>
              <w:t xml:space="preserve"> финансовото управление и контрола на оперативната програма, УО отговаря за: </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осигуряване на </w:t>
            </w:r>
            <w:r w:rsidR="00515290">
              <w:rPr>
                <w:rFonts w:eastAsia="Times New Roman"/>
                <w:szCs w:val="24"/>
              </w:rPr>
              <w:t>потвърждение</w:t>
            </w:r>
            <w:r>
              <w:rPr>
                <w:rFonts w:eastAsia="Times New Roman"/>
                <w:szCs w:val="24"/>
              </w:rPr>
              <w:t xml:space="preserve">, че </w:t>
            </w:r>
            <w:proofErr w:type="spellStart"/>
            <w:r>
              <w:rPr>
                <w:rFonts w:eastAsia="Times New Roman"/>
                <w:szCs w:val="24"/>
              </w:rPr>
              <w:t>съфинансираните</w:t>
            </w:r>
            <w:proofErr w:type="spellEnd"/>
            <w:r>
              <w:rPr>
                <w:rFonts w:eastAsia="Times New Roman"/>
                <w:szCs w:val="24"/>
              </w:rPr>
              <w:t xml:space="preserve"> продукти и услуги са били доставени и заявените от бенефициентите разходи са били платени и съответстват на действащото право, оперативната програма и условията за подпомагане на дейността; </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извършване на плащания на водещите бенефициенти;</w:t>
            </w:r>
          </w:p>
          <w:p w:rsidR="00A85EB3" w:rsidRDefault="00973B7A">
            <w:pPr>
              <w:numPr>
                <w:ilvl w:val="0"/>
                <w:numId w:val="58"/>
              </w:numPr>
              <w:autoSpaceDE w:val="0"/>
              <w:autoSpaceDN w:val="0"/>
              <w:adjustRightInd w:val="0"/>
              <w:spacing w:line="276" w:lineRule="auto"/>
              <w:rPr>
                <w:rFonts w:eastAsia="Times New Roman"/>
                <w:szCs w:val="24"/>
                <w:lang w:val="en-US"/>
              </w:rPr>
            </w:pPr>
            <w:r>
              <w:rPr>
                <w:rFonts w:eastAsia="Times New Roman"/>
                <w:szCs w:val="24"/>
              </w:rPr>
              <w:t>гарантиране, че</w:t>
            </w:r>
            <w:r w:rsidR="00B07D03">
              <w:rPr>
                <w:rFonts w:eastAsia="Times New Roman"/>
                <w:szCs w:val="24"/>
              </w:rPr>
              <w:t xml:space="preserve"> бенефициентите, участващи в изпълнението на дейностите, за които са възстановени средства на основата на допустимите и реално направени разходи, поддържат или отделна счетоводна система, или адекватен счетоводен код за всички транзакции, свързани с дейността; </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въвеждане на ефективни и пропорционални мерки срещу измамите, като се взема под внимание установения риск; </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определяне на процедури за осигуряване на това всички документи, свързани с разходи и одити, необходими за осигуряване на подходяща </w:t>
            </w:r>
            <w:proofErr w:type="spellStart"/>
            <w:r>
              <w:rPr>
                <w:rFonts w:eastAsia="Times New Roman"/>
                <w:szCs w:val="24"/>
              </w:rPr>
              <w:t>одитна</w:t>
            </w:r>
            <w:proofErr w:type="spellEnd"/>
            <w:r>
              <w:rPr>
                <w:rFonts w:eastAsia="Times New Roman"/>
                <w:szCs w:val="24"/>
              </w:rPr>
              <w:t xml:space="preserve"> следа, да се съхраняват съобразно точка (g) на член 72 на Регламент </w:t>
            </w:r>
            <w:r>
              <w:rPr>
                <w:rFonts w:eastAsia="Times New Roman"/>
                <w:szCs w:val="24"/>
              </w:rPr>
              <w:lastRenderedPageBreak/>
              <w:t xml:space="preserve">(ЕС) № 1303/2013; </w:t>
            </w:r>
          </w:p>
          <w:p w:rsidR="00A85EB3" w:rsidRDefault="00CF37CA">
            <w:pPr>
              <w:numPr>
                <w:ilvl w:val="0"/>
                <w:numId w:val="58"/>
              </w:numPr>
              <w:autoSpaceDE w:val="0"/>
              <w:autoSpaceDN w:val="0"/>
              <w:adjustRightInd w:val="0"/>
              <w:spacing w:line="276" w:lineRule="auto"/>
              <w:rPr>
                <w:rFonts w:eastAsia="Times New Roman"/>
                <w:szCs w:val="24"/>
                <w:lang w:val="en-US"/>
              </w:rPr>
            </w:pPr>
            <w:r>
              <w:rPr>
                <w:rFonts w:eastAsia="Times New Roman"/>
                <w:szCs w:val="24"/>
              </w:rPr>
              <w:t>изготвяне</w:t>
            </w:r>
            <w:r w:rsidR="00B07D03">
              <w:rPr>
                <w:rFonts w:eastAsia="Times New Roman"/>
                <w:szCs w:val="24"/>
              </w:rPr>
              <w:t xml:space="preserve"> на декларацията за управление</w:t>
            </w:r>
            <w:r>
              <w:rPr>
                <w:rFonts w:eastAsia="Times New Roman"/>
                <w:szCs w:val="24"/>
              </w:rPr>
              <w:t>то</w:t>
            </w:r>
            <w:r w:rsidR="00B07D03">
              <w:rPr>
                <w:rFonts w:eastAsia="Times New Roman"/>
                <w:szCs w:val="24"/>
              </w:rPr>
              <w:t xml:space="preserve"> и </w:t>
            </w:r>
            <w:proofErr w:type="spellStart"/>
            <w:r w:rsidR="00B07D03">
              <w:rPr>
                <w:rFonts w:eastAsia="Times New Roman"/>
                <w:szCs w:val="24"/>
              </w:rPr>
              <w:t>годишн</w:t>
            </w:r>
            <w:r>
              <w:rPr>
                <w:rFonts w:eastAsia="Times New Roman"/>
                <w:szCs w:val="24"/>
              </w:rPr>
              <w:t>ен</w:t>
            </w:r>
            <w:proofErr w:type="spellEnd"/>
            <w:r>
              <w:rPr>
                <w:rFonts w:eastAsia="Times New Roman"/>
                <w:szCs w:val="24"/>
              </w:rPr>
              <w:t xml:space="preserve"> </w:t>
            </w:r>
            <w:r w:rsidRPr="00CF37CA">
              <w:rPr>
                <w:rFonts w:eastAsia="Times New Roman"/>
                <w:szCs w:val="24"/>
                <w:highlight w:val="yellow"/>
              </w:rPr>
              <w:t>отчет</w:t>
            </w:r>
            <w:r w:rsidR="00B07D03" w:rsidRPr="00CF37CA">
              <w:rPr>
                <w:rFonts w:eastAsia="Times New Roman"/>
                <w:szCs w:val="24"/>
                <w:highlight w:val="yellow"/>
              </w:rPr>
              <w:t xml:space="preserve"> обобщение</w:t>
            </w:r>
            <w:r w:rsidR="00B07D03">
              <w:rPr>
                <w:rFonts w:eastAsia="Times New Roman"/>
                <w:szCs w:val="24"/>
              </w:rPr>
              <w:t>, посочени в точки (а) и (b) на член 59 (5) на Финансовия регламент.</w:t>
            </w:r>
          </w:p>
          <w:p w:rsidR="00A85EB3" w:rsidRDefault="00B07D03">
            <w:pPr>
              <w:widowControl w:val="0"/>
              <w:suppressAutoHyphens/>
              <w:spacing w:line="276" w:lineRule="auto"/>
              <w:rPr>
                <w:rFonts w:eastAsia="Times New Roman"/>
                <w:b/>
                <w:bCs/>
                <w:iCs/>
                <w:szCs w:val="24"/>
                <w:u w:val="single"/>
                <w:lang w:val="en-US" w:eastAsia="ar-SA"/>
              </w:rPr>
            </w:pPr>
            <w:r>
              <w:rPr>
                <w:rFonts w:eastAsia="Times New Roman"/>
                <w:b/>
                <w:bCs/>
                <w:iCs/>
                <w:szCs w:val="24"/>
                <w:u w:val="single"/>
                <w:lang w:eastAsia="ar-SA"/>
              </w:rPr>
              <w:t>Национален орган</w:t>
            </w:r>
          </w:p>
          <w:p w:rsidR="00A85EB3" w:rsidRDefault="00B07D03">
            <w:pPr>
              <w:widowControl w:val="0"/>
              <w:suppressAutoHyphens/>
              <w:spacing w:line="276" w:lineRule="auto"/>
              <w:rPr>
                <w:rFonts w:eastAsia="Times New Roman"/>
                <w:szCs w:val="24"/>
                <w:lang w:val="en-US" w:eastAsia="ar-SA"/>
              </w:rPr>
            </w:pPr>
            <w:r>
              <w:rPr>
                <w:rFonts w:eastAsia="Times New Roman"/>
                <w:szCs w:val="24"/>
                <w:lang w:eastAsia="ar-SA"/>
              </w:rPr>
              <w:t xml:space="preserve">Съответстващата на Управляващия орган институция, отговаряща за координацията в Турция, е Министерството </w:t>
            </w:r>
            <w:r w:rsidR="000D43CE">
              <w:rPr>
                <w:rFonts w:eastAsia="Times New Roman"/>
                <w:szCs w:val="24"/>
                <w:lang w:eastAsia="ar-SA"/>
              </w:rPr>
              <w:t xml:space="preserve">по </w:t>
            </w:r>
            <w:r>
              <w:rPr>
                <w:rFonts w:eastAsia="Times New Roman"/>
                <w:szCs w:val="24"/>
                <w:lang w:eastAsia="ar-SA"/>
              </w:rPr>
              <w:t>въпроси</w:t>
            </w:r>
            <w:r w:rsidR="000D43CE">
              <w:rPr>
                <w:rFonts w:eastAsia="Times New Roman"/>
                <w:szCs w:val="24"/>
                <w:lang w:eastAsia="ar-SA"/>
              </w:rPr>
              <w:t>те на Европейския съюз</w:t>
            </w:r>
            <w:r>
              <w:rPr>
                <w:rFonts w:eastAsia="Times New Roman"/>
                <w:szCs w:val="24"/>
                <w:lang w:eastAsia="ar-SA"/>
              </w:rPr>
              <w:t xml:space="preserve"> на Република Турция, което действа като Национален орган.</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Компетенциите и отговорностите на Националния орган са следните:</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подпомага УО при изпълнението на Програмата;</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осигурява наличието на средства от националното </w:t>
            </w:r>
            <w:proofErr w:type="spellStart"/>
            <w:r>
              <w:rPr>
                <w:rFonts w:eastAsia="Times New Roman"/>
                <w:szCs w:val="24"/>
              </w:rPr>
              <w:t>съфинансиране</w:t>
            </w:r>
            <w:proofErr w:type="spellEnd"/>
            <w:r>
              <w:rPr>
                <w:rFonts w:eastAsia="Times New Roman"/>
                <w:szCs w:val="24"/>
              </w:rPr>
              <w:t xml:space="preserve"> за бюджета на приоритета за Техническа помощ; </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осигурява достъп до информация за УО и ОО, за да изпълняват съответните си задачи;</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организира процедурите по избор и назначение на оценители от турска страна;</w:t>
            </w:r>
          </w:p>
          <w:p w:rsidR="00A85EB3" w:rsidRDefault="00B07D03">
            <w:pPr>
              <w:pStyle w:val="NormalWeb"/>
              <w:widowControl w:val="0"/>
              <w:numPr>
                <w:ilvl w:val="0"/>
                <w:numId w:val="58"/>
              </w:numPr>
              <w:spacing w:before="120" w:after="120" w:line="276" w:lineRule="auto"/>
              <w:jc w:val="both"/>
              <w:rPr>
                <w:lang w:val="en-US" w:eastAsia="en-GB"/>
              </w:rPr>
            </w:pPr>
            <w:r>
              <w:t xml:space="preserve">участва в изготвянето на </w:t>
            </w:r>
            <w:r w:rsidR="00272260">
              <w:t>Насоките за кандидатстване</w:t>
            </w:r>
            <w:r>
              <w:t>;</w:t>
            </w:r>
          </w:p>
          <w:p w:rsidR="00A85EB3" w:rsidRDefault="00B07D03">
            <w:pPr>
              <w:pStyle w:val="NormalWeb"/>
              <w:widowControl w:val="0"/>
              <w:numPr>
                <w:ilvl w:val="0"/>
                <w:numId w:val="58"/>
              </w:numPr>
              <w:spacing w:before="120" w:after="120" w:line="276" w:lineRule="auto"/>
              <w:jc w:val="both"/>
              <w:rPr>
                <w:lang w:val="en-US" w:eastAsia="en-GB"/>
              </w:rPr>
            </w:pPr>
            <w:r>
              <w:t xml:space="preserve">подпомага УО при </w:t>
            </w:r>
            <w:r w:rsidRPr="00250D1E">
              <w:rPr>
                <w:highlight w:val="yellow"/>
              </w:rPr>
              <w:t>избора на дейности</w:t>
            </w:r>
            <w:r>
              <w:t>;</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осигурява съответствието на разходите с правилата на програмата, правилата на Общността и програмните процедури чрез адекватна система за контрол;</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определя контрольорите, отговорни за извършване на </w:t>
            </w:r>
            <w:r w:rsidR="009B7D77">
              <w:rPr>
                <w:rFonts w:eastAsia="Times New Roman"/>
                <w:szCs w:val="24"/>
              </w:rPr>
              <w:t>Първо ниво на контрол</w:t>
            </w:r>
            <w:r>
              <w:rPr>
                <w:rFonts w:eastAsia="Times New Roman"/>
                <w:szCs w:val="24"/>
              </w:rPr>
              <w:t xml:space="preserve"> на партньорите, намиращи се в Република Турция;</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определя представителите на Република Турция в СКН;</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осигурява подходяща </w:t>
            </w:r>
            <w:proofErr w:type="spellStart"/>
            <w:r>
              <w:rPr>
                <w:rFonts w:eastAsia="Times New Roman"/>
                <w:szCs w:val="24"/>
              </w:rPr>
              <w:t>одитна</w:t>
            </w:r>
            <w:proofErr w:type="spellEnd"/>
            <w:r>
              <w:rPr>
                <w:rFonts w:eastAsia="Times New Roman"/>
                <w:szCs w:val="24"/>
              </w:rPr>
              <w:t xml:space="preserve"> следа за системата във връзка с изпълнението на програмата в Република Турция;</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предотвратява, разкрива и коригира нередности, извършени от бенефициенти от Република Турция;</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информира УО в срок от 15 работни дни за всяка свързана с Програмата нередност, която е била разкрита или се предполага, че е била извършена на територията на Република Турция;</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осигурява необходимите средства в случай на освобождаване на </w:t>
            </w:r>
            <w:r w:rsidR="0033125C">
              <w:rPr>
                <w:rFonts w:eastAsia="Times New Roman"/>
                <w:szCs w:val="24"/>
              </w:rPr>
              <w:t>бюджетни задължения на програмно ниво</w:t>
            </w:r>
            <w:r>
              <w:rPr>
                <w:rFonts w:eastAsia="Times New Roman"/>
                <w:szCs w:val="24"/>
              </w:rPr>
              <w:t xml:space="preserve"> пропорционално на одобрения бюджет на проектите и извършените от турските бенефициенти дейности;</w:t>
            </w:r>
          </w:p>
          <w:p w:rsidR="00A85EB3" w:rsidRDefault="00A579D0">
            <w:pPr>
              <w:numPr>
                <w:ilvl w:val="0"/>
                <w:numId w:val="58"/>
              </w:numPr>
              <w:autoSpaceDE w:val="0"/>
              <w:autoSpaceDN w:val="0"/>
              <w:adjustRightInd w:val="0"/>
              <w:spacing w:line="276" w:lineRule="auto"/>
              <w:rPr>
                <w:rFonts w:eastAsia="Times New Roman"/>
                <w:szCs w:val="24"/>
                <w:lang w:val="en-US"/>
              </w:rPr>
            </w:pPr>
            <w:r>
              <w:rPr>
                <w:rFonts w:eastAsia="Times New Roman"/>
                <w:szCs w:val="24"/>
              </w:rPr>
              <w:t>гарантира, че</w:t>
            </w:r>
            <w:r w:rsidR="00B07D03">
              <w:rPr>
                <w:rFonts w:eastAsia="Times New Roman"/>
                <w:szCs w:val="24"/>
              </w:rPr>
              <w:t xml:space="preserve"> бенефициентите, участващи в изпълнението на дейностите, за които са възстановени средства на основата на допустимите и реално </w:t>
            </w:r>
            <w:r w:rsidR="00B07D03">
              <w:rPr>
                <w:rFonts w:eastAsia="Times New Roman"/>
                <w:szCs w:val="24"/>
              </w:rPr>
              <w:lastRenderedPageBreak/>
              <w:t>направени разходи, поддържат или отделна счетоводна система, или адекватен счетоводен код за всички транзакции, свързани с дейността;</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въвеждане на ефективни и пропорционални мерки срещу измамите, като се взема под внимание установения риск;</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определяне на процедури за осигуряване на това всички документи, свързани с разходи и одити, необходими за осигуряване на подходяща </w:t>
            </w:r>
            <w:proofErr w:type="spellStart"/>
            <w:r>
              <w:rPr>
                <w:rFonts w:eastAsia="Times New Roman"/>
                <w:szCs w:val="24"/>
              </w:rPr>
              <w:t>одитна</w:t>
            </w:r>
            <w:proofErr w:type="spellEnd"/>
            <w:r>
              <w:rPr>
                <w:rFonts w:eastAsia="Times New Roman"/>
                <w:szCs w:val="24"/>
              </w:rPr>
              <w:t xml:space="preserve"> следа, да се съхраняват съобразно точка (g) на член 72 на Регламент (ЕС) № 1303/2013.</w:t>
            </w:r>
          </w:p>
          <w:p w:rsidR="00A85EB3" w:rsidRDefault="00B07D03">
            <w:pPr>
              <w:suppressAutoHyphens/>
              <w:autoSpaceDN w:val="0"/>
              <w:spacing w:line="276" w:lineRule="auto"/>
              <w:jc w:val="left"/>
              <w:textAlignment w:val="baseline"/>
              <w:rPr>
                <w:rFonts w:eastAsia="Times New Roman"/>
                <w:b/>
                <w:szCs w:val="24"/>
                <w:u w:val="single"/>
                <w:lang w:val="en-US"/>
              </w:rPr>
            </w:pPr>
            <w:r>
              <w:rPr>
                <w:rFonts w:eastAsia="Times New Roman"/>
                <w:b/>
                <w:szCs w:val="24"/>
                <w:u w:val="single"/>
              </w:rPr>
              <w:t xml:space="preserve">Сертифициращ орган </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 xml:space="preserve">С </w:t>
            </w:r>
            <w:r w:rsidR="00F07AFF">
              <w:rPr>
                <w:rFonts w:eastAsia="Times New Roman"/>
                <w:szCs w:val="24"/>
              </w:rPr>
              <w:t>Р</w:t>
            </w:r>
            <w:r>
              <w:rPr>
                <w:rFonts w:eastAsia="Times New Roman"/>
                <w:szCs w:val="24"/>
              </w:rPr>
              <w:t>ешение на Министерския съвет</w:t>
            </w:r>
            <w:r w:rsidR="00F07AFF">
              <w:rPr>
                <w:rFonts w:eastAsia="Times New Roman"/>
                <w:szCs w:val="24"/>
              </w:rPr>
              <w:t>,</w:t>
            </w:r>
            <w:r>
              <w:rPr>
                <w:rFonts w:eastAsia="Times New Roman"/>
                <w:szCs w:val="24"/>
              </w:rPr>
              <w:t xml:space="preserve"> Дирекция „Национален фонд“ към Министерството на финансите на Република България е определена като Сертифициращ орган, отговарящ за получаване на средства от Европейската комисия по програмите за ТГС по ИПП по външните граници на ЕС за периода 2014–2020 г. Съгласно член 126 от Регламент (ЕС) № 1303/2013, Сертифициращият орган отговаря за:</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изготвянето и изпращането до Комисията на заявления за плащане и удостоверяването, че те са продукт на надеждни счетоводни системи, основават се на </w:t>
            </w:r>
            <w:proofErr w:type="spellStart"/>
            <w:r>
              <w:rPr>
                <w:rFonts w:eastAsia="Times New Roman"/>
                <w:szCs w:val="24"/>
              </w:rPr>
              <w:t>проверими</w:t>
            </w:r>
            <w:proofErr w:type="spellEnd"/>
            <w:r>
              <w:rPr>
                <w:rFonts w:eastAsia="Times New Roman"/>
                <w:szCs w:val="24"/>
              </w:rPr>
              <w:t xml:space="preserve"> </w:t>
            </w:r>
            <w:proofErr w:type="spellStart"/>
            <w:r>
              <w:rPr>
                <w:rFonts w:eastAsia="Times New Roman"/>
                <w:szCs w:val="24"/>
              </w:rPr>
              <w:t>разходооправдателни</w:t>
            </w:r>
            <w:proofErr w:type="spellEnd"/>
            <w:r>
              <w:rPr>
                <w:rFonts w:eastAsia="Times New Roman"/>
                <w:szCs w:val="24"/>
              </w:rPr>
              <w:t xml:space="preserve"> документи и са били подложени на проверки от УО; </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съставянето на отчетите, посочени в член 59, параграф 5, буква а) от Финансовия регламент; </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удостоверяването на пълнотата, точността и достоверността на отчетите, както и че разходите, вписани в счетоводните отчети, са в съответствие с приложимото право и са били направени във връзка с операциите, избрани за финансиране в съответствие с критериите, приложими за оперативната програма, и са в съответствие с приложимото право; </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осигуряване на наличието на система за записване и съхранение в компютризирана форма на счетоводните записи за всяка операция, която съхранява всички данни, необходими за изготвянето на заявленията за плащане и отчетите, включително записи на сумите, подлежащи на събиране, на събраните суми и на оттеглените суми в резултат на отмяната на целия или на част от </w:t>
            </w:r>
            <w:r w:rsidR="00F07AFF">
              <w:rPr>
                <w:rFonts w:eastAsia="Times New Roman"/>
                <w:szCs w:val="24"/>
              </w:rPr>
              <w:t>приноса за дадена операция или на</w:t>
            </w:r>
            <w:r>
              <w:rPr>
                <w:rFonts w:eastAsia="Times New Roman"/>
                <w:szCs w:val="24"/>
              </w:rPr>
              <w:t xml:space="preserve"> програма</w:t>
            </w:r>
            <w:r w:rsidR="00F07AFF">
              <w:rPr>
                <w:rFonts w:eastAsia="Times New Roman"/>
                <w:szCs w:val="24"/>
              </w:rPr>
              <w:t>та</w:t>
            </w:r>
            <w:r>
              <w:rPr>
                <w:rFonts w:eastAsia="Times New Roman"/>
                <w:szCs w:val="24"/>
              </w:rPr>
              <w:t>;</w:t>
            </w:r>
          </w:p>
          <w:p w:rsidR="00A85EB3" w:rsidRPr="00F07AFF" w:rsidRDefault="00B07D03">
            <w:pPr>
              <w:numPr>
                <w:ilvl w:val="0"/>
                <w:numId w:val="58"/>
              </w:numPr>
              <w:autoSpaceDE w:val="0"/>
              <w:autoSpaceDN w:val="0"/>
              <w:adjustRightInd w:val="0"/>
              <w:spacing w:line="276" w:lineRule="auto"/>
              <w:rPr>
                <w:rFonts w:eastAsia="Times New Roman"/>
                <w:szCs w:val="24"/>
                <w:highlight w:val="yellow"/>
                <w:lang w:val="en-US"/>
              </w:rPr>
            </w:pPr>
            <w:r w:rsidRPr="00F07AFF">
              <w:rPr>
                <w:rFonts w:eastAsia="Times New Roman"/>
                <w:szCs w:val="24"/>
                <w:highlight w:val="yellow"/>
              </w:rPr>
              <w:t>осигуряване — за целите на изготвянето и представянето на заявления за плащане — че е получил адекватна информация от УО относно процедурите и проверките, провеждани по отношение на разходите;</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отчитане — при изготвянето и подаването на заявления за плащане — на резултатите от всички одити, извършени от или на отговорността на </w:t>
            </w:r>
            <w:proofErr w:type="spellStart"/>
            <w:r>
              <w:rPr>
                <w:rFonts w:eastAsia="Times New Roman"/>
                <w:szCs w:val="24"/>
              </w:rPr>
              <w:t>одитния</w:t>
            </w:r>
            <w:proofErr w:type="spellEnd"/>
            <w:r>
              <w:rPr>
                <w:rFonts w:eastAsia="Times New Roman"/>
                <w:szCs w:val="24"/>
              </w:rPr>
              <w:t xml:space="preserve"> орган;</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lastRenderedPageBreak/>
              <w:t>поддържане на счетоводни записи в компютризирана форма на декларираните пред Комисията разходи и съответното публично финансиране, заплатено на бенефициентите;</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водене на счетоводство на сумите, подлежащи на събиране, и на сумите, оттеглени в резултат на отмяната на целия или на част от приноса за дадена операция. Събраните суми се внасят повторно в бюджета на Съюза преди приключването на оперативната програма, като се приспадат от следващия отчет за разходите.</w:t>
            </w:r>
          </w:p>
          <w:p w:rsidR="00A85EB3" w:rsidRDefault="00B07D03">
            <w:pPr>
              <w:suppressAutoHyphens/>
              <w:autoSpaceDN w:val="0"/>
              <w:spacing w:line="276" w:lineRule="auto"/>
              <w:jc w:val="left"/>
              <w:textAlignment w:val="baseline"/>
              <w:rPr>
                <w:rFonts w:eastAsia="Times New Roman"/>
                <w:b/>
                <w:szCs w:val="24"/>
                <w:u w:val="single"/>
                <w:lang w:val="en-US"/>
              </w:rPr>
            </w:pPr>
            <w:proofErr w:type="spellStart"/>
            <w:r>
              <w:rPr>
                <w:rFonts w:eastAsia="Times New Roman"/>
                <w:b/>
                <w:szCs w:val="24"/>
                <w:u w:val="single"/>
              </w:rPr>
              <w:t>Одитен</w:t>
            </w:r>
            <w:proofErr w:type="spellEnd"/>
            <w:r>
              <w:rPr>
                <w:rFonts w:eastAsia="Times New Roman"/>
                <w:b/>
                <w:szCs w:val="24"/>
                <w:u w:val="single"/>
              </w:rPr>
              <w:t xml:space="preserve"> орган</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Изпълнителна агенция „Одит на средствата от Е</w:t>
            </w:r>
            <w:r w:rsidR="007C4269">
              <w:rPr>
                <w:rFonts w:eastAsia="Times New Roman"/>
                <w:szCs w:val="24"/>
              </w:rPr>
              <w:t xml:space="preserve">вропейския </w:t>
            </w:r>
            <w:r>
              <w:rPr>
                <w:rFonts w:eastAsia="Times New Roman"/>
                <w:szCs w:val="24"/>
              </w:rPr>
              <w:t>С</w:t>
            </w:r>
            <w:r w:rsidR="007C4269">
              <w:rPr>
                <w:rFonts w:eastAsia="Times New Roman"/>
                <w:szCs w:val="24"/>
              </w:rPr>
              <w:t>ъюз</w:t>
            </w:r>
            <w:r>
              <w:rPr>
                <w:rFonts w:eastAsia="Times New Roman"/>
                <w:szCs w:val="24"/>
              </w:rPr>
              <w:t xml:space="preserve">“ към министъра на финансите на Република България е определена за </w:t>
            </w:r>
            <w:proofErr w:type="spellStart"/>
            <w:r>
              <w:rPr>
                <w:rFonts w:eastAsia="Times New Roman"/>
                <w:szCs w:val="24"/>
              </w:rPr>
              <w:t>Одитен</w:t>
            </w:r>
            <w:proofErr w:type="spellEnd"/>
            <w:r>
              <w:rPr>
                <w:rFonts w:eastAsia="Times New Roman"/>
                <w:szCs w:val="24"/>
              </w:rPr>
              <w:t xml:space="preserve"> орган.</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 xml:space="preserve">Съгласно член 127 на </w:t>
            </w:r>
            <w:r w:rsidR="00866BB8" w:rsidRPr="00866BB8">
              <w:rPr>
                <w:rFonts w:eastAsia="Times New Roman"/>
                <w:szCs w:val="24"/>
              </w:rPr>
              <w:t>Регламент (ЕС) №</w:t>
            </w:r>
            <w:r w:rsidR="00866BB8">
              <w:rPr>
                <w:rFonts w:eastAsia="Times New Roman"/>
                <w:szCs w:val="24"/>
              </w:rPr>
              <w:t>1303/2013</w:t>
            </w:r>
            <w:r>
              <w:rPr>
                <w:rFonts w:eastAsia="Times New Roman"/>
                <w:szCs w:val="24"/>
              </w:rPr>
              <w:t xml:space="preserve">, </w:t>
            </w:r>
            <w:proofErr w:type="spellStart"/>
            <w:r>
              <w:rPr>
                <w:rFonts w:eastAsia="Times New Roman"/>
                <w:szCs w:val="24"/>
              </w:rPr>
              <w:t>Одитният</w:t>
            </w:r>
            <w:proofErr w:type="spellEnd"/>
            <w:r>
              <w:rPr>
                <w:rFonts w:eastAsia="Times New Roman"/>
                <w:szCs w:val="24"/>
              </w:rPr>
              <w:t xml:space="preserve"> орган осигурява извършването на одити на правилното функциониране на системите за управление и контрол на Програмата, както и на подходяща извадка от операции въз основа на декларираните разходи. Декларираните разходи се</w:t>
            </w:r>
            <w:r w:rsidR="008C1221">
              <w:rPr>
                <w:rFonts w:eastAsia="Times New Roman"/>
                <w:szCs w:val="24"/>
              </w:rPr>
              <w:t xml:space="preserve"> </w:t>
            </w:r>
            <w:proofErr w:type="spellStart"/>
            <w:r w:rsidR="008C1221">
              <w:rPr>
                <w:rFonts w:eastAsia="Times New Roman"/>
                <w:szCs w:val="24"/>
              </w:rPr>
              <w:t>одитират</w:t>
            </w:r>
            <w:proofErr w:type="spellEnd"/>
            <w:r w:rsidR="008C1221">
              <w:rPr>
                <w:rFonts w:eastAsia="Times New Roman"/>
                <w:szCs w:val="24"/>
              </w:rPr>
              <w:t xml:space="preserve"> въз основа на предста</w:t>
            </w:r>
            <w:r>
              <w:rPr>
                <w:rFonts w:eastAsia="Times New Roman"/>
                <w:szCs w:val="24"/>
              </w:rPr>
              <w:t xml:space="preserve">вителна извадка и по принцип въз основа на статистически </w:t>
            </w:r>
            <w:proofErr w:type="spellStart"/>
            <w:r>
              <w:rPr>
                <w:rFonts w:eastAsia="Times New Roman"/>
                <w:szCs w:val="24"/>
              </w:rPr>
              <w:t>извадкови</w:t>
            </w:r>
            <w:proofErr w:type="spellEnd"/>
            <w:r>
              <w:rPr>
                <w:rFonts w:eastAsia="Times New Roman"/>
                <w:szCs w:val="24"/>
              </w:rPr>
              <w:t xml:space="preserve"> методи.</w:t>
            </w:r>
          </w:p>
          <w:p w:rsidR="00A85EB3" w:rsidRDefault="00B07D03">
            <w:pPr>
              <w:autoSpaceDE w:val="0"/>
              <w:autoSpaceDN w:val="0"/>
              <w:adjustRightInd w:val="0"/>
              <w:spacing w:line="276" w:lineRule="auto"/>
              <w:rPr>
                <w:rFonts w:eastAsia="Times New Roman"/>
                <w:szCs w:val="24"/>
                <w:lang w:val="en-US"/>
              </w:rPr>
            </w:pPr>
            <w:proofErr w:type="spellStart"/>
            <w:r>
              <w:rPr>
                <w:rFonts w:eastAsia="Times New Roman"/>
                <w:szCs w:val="24"/>
              </w:rPr>
              <w:t>Одитният</w:t>
            </w:r>
            <w:proofErr w:type="spellEnd"/>
            <w:r>
              <w:rPr>
                <w:rFonts w:eastAsia="Times New Roman"/>
                <w:szCs w:val="24"/>
              </w:rPr>
              <w:t xml:space="preserve"> орган отговаря също за:</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гарантирането, че при </w:t>
            </w:r>
            <w:proofErr w:type="spellStart"/>
            <w:r>
              <w:rPr>
                <w:rFonts w:eastAsia="Times New Roman"/>
                <w:szCs w:val="24"/>
              </w:rPr>
              <w:t>одитната</w:t>
            </w:r>
            <w:proofErr w:type="spellEnd"/>
            <w:r>
              <w:rPr>
                <w:rFonts w:eastAsia="Times New Roman"/>
                <w:szCs w:val="24"/>
              </w:rPr>
              <w:t xml:space="preserve"> дейност се вземат предвид международно приетите стандарти за одит;</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изготвянето на </w:t>
            </w:r>
            <w:proofErr w:type="spellStart"/>
            <w:r>
              <w:rPr>
                <w:rFonts w:eastAsia="Times New Roman"/>
                <w:szCs w:val="24"/>
              </w:rPr>
              <w:t>одитна</w:t>
            </w:r>
            <w:proofErr w:type="spellEnd"/>
            <w:r>
              <w:rPr>
                <w:rFonts w:eastAsia="Times New Roman"/>
                <w:szCs w:val="24"/>
              </w:rPr>
              <w:t xml:space="preserve"> стратегия за извършването на одити в срок от осем месеца след приемането на оперативната програма.  </w:t>
            </w:r>
            <w:proofErr w:type="spellStart"/>
            <w:r>
              <w:rPr>
                <w:rFonts w:eastAsia="Times New Roman"/>
                <w:szCs w:val="24"/>
              </w:rPr>
              <w:t>Одитната</w:t>
            </w:r>
            <w:proofErr w:type="spellEnd"/>
            <w:r>
              <w:rPr>
                <w:rFonts w:eastAsia="Times New Roman"/>
                <w:szCs w:val="24"/>
              </w:rPr>
              <w:t xml:space="preserve"> стратегия определя </w:t>
            </w:r>
            <w:proofErr w:type="spellStart"/>
            <w:r>
              <w:rPr>
                <w:rFonts w:eastAsia="Times New Roman"/>
                <w:szCs w:val="24"/>
              </w:rPr>
              <w:t>одитната</w:t>
            </w:r>
            <w:proofErr w:type="spellEnd"/>
            <w:r>
              <w:rPr>
                <w:rFonts w:eastAsia="Times New Roman"/>
                <w:szCs w:val="24"/>
              </w:rPr>
              <w:t xml:space="preserve"> методология, метода за формиране на </w:t>
            </w:r>
            <w:proofErr w:type="spellStart"/>
            <w:r>
              <w:rPr>
                <w:rFonts w:eastAsia="Times New Roman"/>
                <w:szCs w:val="24"/>
              </w:rPr>
              <w:t>одитните</w:t>
            </w:r>
            <w:proofErr w:type="spellEnd"/>
            <w:r>
              <w:rPr>
                <w:rFonts w:eastAsia="Times New Roman"/>
                <w:szCs w:val="24"/>
              </w:rPr>
              <w:t xml:space="preserve"> извадки по операциите и планирането на одитите по отношение на текущата отчетна година и двете следващи отчетни години. </w:t>
            </w:r>
            <w:proofErr w:type="spellStart"/>
            <w:r>
              <w:rPr>
                <w:rFonts w:eastAsia="Times New Roman"/>
                <w:szCs w:val="24"/>
              </w:rPr>
              <w:t>Одитната</w:t>
            </w:r>
            <w:proofErr w:type="spellEnd"/>
            <w:r>
              <w:rPr>
                <w:rFonts w:eastAsia="Times New Roman"/>
                <w:szCs w:val="24"/>
              </w:rPr>
              <w:t xml:space="preserve"> стратегия се актуализира ежегодно от 2016 г. до 2024 г. включително. </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 xml:space="preserve">Освен това </w:t>
            </w:r>
            <w:proofErr w:type="spellStart"/>
            <w:r>
              <w:rPr>
                <w:rFonts w:eastAsia="Times New Roman"/>
                <w:szCs w:val="24"/>
              </w:rPr>
              <w:t>Одитният</w:t>
            </w:r>
            <w:proofErr w:type="spellEnd"/>
            <w:r>
              <w:rPr>
                <w:rFonts w:eastAsia="Times New Roman"/>
                <w:szCs w:val="24"/>
              </w:rPr>
              <w:t xml:space="preserve"> орган изготвя:</w:t>
            </w:r>
          </w:p>
          <w:p w:rsidR="00A85EB3" w:rsidRDefault="00B07D03">
            <w:pPr>
              <w:numPr>
                <w:ilvl w:val="0"/>
                <w:numId w:val="58"/>
              </w:numPr>
              <w:autoSpaceDE w:val="0"/>
              <w:autoSpaceDN w:val="0"/>
              <w:adjustRightInd w:val="0"/>
              <w:spacing w:line="276" w:lineRule="auto"/>
              <w:rPr>
                <w:rFonts w:eastAsia="Times New Roman"/>
                <w:szCs w:val="24"/>
                <w:lang w:val="en-US"/>
              </w:rPr>
            </w:pPr>
            <w:proofErr w:type="spellStart"/>
            <w:r>
              <w:rPr>
                <w:rFonts w:eastAsia="Times New Roman"/>
                <w:szCs w:val="24"/>
              </w:rPr>
              <w:t>одитно</w:t>
            </w:r>
            <w:proofErr w:type="spellEnd"/>
            <w:r>
              <w:rPr>
                <w:rFonts w:eastAsia="Times New Roman"/>
                <w:szCs w:val="24"/>
              </w:rPr>
              <w:t xml:space="preserve"> становище в съответствие с член 59, параграф 5, втора алинея от Финансовия регламент № 966/2012; </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годишен контролен доклад, в който са посочени основните констатации от одитите, извършени в съответствие с член 127</w:t>
            </w:r>
            <w:r w:rsidR="00083BDB">
              <w:rPr>
                <w:rFonts w:eastAsia="Times New Roman"/>
                <w:szCs w:val="24"/>
              </w:rPr>
              <w:t>(1)</w:t>
            </w:r>
            <w:r>
              <w:rPr>
                <w:rFonts w:eastAsia="Times New Roman"/>
                <w:szCs w:val="24"/>
              </w:rPr>
              <w:t xml:space="preserve"> от Регламент (ЕС) № 1303/2013, включително констатациите във връзка с уста­новени недостатъци в системите за управление и контрол, и предложените и предприетите </w:t>
            </w:r>
            <w:proofErr w:type="spellStart"/>
            <w:r>
              <w:rPr>
                <w:rFonts w:eastAsia="Times New Roman"/>
                <w:szCs w:val="24"/>
              </w:rPr>
              <w:t>корективни</w:t>
            </w:r>
            <w:proofErr w:type="spellEnd"/>
            <w:r>
              <w:rPr>
                <w:rFonts w:eastAsia="Times New Roman"/>
                <w:szCs w:val="24"/>
              </w:rPr>
              <w:t xml:space="preserve"> действия.</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 xml:space="preserve">В края на изпълнението на програмата </w:t>
            </w:r>
            <w:proofErr w:type="spellStart"/>
            <w:r>
              <w:rPr>
                <w:rFonts w:eastAsia="Times New Roman"/>
                <w:szCs w:val="24"/>
              </w:rPr>
              <w:t>Одитният</w:t>
            </w:r>
            <w:proofErr w:type="spellEnd"/>
            <w:r>
              <w:rPr>
                <w:rFonts w:eastAsia="Times New Roman"/>
                <w:szCs w:val="24"/>
              </w:rPr>
              <w:t xml:space="preserve"> орган изготвя окончателен доклад за </w:t>
            </w:r>
            <w:proofErr w:type="spellStart"/>
            <w:r>
              <w:rPr>
                <w:rFonts w:eastAsia="Times New Roman"/>
                <w:szCs w:val="24"/>
              </w:rPr>
              <w:t>одитната</w:t>
            </w:r>
            <w:proofErr w:type="spellEnd"/>
            <w:r>
              <w:rPr>
                <w:rFonts w:eastAsia="Times New Roman"/>
                <w:szCs w:val="24"/>
              </w:rPr>
              <w:t xml:space="preserve"> дейност и изразява </w:t>
            </w:r>
            <w:proofErr w:type="spellStart"/>
            <w:r>
              <w:rPr>
                <w:rFonts w:eastAsia="Times New Roman"/>
                <w:szCs w:val="24"/>
              </w:rPr>
              <w:t>одитно</w:t>
            </w:r>
            <w:proofErr w:type="spellEnd"/>
            <w:r>
              <w:rPr>
                <w:rFonts w:eastAsia="Times New Roman"/>
                <w:szCs w:val="24"/>
              </w:rPr>
              <w:t xml:space="preserve"> становище за окончателния отчет за разходите.</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Съгласно член 52 (d) на Регламента за изпълнение (ЕС) № 447/2</w:t>
            </w:r>
            <w:r w:rsidR="003A6822">
              <w:rPr>
                <w:rFonts w:eastAsia="Times New Roman"/>
                <w:szCs w:val="24"/>
                <w:lang w:val="en-US"/>
              </w:rPr>
              <w:t>0</w:t>
            </w:r>
            <w:r>
              <w:rPr>
                <w:rFonts w:eastAsia="Times New Roman"/>
                <w:szCs w:val="24"/>
              </w:rPr>
              <w:t xml:space="preserve">14 на Комисията </w:t>
            </w:r>
            <w:r>
              <w:rPr>
                <w:rFonts w:eastAsia="Times New Roman"/>
                <w:szCs w:val="24"/>
              </w:rPr>
              <w:lastRenderedPageBreak/>
              <w:t xml:space="preserve">от 2 май 2014 г., </w:t>
            </w:r>
            <w:proofErr w:type="spellStart"/>
            <w:r>
              <w:rPr>
                <w:rFonts w:eastAsia="Times New Roman"/>
                <w:szCs w:val="24"/>
              </w:rPr>
              <w:t>Одитният</w:t>
            </w:r>
            <w:proofErr w:type="spellEnd"/>
            <w:r>
              <w:rPr>
                <w:rFonts w:eastAsia="Times New Roman"/>
                <w:szCs w:val="24"/>
              </w:rPr>
              <w:t xml:space="preserve"> орган се подпомага от Група</w:t>
            </w:r>
            <w:r w:rsidR="009854F6">
              <w:rPr>
                <w:rFonts w:eastAsia="Times New Roman"/>
                <w:szCs w:val="24"/>
              </w:rPr>
              <w:t xml:space="preserve"> на</w:t>
            </w:r>
            <w:r>
              <w:rPr>
                <w:rFonts w:eastAsia="Times New Roman"/>
                <w:szCs w:val="24"/>
              </w:rPr>
              <w:t xml:space="preserve"> </w:t>
            </w:r>
            <w:proofErr w:type="spellStart"/>
            <w:r>
              <w:rPr>
                <w:rFonts w:eastAsia="Times New Roman"/>
                <w:szCs w:val="24"/>
              </w:rPr>
              <w:t>одитори</w:t>
            </w:r>
            <w:r w:rsidR="009854F6">
              <w:rPr>
                <w:rFonts w:eastAsia="Times New Roman"/>
                <w:szCs w:val="24"/>
              </w:rPr>
              <w:t>те</w:t>
            </w:r>
            <w:proofErr w:type="spellEnd"/>
            <w:r>
              <w:rPr>
                <w:rFonts w:eastAsia="Times New Roman"/>
                <w:szCs w:val="24"/>
              </w:rPr>
              <w:t xml:space="preserve">, включваща представители на България и Турция. Групата </w:t>
            </w:r>
            <w:r w:rsidR="009854F6">
              <w:rPr>
                <w:rFonts w:eastAsia="Times New Roman"/>
                <w:szCs w:val="24"/>
              </w:rPr>
              <w:t xml:space="preserve">на </w:t>
            </w:r>
            <w:proofErr w:type="spellStart"/>
            <w:r>
              <w:rPr>
                <w:rFonts w:eastAsia="Times New Roman"/>
                <w:szCs w:val="24"/>
              </w:rPr>
              <w:t>одитори</w:t>
            </w:r>
            <w:r w:rsidR="009854F6">
              <w:rPr>
                <w:rFonts w:eastAsia="Times New Roman"/>
                <w:szCs w:val="24"/>
              </w:rPr>
              <w:t>те</w:t>
            </w:r>
            <w:proofErr w:type="spellEnd"/>
            <w:r>
              <w:rPr>
                <w:rFonts w:eastAsia="Times New Roman"/>
                <w:szCs w:val="24"/>
              </w:rPr>
              <w:t xml:space="preserve"> подпомага ОО при съставянето и осъществяването на </w:t>
            </w:r>
            <w:proofErr w:type="spellStart"/>
            <w:r>
              <w:rPr>
                <w:rFonts w:eastAsia="Times New Roman"/>
                <w:szCs w:val="24"/>
              </w:rPr>
              <w:t>одитната</w:t>
            </w:r>
            <w:proofErr w:type="spellEnd"/>
            <w:r>
              <w:rPr>
                <w:rFonts w:eastAsia="Times New Roman"/>
                <w:szCs w:val="24"/>
              </w:rPr>
              <w:t xml:space="preserve"> стратегия. </w:t>
            </w:r>
            <w:proofErr w:type="spellStart"/>
            <w:r>
              <w:rPr>
                <w:rFonts w:eastAsia="Times New Roman"/>
                <w:szCs w:val="24"/>
              </w:rPr>
              <w:t>Одитната</w:t>
            </w:r>
            <w:proofErr w:type="spellEnd"/>
            <w:r>
              <w:rPr>
                <w:rFonts w:eastAsia="Times New Roman"/>
                <w:szCs w:val="24"/>
              </w:rPr>
              <w:t xml:space="preserve"> стратегия също така посочва какви мерки са приложени от ОО и Групата</w:t>
            </w:r>
            <w:r w:rsidR="009854F6">
              <w:rPr>
                <w:rFonts w:eastAsia="Times New Roman"/>
                <w:szCs w:val="24"/>
              </w:rPr>
              <w:t xml:space="preserve"> на</w:t>
            </w:r>
            <w:r>
              <w:rPr>
                <w:rFonts w:eastAsia="Times New Roman"/>
                <w:szCs w:val="24"/>
              </w:rPr>
              <w:t xml:space="preserve"> </w:t>
            </w:r>
            <w:proofErr w:type="spellStart"/>
            <w:r>
              <w:rPr>
                <w:rFonts w:eastAsia="Times New Roman"/>
                <w:szCs w:val="24"/>
              </w:rPr>
              <w:t>одитори</w:t>
            </w:r>
            <w:r w:rsidR="009854F6">
              <w:rPr>
                <w:rFonts w:eastAsia="Times New Roman"/>
                <w:szCs w:val="24"/>
              </w:rPr>
              <w:t>те</w:t>
            </w:r>
            <w:proofErr w:type="spellEnd"/>
            <w:r>
              <w:rPr>
                <w:rFonts w:eastAsia="Times New Roman"/>
                <w:szCs w:val="24"/>
              </w:rPr>
              <w:t xml:space="preserve">, за да се осигури прилагането от всички членове на Групата на </w:t>
            </w:r>
            <w:proofErr w:type="spellStart"/>
            <w:r>
              <w:rPr>
                <w:rFonts w:eastAsia="Times New Roman"/>
                <w:szCs w:val="24"/>
              </w:rPr>
              <w:t>одиторите</w:t>
            </w:r>
            <w:proofErr w:type="spellEnd"/>
            <w:r>
              <w:rPr>
                <w:rFonts w:eastAsia="Times New Roman"/>
                <w:szCs w:val="24"/>
              </w:rPr>
              <w:t xml:space="preserve"> на единна </w:t>
            </w:r>
            <w:proofErr w:type="spellStart"/>
            <w:r>
              <w:rPr>
                <w:rFonts w:eastAsia="Times New Roman"/>
                <w:szCs w:val="24"/>
              </w:rPr>
              <w:t>одитна</w:t>
            </w:r>
            <w:proofErr w:type="spellEnd"/>
            <w:r>
              <w:rPr>
                <w:rFonts w:eastAsia="Times New Roman"/>
                <w:szCs w:val="24"/>
              </w:rPr>
              <w:t xml:space="preserve"> методология в съответствие с международно признатите </w:t>
            </w:r>
            <w:proofErr w:type="spellStart"/>
            <w:r>
              <w:rPr>
                <w:rFonts w:eastAsia="Times New Roman"/>
                <w:szCs w:val="24"/>
              </w:rPr>
              <w:t>одитни</w:t>
            </w:r>
            <w:proofErr w:type="spellEnd"/>
            <w:r>
              <w:rPr>
                <w:rFonts w:eastAsia="Times New Roman"/>
                <w:szCs w:val="24"/>
              </w:rPr>
              <w:t xml:space="preserve"> стандарти.</w:t>
            </w:r>
          </w:p>
          <w:p w:rsidR="00A85EB3" w:rsidRDefault="00B07D03">
            <w:pPr>
              <w:suppressAutoHyphens/>
              <w:autoSpaceDN w:val="0"/>
              <w:spacing w:line="276" w:lineRule="auto"/>
              <w:jc w:val="left"/>
              <w:textAlignment w:val="baseline"/>
              <w:rPr>
                <w:rFonts w:eastAsia="Times New Roman"/>
                <w:b/>
                <w:szCs w:val="24"/>
                <w:u w:val="single"/>
                <w:lang w:val="en-US"/>
              </w:rPr>
            </w:pPr>
            <w:r>
              <w:rPr>
                <w:rFonts w:eastAsia="Times New Roman"/>
                <w:b/>
                <w:szCs w:val="24"/>
                <w:u w:val="single"/>
              </w:rPr>
              <w:t xml:space="preserve">Съвместен секретариат </w:t>
            </w:r>
          </w:p>
          <w:p w:rsidR="00A85EB3" w:rsidRDefault="00B07D03">
            <w:pPr>
              <w:spacing w:line="276" w:lineRule="auto"/>
              <w:rPr>
                <w:rFonts w:eastAsia="Times New Roman"/>
                <w:bCs/>
                <w:szCs w:val="24"/>
                <w:lang w:val="en-US"/>
              </w:rPr>
            </w:pPr>
            <w:r>
              <w:rPr>
                <w:rFonts w:eastAsia="Times New Roman"/>
                <w:bCs/>
                <w:szCs w:val="24"/>
              </w:rPr>
              <w:t>С</w:t>
            </w:r>
            <w:r w:rsidR="009854F6">
              <w:rPr>
                <w:rFonts w:eastAsia="Times New Roman"/>
                <w:bCs/>
                <w:szCs w:val="24"/>
              </w:rPr>
              <w:t>ъвместният секретариат</w:t>
            </w:r>
            <w:r>
              <w:rPr>
                <w:rFonts w:eastAsia="Times New Roman"/>
                <w:bCs/>
                <w:szCs w:val="24"/>
              </w:rPr>
              <w:t xml:space="preserve"> е обща структура, която гарантира безпристрастността на изпълнен</w:t>
            </w:r>
            <w:r w:rsidR="009854F6">
              <w:rPr>
                <w:rFonts w:eastAsia="Times New Roman"/>
                <w:bCs/>
                <w:szCs w:val="24"/>
              </w:rPr>
              <w:t>ието на програмата. СС има двойна</w:t>
            </w:r>
            <w:r>
              <w:rPr>
                <w:rFonts w:eastAsia="Times New Roman"/>
                <w:bCs/>
                <w:szCs w:val="24"/>
              </w:rPr>
              <w:t xml:space="preserve"> функция (съгласно член 23(2) на Регламента за ЕТС): да подпомага УО и СКН при изпълнение на съответните им функции и да предоставя съответна информация за програмата на потенциални бенефициенти. Задачите на съвместния секретариат са следните: </w:t>
            </w:r>
          </w:p>
          <w:p w:rsidR="00A85EB3" w:rsidRDefault="00B07D03">
            <w:pPr>
              <w:spacing w:line="276" w:lineRule="auto"/>
              <w:rPr>
                <w:rFonts w:eastAsia="Times New Roman"/>
                <w:b/>
                <w:bCs/>
                <w:i/>
                <w:szCs w:val="24"/>
                <w:lang w:val="en-US"/>
              </w:rPr>
            </w:pPr>
            <w:r>
              <w:rPr>
                <w:rFonts w:eastAsia="Times New Roman"/>
                <w:b/>
                <w:bCs/>
                <w:i/>
                <w:szCs w:val="24"/>
              </w:rPr>
              <w:t>Общи задачи:</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Управление, съгласувано с УО, на изпълнението на оперативната програма, подготовка на необходимите материали за изпълнението на оперативната програма/проектите; извършване на посещения на място; предлагане на помощ на партньорите по проектите относно изпълнението на дейностите и финансовото управление;  </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Сътрудничество с бенефициентите/потенциалните бенефициенти за събиране на необходимите данни и информация за процеса на актуализиране на програмните документи, изготвянето на доклади и други документи, които са необходими за наблюдение на напредъка на програмата;</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Събиране и обработка на информацията, получена от бенефициентите;</w:t>
            </w:r>
          </w:p>
          <w:p w:rsidR="00A85EB3" w:rsidRDefault="00B07D03">
            <w:pPr>
              <w:spacing w:line="276" w:lineRule="auto"/>
              <w:rPr>
                <w:rFonts w:eastAsia="Times New Roman"/>
                <w:b/>
                <w:bCs/>
                <w:i/>
                <w:szCs w:val="24"/>
                <w:lang w:val="en-US"/>
              </w:rPr>
            </w:pPr>
            <w:r>
              <w:rPr>
                <w:rFonts w:eastAsia="Times New Roman"/>
                <w:b/>
                <w:bCs/>
                <w:i/>
                <w:szCs w:val="24"/>
              </w:rPr>
              <w:t xml:space="preserve">Административни задачи: </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Принос за процедурния наръчника по програмата (одобрен от УО);</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Осигуряване на надлежно обучение на персонала</w:t>
            </w:r>
            <w:r w:rsidR="0094366C">
              <w:rPr>
                <w:rFonts w:eastAsia="Times New Roman"/>
                <w:szCs w:val="24"/>
              </w:rPr>
              <w:t>,</w:t>
            </w:r>
            <w:r>
              <w:rPr>
                <w:rFonts w:eastAsia="Times New Roman"/>
                <w:szCs w:val="24"/>
              </w:rPr>
              <w:t xml:space="preserve"> с цел осигуряване на правилно изпълнение на програмата;</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Изпълняване на задачата на секретариат на СКН;</w:t>
            </w:r>
          </w:p>
          <w:p w:rsidR="00A85EB3" w:rsidRDefault="0094366C">
            <w:pPr>
              <w:numPr>
                <w:ilvl w:val="0"/>
                <w:numId w:val="58"/>
              </w:numPr>
              <w:autoSpaceDE w:val="0"/>
              <w:autoSpaceDN w:val="0"/>
              <w:adjustRightInd w:val="0"/>
              <w:spacing w:line="276" w:lineRule="auto"/>
              <w:rPr>
                <w:rFonts w:eastAsia="Times New Roman"/>
                <w:szCs w:val="24"/>
                <w:lang w:val="en-US"/>
              </w:rPr>
            </w:pPr>
            <w:r>
              <w:rPr>
                <w:rFonts w:eastAsia="Times New Roman"/>
                <w:szCs w:val="24"/>
              </w:rPr>
              <w:t>Изпълняване функциите</w:t>
            </w:r>
            <w:r w:rsidR="00B07D03">
              <w:rPr>
                <w:rFonts w:eastAsia="Times New Roman"/>
                <w:szCs w:val="24"/>
              </w:rPr>
              <w:t xml:space="preserve"> на секретариат </w:t>
            </w:r>
            <w:r>
              <w:rPr>
                <w:rFonts w:eastAsia="Times New Roman"/>
                <w:szCs w:val="24"/>
              </w:rPr>
              <w:t>з</w:t>
            </w:r>
            <w:r w:rsidR="00B07D03">
              <w:rPr>
                <w:rFonts w:eastAsia="Times New Roman"/>
                <w:szCs w:val="24"/>
              </w:rPr>
              <w:t>а всеки друг комитет, създаден в рамките на програмата;</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Организиране, съгласувано с УО и съвместно с него, на всякакви други заседания, срещи, семинари, конференции и др., свързани с изпълнението на програмата;</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Изпълнение в срок на всякакви други указания на УО относно изпълнението на програмата, указания, които стават задължителни от датата на тяхното съобщаване в писмен вид;</w:t>
            </w:r>
          </w:p>
          <w:p w:rsidR="00A85EB3" w:rsidRDefault="0094366C">
            <w:pPr>
              <w:spacing w:line="276" w:lineRule="auto"/>
              <w:rPr>
                <w:rFonts w:eastAsia="Times New Roman"/>
                <w:b/>
                <w:bCs/>
                <w:i/>
                <w:szCs w:val="24"/>
                <w:lang w:val="en-US"/>
              </w:rPr>
            </w:pPr>
            <w:proofErr w:type="spellStart"/>
            <w:r>
              <w:rPr>
                <w:rFonts w:eastAsia="Times New Roman"/>
                <w:b/>
                <w:bCs/>
                <w:i/>
                <w:szCs w:val="24"/>
              </w:rPr>
              <w:lastRenderedPageBreak/>
              <w:t>Обяваване</w:t>
            </w:r>
            <w:proofErr w:type="spellEnd"/>
            <w:r w:rsidR="00B07D03">
              <w:rPr>
                <w:rFonts w:eastAsia="Times New Roman"/>
                <w:b/>
                <w:bCs/>
                <w:i/>
                <w:szCs w:val="24"/>
              </w:rPr>
              <w:t xml:space="preserve"> на покана за </w:t>
            </w:r>
            <w:r>
              <w:rPr>
                <w:rFonts w:eastAsia="Times New Roman"/>
                <w:b/>
                <w:bCs/>
                <w:i/>
                <w:szCs w:val="24"/>
              </w:rPr>
              <w:t xml:space="preserve">набиране на проектни </w:t>
            </w:r>
            <w:r w:rsidR="00B07D03">
              <w:rPr>
                <w:rFonts w:eastAsia="Times New Roman"/>
                <w:b/>
                <w:bCs/>
                <w:i/>
                <w:szCs w:val="24"/>
              </w:rPr>
              <w:t>предложения, оценяване и подбор на дейностите;</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Участие, съгласувано с УО, в разработването на критериите за допустимост и оценка на проектите, в разработването на </w:t>
            </w:r>
            <w:r w:rsidR="0094366C">
              <w:rPr>
                <w:rFonts w:eastAsia="Times New Roman"/>
                <w:szCs w:val="24"/>
              </w:rPr>
              <w:t>Насоки за кандидатстване</w:t>
            </w:r>
            <w:r>
              <w:rPr>
                <w:rFonts w:eastAsia="Times New Roman"/>
                <w:szCs w:val="24"/>
              </w:rPr>
              <w:t>, както и в изготвян</w:t>
            </w:r>
            <w:r w:rsidR="0094366C">
              <w:rPr>
                <w:rFonts w:eastAsia="Times New Roman"/>
                <w:szCs w:val="24"/>
              </w:rPr>
              <w:t>ето на календар на поканите за набиране</w:t>
            </w:r>
            <w:r>
              <w:rPr>
                <w:rFonts w:eastAsia="Times New Roman"/>
                <w:szCs w:val="24"/>
              </w:rPr>
              <w:t xml:space="preserve"> на</w:t>
            </w:r>
            <w:r w:rsidR="0094366C">
              <w:rPr>
                <w:rFonts w:eastAsia="Times New Roman"/>
                <w:szCs w:val="24"/>
              </w:rPr>
              <w:t xml:space="preserve"> проектни</w:t>
            </w:r>
            <w:r>
              <w:rPr>
                <w:rFonts w:eastAsia="Times New Roman"/>
                <w:szCs w:val="24"/>
              </w:rPr>
              <w:t xml:space="preserve"> предложения;</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Подпомагане на подготовката и разработването на проектите;</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Организиране на мероприятия, свързани с пускането на поканите за </w:t>
            </w:r>
            <w:r w:rsidR="00B64B2E">
              <w:rPr>
                <w:rFonts w:eastAsia="Times New Roman"/>
                <w:szCs w:val="24"/>
              </w:rPr>
              <w:t>набиране на проектни п</w:t>
            </w:r>
            <w:r>
              <w:rPr>
                <w:rFonts w:eastAsia="Times New Roman"/>
                <w:szCs w:val="24"/>
              </w:rPr>
              <w:t xml:space="preserve">редложения в допустимата област на програмата; осигуряване на публичност на поканите за </w:t>
            </w:r>
            <w:r w:rsidR="005B4B17">
              <w:rPr>
                <w:rFonts w:eastAsia="Times New Roman"/>
                <w:szCs w:val="24"/>
              </w:rPr>
              <w:t xml:space="preserve">набиране на проектни </w:t>
            </w:r>
            <w:r>
              <w:rPr>
                <w:rFonts w:eastAsia="Times New Roman"/>
                <w:szCs w:val="24"/>
              </w:rPr>
              <w:t>предложения; стимулиране на партньорства в допустимата област;</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Управление на представянето на формуляри за кандидатстване; участие в изготвянето на съответните образци за оценка; </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Участие в процеса на оценка; осигуряване уведомяването на бенефициентите за резултатите от процеса на оценка и подбор;</w:t>
            </w:r>
          </w:p>
          <w:p w:rsidR="00A85EB3" w:rsidRDefault="00B07D03">
            <w:pPr>
              <w:spacing w:line="276" w:lineRule="auto"/>
              <w:rPr>
                <w:rFonts w:eastAsia="Times New Roman"/>
                <w:b/>
                <w:bCs/>
                <w:i/>
                <w:szCs w:val="24"/>
                <w:lang w:val="en-US"/>
              </w:rPr>
            </w:pPr>
            <w:r>
              <w:rPr>
                <w:rFonts w:eastAsia="Times New Roman"/>
                <w:b/>
                <w:bCs/>
                <w:i/>
                <w:szCs w:val="24"/>
              </w:rPr>
              <w:t>Сключване на договори</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Участие в изготвянето на образци на договори за субсидиране;</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Изготвяне на договори за субсидиране, събиране на данни от бенефициентите и представяне на договорите на УО за подпис; </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Извършване на посещения на място преди подписването на договорите за подбрани дейности (когато е приложимо);</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Участие в процедурата на преговори по избраните проекти (когато е приложимо);</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Даване на пояснения на бенефициентите за техните задължения, определени в договорите за субсидиране.</w:t>
            </w:r>
          </w:p>
          <w:p w:rsidR="00A85EB3" w:rsidRDefault="00B07D03">
            <w:pPr>
              <w:spacing w:line="276" w:lineRule="auto"/>
              <w:rPr>
                <w:rFonts w:eastAsia="Times New Roman"/>
                <w:b/>
                <w:bCs/>
                <w:i/>
                <w:szCs w:val="24"/>
                <w:lang w:val="en-US"/>
              </w:rPr>
            </w:pPr>
            <w:r>
              <w:rPr>
                <w:rFonts w:eastAsia="Times New Roman"/>
                <w:b/>
                <w:bCs/>
                <w:i/>
                <w:szCs w:val="24"/>
              </w:rPr>
              <w:t>Финансово управление и одит</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Служи като звено за контакт за всички бенефициенти, като получава документите, свързани с изпълнението на дейностите, и ги анализира съобразно процедурите;</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Уведомяване на УО за евентуални потенциални нередности в съответните срокове;</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Предприемане на мерки за предотвратяване, установяване и контролиране на нередности;</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Вземане на всички необходими мерки за борба с измамите; </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Осигуряване на всякаква информация или документация на УО относно финансираните проекти в определените срокове и подпомагане на </w:t>
            </w:r>
            <w:r>
              <w:rPr>
                <w:rFonts w:eastAsia="Times New Roman"/>
                <w:szCs w:val="24"/>
              </w:rPr>
              <w:lastRenderedPageBreak/>
              <w:t xml:space="preserve">контролните и </w:t>
            </w:r>
            <w:proofErr w:type="spellStart"/>
            <w:r>
              <w:rPr>
                <w:rFonts w:eastAsia="Times New Roman"/>
                <w:szCs w:val="24"/>
              </w:rPr>
              <w:t>одитните</w:t>
            </w:r>
            <w:proofErr w:type="spellEnd"/>
            <w:r>
              <w:rPr>
                <w:rFonts w:eastAsia="Times New Roman"/>
                <w:szCs w:val="24"/>
              </w:rPr>
              <w:t xml:space="preserve"> дейности; </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 xml:space="preserve">Подпомагане на УО при спазването и прилагането на всички препоръки, идващи от одита на ЕС и от </w:t>
            </w:r>
            <w:proofErr w:type="spellStart"/>
            <w:r>
              <w:rPr>
                <w:rFonts w:eastAsia="Times New Roman"/>
                <w:szCs w:val="24"/>
              </w:rPr>
              <w:t>Одитния</w:t>
            </w:r>
            <w:proofErr w:type="spellEnd"/>
            <w:r>
              <w:rPr>
                <w:rFonts w:eastAsia="Times New Roman"/>
                <w:szCs w:val="24"/>
              </w:rPr>
              <w:t xml:space="preserve"> орган съобразно установените срокове.</w:t>
            </w:r>
          </w:p>
          <w:p w:rsidR="00A85EB3" w:rsidRDefault="00B07D03">
            <w:pPr>
              <w:spacing w:line="276" w:lineRule="auto"/>
              <w:rPr>
                <w:rFonts w:eastAsia="Times New Roman"/>
                <w:b/>
                <w:bCs/>
                <w:i/>
                <w:szCs w:val="24"/>
                <w:lang w:val="en-US"/>
              </w:rPr>
            </w:pPr>
            <w:r>
              <w:rPr>
                <w:rFonts w:eastAsia="Times New Roman"/>
                <w:b/>
                <w:bCs/>
                <w:i/>
                <w:szCs w:val="24"/>
              </w:rPr>
              <w:t xml:space="preserve">Наблюдение на програмата и проектите </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Наблюдение на изпълнението на дейностите, анализиране и проверяване на докладите за напредъка, посещения на място и др.;</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Съставяне и представяне на всякакви други доклади или документи, поискани от УО;</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Събиране и актуализиране на техническа, финансова и статистическа информация на проектно равнище, осигуряване включването на тази информация в електронната система.</w:t>
            </w:r>
          </w:p>
          <w:p w:rsidR="00A85EB3" w:rsidRDefault="00B07D03">
            <w:pPr>
              <w:spacing w:line="276" w:lineRule="auto"/>
              <w:rPr>
                <w:rFonts w:eastAsia="Times New Roman"/>
                <w:b/>
                <w:bCs/>
                <w:i/>
                <w:szCs w:val="24"/>
                <w:lang w:val="en-US"/>
              </w:rPr>
            </w:pPr>
            <w:r>
              <w:rPr>
                <w:rFonts w:eastAsia="Times New Roman"/>
                <w:b/>
                <w:bCs/>
                <w:i/>
                <w:szCs w:val="24"/>
              </w:rPr>
              <w:t>Информация и публичност</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Изпълнение на съответните (за СС) дейности от Комуникационния план на програмата;</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Подпомагане на УО при изготвянето и представянето на информационни материали на бенефициентите;</w:t>
            </w:r>
          </w:p>
          <w:p w:rsidR="00A85EB3" w:rsidRDefault="00B07D03">
            <w:pPr>
              <w:numPr>
                <w:ilvl w:val="0"/>
                <w:numId w:val="58"/>
              </w:numPr>
              <w:autoSpaceDE w:val="0"/>
              <w:autoSpaceDN w:val="0"/>
              <w:adjustRightInd w:val="0"/>
              <w:spacing w:line="276" w:lineRule="auto"/>
              <w:rPr>
                <w:rFonts w:eastAsia="Times New Roman"/>
                <w:szCs w:val="24"/>
                <w:lang w:val="en-US"/>
              </w:rPr>
            </w:pPr>
            <w:r>
              <w:rPr>
                <w:rFonts w:eastAsia="Times New Roman"/>
                <w:szCs w:val="24"/>
              </w:rPr>
              <w:t>Актуализиране на информацията на интернет страницата на програмата.</w:t>
            </w:r>
          </w:p>
          <w:p w:rsidR="00A85EB3" w:rsidRDefault="00B07D03">
            <w:pPr>
              <w:spacing w:line="276" w:lineRule="auto"/>
              <w:rPr>
                <w:rFonts w:eastAsia="Times New Roman"/>
                <w:bCs/>
                <w:szCs w:val="24"/>
                <w:lang w:val="en-US"/>
              </w:rPr>
            </w:pPr>
            <w:r>
              <w:rPr>
                <w:rFonts w:eastAsia="Times New Roman"/>
                <w:bCs/>
                <w:szCs w:val="24"/>
              </w:rPr>
              <w:t>Подробен списък на задълженията на СС ще бъде включен в Наръчника за изпълнение на програмата.</w:t>
            </w:r>
          </w:p>
          <w:p w:rsidR="00A85EB3" w:rsidRDefault="00B07D03">
            <w:pPr>
              <w:pStyle w:val="ListParagraph"/>
              <w:widowControl w:val="0"/>
              <w:numPr>
                <w:ilvl w:val="0"/>
                <w:numId w:val="75"/>
              </w:numPr>
              <w:suppressAutoHyphens/>
              <w:spacing w:line="276" w:lineRule="auto"/>
              <w:rPr>
                <w:b/>
                <w:bCs/>
                <w:iCs/>
                <w:szCs w:val="24"/>
                <w:lang w:val="en-US" w:eastAsia="ar-SA"/>
              </w:rPr>
            </w:pPr>
            <w:r>
              <w:rPr>
                <w:b/>
                <w:bCs/>
                <w:iCs/>
                <w:szCs w:val="24"/>
                <w:lang w:eastAsia="ar-SA"/>
              </w:rPr>
              <w:t xml:space="preserve">Организация на управлението, изпълнението и контрола на програмата </w:t>
            </w:r>
          </w:p>
          <w:p w:rsidR="00A85EB3" w:rsidRDefault="00B07D03">
            <w:pPr>
              <w:suppressAutoHyphens/>
              <w:autoSpaceDN w:val="0"/>
              <w:spacing w:line="276" w:lineRule="auto"/>
              <w:jc w:val="left"/>
              <w:textAlignment w:val="baseline"/>
              <w:rPr>
                <w:rFonts w:eastAsia="Times New Roman"/>
                <w:b/>
                <w:szCs w:val="24"/>
                <w:u w:val="single"/>
                <w:lang w:val="en-US"/>
              </w:rPr>
            </w:pPr>
            <w:r>
              <w:rPr>
                <w:rFonts w:eastAsia="Times New Roman"/>
                <w:b/>
                <w:szCs w:val="24"/>
                <w:u w:val="single"/>
              </w:rPr>
              <w:t>Подбор на дейностите</w:t>
            </w:r>
          </w:p>
          <w:p w:rsidR="00A85EB3" w:rsidRDefault="00B07D03">
            <w:pPr>
              <w:spacing w:line="276" w:lineRule="auto"/>
              <w:rPr>
                <w:rFonts w:eastAsia="Times New Roman"/>
                <w:szCs w:val="24"/>
                <w:lang w:val="en-US" w:eastAsia="en-US"/>
              </w:rPr>
            </w:pPr>
            <w:r>
              <w:rPr>
                <w:rFonts w:eastAsia="Times New Roman"/>
                <w:szCs w:val="24"/>
                <w:shd w:val="clear" w:color="auto" w:fill="FFFFFF" w:themeFill="background1"/>
                <w:lang w:eastAsia="ar-SA"/>
              </w:rPr>
              <w:t xml:space="preserve">Програмата за ТГС по ИПП България – Турция ще подпомага дейности, които имат пряко трансгранично въздействие, което се разбира като съответстващо на следните условия: съвместно развитие, съвместен персонал, съвместно изпълнение и съвместно финансиране. </w:t>
            </w:r>
            <w:r>
              <w:rPr>
                <w:rFonts w:eastAsia="Times New Roman"/>
                <w:szCs w:val="24"/>
                <w:lang w:eastAsia="en-US"/>
              </w:rPr>
              <w:t>Трансграничните проекти по програмата за ТГС по ИПП предполагат партньорите от двете участващи страни да трябва задължително да си сътрудничат в съвместното разработване и изпълнение. Освен това те трябва да изберат един от следните принципи на партньорство: съвместен персонал или съвместно финансиране.</w:t>
            </w:r>
          </w:p>
          <w:p w:rsidR="00A85EB3" w:rsidRDefault="00B07D03">
            <w:pPr>
              <w:widowControl w:val="0"/>
              <w:suppressAutoHyphens/>
              <w:spacing w:line="276" w:lineRule="auto"/>
              <w:rPr>
                <w:rFonts w:eastAsia="Times New Roman"/>
                <w:szCs w:val="24"/>
                <w:shd w:val="clear" w:color="auto" w:fill="FFFFFF" w:themeFill="background1"/>
                <w:lang w:val="en-US" w:eastAsia="ar-SA"/>
              </w:rPr>
            </w:pPr>
            <w:r>
              <w:rPr>
                <w:rFonts w:eastAsia="Times New Roman"/>
                <w:szCs w:val="24"/>
                <w:shd w:val="clear" w:color="auto" w:fill="FFFFFF" w:themeFill="background1"/>
                <w:lang w:eastAsia="ar-SA"/>
              </w:rPr>
              <w:t xml:space="preserve">Подборът на дейностите се прави чрез покани за </w:t>
            </w:r>
            <w:r w:rsidR="005B4B17">
              <w:rPr>
                <w:rFonts w:eastAsia="Times New Roman"/>
                <w:szCs w:val="24"/>
                <w:shd w:val="clear" w:color="auto" w:fill="FFFFFF" w:themeFill="background1"/>
                <w:lang w:eastAsia="ar-SA"/>
              </w:rPr>
              <w:t>набиране на проектни</w:t>
            </w:r>
            <w:r>
              <w:rPr>
                <w:rFonts w:eastAsia="Times New Roman"/>
                <w:szCs w:val="24"/>
                <w:shd w:val="clear" w:color="auto" w:fill="FFFFFF" w:themeFill="background1"/>
                <w:lang w:eastAsia="ar-SA"/>
              </w:rPr>
              <w:t xml:space="preserve"> предложения и/или стратегически проекти по решение на СКН:</w:t>
            </w:r>
          </w:p>
          <w:p w:rsidR="00A85EB3" w:rsidRDefault="00B07D03">
            <w:pPr>
              <w:keepNext/>
              <w:widowControl w:val="0"/>
              <w:overflowPunct w:val="0"/>
              <w:autoSpaceDE w:val="0"/>
              <w:autoSpaceDN w:val="0"/>
              <w:adjustRightInd w:val="0"/>
              <w:spacing w:line="276" w:lineRule="auto"/>
              <w:textAlignment w:val="baseline"/>
              <w:rPr>
                <w:rFonts w:eastAsia="Times New Roman"/>
                <w:szCs w:val="24"/>
                <w:lang w:val="en-US" w:eastAsia="nl-NL"/>
              </w:rPr>
            </w:pPr>
            <w:r>
              <w:rPr>
                <w:rFonts w:eastAsia="Times New Roman"/>
                <w:b/>
                <w:szCs w:val="24"/>
                <w:lang w:eastAsia="nl-NL"/>
              </w:rPr>
              <w:t xml:space="preserve">Поканите за </w:t>
            </w:r>
            <w:r w:rsidR="005B4B17">
              <w:rPr>
                <w:rFonts w:eastAsia="Times New Roman"/>
                <w:b/>
                <w:szCs w:val="24"/>
                <w:lang w:eastAsia="nl-NL"/>
              </w:rPr>
              <w:t>набиране на проектни</w:t>
            </w:r>
            <w:r>
              <w:rPr>
                <w:rFonts w:eastAsia="Times New Roman"/>
                <w:b/>
                <w:szCs w:val="24"/>
                <w:lang w:eastAsia="nl-NL"/>
              </w:rPr>
              <w:t xml:space="preserve"> предложения</w:t>
            </w:r>
            <w:r>
              <w:rPr>
                <w:rFonts w:eastAsia="Times New Roman"/>
                <w:szCs w:val="24"/>
                <w:lang w:eastAsia="nl-NL"/>
              </w:rPr>
              <w:t xml:space="preserve"> </w:t>
            </w:r>
            <w:r w:rsidR="005B4B17">
              <w:rPr>
                <w:rFonts w:eastAsia="Times New Roman"/>
                <w:szCs w:val="24"/>
                <w:lang w:eastAsia="nl-NL"/>
              </w:rPr>
              <w:t>са</w:t>
            </w:r>
            <w:r>
              <w:rPr>
                <w:rFonts w:eastAsia="Times New Roman"/>
                <w:szCs w:val="24"/>
                <w:lang w:eastAsia="nl-NL"/>
              </w:rPr>
              <w:t xml:space="preserve"> механизъм</w:t>
            </w:r>
            <w:r w:rsidR="005B4B17">
              <w:rPr>
                <w:rFonts w:eastAsia="Times New Roman"/>
                <w:szCs w:val="24"/>
                <w:lang w:eastAsia="nl-NL"/>
              </w:rPr>
              <w:t xml:space="preserve"> за </w:t>
            </w:r>
            <w:r>
              <w:rPr>
                <w:rFonts w:eastAsia="Times New Roman"/>
                <w:szCs w:val="24"/>
                <w:lang w:eastAsia="nl-NL"/>
              </w:rPr>
              <w:t>подбор</w:t>
            </w:r>
            <w:r w:rsidR="005B4B17">
              <w:rPr>
                <w:rFonts w:eastAsia="Times New Roman"/>
                <w:szCs w:val="24"/>
                <w:lang w:eastAsia="nl-NL"/>
              </w:rPr>
              <w:t xml:space="preserve"> на</w:t>
            </w:r>
            <w:r>
              <w:rPr>
                <w:rFonts w:eastAsia="Times New Roman"/>
                <w:szCs w:val="24"/>
                <w:lang w:eastAsia="nl-NL"/>
              </w:rPr>
              <w:t xml:space="preserve"> кандидат на конкурсна основа. До потенциалните бенефициенти се отправя покана за представяне на проектни предложения. Поканите за </w:t>
            </w:r>
            <w:r w:rsidR="00FE1C2A">
              <w:rPr>
                <w:rFonts w:eastAsia="Times New Roman"/>
                <w:szCs w:val="24"/>
                <w:lang w:eastAsia="nl-NL"/>
              </w:rPr>
              <w:t>набиране на проектни</w:t>
            </w:r>
            <w:r>
              <w:rPr>
                <w:rFonts w:eastAsia="Times New Roman"/>
                <w:szCs w:val="24"/>
                <w:lang w:eastAsia="nl-NL"/>
              </w:rPr>
              <w:t xml:space="preserve"> предложения се обявяват публично. В </w:t>
            </w:r>
            <w:r w:rsidR="00FE1C2A">
              <w:rPr>
                <w:rFonts w:eastAsia="Times New Roman"/>
                <w:szCs w:val="24"/>
                <w:lang w:eastAsia="nl-NL"/>
              </w:rPr>
              <w:t>Насоките за кандидатстване</w:t>
            </w:r>
            <w:bookmarkStart w:id="84" w:name="_GoBack"/>
            <w:bookmarkEnd w:id="84"/>
            <w:r>
              <w:rPr>
                <w:rFonts w:eastAsia="Times New Roman"/>
                <w:szCs w:val="24"/>
                <w:lang w:eastAsia="nl-NL"/>
              </w:rPr>
              <w:t xml:space="preserve"> и анексите към тях се предоставя информация за типа проекти, които ще бъдат разглеждани за </w:t>
            </w:r>
            <w:r>
              <w:rPr>
                <w:rFonts w:eastAsia="Times New Roman"/>
                <w:szCs w:val="24"/>
                <w:lang w:eastAsia="nl-NL"/>
              </w:rPr>
              <w:lastRenderedPageBreak/>
              <w:t>финансиране, и за специфичните условия, които трябва да бъдат удовлетворени за всяка Покана за представяне на предложения. Само проекти, които са в пълно съответствие с критериите за подбор и възлагане, ще бъдат финансирани по решение на СКН.</w:t>
            </w:r>
          </w:p>
          <w:p w:rsidR="00A85EB3" w:rsidRDefault="00B07D03">
            <w:pPr>
              <w:suppressAutoHyphens/>
              <w:autoSpaceDN w:val="0"/>
              <w:spacing w:line="276" w:lineRule="auto"/>
              <w:textAlignment w:val="baseline"/>
              <w:rPr>
                <w:i/>
                <w:szCs w:val="24"/>
                <w:u w:val="single"/>
                <w:lang w:val="en-US"/>
              </w:rPr>
            </w:pPr>
            <w:r>
              <w:rPr>
                <w:b/>
                <w:szCs w:val="24"/>
                <w:lang w:eastAsia="nl-NL"/>
              </w:rPr>
              <w:t>Стратегическите проекти</w:t>
            </w:r>
            <w:r>
              <w:rPr>
                <w:szCs w:val="24"/>
                <w:lang w:eastAsia="nl-NL"/>
              </w:rPr>
              <w:t xml:space="preserve"> трябва да са насочени към възлови </w:t>
            </w:r>
            <w:r w:rsidR="00560E96">
              <w:rPr>
                <w:szCs w:val="24"/>
                <w:lang w:eastAsia="nl-NL"/>
              </w:rPr>
              <w:t>специфични</w:t>
            </w:r>
            <w:r>
              <w:rPr>
                <w:szCs w:val="24"/>
                <w:lang w:eastAsia="nl-NL"/>
              </w:rPr>
              <w:t xml:space="preserve"> цели, които могат да бъдат постигнати само с участие на големи сдружения и се основават на отпускането на повече финансови средства. Стратегическите проекти трябва да са ефективни и ефикасни, за да съответстват на потребностите на територията, така както те са предвидени в целите и резултатите на Програмата. Резултатите от стратегическите проекти трябва да бъдат значими и трайни промени или подобрения в цялата или в големи части от територията на Програмата. Основните принципи за допустимост на стратегически проект могат да бъдат следните: да е насочен към възлови специфични цели, които могат да бъдат постигнати само с участие на големи сдружения и/или важни заинтересовани страни от двете страни на границата; да се основава на по-голямо финансиране, съразмерно на значението на целите и резултатите; да има трайни последици и да е катализатор за </w:t>
            </w:r>
            <w:proofErr w:type="spellStart"/>
            <w:r>
              <w:rPr>
                <w:szCs w:val="24"/>
                <w:lang w:eastAsia="nl-NL"/>
              </w:rPr>
              <w:t>последващи</w:t>
            </w:r>
            <w:proofErr w:type="spellEnd"/>
            <w:r>
              <w:rPr>
                <w:szCs w:val="24"/>
                <w:lang w:eastAsia="nl-NL"/>
              </w:rPr>
              <w:t xml:space="preserve"> действия.</w:t>
            </w:r>
          </w:p>
          <w:p w:rsidR="00A85EB3" w:rsidRDefault="00B07D03">
            <w:pPr>
              <w:suppressAutoHyphens/>
              <w:autoSpaceDN w:val="0"/>
              <w:spacing w:line="276" w:lineRule="auto"/>
              <w:jc w:val="left"/>
              <w:textAlignment w:val="baseline"/>
              <w:rPr>
                <w:rFonts w:eastAsia="Times New Roman"/>
                <w:i/>
                <w:szCs w:val="24"/>
                <w:u w:val="single"/>
                <w:lang w:val="en-US"/>
              </w:rPr>
            </w:pPr>
            <w:r>
              <w:rPr>
                <w:rFonts w:eastAsia="Times New Roman"/>
                <w:i/>
                <w:szCs w:val="24"/>
                <w:u w:val="single"/>
              </w:rPr>
              <w:t>Географска допустимост</w:t>
            </w:r>
          </w:p>
          <w:p w:rsidR="00A85EB3" w:rsidRDefault="00B07D03">
            <w:pPr>
              <w:spacing w:line="276" w:lineRule="auto"/>
              <w:rPr>
                <w:rFonts w:eastAsia="Times New Roman"/>
                <w:szCs w:val="24"/>
                <w:lang w:val="en-US" w:eastAsia="en-US"/>
              </w:rPr>
            </w:pPr>
            <w:r>
              <w:rPr>
                <w:rFonts w:eastAsia="Times New Roman"/>
                <w:szCs w:val="24"/>
                <w:lang w:eastAsia="en-US"/>
              </w:rPr>
              <w:t>Съгласно член 39(2) на Регламента за изпълнение (ЕС) № 447/214 на Комисията от 2 май 2014 г., избраните дейности трябва да включват бенефициенти от двете участващи страни, най-малко един от които трябва да бъде от България като държава–членка.  Бенефициентите и дейностите трябва да се намират най-малко в един от регионите на ниво NUTS III (или еквивалентен регион в страна-нечленка), включен в трансграничната програма и посочен по-горе. Важно изключение от това правило е допустимостта на бенефициенти, които се намират извън допустимите трансгранични региони, които гарантират, че дейностите облагодетелстват програмната област и са удовлетворени условията на член 44(2) на Регламента за изпълнение (ЕС) № 447/214 на Комисията от 2 май 2014 г. Общата сума, определена по програмата за дейности извън програмния район, не трябва да надхвърля 20% от помощта от Съюза на програмно равнище.</w:t>
            </w:r>
          </w:p>
          <w:p w:rsidR="00A85EB3" w:rsidRDefault="00B07D03">
            <w:pPr>
              <w:suppressAutoHyphens/>
              <w:autoSpaceDN w:val="0"/>
              <w:spacing w:line="276" w:lineRule="auto"/>
              <w:jc w:val="left"/>
              <w:textAlignment w:val="baseline"/>
              <w:rPr>
                <w:rFonts w:eastAsia="Times New Roman"/>
                <w:i/>
                <w:szCs w:val="24"/>
                <w:u w:val="single"/>
                <w:lang w:val="en-US"/>
              </w:rPr>
            </w:pPr>
            <w:r>
              <w:rPr>
                <w:rFonts w:eastAsia="Times New Roman"/>
                <w:i/>
                <w:szCs w:val="24"/>
                <w:u w:val="single"/>
              </w:rPr>
              <w:t>Бенефициенти</w:t>
            </w:r>
          </w:p>
          <w:p w:rsidR="00A85EB3" w:rsidRDefault="00B07D03">
            <w:pPr>
              <w:spacing w:line="276" w:lineRule="auto"/>
              <w:rPr>
                <w:rFonts w:eastAsia="Times New Roman"/>
                <w:szCs w:val="24"/>
                <w:lang w:val="en-US" w:eastAsia="en-US"/>
              </w:rPr>
            </w:pPr>
            <w:r>
              <w:rPr>
                <w:rFonts w:eastAsia="Times New Roman"/>
                <w:szCs w:val="24"/>
                <w:lang w:eastAsia="en-US"/>
              </w:rPr>
              <w:t>Съгласно член 40(2) на Регламента за изпълнение (ЕС) № 447/214 на Комисията от 2 май 2014 г., един от потенциалните бенефициенти трябва да бъде определен от партньорите като водещ бенефициент. Водещият бенефициент изпълнява задачите, посочени в член 40, а именно:</w:t>
            </w:r>
          </w:p>
          <w:p w:rsidR="00A85EB3" w:rsidRDefault="00B07D03">
            <w:pPr>
              <w:pStyle w:val="ListParagraph"/>
              <w:numPr>
                <w:ilvl w:val="0"/>
                <w:numId w:val="76"/>
              </w:numPr>
              <w:autoSpaceDE w:val="0"/>
              <w:autoSpaceDN w:val="0"/>
              <w:adjustRightInd w:val="0"/>
              <w:spacing w:line="276" w:lineRule="auto"/>
              <w:rPr>
                <w:szCs w:val="24"/>
                <w:lang w:val="en-US"/>
              </w:rPr>
            </w:pPr>
            <w:r>
              <w:rPr>
                <w:szCs w:val="24"/>
              </w:rPr>
              <w:t xml:space="preserve">да включи договореностите с другите бенефициенти в споразумение, предвиждащо разпоредби, които между другото гарантират доброто финансово управление на средствата, отпуснати за дейността, включително договорености за връщане на неправилно изплатени средства; </w:t>
            </w:r>
          </w:p>
          <w:p w:rsidR="00A85EB3" w:rsidRDefault="00B07D03">
            <w:pPr>
              <w:pStyle w:val="ListParagraph"/>
              <w:numPr>
                <w:ilvl w:val="0"/>
                <w:numId w:val="76"/>
              </w:numPr>
              <w:autoSpaceDE w:val="0"/>
              <w:autoSpaceDN w:val="0"/>
              <w:adjustRightInd w:val="0"/>
              <w:spacing w:line="276" w:lineRule="auto"/>
              <w:rPr>
                <w:szCs w:val="24"/>
                <w:lang w:val="en-US"/>
              </w:rPr>
            </w:pPr>
            <w:r>
              <w:rPr>
                <w:szCs w:val="24"/>
              </w:rPr>
              <w:lastRenderedPageBreak/>
              <w:t xml:space="preserve">да носи отговорност за осигуряване изпълнението на цялата дейност; </w:t>
            </w:r>
          </w:p>
          <w:p w:rsidR="00A85EB3" w:rsidRDefault="00B07D03">
            <w:pPr>
              <w:pStyle w:val="ListParagraph"/>
              <w:numPr>
                <w:ilvl w:val="0"/>
                <w:numId w:val="76"/>
              </w:numPr>
              <w:autoSpaceDE w:val="0"/>
              <w:autoSpaceDN w:val="0"/>
              <w:adjustRightInd w:val="0"/>
              <w:spacing w:line="276" w:lineRule="auto"/>
              <w:rPr>
                <w:szCs w:val="24"/>
                <w:lang w:val="en-US"/>
              </w:rPr>
            </w:pPr>
            <w:r>
              <w:rPr>
                <w:szCs w:val="24"/>
              </w:rPr>
              <w:t>да гарантира това разходите, представени от бенефициентите, да са направени в изпълнение на дейността и да съответстват на договорените дейности между всички бенефициенти, и да съответстват на документа, представен от УО;</w:t>
            </w:r>
          </w:p>
          <w:p w:rsidR="00A85EB3" w:rsidRDefault="00B07D03">
            <w:pPr>
              <w:pStyle w:val="ListParagraph"/>
              <w:numPr>
                <w:ilvl w:val="0"/>
                <w:numId w:val="76"/>
              </w:numPr>
              <w:autoSpaceDE w:val="0"/>
              <w:autoSpaceDN w:val="0"/>
              <w:adjustRightInd w:val="0"/>
              <w:spacing w:line="276" w:lineRule="auto"/>
              <w:rPr>
                <w:szCs w:val="24"/>
                <w:lang w:val="en-US"/>
              </w:rPr>
            </w:pPr>
            <w:r>
              <w:rPr>
                <w:szCs w:val="24"/>
              </w:rPr>
              <w:t>да гарантира, че разходите представени от другите бенефициенти, са проверени от контрольор(и).</w:t>
            </w:r>
          </w:p>
          <w:p w:rsidR="00A85EB3" w:rsidRDefault="00B07D03">
            <w:pPr>
              <w:spacing w:line="276" w:lineRule="auto"/>
              <w:rPr>
                <w:rFonts w:eastAsia="Times New Roman"/>
                <w:szCs w:val="24"/>
                <w:lang w:val="en-US" w:eastAsia="en-US"/>
              </w:rPr>
            </w:pPr>
            <w:r>
              <w:rPr>
                <w:rFonts w:eastAsia="Times New Roman"/>
                <w:szCs w:val="24"/>
                <w:lang w:eastAsia="en-US"/>
              </w:rPr>
              <w:t xml:space="preserve">Водещият бенефициент и неговите партньори трябва да са юридически създадени организации (юридически лица) на територията на България или Турция и трябва да са организации с нестопанска цел.  Организации, които работят за печалба, и политически партии не могат да бъдат допустими бенефициенти по Програмата за ТГС по ИПП България – Турция. </w:t>
            </w:r>
          </w:p>
          <w:p w:rsidR="00A85EB3" w:rsidRDefault="00B07D03">
            <w:pPr>
              <w:suppressAutoHyphens/>
              <w:autoSpaceDN w:val="0"/>
              <w:spacing w:line="276" w:lineRule="auto"/>
              <w:jc w:val="left"/>
              <w:textAlignment w:val="baseline"/>
              <w:rPr>
                <w:rFonts w:eastAsia="Times New Roman"/>
                <w:i/>
                <w:szCs w:val="24"/>
                <w:u w:val="single"/>
                <w:lang w:val="en-US"/>
              </w:rPr>
            </w:pPr>
            <w:r>
              <w:rPr>
                <w:rFonts w:eastAsia="Times New Roman"/>
                <w:i/>
                <w:szCs w:val="24"/>
                <w:u w:val="single"/>
              </w:rPr>
              <w:t>Създаване/изготвяне на проекти</w:t>
            </w:r>
          </w:p>
          <w:p w:rsidR="00A85EB3" w:rsidRDefault="00B07D03">
            <w:pPr>
              <w:spacing w:line="276" w:lineRule="auto"/>
              <w:rPr>
                <w:rFonts w:eastAsia="Times New Roman"/>
                <w:szCs w:val="24"/>
                <w:lang w:val="en-US" w:eastAsia="en-US"/>
              </w:rPr>
            </w:pPr>
            <w:r>
              <w:rPr>
                <w:rFonts w:eastAsia="Times New Roman"/>
                <w:szCs w:val="24"/>
                <w:lang w:eastAsia="en-US"/>
              </w:rPr>
              <w:t xml:space="preserve">Потенциалните бенефициенти се информират своевременно за целите и приоритетите на програмата, които ще бъдат подпомогнати, предпоставките за получаване на средства и отделните процедури. СС осигурява помощ за създаване и изготвяне на проекти, включително търсене на партньори. </w:t>
            </w:r>
          </w:p>
          <w:p w:rsidR="00A85EB3" w:rsidRDefault="00B07D03">
            <w:pPr>
              <w:suppressAutoHyphens/>
              <w:autoSpaceDN w:val="0"/>
              <w:spacing w:line="276" w:lineRule="auto"/>
              <w:jc w:val="left"/>
              <w:textAlignment w:val="baseline"/>
              <w:rPr>
                <w:rFonts w:eastAsia="Times New Roman"/>
                <w:i/>
                <w:szCs w:val="24"/>
                <w:u w:val="single"/>
                <w:lang w:val="en-US"/>
              </w:rPr>
            </w:pPr>
            <w:r>
              <w:rPr>
                <w:rFonts w:eastAsia="Times New Roman"/>
                <w:i/>
                <w:szCs w:val="24"/>
                <w:u w:val="single"/>
              </w:rPr>
              <w:t>Допустимост и критерии за подбор</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Дейностите се оценяват съобразно критериите, одобрени предварително от СКН.</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 xml:space="preserve">Критериите за допустимост и административно съответствие се формулират, за да се осигури административно и официално съответствие на проектите, които ще бъдат представени. Те включват: внасяне преди изтичане на срока, пълнота на представената документация, трансграничен характер на състава на партньорството, официално съответствие на кандидатите с критериите и др. </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 xml:space="preserve">Критериите за подбор се прилагат спрямо тези проекти, които първо са удовлетворили критериите за допустимост и административно съответствие, и оценяват тяхното съответствие със стратегическите и оперативните принципи, от които се ръководи подбора на проектите. </w:t>
            </w:r>
          </w:p>
          <w:p w:rsidR="00A85EB3" w:rsidRDefault="00B07D03">
            <w:pPr>
              <w:spacing w:line="276" w:lineRule="auto"/>
              <w:rPr>
                <w:rFonts w:eastAsia="Times New Roman"/>
                <w:szCs w:val="24"/>
                <w:lang w:val="en-US"/>
              </w:rPr>
            </w:pPr>
            <w:r>
              <w:rPr>
                <w:rFonts w:eastAsia="Times New Roman"/>
                <w:szCs w:val="24"/>
              </w:rPr>
              <w:t xml:space="preserve">Качеството на проектите, така както е отразено в съответствието им с критериите за подбора, е много важно, за да се гарантира, че програмата дава конкретни и видими резултати, които решават проблемите и нуждите на програмната област по трансграничен и интегриран начин. Проектите, които се концентрират само върху изследвания (без приложни резултати), включително само обмен на опит, или които не посочват конкретни или устойчиви дейности, следващи „меките“ дейности (проучвания, изследвания), няма да се подпомагат от програмата. </w:t>
            </w:r>
          </w:p>
          <w:p w:rsidR="00A85EB3" w:rsidRDefault="00B07D03">
            <w:pPr>
              <w:suppressAutoHyphens/>
              <w:autoSpaceDN w:val="0"/>
              <w:spacing w:line="276" w:lineRule="auto"/>
              <w:jc w:val="left"/>
              <w:textAlignment w:val="baseline"/>
              <w:rPr>
                <w:rFonts w:eastAsia="Times New Roman"/>
                <w:i/>
                <w:szCs w:val="24"/>
                <w:u w:val="single"/>
                <w:lang w:val="en-US"/>
              </w:rPr>
            </w:pPr>
            <w:r>
              <w:rPr>
                <w:rFonts w:eastAsia="Times New Roman"/>
                <w:i/>
                <w:szCs w:val="24"/>
                <w:u w:val="single"/>
              </w:rPr>
              <w:t>Оценка</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 xml:space="preserve">Оценката на дейностите (предложенията за проекти) се извършва на следните три </w:t>
            </w:r>
            <w:r>
              <w:rPr>
                <w:rFonts w:eastAsia="Times New Roman"/>
                <w:szCs w:val="24"/>
              </w:rPr>
              <w:lastRenderedPageBreak/>
              <w:t xml:space="preserve">етапа: </w:t>
            </w:r>
          </w:p>
          <w:p w:rsidR="00A85EB3" w:rsidRDefault="00B07D03">
            <w:pPr>
              <w:pStyle w:val="ListParagraph"/>
              <w:numPr>
                <w:ilvl w:val="0"/>
                <w:numId w:val="77"/>
              </w:numPr>
              <w:autoSpaceDE w:val="0"/>
              <w:autoSpaceDN w:val="0"/>
              <w:adjustRightInd w:val="0"/>
              <w:spacing w:line="276" w:lineRule="auto"/>
              <w:rPr>
                <w:szCs w:val="24"/>
                <w:lang w:val="en-US"/>
              </w:rPr>
            </w:pPr>
            <w:r>
              <w:rPr>
                <w:szCs w:val="24"/>
              </w:rPr>
              <w:t xml:space="preserve">Отваряне на офертите </w:t>
            </w:r>
          </w:p>
          <w:p w:rsidR="00A85EB3" w:rsidRDefault="00B07D03">
            <w:pPr>
              <w:pStyle w:val="ListParagraph"/>
              <w:numPr>
                <w:ilvl w:val="0"/>
                <w:numId w:val="77"/>
              </w:numPr>
              <w:autoSpaceDE w:val="0"/>
              <w:autoSpaceDN w:val="0"/>
              <w:adjustRightInd w:val="0"/>
              <w:spacing w:line="276" w:lineRule="auto"/>
              <w:rPr>
                <w:szCs w:val="24"/>
                <w:lang w:val="en-US"/>
              </w:rPr>
            </w:pPr>
            <w:r>
              <w:rPr>
                <w:szCs w:val="24"/>
              </w:rPr>
              <w:t xml:space="preserve">Проверка на административното съответствие и допустимостта </w:t>
            </w:r>
          </w:p>
          <w:p w:rsidR="00A85EB3" w:rsidRDefault="00B07D03">
            <w:pPr>
              <w:pStyle w:val="ListParagraph"/>
              <w:numPr>
                <w:ilvl w:val="0"/>
                <w:numId w:val="77"/>
              </w:numPr>
              <w:autoSpaceDE w:val="0"/>
              <w:autoSpaceDN w:val="0"/>
              <w:adjustRightInd w:val="0"/>
              <w:spacing w:line="276" w:lineRule="auto"/>
              <w:rPr>
                <w:szCs w:val="24"/>
                <w:lang w:val="en-US"/>
              </w:rPr>
            </w:pPr>
            <w:r>
              <w:rPr>
                <w:szCs w:val="24"/>
              </w:rPr>
              <w:t xml:space="preserve">Техническа оценка / Оценка на качеството. </w:t>
            </w:r>
          </w:p>
          <w:p w:rsidR="00A85EB3" w:rsidRDefault="00B07D03">
            <w:pPr>
              <w:widowControl w:val="0"/>
              <w:suppressAutoHyphens/>
              <w:spacing w:line="276" w:lineRule="auto"/>
              <w:rPr>
                <w:rFonts w:eastAsia="Times New Roman"/>
                <w:szCs w:val="24"/>
                <w:lang w:val="en-US" w:eastAsia="ar-SA"/>
              </w:rPr>
            </w:pPr>
            <w:r>
              <w:rPr>
                <w:rFonts w:eastAsia="Times New Roman"/>
                <w:szCs w:val="24"/>
                <w:lang w:eastAsia="ar-SA"/>
              </w:rPr>
              <w:t>Проверката на административното съответствие и допустимостта се извършва от официално определена група представители на УО/НО/СС.</w:t>
            </w:r>
          </w:p>
          <w:p w:rsidR="00A85EB3" w:rsidRDefault="00B07D03">
            <w:pPr>
              <w:widowControl w:val="0"/>
              <w:suppressAutoHyphens/>
              <w:spacing w:line="276" w:lineRule="auto"/>
              <w:rPr>
                <w:rFonts w:eastAsia="Times New Roman"/>
                <w:szCs w:val="24"/>
                <w:lang w:val="en-US" w:eastAsia="ar-SA"/>
              </w:rPr>
            </w:pPr>
            <w:r>
              <w:rPr>
                <w:rFonts w:eastAsia="Times New Roman"/>
                <w:szCs w:val="24"/>
                <w:lang w:eastAsia="ar-SA"/>
              </w:rPr>
              <w:t>Оценката на качеството се извършва от външни оценители от България и Турция, назначени от УО/НО.</w:t>
            </w:r>
          </w:p>
          <w:p w:rsidR="00A85EB3" w:rsidRDefault="00B07D03">
            <w:pPr>
              <w:widowControl w:val="0"/>
              <w:suppressAutoHyphens/>
              <w:spacing w:line="276" w:lineRule="auto"/>
              <w:rPr>
                <w:rFonts w:eastAsia="Times New Roman"/>
                <w:szCs w:val="24"/>
                <w:lang w:val="en-US" w:eastAsia="ar-SA"/>
              </w:rPr>
            </w:pPr>
            <w:r>
              <w:rPr>
                <w:rFonts w:eastAsia="Times New Roman"/>
                <w:szCs w:val="24"/>
                <w:lang w:eastAsia="ar-SA"/>
              </w:rPr>
              <w:t xml:space="preserve">В процедурните правила/наръчника за външните оценители и другите съответни програмни документи се определят стандартни правила и процедури за възлагане и обхватът на задачите на външните оценители. </w:t>
            </w:r>
          </w:p>
          <w:p w:rsidR="00A85EB3" w:rsidRDefault="00B07D03">
            <w:pPr>
              <w:widowControl w:val="0"/>
              <w:suppressAutoHyphens/>
              <w:spacing w:line="276" w:lineRule="auto"/>
              <w:rPr>
                <w:rFonts w:eastAsia="Times New Roman"/>
                <w:szCs w:val="24"/>
                <w:lang w:val="en-US" w:eastAsia="ar-SA"/>
              </w:rPr>
            </w:pPr>
            <w:r>
              <w:rPr>
                <w:rFonts w:eastAsia="Times New Roman"/>
                <w:szCs w:val="24"/>
                <w:lang w:eastAsia="ar-SA"/>
              </w:rPr>
              <w:t xml:space="preserve">Критериите за назначаване на външни оценители се формулират, за да се осигури честно състезание, равни възможности и качествен подбор на кандидатите. Избраните външни оценители трябва да притежават минималните изисквани знания и опит по въпросите, включени в Трансгранична програма по ИПП България – Турция. </w:t>
            </w:r>
          </w:p>
          <w:p w:rsidR="00A85EB3" w:rsidRDefault="00B07D03">
            <w:pPr>
              <w:widowControl w:val="0"/>
              <w:suppressAutoHyphens/>
              <w:spacing w:line="276" w:lineRule="auto"/>
              <w:rPr>
                <w:rFonts w:eastAsia="Times New Roman"/>
                <w:szCs w:val="24"/>
                <w:lang w:val="en-US" w:eastAsia="ar-SA"/>
              </w:rPr>
            </w:pPr>
            <w:r>
              <w:rPr>
                <w:rFonts w:eastAsia="Times New Roman"/>
                <w:szCs w:val="24"/>
                <w:lang w:eastAsia="ar-SA"/>
              </w:rPr>
              <w:t xml:space="preserve">За всяка покана за представяне на предложения се определят равен брой оценители от двете страни за техническата оценка/оценката на качеството на получените предложения за проекти. </w:t>
            </w:r>
          </w:p>
          <w:p w:rsidR="00A85EB3" w:rsidRDefault="00B07D03">
            <w:pPr>
              <w:widowControl w:val="0"/>
              <w:suppressAutoHyphens/>
              <w:spacing w:line="276" w:lineRule="auto"/>
              <w:rPr>
                <w:rFonts w:eastAsia="Times New Roman"/>
                <w:szCs w:val="24"/>
                <w:lang w:val="en-US" w:eastAsia="ar-SA"/>
              </w:rPr>
            </w:pPr>
            <w:r>
              <w:rPr>
                <w:rFonts w:eastAsia="Times New Roman"/>
                <w:szCs w:val="24"/>
                <w:lang w:eastAsia="ar-SA"/>
              </w:rPr>
              <w:t xml:space="preserve">Процесът на оценка се организира и подпомага технически от СС, като съответната информация се записва в Информационната система за управление. Резултатите от всички етапи на оценяване се обобщават в доклад и се представят на СКН за вземане на решение. </w:t>
            </w:r>
          </w:p>
          <w:p w:rsidR="00A85EB3" w:rsidRDefault="00B07D03">
            <w:pPr>
              <w:suppressAutoHyphens/>
              <w:autoSpaceDN w:val="0"/>
              <w:spacing w:line="276" w:lineRule="auto"/>
              <w:jc w:val="left"/>
              <w:textAlignment w:val="baseline"/>
              <w:rPr>
                <w:rFonts w:eastAsia="Times New Roman"/>
                <w:i/>
                <w:szCs w:val="24"/>
                <w:u w:val="single"/>
                <w:lang w:val="en-US"/>
              </w:rPr>
            </w:pPr>
            <w:r>
              <w:rPr>
                <w:rFonts w:eastAsia="Times New Roman"/>
                <w:i/>
                <w:szCs w:val="24"/>
                <w:u w:val="single"/>
              </w:rPr>
              <w:t>Подбор и одобрение на проектите</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 xml:space="preserve">СКН взема решения за одобряване на проекти и размера на отпуснатите по програмата финансови средства за всяка операция. В процедурните правила на Комитета за наблюдение се включват подробни правила за вземането на решения. </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Не може да се подбират за подпомагане по ИПП ІІ дейности, които са били физически завършени или напълно изпълнени преди заявлението за финансиране по програмата за трансгранично сътрудничество да бъде представено от бенефициента пред УО, независимо дали бенефициентът е извършил всички съответни плащания.</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По време на процедурата за подбор по дадена покана за представяне на предложения се вземат мерки за избягване на двойно финансиране на дейностите, предложени за финансиране, чрез:</w:t>
            </w:r>
          </w:p>
          <w:p w:rsidR="00A85EB3" w:rsidRDefault="00B07D03">
            <w:pPr>
              <w:pStyle w:val="ListParagraph"/>
              <w:numPr>
                <w:ilvl w:val="0"/>
                <w:numId w:val="78"/>
              </w:numPr>
              <w:autoSpaceDE w:val="0"/>
              <w:autoSpaceDN w:val="0"/>
              <w:adjustRightInd w:val="0"/>
              <w:spacing w:line="276" w:lineRule="auto"/>
              <w:rPr>
                <w:szCs w:val="24"/>
                <w:lang w:val="en-US"/>
              </w:rPr>
            </w:pPr>
            <w:r>
              <w:rPr>
                <w:szCs w:val="24"/>
              </w:rPr>
              <w:t xml:space="preserve">Членовете на СКН – представители на различни институции и организации, </w:t>
            </w:r>
            <w:r>
              <w:rPr>
                <w:szCs w:val="24"/>
              </w:rPr>
              <w:lastRenderedPageBreak/>
              <w:t>отговарящи за управление на финансирани на национално равнище програми/схеми в области, свързани с тези, финансирани по програмата, осигуряват липсата на припокриващи се дейности;</w:t>
            </w:r>
          </w:p>
          <w:p w:rsidR="00A85EB3" w:rsidRDefault="00B07D03">
            <w:pPr>
              <w:pStyle w:val="ListParagraph"/>
              <w:numPr>
                <w:ilvl w:val="0"/>
                <w:numId w:val="78"/>
              </w:numPr>
              <w:autoSpaceDE w:val="0"/>
              <w:autoSpaceDN w:val="0"/>
              <w:adjustRightInd w:val="0"/>
              <w:spacing w:line="276" w:lineRule="auto"/>
              <w:rPr>
                <w:szCs w:val="24"/>
                <w:lang w:val="en-US"/>
              </w:rPr>
            </w:pPr>
            <w:r>
              <w:rPr>
                <w:szCs w:val="24"/>
              </w:rPr>
              <w:t>Документална проверка за припокриване на дейности, подпомагани от други финансови източници (на ЕС, национални, други);</w:t>
            </w:r>
          </w:p>
          <w:p w:rsidR="00A85EB3" w:rsidRDefault="00B07D03">
            <w:pPr>
              <w:pStyle w:val="ListParagraph"/>
              <w:numPr>
                <w:ilvl w:val="0"/>
                <w:numId w:val="78"/>
              </w:numPr>
              <w:autoSpaceDE w:val="0"/>
              <w:autoSpaceDN w:val="0"/>
              <w:adjustRightInd w:val="0"/>
              <w:spacing w:line="276" w:lineRule="auto"/>
              <w:rPr>
                <w:szCs w:val="24"/>
                <w:lang w:val="en-US"/>
              </w:rPr>
            </w:pPr>
            <w:r>
              <w:rPr>
                <w:szCs w:val="24"/>
              </w:rPr>
              <w:t>Извършване на посещения на място на инвестиционни проекти, с цел да се провери дали: (1) обектът, предмет на предвидената инвестиция, действително съществува и се намира във физическото състояние, описано в проектното предложение (по време на етапа на оценка не са извършени други инвестиционни дейности); и (2) обектът, предмет на предвидената инвестиция, вече е бил изпълнен/частично изпълнен или се намира в процес на изпълнение.</w:t>
            </w:r>
          </w:p>
          <w:p w:rsidR="00A85EB3" w:rsidRDefault="00B07D03">
            <w:pPr>
              <w:suppressAutoHyphens/>
              <w:autoSpaceDN w:val="0"/>
              <w:spacing w:line="276" w:lineRule="auto"/>
              <w:jc w:val="left"/>
              <w:textAlignment w:val="baseline"/>
              <w:rPr>
                <w:rFonts w:eastAsia="Times New Roman"/>
                <w:b/>
                <w:i/>
                <w:szCs w:val="24"/>
                <w:lang w:val="en-US"/>
              </w:rPr>
            </w:pPr>
            <w:r>
              <w:rPr>
                <w:rFonts w:eastAsia="Times New Roman"/>
                <w:i/>
                <w:szCs w:val="24"/>
                <w:u w:val="single"/>
              </w:rPr>
              <w:t>Сключване на договори</w:t>
            </w:r>
          </w:p>
          <w:p w:rsidR="00A85EB3" w:rsidRDefault="00B07D03">
            <w:pPr>
              <w:autoSpaceDE w:val="0"/>
              <w:autoSpaceDN w:val="0"/>
              <w:adjustRightInd w:val="0"/>
              <w:spacing w:line="276" w:lineRule="auto"/>
              <w:rPr>
                <w:rFonts w:eastAsia="Times New Roman"/>
                <w:szCs w:val="24"/>
                <w:lang w:val="en-US" w:eastAsia="ar-SA"/>
              </w:rPr>
            </w:pPr>
            <w:r>
              <w:rPr>
                <w:rFonts w:eastAsia="Times New Roman"/>
                <w:szCs w:val="24"/>
                <w:lang w:eastAsia="ar-SA"/>
              </w:rPr>
              <w:t xml:space="preserve">На основата на решението на СКН УО пристъпва към провеждане на процедура за сключване на договори за субсидиране с водещите бенефициенти. Преди сключване на договорите УО, НО и СС извършват посещения на предложените за финансиране инвестиции и организират преговори по всички предложения, одобрени за финансиране. </w:t>
            </w:r>
          </w:p>
          <w:p w:rsidR="00A85EB3" w:rsidRDefault="00B07D03">
            <w:pPr>
              <w:autoSpaceDE w:val="0"/>
              <w:autoSpaceDN w:val="0"/>
              <w:adjustRightInd w:val="0"/>
              <w:spacing w:line="276" w:lineRule="auto"/>
              <w:rPr>
                <w:rFonts w:eastAsia="Times New Roman"/>
                <w:szCs w:val="24"/>
                <w:lang w:val="en-US" w:eastAsia="ar-SA"/>
              </w:rPr>
            </w:pPr>
            <w:r>
              <w:rPr>
                <w:rFonts w:eastAsia="Times New Roman"/>
                <w:szCs w:val="24"/>
                <w:lang w:eastAsia="ar-SA"/>
              </w:rPr>
              <w:t xml:space="preserve">Договорите с водещите бенефициенти се изготвят по одобрен формуляр-образец на стандартен договор за субсидиране с приложения. Изпълнението на дейностите по проекта може да започне само след подписването на договорите както от УО, така и от водещия бенефициент. </w:t>
            </w:r>
          </w:p>
          <w:p w:rsidR="00A85EB3" w:rsidRDefault="00B07D03">
            <w:pPr>
              <w:suppressAutoHyphens/>
              <w:autoSpaceDN w:val="0"/>
              <w:spacing w:line="276" w:lineRule="auto"/>
              <w:jc w:val="left"/>
              <w:textAlignment w:val="baseline"/>
              <w:rPr>
                <w:rFonts w:eastAsia="Times New Roman"/>
                <w:b/>
                <w:szCs w:val="24"/>
                <w:u w:val="single"/>
                <w:lang w:val="en-US"/>
              </w:rPr>
            </w:pPr>
            <w:r>
              <w:rPr>
                <w:rFonts w:eastAsia="Times New Roman"/>
                <w:b/>
                <w:szCs w:val="24"/>
                <w:u w:val="single"/>
              </w:rPr>
              <w:t xml:space="preserve">Система за управление и контрол </w:t>
            </w:r>
          </w:p>
          <w:p w:rsidR="00A85EB3" w:rsidRDefault="00B07D03">
            <w:pPr>
              <w:autoSpaceDE w:val="0"/>
              <w:autoSpaceDN w:val="0"/>
              <w:adjustRightInd w:val="0"/>
              <w:spacing w:line="276" w:lineRule="auto"/>
              <w:rPr>
                <w:rFonts w:eastAsia="Times New Roman"/>
                <w:szCs w:val="24"/>
                <w:lang w:val="en-US" w:eastAsia="ar-SA"/>
              </w:rPr>
            </w:pPr>
            <w:r>
              <w:rPr>
                <w:rFonts w:eastAsia="Times New Roman"/>
                <w:szCs w:val="24"/>
                <w:lang w:eastAsia="ar-SA"/>
              </w:rPr>
              <w:t xml:space="preserve">Системите за управление и контрол на програмата се създават в съответствие с член 47 на Регламента за изпълнение (ЕС) № 447/214 на Комисията от 2 май 2014 г. и съответно членове 72, 73 и 74, 122(1) и (3), 128 и 148 на Регламент (ЕС) № 1303/2013. </w:t>
            </w:r>
          </w:p>
          <w:p w:rsidR="00A85EB3" w:rsidRDefault="00B07D03">
            <w:pPr>
              <w:autoSpaceDE w:val="0"/>
              <w:autoSpaceDN w:val="0"/>
              <w:adjustRightInd w:val="0"/>
              <w:spacing w:line="276" w:lineRule="auto"/>
              <w:rPr>
                <w:rFonts w:eastAsia="Times New Roman"/>
                <w:szCs w:val="24"/>
                <w:lang w:val="en-US" w:eastAsia="ar-SA"/>
              </w:rPr>
            </w:pPr>
            <w:r>
              <w:rPr>
                <w:rFonts w:eastAsia="Times New Roman"/>
                <w:szCs w:val="24"/>
                <w:lang w:eastAsia="ar-SA"/>
              </w:rPr>
              <w:t>УО следва да гарантира, че системата за управление и контрол на програмата е създадена съобразно конкретните правила за ИПП и че тези системи функционират ефективно.</w:t>
            </w:r>
          </w:p>
          <w:p w:rsidR="00A85EB3" w:rsidRDefault="00B07D03">
            <w:pPr>
              <w:suppressAutoHyphens/>
              <w:autoSpaceDN w:val="0"/>
              <w:spacing w:line="276" w:lineRule="auto"/>
              <w:jc w:val="left"/>
              <w:textAlignment w:val="baseline"/>
              <w:rPr>
                <w:rFonts w:eastAsia="Times New Roman"/>
                <w:i/>
                <w:szCs w:val="24"/>
                <w:u w:val="single"/>
                <w:lang w:val="en-US"/>
              </w:rPr>
            </w:pPr>
            <w:r>
              <w:rPr>
                <w:rFonts w:eastAsia="Times New Roman"/>
                <w:i/>
                <w:szCs w:val="24"/>
                <w:u w:val="single"/>
              </w:rPr>
              <w:t xml:space="preserve">Система за </w:t>
            </w:r>
            <w:r w:rsidR="009B7D77">
              <w:rPr>
                <w:rFonts w:eastAsia="Times New Roman"/>
                <w:i/>
                <w:szCs w:val="24"/>
                <w:u w:val="single"/>
              </w:rPr>
              <w:t>Първо ниво на контрол</w:t>
            </w:r>
            <w:r>
              <w:rPr>
                <w:rFonts w:eastAsia="Times New Roman"/>
                <w:i/>
                <w:szCs w:val="24"/>
                <w:u w:val="single"/>
              </w:rPr>
              <w:t xml:space="preserve"> </w:t>
            </w:r>
          </w:p>
          <w:p w:rsidR="00A85EB3" w:rsidRDefault="00B07D03">
            <w:pPr>
              <w:widowControl w:val="0"/>
              <w:suppressAutoHyphens/>
              <w:spacing w:line="276" w:lineRule="auto"/>
              <w:rPr>
                <w:rFonts w:eastAsia="Times New Roman"/>
                <w:szCs w:val="24"/>
                <w:lang w:val="en-US" w:eastAsia="ar-SA"/>
              </w:rPr>
            </w:pPr>
            <w:r>
              <w:rPr>
                <w:rFonts w:eastAsia="Times New Roman"/>
                <w:szCs w:val="24"/>
                <w:lang w:eastAsia="ar-SA"/>
              </w:rPr>
              <w:t>Съгласно член 23 (4) Регламент (ЕС) № 1299/2013 и член 125 (4) (a) на Регламент (ЕС) № 1303/2013, всяко участваща страна определя органа или лицето, отговорно за извършване на проверка на разходите за дейността по отношение на бенефициентите на своята територия („контрольор(и)“).</w:t>
            </w:r>
          </w:p>
          <w:p w:rsidR="00A85EB3" w:rsidRDefault="00B07D03">
            <w:pPr>
              <w:widowControl w:val="0"/>
              <w:suppressAutoHyphens/>
              <w:spacing w:line="276" w:lineRule="auto"/>
              <w:rPr>
                <w:rFonts w:eastAsia="Times New Roman"/>
                <w:szCs w:val="24"/>
                <w:lang w:val="en-US" w:eastAsia="ar-SA"/>
              </w:rPr>
            </w:pPr>
            <w:r>
              <w:rPr>
                <w:rFonts w:eastAsia="Times New Roman"/>
                <w:szCs w:val="24"/>
                <w:lang w:eastAsia="ar-SA"/>
              </w:rPr>
              <w:t>Контрольорът(</w:t>
            </w:r>
            <w:proofErr w:type="spellStart"/>
            <w:r>
              <w:rPr>
                <w:rFonts w:eastAsia="Times New Roman"/>
                <w:szCs w:val="24"/>
                <w:lang w:eastAsia="ar-SA"/>
              </w:rPr>
              <w:t>ите</w:t>
            </w:r>
            <w:proofErr w:type="spellEnd"/>
            <w:r>
              <w:rPr>
                <w:rFonts w:eastAsia="Times New Roman"/>
                <w:szCs w:val="24"/>
                <w:lang w:eastAsia="ar-SA"/>
              </w:rPr>
              <w:t xml:space="preserve">) осигуряват контрол и проверка на: </w:t>
            </w:r>
          </w:p>
          <w:p w:rsidR="00A85EB3" w:rsidRDefault="00B07D03">
            <w:pPr>
              <w:pStyle w:val="ListParagraph"/>
              <w:numPr>
                <w:ilvl w:val="0"/>
                <w:numId w:val="79"/>
              </w:numPr>
              <w:autoSpaceDE w:val="0"/>
              <w:autoSpaceDN w:val="0"/>
              <w:adjustRightInd w:val="0"/>
              <w:spacing w:line="276" w:lineRule="auto"/>
              <w:rPr>
                <w:szCs w:val="24"/>
                <w:lang w:val="en-US"/>
              </w:rPr>
            </w:pPr>
            <w:r>
              <w:rPr>
                <w:szCs w:val="24"/>
              </w:rPr>
              <w:lastRenderedPageBreak/>
              <w:t>изпълнението на продуктите и услугите;</w:t>
            </w:r>
          </w:p>
          <w:p w:rsidR="00A85EB3" w:rsidRDefault="00B07D03">
            <w:pPr>
              <w:pStyle w:val="ListParagraph"/>
              <w:numPr>
                <w:ilvl w:val="0"/>
                <w:numId w:val="79"/>
              </w:numPr>
              <w:autoSpaceDE w:val="0"/>
              <w:autoSpaceDN w:val="0"/>
              <w:adjustRightInd w:val="0"/>
              <w:spacing w:line="276" w:lineRule="auto"/>
              <w:rPr>
                <w:szCs w:val="24"/>
                <w:lang w:val="en-US"/>
              </w:rPr>
            </w:pPr>
            <w:r>
              <w:rPr>
                <w:szCs w:val="24"/>
              </w:rPr>
              <w:t>обосноваността на разходите, заявени за дейностите, извършени от съответния бенефициент;</w:t>
            </w:r>
          </w:p>
          <w:p w:rsidR="00A85EB3" w:rsidRDefault="00B07D03">
            <w:pPr>
              <w:pStyle w:val="ListParagraph"/>
              <w:numPr>
                <w:ilvl w:val="0"/>
                <w:numId w:val="79"/>
              </w:numPr>
              <w:autoSpaceDE w:val="0"/>
              <w:autoSpaceDN w:val="0"/>
              <w:adjustRightInd w:val="0"/>
              <w:spacing w:line="276" w:lineRule="auto"/>
              <w:rPr>
                <w:szCs w:val="24"/>
                <w:lang w:val="en-US"/>
              </w:rPr>
            </w:pPr>
            <w:r>
              <w:rPr>
                <w:szCs w:val="24"/>
              </w:rPr>
              <w:t xml:space="preserve">съответствието на тези разходи, свързаните дейности, както и тръжните процедури с правилата на Общността и, когато това е уместно, с националните правила; </w:t>
            </w:r>
          </w:p>
          <w:p w:rsidR="00A85EB3" w:rsidRDefault="00B07D03">
            <w:pPr>
              <w:pStyle w:val="ListParagraph"/>
              <w:numPr>
                <w:ilvl w:val="0"/>
                <w:numId w:val="79"/>
              </w:numPr>
              <w:autoSpaceDE w:val="0"/>
              <w:autoSpaceDN w:val="0"/>
              <w:adjustRightInd w:val="0"/>
              <w:spacing w:line="276" w:lineRule="auto"/>
              <w:rPr>
                <w:i/>
                <w:szCs w:val="24"/>
                <w:lang w:val="en-US"/>
              </w:rPr>
            </w:pPr>
            <w:r>
              <w:rPr>
                <w:szCs w:val="24"/>
              </w:rPr>
              <w:t>съответствието на тези разходи, свързаните дейности и част от дейностите с допустимите разходи, посочени в заявлението.</w:t>
            </w:r>
          </w:p>
          <w:p w:rsidR="00A85EB3" w:rsidRDefault="00B07D03">
            <w:pPr>
              <w:widowControl w:val="0"/>
              <w:suppressAutoHyphens/>
              <w:spacing w:line="276" w:lineRule="auto"/>
              <w:rPr>
                <w:rFonts w:eastAsia="Times New Roman"/>
                <w:szCs w:val="24"/>
                <w:lang w:val="en-US" w:eastAsia="ar-SA"/>
              </w:rPr>
            </w:pPr>
            <w:r>
              <w:rPr>
                <w:rFonts w:eastAsia="Times New Roman"/>
                <w:szCs w:val="24"/>
                <w:lang w:eastAsia="ar-SA"/>
              </w:rPr>
              <w:t xml:space="preserve">В </w:t>
            </w:r>
            <w:r>
              <w:rPr>
                <w:rFonts w:eastAsia="Times New Roman"/>
                <w:b/>
                <w:szCs w:val="24"/>
                <w:lang w:eastAsia="ar-SA"/>
              </w:rPr>
              <w:t xml:space="preserve">България </w:t>
            </w:r>
            <w:r>
              <w:rPr>
                <w:rFonts w:eastAsia="Times New Roman"/>
                <w:szCs w:val="24"/>
                <w:lang w:eastAsia="ar-SA"/>
              </w:rPr>
              <w:t xml:space="preserve">се създава децентрализирана система за </w:t>
            </w:r>
            <w:r w:rsidR="009B7D77">
              <w:rPr>
                <w:rFonts w:eastAsia="Times New Roman"/>
                <w:szCs w:val="24"/>
                <w:lang w:eastAsia="ar-SA"/>
              </w:rPr>
              <w:t>Първо ниво на контрол</w:t>
            </w:r>
            <w:r>
              <w:rPr>
                <w:rFonts w:eastAsia="Times New Roman"/>
                <w:szCs w:val="24"/>
                <w:lang w:eastAsia="ar-SA"/>
              </w:rPr>
              <w:t xml:space="preserve">. Министърът на регионалното развитие или лице, упълномощено от него/нея, възлага задачите </w:t>
            </w:r>
            <w:r w:rsidR="009B7D77">
              <w:rPr>
                <w:rFonts w:eastAsia="Times New Roman"/>
                <w:szCs w:val="24"/>
                <w:lang w:eastAsia="ar-SA"/>
              </w:rPr>
              <w:t>за Първо ниво на контрол</w:t>
            </w:r>
            <w:r>
              <w:rPr>
                <w:rFonts w:eastAsia="Times New Roman"/>
                <w:szCs w:val="24"/>
                <w:lang w:eastAsia="ar-SA"/>
              </w:rPr>
              <w:t xml:space="preserve"> на контрольора(</w:t>
            </w:r>
            <w:proofErr w:type="spellStart"/>
            <w:r>
              <w:rPr>
                <w:rFonts w:eastAsia="Times New Roman"/>
                <w:szCs w:val="24"/>
                <w:lang w:eastAsia="ar-SA"/>
              </w:rPr>
              <w:t>ите</w:t>
            </w:r>
            <w:proofErr w:type="spellEnd"/>
            <w:r>
              <w:rPr>
                <w:rFonts w:eastAsia="Times New Roman"/>
                <w:szCs w:val="24"/>
                <w:lang w:eastAsia="ar-SA"/>
              </w:rPr>
              <w:t xml:space="preserve">) съгласно действащото законодателство за обществените поръчки или съществуващия кодекс на труда.  </w:t>
            </w:r>
          </w:p>
          <w:p w:rsidR="00A85EB3" w:rsidRDefault="00B07D03">
            <w:pPr>
              <w:widowControl w:val="0"/>
              <w:suppressAutoHyphens/>
              <w:spacing w:line="276" w:lineRule="auto"/>
              <w:rPr>
                <w:rFonts w:eastAsia="Times New Roman"/>
                <w:szCs w:val="24"/>
                <w:lang w:val="en-US" w:eastAsia="ar-SA"/>
              </w:rPr>
            </w:pPr>
            <w:r>
              <w:rPr>
                <w:rFonts w:eastAsia="Times New Roman"/>
                <w:szCs w:val="24"/>
                <w:lang w:eastAsia="ar-SA"/>
              </w:rPr>
              <w:t xml:space="preserve">В наръчника за </w:t>
            </w:r>
            <w:r w:rsidR="009B7D77">
              <w:rPr>
                <w:rFonts w:eastAsia="Times New Roman"/>
                <w:szCs w:val="24"/>
                <w:lang w:eastAsia="ar-SA"/>
              </w:rPr>
              <w:t>Първо ниво на контрол</w:t>
            </w:r>
            <w:r>
              <w:rPr>
                <w:rFonts w:eastAsia="Times New Roman"/>
                <w:szCs w:val="24"/>
                <w:lang w:eastAsia="ar-SA"/>
              </w:rPr>
              <w:t xml:space="preserve"> и в другите съответни документи се определят стандартни правила за извършване на контролните дейности. </w:t>
            </w:r>
          </w:p>
          <w:p w:rsidR="00A85EB3" w:rsidRDefault="00B07D03">
            <w:pPr>
              <w:widowControl w:val="0"/>
              <w:suppressAutoHyphens/>
              <w:spacing w:line="276" w:lineRule="auto"/>
              <w:rPr>
                <w:rFonts w:eastAsia="Times New Roman"/>
                <w:szCs w:val="24"/>
                <w:lang w:val="en-US" w:eastAsia="ar-SA"/>
              </w:rPr>
            </w:pPr>
            <w:r>
              <w:rPr>
                <w:rFonts w:eastAsia="Times New Roman"/>
                <w:szCs w:val="24"/>
                <w:lang w:eastAsia="ar-SA"/>
              </w:rPr>
              <w:t xml:space="preserve">Разходите за проверките на </w:t>
            </w:r>
            <w:r w:rsidR="009B7D77">
              <w:rPr>
                <w:rFonts w:eastAsia="Times New Roman"/>
                <w:szCs w:val="24"/>
                <w:lang w:eastAsia="ar-SA"/>
              </w:rPr>
              <w:t>Първо ниво на контрол</w:t>
            </w:r>
            <w:r>
              <w:rPr>
                <w:rFonts w:eastAsia="Times New Roman"/>
                <w:szCs w:val="24"/>
                <w:lang w:eastAsia="ar-SA"/>
              </w:rPr>
              <w:t xml:space="preserve"> се покриват от бюджета на програмата по ПО „Техническа помощ“.</w:t>
            </w:r>
          </w:p>
          <w:p w:rsidR="00A85EB3" w:rsidRDefault="00B07D03">
            <w:pPr>
              <w:widowControl w:val="0"/>
              <w:suppressAutoHyphens/>
              <w:spacing w:line="276" w:lineRule="auto"/>
              <w:rPr>
                <w:rFonts w:eastAsia="Times New Roman"/>
                <w:szCs w:val="24"/>
                <w:lang w:val="en-US" w:eastAsia="ar-SA"/>
              </w:rPr>
            </w:pPr>
            <w:r>
              <w:rPr>
                <w:rFonts w:eastAsia="Times New Roman"/>
                <w:b/>
                <w:szCs w:val="24"/>
                <w:lang w:eastAsia="ar-SA"/>
              </w:rPr>
              <w:t xml:space="preserve">Турция </w:t>
            </w:r>
            <w:r>
              <w:rPr>
                <w:rFonts w:eastAsia="Times New Roman"/>
                <w:szCs w:val="24"/>
                <w:lang w:eastAsia="ar-SA"/>
              </w:rPr>
              <w:t xml:space="preserve">създава децентрализирана система за контрол. В националния наръчник за </w:t>
            </w:r>
            <w:r w:rsidR="009B7D77">
              <w:rPr>
                <w:rFonts w:eastAsia="Times New Roman"/>
                <w:szCs w:val="24"/>
                <w:lang w:eastAsia="ar-SA"/>
              </w:rPr>
              <w:t>Първо ниво на контрол</w:t>
            </w:r>
            <w:r>
              <w:rPr>
                <w:rFonts w:eastAsia="Times New Roman"/>
                <w:szCs w:val="24"/>
                <w:lang w:eastAsia="ar-SA"/>
              </w:rPr>
              <w:t xml:space="preserve"> и в другите съответни документи се определят стандартни правила за извършване на контролните дейности.</w:t>
            </w:r>
            <w:r>
              <w:rPr>
                <w:rFonts w:ascii="Arial" w:eastAsia="Times New Roman" w:hAnsi="Arial" w:cs="Arial"/>
                <w:sz w:val="20"/>
                <w:lang w:eastAsia="ar-SA"/>
              </w:rPr>
              <w:t xml:space="preserve"> </w:t>
            </w:r>
            <w:r>
              <w:rPr>
                <w:rFonts w:eastAsia="Times New Roman"/>
                <w:szCs w:val="24"/>
                <w:lang w:eastAsia="ar-SA"/>
              </w:rPr>
              <w:t xml:space="preserve">Разходите за проверките на </w:t>
            </w:r>
            <w:r w:rsidR="009B7D77">
              <w:rPr>
                <w:rFonts w:eastAsia="Times New Roman"/>
                <w:szCs w:val="24"/>
                <w:lang w:eastAsia="ar-SA"/>
              </w:rPr>
              <w:t>Първо ниво на контрол</w:t>
            </w:r>
            <w:r>
              <w:rPr>
                <w:rFonts w:eastAsia="Times New Roman"/>
                <w:szCs w:val="24"/>
                <w:lang w:eastAsia="ar-SA"/>
              </w:rPr>
              <w:t xml:space="preserve"> се покриват от бюджета на програмата по ПО „Техническа помощ“.</w:t>
            </w:r>
          </w:p>
          <w:p w:rsidR="00A85EB3" w:rsidRDefault="00B07D03">
            <w:pPr>
              <w:suppressAutoHyphens/>
              <w:autoSpaceDN w:val="0"/>
              <w:spacing w:line="276" w:lineRule="auto"/>
              <w:jc w:val="left"/>
              <w:textAlignment w:val="baseline"/>
              <w:rPr>
                <w:rFonts w:eastAsia="Times New Roman"/>
                <w:b/>
                <w:szCs w:val="24"/>
                <w:u w:val="single"/>
                <w:lang w:val="en-US"/>
              </w:rPr>
            </w:pPr>
            <w:r>
              <w:rPr>
                <w:rFonts w:eastAsia="Times New Roman"/>
                <w:b/>
                <w:szCs w:val="24"/>
                <w:u w:val="single"/>
              </w:rPr>
              <w:t xml:space="preserve">Финансово управление </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 xml:space="preserve">УО ще отговаря за управлението на оперативната програма в съответствие с принципа на доброто финансово управление. </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 xml:space="preserve">УО извършва плащания на водещия бенефициент в съответствие с член 132 на Регламент (ЕС) </w:t>
            </w:r>
            <w:proofErr w:type="spellStart"/>
            <w:r>
              <w:rPr>
                <w:rFonts w:eastAsia="Times New Roman"/>
                <w:szCs w:val="24"/>
              </w:rPr>
              <w:t>No</w:t>
            </w:r>
            <w:proofErr w:type="spellEnd"/>
            <w:r>
              <w:rPr>
                <w:rFonts w:eastAsia="Times New Roman"/>
                <w:szCs w:val="24"/>
              </w:rPr>
              <w:t xml:space="preserve">. 1303/2013 (след това водещият бенефициент отговаря за превеждане на финансирането по ИПП на своите партньори по проекта). НО (във връзка с Приоритетна ос „Техническа помощ“) извършва плащания на крайните бенефициенти на ИПП и съответното турско национално </w:t>
            </w:r>
            <w:proofErr w:type="spellStart"/>
            <w:r>
              <w:rPr>
                <w:rFonts w:eastAsia="Times New Roman"/>
                <w:szCs w:val="24"/>
              </w:rPr>
              <w:t>съфинансиране</w:t>
            </w:r>
            <w:proofErr w:type="spellEnd"/>
            <w:r>
              <w:rPr>
                <w:rFonts w:eastAsia="Times New Roman"/>
                <w:szCs w:val="24"/>
              </w:rPr>
              <w:t>.</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 xml:space="preserve">МА създава процедури за осигуряване на това всички документи, свързани с разходи и одити, необходими за осигуряване на подходяща </w:t>
            </w:r>
            <w:proofErr w:type="spellStart"/>
            <w:r>
              <w:rPr>
                <w:rFonts w:eastAsia="Times New Roman"/>
                <w:szCs w:val="24"/>
              </w:rPr>
              <w:t>одитна</w:t>
            </w:r>
            <w:proofErr w:type="spellEnd"/>
            <w:r>
              <w:rPr>
                <w:rFonts w:eastAsia="Times New Roman"/>
                <w:szCs w:val="24"/>
              </w:rPr>
              <w:t xml:space="preserve"> следа, да се съхраняват съобразно член 72 (g) на Регламент (ЕС) № 1303/2013.</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 xml:space="preserve">УО осигурява обобщаването на информацията за плащанията и представя редовно на СО доклад за сертифициране и отчет за разходите. </w:t>
            </w:r>
          </w:p>
          <w:p w:rsidR="00A85EB3" w:rsidRDefault="00B07D03">
            <w:pPr>
              <w:suppressAutoHyphens/>
              <w:autoSpaceDN w:val="0"/>
              <w:spacing w:line="276" w:lineRule="auto"/>
              <w:jc w:val="left"/>
              <w:textAlignment w:val="baseline"/>
              <w:rPr>
                <w:rFonts w:eastAsia="Times New Roman"/>
                <w:b/>
                <w:szCs w:val="24"/>
                <w:u w:val="single"/>
                <w:lang w:val="en-US"/>
              </w:rPr>
            </w:pPr>
            <w:r>
              <w:rPr>
                <w:rFonts w:eastAsia="Times New Roman"/>
                <w:b/>
                <w:szCs w:val="24"/>
                <w:u w:val="single"/>
              </w:rPr>
              <w:t>Наблюдение</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lastRenderedPageBreak/>
              <w:t>УО, НО и СКН осигуряват качеството на изпълнението на програмата в съответствие с принципа на доброто финансово управление. СКН наблюдава изпълнението на програмата и осигурява постигането на целите на програмата чрез рационално използване на отпуснатите средства. Наблюдението се извършва чрез съпоставяне на показателите, посочени тук.</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 xml:space="preserve">Инструментите, използвани за наблюдението на програмата, са годишните доклади (и окончателния доклад) за изпълнението, както е посочено в член 14 на Регламент (ЕС) № 1299/2013. Годишните доклади (и окончателният доклад) се съставят от СС, проверяват се от УО и се одобряват от СКН преди да бъдат представени на Комисията. Задачите по отчитане, информация и комуникация се изпълняват съгласно член 42 на Регламент (ЕО) № 447/2014. </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Наблюдението на програмата се извършва чрез Информационната система за управление, която предоставя техническа и финансова информация за всеки конкретен проект. Отчитането се извършва от водещия бенефициент от името на всички партньори чрез периодични и окончателен доклади до СС. СС проверява съответствието на докладите със заявлението по проекта. Данните от докладите се съхраняват в системата за управление, която от своя страна на тяхна основа създава годишни доклади за изпълнението, които се представят на Европейската комисия.</w:t>
            </w:r>
          </w:p>
          <w:p w:rsidR="00A85EB3" w:rsidRDefault="00B07D03">
            <w:pPr>
              <w:suppressAutoHyphens/>
              <w:autoSpaceDN w:val="0"/>
              <w:spacing w:line="276" w:lineRule="auto"/>
              <w:jc w:val="left"/>
              <w:textAlignment w:val="baseline"/>
              <w:rPr>
                <w:rFonts w:eastAsia="Times New Roman"/>
                <w:b/>
                <w:szCs w:val="24"/>
                <w:u w:val="single"/>
                <w:lang w:val="en-US"/>
              </w:rPr>
            </w:pPr>
            <w:r>
              <w:rPr>
                <w:rFonts w:eastAsia="Times New Roman"/>
                <w:b/>
                <w:szCs w:val="24"/>
                <w:u w:val="single"/>
              </w:rPr>
              <w:t>Оценка на програмата</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Програмата е преминала предварителна (</w:t>
            </w:r>
            <w:proofErr w:type="spellStart"/>
            <w:r>
              <w:rPr>
                <w:rFonts w:eastAsia="Times New Roman"/>
                <w:szCs w:val="24"/>
              </w:rPr>
              <w:t>ex-ante</w:t>
            </w:r>
            <w:proofErr w:type="spellEnd"/>
            <w:r>
              <w:rPr>
                <w:rFonts w:eastAsia="Times New Roman"/>
                <w:szCs w:val="24"/>
              </w:rPr>
              <w:t xml:space="preserve">) оценка от външни оценители, за да се подобри общото ѝ качество и да бъде оптимизирано разпределението на финансовите ресурси . Оценките се извършват от вътрешни или външни експерти, които са функционално независими от органите, отговарящи за изпълнението на програмата. Всички оценки се оповестяват публично. Разпоредбите на член 41 на Регламент (ЕО) № 447/2014 се прилагат изцяло. </w:t>
            </w:r>
          </w:p>
          <w:p w:rsidR="00A85EB3" w:rsidRDefault="00B07D03">
            <w:pPr>
              <w:autoSpaceDE w:val="0"/>
              <w:autoSpaceDN w:val="0"/>
              <w:adjustRightInd w:val="0"/>
              <w:spacing w:line="276" w:lineRule="auto"/>
              <w:rPr>
                <w:rFonts w:eastAsia="Times New Roman"/>
                <w:szCs w:val="24"/>
                <w:lang w:val="en-US"/>
              </w:rPr>
            </w:pPr>
            <w:r>
              <w:rPr>
                <w:rFonts w:eastAsia="Times New Roman"/>
                <w:szCs w:val="24"/>
              </w:rPr>
              <w:t xml:space="preserve">Участващите страни съвместно са извършили </w:t>
            </w:r>
            <w:r>
              <w:rPr>
                <w:rFonts w:eastAsia="Times New Roman"/>
                <w:i/>
                <w:iCs/>
                <w:szCs w:val="24"/>
              </w:rPr>
              <w:t xml:space="preserve">предварителна </w:t>
            </w:r>
            <w:r>
              <w:rPr>
                <w:rFonts w:eastAsia="Times New Roman"/>
                <w:szCs w:val="24"/>
              </w:rPr>
              <w:t>оценка в съответствие с член 55 на Регламент (ЕС) № 1303/2013. Предварителната оценка е извършена от външни експерти, които са функционално независими от органите, отговарящи за изготвянето на програмата. Препоръките на екипа за предварителна проверка са взети под внимание в хода на процеса на разработване на програмата.</w:t>
            </w:r>
          </w:p>
          <w:p w:rsidR="00A85EB3" w:rsidRDefault="00B07D03">
            <w:pPr>
              <w:widowControl w:val="0"/>
              <w:spacing w:line="276" w:lineRule="auto"/>
              <w:rPr>
                <w:rFonts w:eastAsia="Times New Roman"/>
                <w:lang w:val="en-US" w:eastAsia="fr-BE"/>
              </w:rPr>
            </w:pPr>
            <w:r>
              <w:rPr>
                <w:rFonts w:eastAsia="Times New Roman"/>
                <w:szCs w:val="24"/>
              </w:rPr>
              <w:t xml:space="preserve">По време на програмния период УО осигурява оценка(и) за оценяване на ефективността, ефикасността и въздействието на изпълнението на програмата на основата на план за оценки и </w:t>
            </w:r>
            <w:proofErr w:type="spellStart"/>
            <w:r>
              <w:rPr>
                <w:rFonts w:eastAsia="Times New Roman"/>
                <w:szCs w:val="24"/>
              </w:rPr>
              <w:t>последващи</w:t>
            </w:r>
            <w:proofErr w:type="spellEnd"/>
            <w:r>
              <w:rPr>
                <w:rFonts w:eastAsia="Times New Roman"/>
                <w:szCs w:val="24"/>
              </w:rPr>
              <w:t xml:space="preserve"> действия. Най-малко веднъж по време на програмния период трябва да се направи оценка на това как помощта със средства по програмата е допринесла за постигане на целите по всяка приоритетна ос. Всички оценки трябва да бъдат разгледани от СКН и изпратени до Комисията.</w:t>
            </w:r>
          </w:p>
        </w:tc>
      </w:tr>
    </w:tbl>
    <w:p w:rsidR="00A85EB3" w:rsidRDefault="00A85EB3">
      <w:pPr>
        <w:spacing w:after="240"/>
        <w:ind w:left="720" w:hanging="720"/>
        <w:rPr>
          <w:rFonts w:eastAsia="Times New Roman"/>
          <w:b/>
          <w:lang w:val="en-US"/>
        </w:rPr>
      </w:pPr>
    </w:p>
    <w:p w:rsidR="00A85EB3" w:rsidRDefault="00B07D03">
      <w:pPr>
        <w:pStyle w:val="Heading2"/>
        <w:numPr>
          <w:ilvl w:val="0"/>
          <w:numId w:val="0"/>
        </w:numPr>
        <w:ind w:left="850" w:hanging="850"/>
        <w:rPr>
          <w:lang w:val="en-US"/>
        </w:rPr>
      </w:pPr>
      <w:bookmarkStart w:id="85" w:name="_Toc408234929"/>
      <w:r>
        <w:lastRenderedPageBreak/>
        <w:t>5.5</w:t>
      </w:r>
      <w:r>
        <w:tab/>
        <w:t>Разпределение на задълженията сред държавите–партньори в случай на финансови корекции, наложени от управляващия орган или Комисията</w:t>
      </w:r>
      <w:bookmarkEnd w:id="85"/>
    </w:p>
    <w:p w:rsidR="00A85EB3" w:rsidRDefault="00B07D03">
      <w:pPr>
        <w:suppressAutoHyphens/>
        <w:spacing w:after="240"/>
        <w:ind w:left="720" w:hanging="720"/>
        <w:rPr>
          <w:rFonts w:eastAsia="Times New Roman"/>
          <w:lang w:val="en-US"/>
        </w:rPr>
      </w:pPr>
      <w:r>
        <w:rPr>
          <w:rFonts w:eastAsia="Times New Roman"/>
        </w:rPr>
        <w:t xml:space="preserve">(Източник: </w:t>
      </w:r>
      <w:r>
        <w:t xml:space="preserve">буква(a)(vi) на </w:t>
      </w:r>
      <w:r>
        <w:rPr>
          <w:rFonts w:eastAsia="Times New Roman"/>
        </w:rPr>
        <w:t>чл. 8(4) от Регламент (ЕС) № 1299/2013)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FB701A" w:rsidRPr="00981F6F" w:rsidTr="00D17A3D">
        <w:tc>
          <w:tcPr>
            <w:tcW w:w="8834" w:type="dxa"/>
            <w:shd w:val="clear" w:color="auto" w:fill="auto"/>
          </w:tcPr>
          <w:p w:rsidR="00A85EB3" w:rsidRDefault="00B07D03">
            <w:pPr>
              <w:spacing w:line="276" w:lineRule="auto"/>
              <w:rPr>
                <w:rFonts w:eastAsia="Times New Roman"/>
                <w:szCs w:val="24"/>
                <w:lang w:val="en-US"/>
              </w:rPr>
            </w:pPr>
            <w:r>
              <w:rPr>
                <w:rFonts w:eastAsia="Times New Roman"/>
                <w:szCs w:val="24"/>
              </w:rPr>
              <w:t xml:space="preserve">Всяка държава–партньор отговоря за разследване на нередности, допуснати от бенефициенти, намиращи се на нейна територия. В случай на системни нередности държавата–партньор разширява проверката си, за да обхване всички дейности, които са потенциално засегнати. Държавата–партньор извършва финансовите корекции във връзка с отделни или системни нередности, разкрити в дейностите или оперативната програма. Финансовите корекции представляват пълно или частично анулиране на публичното финансиране на дадена дейност или на оперативната програма. Финансовите корекции се отразяват в годишните отчети на УО за финансовата година, когато е взето решението за анулиране.  </w:t>
            </w:r>
          </w:p>
          <w:p w:rsidR="00A85EB3" w:rsidRDefault="00B07D03">
            <w:pPr>
              <w:spacing w:line="276" w:lineRule="auto"/>
              <w:rPr>
                <w:rFonts w:eastAsia="Times New Roman"/>
                <w:szCs w:val="24"/>
                <w:lang w:val="en-US"/>
              </w:rPr>
            </w:pPr>
            <w:r>
              <w:rPr>
                <w:rFonts w:eastAsia="Times New Roman"/>
                <w:szCs w:val="24"/>
              </w:rPr>
              <w:t xml:space="preserve">Управляващият орган трябва да осигури връщането от водещия бенефициент на всички суми, платени неправомерно. Бенефициентите трябва да възстановят на водещия бенефициент всички неправилно изплатени суми. Както в договора, който ще бъде подписан с водещия бенефициент, така и в споразумението за партньорство, което се подписва между партньорите, трябва да се включат специални разпоредби относно възстановяване на сумите, които са предмет на нередности. Програмата предоставя на бенефициентите образец на Споразумение за партньорство.  </w:t>
            </w:r>
          </w:p>
          <w:p w:rsidR="00A85EB3" w:rsidRDefault="00B07D03">
            <w:pPr>
              <w:spacing w:line="276" w:lineRule="auto"/>
              <w:rPr>
                <w:rFonts w:eastAsia="Times New Roman"/>
                <w:szCs w:val="24"/>
                <w:lang w:val="en-US"/>
              </w:rPr>
            </w:pPr>
            <w:r>
              <w:rPr>
                <w:rFonts w:eastAsia="Times New Roman"/>
                <w:szCs w:val="24"/>
              </w:rPr>
              <w:t xml:space="preserve">Ако водещият бенефициент не успее да осигури възстановяването от другите бенефициенти или УО не успее да осигури възстановяване от водещия бенефициент, държавата–партньор, на територията на която се намира въпросният бенефициент (НО в Турция), възстановява на Управляващия орган всички суми, изплатени неправилно на въпросния бенефициент. Тази задача на Националния орган трябва да бъде посочена в Договора за субсидия, който ще бъде сключен между водещия бенефициент и Управляващия орган.  УО отговаря за връщането на въпросните суми в общия бюджет на Съюза в съответствие с разпределението на задълженията сред участващите държави членки, изложено в програмата за сътрудничество.  </w:t>
            </w:r>
          </w:p>
          <w:p w:rsidR="00A85EB3" w:rsidRDefault="00B07D03">
            <w:pPr>
              <w:spacing w:line="276" w:lineRule="auto"/>
              <w:rPr>
                <w:rFonts w:eastAsia="Times New Roman"/>
                <w:szCs w:val="24"/>
                <w:lang w:val="en-US"/>
              </w:rPr>
            </w:pPr>
            <w:r>
              <w:rPr>
                <w:rFonts w:eastAsia="Times New Roman"/>
                <w:szCs w:val="24"/>
              </w:rPr>
              <w:t xml:space="preserve">Съгласно член 85 на Регламент (ЕС) № 1303/2013 (РОР), Комисията прави финансови корекции, като отменя целия или част от приноса на Съюза в дадена програма и извършва събиране от държавата–членка, с цел изключване от финансиране от Съюза на разходи, които са направени в нарушение на прило­жимото право на Съюза или националното право, включително по отношение на недостатъци в системите за управление и контрол, които са разкрити от Комисията или Европейската сметна палата. </w:t>
            </w:r>
          </w:p>
          <w:p w:rsidR="00A85EB3" w:rsidRDefault="00B07D03">
            <w:pPr>
              <w:widowControl w:val="0"/>
              <w:spacing w:line="276" w:lineRule="auto"/>
              <w:rPr>
                <w:rFonts w:eastAsia="Times New Roman"/>
                <w:i/>
                <w:lang w:val="en-US" w:eastAsia="fr-BE"/>
              </w:rPr>
            </w:pPr>
            <w:r>
              <w:rPr>
                <w:rFonts w:eastAsia="Times New Roman"/>
                <w:szCs w:val="24"/>
              </w:rPr>
              <w:t xml:space="preserve">В случай на финансови корекции от Комисията поради системни нередности двете държави–партньори се задължават да разделят сумата помежду си пропорционално на одобрените бюджети за проектите и извършваните дейности от бенефициентите </w:t>
            </w:r>
            <w:r>
              <w:rPr>
                <w:rFonts w:eastAsia="Times New Roman"/>
                <w:szCs w:val="24"/>
              </w:rPr>
              <w:lastRenderedPageBreak/>
              <w:t>от България и Турция, засегнати от финансовите корекции. В случай на финансови корекции от Комисията поради случайни или необясними нередности двете държави–партньори се задължават да разследват всеки отделен случай. Финансовите корекции от страна на Комисията не засягат задължението на държавите–партньори да търсят възстановяване съгласно разпоредбите на действащите европейски регламенти.</w:t>
            </w:r>
            <w:r>
              <w:rPr>
                <w:rFonts w:ascii="Arial" w:eastAsia="Times New Roman" w:hAnsi="Arial"/>
                <w:bCs/>
                <w:sz w:val="20"/>
                <w:szCs w:val="24"/>
              </w:rPr>
              <w:t xml:space="preserve">     </w:t>
            </w:r>
          </w:p>
        </w:tc>
      </w:tr>
    </w:tbl>
    <w:p w:rsidR="00A85EB3" w:rsidRDefault="00A85EB3">
      <w:pPr>
        <w:spacing w:after="240"/>
        <w:rPr>
          <w:rFonts w:eastAsia="Times New Roman"/>
          <w:lang w:val="en-US"/>
        </w:rPr>
      </w:pPr>
    </w:p>
    <w:p w:rsidR="00A85EB3" w:rsidRDefault="00B07D03">
      <w:pPr>
        <w:spacing w:after="240"/>
        <w:rPr>
          <w:rFonts w:eastAsia="Times New Roman"/>
          <w:lang w:val="en-US"/>
        </w:rPr>
      </w:pPr>
      <w:bookmarkStart w:id="86" w:name="_Toc408234930"/>
      <w:r w:rsidRPr="00EE7C3F">
        <w:rPr>
          <w:rStyle w:val="Heading2Char"/>
          <w:rFonts w:eastAsia="Calibri"/>
        </w:rPr>
        <w:t xml:space="preserve">5.6 </w:t>
      </w:r>
      <w:r w:rsidRPr="00EE7C3F">
        <w:rPr>
          <w:rStyle w:val="Heading2Char"/>
          <w:rFonts w:eastAsia="Calibri"/>
        </w:rPr>
        <w:tab/>
        <w:t>Използване на еврото</w:t>
      </w:r>
      <w:bookmarkEnd w:id="86"/>
      <w:r>
        <w:rPr>
          <w:rFonts w:eastAsia="Times New Roman"/>
        </w:rPr>
        <w:t xml:space="preserve"> (където е приложимо)</w:t>
      </w:r>
    </w:p>
    <w:p w:rsidR="00A85EB3" w:rsidRDefault="00B07D03">
      <w:pPr>
        <w:spacing w:after="240"/>
        <w:rPr>
          <w:rFonts w:eastAsia="Times New Roman"/>
          <w:lang w:val="en-US"/>
        </w:rPr>
      </w:pPr>
      <w:r>
        <w:rPr>
          <w:rFonts w:eastAsia="Times New Roman"/>
        </w:rPr>
        <w:t>(Източник: чл. 28 от Регламент (ЕС) № 1299/2013)</w:t>
      </w:r>
    </w:p>
    <w:p w:rsidR="00A85EB3" w:rsidRDefault="00B07D03">
      <w:pPr>
        <w:spacing w:after="240"/>
        <w:rPr>
          <w:rFonts w:eastAsia="Times New Roman"/>
          <w:lang w:val="en-US"/>
        </w:rPr>
      </w:pPr>
      <w:r>
        <w:rPr>
          <w:rFonts w:eastAsia="Times New Roman"/>
        </w:rPr>
        <w:t>Метод, избран за преизчисляване на разходи, направени във валута различна от евро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3"/>
      </w:tblGrid>
      <w:tr w:rsidR="00FB701A" w:rsidRPr="00981F6F" w:rsidTr="00D17A3D">
        <w:tc>
          <w:tcPr>
            <w:tcW w:w="8834" w:type="dxa"/>
            <w:shd w:val="clear" w:color="auto" w:fill="auto"/>
          </w:tcPr>
          <w:p w:rsidR="00A85EB3" w:rsidRDefault="00B07D03">
            <w:pPr>
              <w:spacing w:line="276" w:lineRule="auto"/>
              <w:rPr>
                <w:rFonts w:eastAsia="Times New Roman"/>
                <w:i/>
                <w:lang w:val="en-US" w:eastAsia="fr-BE"/>
              </w:rPr>
            </w:pPr>
            <w:r>
              <w:rPr>
                <w:rFonts w:eastAsia="Times New Roman"/>
                <w:bCs/>
                <w:szCs w:val="24"/>
              </w:rPr>
              <w:t>Съгласно член 28 на Регламента за ЕТС разходите, извършени от партньори по проекти, намиращи се в страни, които са извън еврозоната, се превръщат в евро. Превръщането се прави от бенефициентите, като се използва месечния счетоводен обменен курс на Комисията за месеца, през който разходът е бил представен за проверка пред Управляващия орган или контрольора в съответствие с член 23 на този Регламент.</w:t>
            </w:r>
          </w:p>
        </w:tc>
      </w:tr>
    </w:tbl>
    <w:p w:rsidR="00A85EB3" w:rsidRDefault="00A85EB3">
      <w:pPr>
        <w:spacing w:after="240"/>
        <w:rPr>
          <w:rFonts w:eastAsia="Times New Roman"/>
          <w:b/>
          <w:lang w:val="en-US"/>
        </w:rPr>
      </w:pPr>
    </w:p>
    <w:p w:rsidR="00A85EB3" w:rsidRDefault="00B07D03">
      <w:pPr>
        <w:pStyle w:val="Heading2"/>
        <w:numPr>
          <w:ilvl w:val="0"/>
          <w:numId w:val="0"/>
        </w:numPr>
        <w:ind w:left="850" w:hanging="850"/>
        <w:rPr>
          <w:lang w:val="en-US"/>
        </w:rPr>
      </w:pPr>
      <w:bookmarkStart w:id="87" w:name="_Toc408234931"/>
      <w:r>
        <w:t>5.7</w:t>
      </w:r>
      <w:r>
        <w:tab/>
        <w:t>Участие на партньорите</w:t>
      </w:r>
      <w:bookmarkEnd w:id="87"/>
      <w:r>
        <w:t xml:space="preserve"> </w:t>
      </w:r>
    </w:p>
    <w:p w:rsidR="00A85EB3" w:rsidRDefault="00B07D03">
      <w:pPr>
        <w:spacing w:after="240"/>
        <w:rPr>
          <w:rFonts w:eastAsia="Times New Roman"/>
          <w:b/>
          <w:lang w:val="en-US"/>
        </w:rPr>
      </w:pPr>
      <w:r>
        <w:rPr>
          <w:rFonts w:eastAsia="Times New Roman"/>
        </w:rPr>
        <w:t xml:space="preserve">(Източник: </w:t>
      </w:r>
      <w:r>
        <w:t xml:space="preserve">буква(c) на </w:t>
      </w:r>
      <w:r>
        <w:rPr>
          <w:rFonts w:eastAsia="Times New Roman"/>
        </w:rPr>
        <w:t>чл. 8(4) от Регламент (ЕС) № 1299/2013)</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7"/>
      </w:tblGrid>
      <w:tr w:rsidR="00FB701A" w:rsidRPr="00981F6F" w:rsidTr="00D17A3D">
        <w:trPr>
          <w:trHeight w:val="588"/>
        </w:trPr>
        <w:tc>
          <w:tcPr>
            <w:tcW w:w="8867" w:type="dxa"/>
            <w:shd w:val="clear" w:color="auto" w:fill="auto"/>
          </w:tcPr>
          <w:p w:rsidR="00A85EB3" w:rsidRDefault="00B07D03">
            <w:pPr>
              <w:suppressAutoHyphens/>
              <w:spacing w:after="240"/>
              <w:rPr>
                <w:rFonts w:eastAsia="Times New Roman"/>
                <w:lang w:val="en-US"/>
              </w:rPr>
            </w:pPr>
            <w:r>
              <w:rPr>
                <w:rFonts w:eastAsia="Times New Roman"/>
              </w:rPr>
              <w:t xml:space="preserve">Действия, предприети за включване на посочените в член 5 на Регламент (ЕС) № 1303/2013 партньори в изготвянето на програмата за сътрудничество, и роля на тези партньори в изготвянето и изпълнението на програмата за сътрудничество, включително тяхното участие в Съвместния комитет за наблюдение </w:t>
            </w:r>
          </w:p>
          <w:p w:rsidR="00A85EB3" w:rsidRDefault="00B07D03">
            <w:pPr>
              <w:spacing w:line="276" w:lineRule="auto"/>
              <w:rPr>
                <w:rFonts w:eastAsia="Times New Roman"/>
                <w:bCs/>
                <w:i/>
                <w:szCs w:val="24"/>
                <w:u w:val="single"/>
                <w:lang w:val="en-US"/>
              </w:rPr>
            </w:pPr>
            <w:r>
              <w:rPr>
                <w:rFonts w:eastAsia="Times New Roman"/>
                <w:bCs/>
                <w:i/>
                <w:szCs w:val="24"/>
                <w:u w:val="single"/>
              </w:rPr>
              <w:t>Участие на партньорите в изготвянето на Програмата</w:t>
            </w:r>
          </w:p>
          <w:p w:rsidR="00A85EB3" w:rsidRDefault="00B07D03">
            <w:pPr>
              <w:autoSpaceDE w:val="0"/>
              <w:autoSpaceDN w:val="0"/>
              <w:adjustRightInd w:val="0"/>
              <w:spacing w:line="276" w:lineRule="auto"/>
              <w:rPr>
                <w:rFonts w:eastAsia="Times New Roman"/>
                <w:bCs/>
                <w:szCs w:val="24"/>
                <w:lang w:val="en-US"/>
              </w:rPr>
            </w:pPr>
            <w:r>
              <w:rPr>
                <w:rFonts w:eastAsia="Times New Roman"/>
                <w:bCs/>
                <w:szCs w:val="24"/>
              </w:rPr>
              <w:t>Целият цикъл на програмата, обхващащ нейното изготвяне, изпълнение, наблюдение и оценяване, е структуриран така, че да осигури активното участие на съответните партньори. Както беше описано по-горе, партньорите участваха в процеса на програмиране, главно чрез:</w:t>
            </w:r>
          </w:p>
          <w:p w:rsidR="00A85EB3" w:rsidRDefault="00B07D03">
            <w:pPr>
              <w:pStyle w:val="ListParagraph"/>
              <w:numPr>
                <w:ilvl w:val="0"/>
                <w:numId w:val="64"/>
              </w:numPr>
              <w:autoSpaceDE w:val="0"/>
              <w:autoSpaceDN w:val="0"/>
              <w:adjustRightInd w:val="0"/>
              <w:spacing w:line="276" w:lineRule="auto"/>
              <w:ind w:left="601" w:hanging="425"/>
              <w:rPr>
                <w:bCs/>
                <w:szCs w:val="24"/>
                <w:lang w:val="en-US"/>
              </w:rPr>
            </w:pPr>
            <w:r>
              <w:rPr>
                <w:bCs/>
                <w:szCs w:val="24"/>
              </w:rPr>
              <w:t>заседания на органите на Програмата (УО и НО) и Съвместната работна група;</w:t>
            </w:r>
          </w:p>
          <w:p w:rsidR="00A85EB3" w:rsidRDefault="00B07D03">
            <w:pPr>
              <w:pStyle w:val="ListParagraph"/>
              <w:numPr>
                <w:ilvl w:val="0"/>
                <w:numId w:val="64"/>
              </w:numPr>
              <w:autoSpaceDE w:val="0"/>
              <w:autoSpaceDN w:val="0"/>
              <w:adjustRightInd w:val="0"/>
              <w:spacing w:line="276" w:lineRule="auto"/>
              <w:ind w:left="601" w:hanging="425"/>
              <w:rPr>
                <w:bCs/>
                <w:szCs w:val="24"/>
                <w:lang w:val="en-US"/>
              </w:rPr>
            </w:pPr>
            <w:r>
              <w:rPr>
                <w:bCs/>
                <w:szCs w:val="24"/>
              </w:rPr>
              <w:t>консултации с партньорите;</w:t>
            </w:r>
          </w:p>
          <w:p w:rsidR="00A85EB3" w:rsidRDefault="00B07D03">
            <w:pPr>
              <w:pStyle w:val="ListParagraph"/>
              <w:numPr>
                <w:ilvl w:val="0"/>
                <w:numId w:val="64"/>
              </w:numPr>
              <w:autoSpaceDE w:val="0"/>
              <w:autoSpaceDN w:val="0"/>
              <w:adjustRightInd w:val="0"/>
              <w:spacing w:line="276" w:lineRule="auto"/>
              <w:ind w:left="601" w:hanging="425"/>
              <w:rPr>
                <w:bCs/>
                <w:szCs w:val="24"/>
                <w:lang w:val="en-US"/>
              </w:rPr>
            </w:pPr>
            <w:r>
              <w:rPr>
                <w:bCs/>
                <w:szCs w:val="24"/>
              </w:rPr>
              <w:t>консултации със заинтересованите страни – местни и регионални органи, централни и регионални поделения на национални институции, търговско-</w:t>
            </w:r>
            <w:r>
              <w:rPr>
                <w:bCs/>
                <w:szCs w:val="24"/>
              </w:rPr>
              <w:lastRenderedPageBreak/>
              <w:t>промишлени палати, НПО и др.;</w:t>
            </w:r>
          </w:p>
          <w:p w:rsidR="00A85EB3" w:rsidRDefault="00B07D03">
            <w:pPr>
              <w:pStyle w:val="ListParagraph"/>
              <w:numPr>
                <w:ilvl w:val="0"/>
                <w:numId w:val="64"/>
              </w:numPr>
              <w:autoSpaceDE w:val="0"/>
              <w:autoSpaceDN w:val="0"/>
              <w:adjustRightInd w:val="0"/>
              <w:spacing w:line="276" w:lineRule="auto"/>
              <w:ind w:left="601" w:hanging="425"/>
              <w:rPr>
                <w:bCs/>
                <w:szCs w:val="24"/>
                <w:lang w:val="en-US"/>
              </w:rPr>
            </w:pPr>
            <w:r>
              <w:rPr>
                <w:bCs/>
                <w:szCs w:val="24"/>
              </w:rPr>
              <w:t xml:space="preserve">консултации по интернет. </w:t>
            </w:r>
          </w:p>
          <w:p w:rsidR="00A85EB3" w:rsidRDefault="00B07D03">
            <w:pPr>
              <w:autoSpaceDE w:val="0"/>
              <w:autoSpaceDN w:val="0"/>
              <w:adjustRightInd w:val="0"/>
              <w:spacing w:line="276" w:lineRule="auto"/>
              <w:rPr>
                <w:rFonts w:eastAsia="Times New Roman"/>
                <w:bCs/>
                <w:szCs w:val="24"/>
                <w:lang w:val="en-US"/>
              </w:rPr>
            </w:pPr>
            <w:r>
              <w:rPr>
                <w:rFonts w:eastAsia="Times New Roman"/>
                <w:bCs/>
                <w:szCs w:val="24"/>
              </w:rPr>
              <w:t>Цялата програма за ТГС по ИПП насърчава концепцията за специална форма на партньорство – трансграничното партньорство. Могат да бъдат подкрепяни само съвместни проекти на български и турски партньори. Прилагането на принципа за водещия партньор също засилва партньорството. В допълнение, процедурите за изпълнение и структурата и съставът на различните институции и органи са структурирани така, че да осигурят балансирано партньорство на всека съответен партньор, от двете държави, в целия процес по управление на програмния цикъл.</w:t>
            </w:r>
          </w:p>
          <w:p w:rsidR="00A85EB3" w:rsidRDefault="00B07D03">
            <w:pPr>
              <w:spacing w:line="276" w:lineRule="auto"/>
              <w:rPr>
                <w:rFonts w:eastAsia="Times New Roman"/>
                <w:bCs/>
                <w:i/>
                <w:szCs w:val="24"/>
                <w:u w:val="single"/>
                <w:lang w:val="en-US"/>
              </w:rPr>
            </w:pPr>
            <w:r>
              <w:rPr>
                <w:rFonts w:eastAsia="Times New Roman"/>
                <w:bCs/>
                <w:i/>
                <w:szCs w:val="24"/>
                <w:u w:val="single"/>
              </w:rPr>
              <w:t>Консултации във връзка с Анализа на положението и Анализа на силните и слабите страни, възможностите и опасностите</w:t>
            </w:r>
          </w:p>
          <w:p w:rsidR="00A85EB3" w:rsidRDefault="00B07D03">
            <w:pPr>
              <w:spacing w:line="276" w:lineRule="auto"/>
              <w:rPr>
                <w:rFonts w:eastAsia="Times New Roman"/>
                <w:bCs/>
                <w:szCs w:val="24"/>
                <w:lang w:val="en-US"/>
              </w:rPr>
            </w:pPr>
            <w:r>
              <w:rPr>
                <w:rFonts w:eastAsia="Times New Roman"/>
                <w:bCs/>
                <w:szCs w:val="24"/>
              </w:rPr>
              <w:t xml:space="preserve">Участието във всички етапи на консултациите беше активно. Партньорите по програмата и заинтересованите страни бяха помолени да дадат своя принос за областите на сътрудничество, като представят своята визия, чрез онлайн проучване въз основа на въпросници. Проучването беше проведено през февруари 2014 г. Анкетираните изразиха своите възгледи и становища, като отговориха на предоставения въпросник и предложиха количествено класиране за своето мнение. Участниците в проучването бяха партньори по проекти, финансирани по настоящата програма, и включваха представители на НПО, образователни институции и университети, местни администрации и други. Точно 123 анкетирани лица от публични местни органи, публични национални органи, гражданското общество (сдружения, фондации и др.) и частния сектор предоставиха своето мнение по време на проучването. </w:t>
            </w:r>
          </w:p>
          <w:p w:rsidR="00A85EB3" w:rsidRDefault="00B07D03">
            <w:pPr>
              <w:spacing w:line="276" w:lineRule="auto"/>
              <w:rPr>
                <w:rFonts w:eastAsia="Times New Roman"/>
                <w:bCs/>
                <w:szCs w:val="24"/>
                <w:lang w:val="en-US"/>
              </w:rPr>
            </w:pPr>
            <w:r>
              <w:rPr>
                <w:rFonts w:eastAsia="Times New Roman"/>
                <w:bCs/>
                <w:szCs w:val="24"/>
              </w:rPr>
              <w:t xml:space="preserve">Заинтересованите страни и потенциалните бенефициенти дадоха своя принос за Анализа на положението и Анализа на силните и слабите страни, възможностите и опасностите по време на Първия кръг на регионалните консултации, проведен в Хасково (България) и Одрин (Турция) на 19 и 20 март 2014 г. </w:t>
            </w:r>
          </w:p>
          <w:p w:rsidR="00A85EB3" w:rsidRDefault="00B07D03">
            <w:pPr>
              <w:spacing w:line="276" w:lineRule="auto"/>
              <w:rPr>
                <w:rFonts w:eastAsia="Times New Roman"/>
                <w:bCs/>
                <w:szCs w:val="24"/>
                <w:lang w:val="en-US"/>
              </w:rPr>
            </w:pPr>
            <w:r>
              <w:rPr>
                <w:rFonts w:eastAsia="Times New Roman"/>
                <w:bCs/>
                <w:szCs w:val="24"/>
              </w:rPr>
              <w:t xml:space="preserve">Анализът на положението и Анализът на силните и слабите страни, възможностите и опасностите бяха съгласувани и с УО, МА и членовете на Съвместната работна група. Анализът на положението и Анализът на силните и слабите страни, възможностите и опасностите бяха приети от членовете на Съвместната работна група на съвместното заседание, проведено в Анкара на 13 май 2014 г. По време на същото заседание бяха приети двата Тематични приоритета съгласно Регламента за ИПП II, които да служат за основа на Приоритетните оси на ОП за ТГС по ИПП България – Турция 2014–2020 г.: околна среда и устойчив туризъм. </w:t>
            </w:r>
          </w:p>
          <w:p w:rsidR="00A85EB3" w:rsidRDefault="00B07D03">
            <w:pPr>
              <w:autoSpaceDE w:val="0"/>
              <w:autoSpaceDN w:val="0"/>
              <w:adjustRightInd w:val="0"/>
              <w:spacing w:line="276" w:lineRule="auto"/>
              <w:rPr>
                <w:rFonts w:eastAsia="Times New Roman"/>
                <w:bCs/>
                <w:i/>
                <w:szCs w:val="24"/>
                <w:u w:val="single"/>
                <w:lang w:val="en-US"/>
              </w:rPr>
            </w:pPr>
            <w:r>
              <w:rPr>
                <w:rFonts w:eastAsia="Times New Roman"/>
                <w:bCs/>
                <w:i/>
                <w:szCs w:val="24"/>
                <w:u w:val="single"/>
              </w:rPr>
              <w:t>Втори кръг на консултациите</w:t>
            </w:r>
          </w:p>
          <w:p w:rsidR="00A85EB3" w:rsidRDefault="00B07D03">
            <w:pPr>
              <w:autoSpaceDE w:val="0"/>
              <w:autoSpaceDN w:val="0"/>
              <w:adjustRightInd w:val="0"/>
              <w:spacing w:line="276" w:lineRule="auto"/>
              <w:rPr>
                <w:rFonts w:eastAsia="Times New Roman"/>
                <w:bCs/>
                <w:szCs w:val="24"/>
                <w:lang w:val="en-US"/>
              </w:rPr>
            </w:pPr>
            <w:r>
              <w:rPr>
                <w:rFonts w:eastAsia="Times New Roman"/>
                <w:bCs/>
                <w:szCs w:val="24"/>
              </w:rPr>
              <w:t xml:space="preserve">През периода 18–19 юни 2014 г. в Одрин (Турция) и Хасково (България) беше проведен втори кръг на консултациите за представяне на първия проект на Логиката на интервенциите по ОП за ТГС по ИПП България – Турция 2014–2020 г. </w:t>
            </w:r>
            <w:r>
              <w:rPr>
                <w:rFonts w:eastAsia="Times New Roman"/>
                <w:bCs/>
                <w:szCs w:val="24"/>
              </w:rPr>
              <w:lastRenderedPageBreak/>
              <w:t xml:space="preserve">Заинтересованите страни дадоха своя принос от гледна точка на </w:t>
            </w:r>
            <w:r w:rsidR="00104E5E">
              <w:rPr>
                <w:rFonts w:eastAsia="Times New Roman"/>
                <w:bCs/>
                <w:szCs w:val="24"/>
              </w:rPr>
              <w:t xml:space="preserve">специфичните </w:t>
            </w:r>
            <w:r>
              <w:rPr>
                <w:rFonts w:eastAsia="Times New Roman"/>
                <w:bCs/>
                <w:szCs w:val="24"/>
              </w:rPr>
              <w:t xml:space="preserve">цели, резултатите, целевите групи, бенефициентите и примерните дейности. </w:t>
            </w:r>
          </w:p>
          <w:p w:rsidR="00A85EB3" w:rsidRDefault="00B07D03">
            <w:pPr>
              <w:autoSpaceDE w:val="0"/>
              <w:autoSpaceDN w:val="0"/>
              <w:adjustRightInd w:val="0"/>
              <w:spacing w:line="276" w:lineRule="auto"/>
              <w:rPr>
                <w:rFonts w:eastAsia="Times New Roman"/>
                <w:bCs/>
                <w:i/>
                <w:szCs w:val="24"/>
                <w:u w:val="single"/>
                <w:lang w:val="en-US"/>
              </w:rPr>
            </w:pPr>
            <w:r>
              <w:rPr>
                <w:rFonts w:eastAsia="Times New Roman"/>
                <w:bCs/>
                <w:i/>
                <w:szCs w:val="24"/>
                <w:u w:val="single"/>
              </w:rPr>
              <w:t>Консултации във връзка с вариантите на ОП за ТГС по ИПП България – Турция 2014–2020 г.</w:t>
            </w:r>
          </w:p>
          <w:p w:rsidR="00A85EB3" w:rsidRDefault="00B07D03">
            <w:pPr>
              <w:autoSpaceDE w:val="0"/>
              <w:autoSpaceDN w:val="0"/>
              <w:adjustRightInd w:val="0"/>
              <w:spacing w:line="276" w:lineRule="auto"/>
              <w:rPr>
                <w:rFonts w:eastAsia="Times New Roman"/>
                <w:bCs/>
                <w:szCs w:val="24"/>
                <w:lang w:val="en-US"/>
              </w:rPr>
            </w:pPr>
            <w:r>
              <w:rPr>
                <w:rFonts w:eastAsia="Times New Roman"/>
                <w:bCs/>
                <w:szCs w:val="24"/>
              </w:rPr>
              <w:t>През периода 20–30 юни 2014 г. първият вариант на ОП за ТГС по ИПП България – Турция 2014–2020 г. беше съгласуван с органите на Програмата и с членовете на Съвместната работна група. Обратната информация, предоставена в хода на този процес, беше взета предвид при изготвянето на втория вариант на ОП за ТГС по ИПП България – Турция 2014–2020 г. Той беше представен на Управляващия орган и Националния орган на 7 юли 2014 г. за пристъпване към консултации със службите на ЕС.</w:t>
            </w:r>
          </w:p>
          <w:p w:rsidR="00A85EB3" w:rsidRDefault="00B07D03">
            <w:pPr>
              <w:autoSpaceDE w:val="0"/>
              <w:autoSpaceDN w:val="0"/>
              <w:adjustRightInd w:val="0"/>
              <w:spacing w:line="276" w:lineRule="auto"/>
              <w:rPr>
                <w:rFonts w:eastAsia="Times New Roman"/>
                <w:bCs/>
                <w:szCs w:val="24"/>
                <w:lang w:val="en-US"/>
              </w:rPr>
            </w:pPr>
            <w:r>
              <w:rPr>
                <w:rFonts w:eastAsia="Times New Roman"/>
                <w:bCs/>
                <w:szCs w:val="24"/>
              </w:rPr>
              <w:t xml:space="preserve">Окончателният вариант на Програмата за ТГС по ИПП България – Турция 2014–2020 г. беше представен на Управляващия орган и Националния орган на 31 юли за приключване на процедурите за приемане между партньорите по програмата и за </w:t>
            </w:r>
            <w:proofErr w:type="spellStart"/>
            <w:r>
              <w:rPr>
                <w:rFonts w:eastAsia="Times New Roman"/>
                <w:bCs/>
                <w:szCs w:val="24"/>
              </w:rPr>
              <w:t>последващо</w:t>
            </w:r>
            <w:proofErr w:type="spellEnd"/>
            <w:r>
              <w:rPr>
                <w:rFonts w:eastAsia="Times New Roman"/>
                <w:bCs/>
                <w:szCs w:val="24"/>
              </w:rPr>
              <w:t xml:space="preserve"> одобрение от съответните служби на ЕС.</w:t>
            </w:r>
          </w:p>
          <w:p w:rsidR="00A85EB3" w:rsidRDefault="00B07D03">
            <w:pPr>
              <w:autoSpaceDE w:val="0"/>
              <w:autoSpaceDN w:val="0"/>
              <w:adjustRightInd w:val="0"/>
              <w:spacing w:line="276" w:lineRule="auto"/>
              <w:rPr>
                <w:rFonts w:eastAsia="Times New Roman"/>
                <w:i/>
                <w:lang w:val="en-US" w:eastAsia="ar-SA"/>
              </w:rPr>
            </w:pPr>
            <w:r>
              <w:rPr>
                <w:rFonts w:eastAsia="Times New Roman"/>
                <w:bCs/>
                <w:szCs w:val="24"/>
              </w:rPr>
              <w:t xml:space="preserve">Окончателният вариант на Програмата за ТГС по ИПП България – Турция 2014–2020 г. беше приет от Съвместната работна група на 20 август 2014 г. на последното ѝ заседание, проведено в София. През периода 21 август – 21 септември 2014 г. Окончателният вариант на Програмата за ТГС по ИПП България – Турция 2014–2020 г. беше одобрен от Министерските съвети на двете държави–партньори и изпратен на Европейската комисия за окончателно одобрение. В момента, в който Окончателният вариант на Програмата за ТГС по ИПП България – Турция 2014–2020 г. бъде одобрен от ЕС, ще се учреди Съвместния комитет за наблюдение (СКН). Членовете на СКН ще бъдат номинирани от Съвместната работна група. По време на изпълнението на програмата, органите по програмата ще насърчават активното участие на заинтересованите страни, както чрез онлайн инструменти, така и чрез периодични събития с цел споделяне постигнатия напредък.  </w:t>
            </w:r>
          </w:p>
        </w:tc>
      </w:tr>
    </w:tbl>
    <w:p w:rsidR="00A85EB3" w:rsidRDefault="00A85EB3">
      <w:pPr>
        <w:keepNext/>
        <w:outlineLvl w:val="0"/>
        <w:rPr>
          <w:rFonts w:eastAsia="Times New Roman"/>
          <w:b/>
          <w:bCs/>
          <w:smallCaps/>
          <w:szCs w:val="24"/>
          <w:lang w:val="en-US"/>
        </w:rPr>
      </w:pPr>
    </w:p>
    <w:p w:rsidR="00A85EB3" w:rsidRDefault="00B07D03">
      <w:pPr>
        <w:rPr>
          <w:lang w:val="en-US"/>
        </w:rPr>
      </w:pPr>
      <w:r>
        <w:br w:type="page"/>
      </w:r>
    </w:p>
    <w:p w:rsidR="00A85EB3" w:rsidRDefault="00B07D03">
      <w:pPr>
        <w:pStyle w:val="Heading1"/>
        <w:numPr>
          <w:ilvl w:val="0"/>
          <w:numId w:val="0"/>
        </w:numPr>
        <w:ind w:left="850" w:hanging="850"/>
        <w:rPr>
          <w:lang w:val="en-US"/>
        </w:rPr>
      </w:pPr>
      <w:bookmarkStart w:id="88" w:name="_Toc408234932"/>
      <w:r>
        <w:lastRenderedPageBreak/>
        <w:t>РАЗДЕЛ 6</w:t>
      </w:r>
      <w:r>
        <w:tab/>
        <w:t>Хоризонтални принципи</w:t>
      </w:r>
      <w:bookmarkEnd w:id="88"/>
      <w:r>
        <w:t xml:space="preserve"> </w:t>
      </w:r>
    </w:p>
    <w:p w:rsidR="00A85EB3" w:rsidRDefault="00B07D03">
      <w:pPr>
        <w:rPr>
          <w:lang w:val="en-US"/>
        </w:rPr>
      </w:pPr>
      <w:r>
        <w:t>(Източник: чл. 8(7) от Регламент (ЕС) № 1299/2013)</w:t>
      </w:r>
    </w:p>
    <w:p w:rsidR="00A85EB3" w:rsidRDefault="00A85EB3">
      <w:pPr>
        <w:rPr>
          <w:lang w:val="en-US"/>
        </w:rPr>
      </w:pPr>
    </w:p>
    <w:p w:rsidR="00A85EB3" w:rsidRDefault="00B07D03">
      <w:pPr>
        <w:pStyle w:val="Heading2"/>
        <w:numPr>
          <w:ilvl w:val="0"/>
          <w:numId w:val="0"/>
        </w:numPr>
        <w:ind w:left="850" w:hanging="850"/>
        <w:rPr>
          <w:lang w:val="en-US"/>
        </w:rPr>
      </w:pPr>
      <w:bookmarkStart w:id="89" w:name="_Toc408234933"/>
      <w:r>
        <w:t>6.1 Устойчиво развитие</w:t>
      </w:r>
      <w:bookmarkEnd w:id="89"/>
    </w:p>
    <w:p w:rsidR="00A85EB3" w:rsidRDefault="00B07D03">
      <w:pPr>
        <w:spacing w:after="240"/>
        <w:rPr>
          <w:rFonts w:eastAsia="Times New Roman"/>
          <w:lang w:val="en-US"/>
        </w:rPr>
      </w:pPr>
      <w:r>
        <w:rPr>
          <w:rFonts w:eastAsia="Times New Roman"/>
        </w:rPr>
        <w:t>Описание на конкретните действия, които да вземат предвид изискванията за опазване на околната среда, ефективно използване на ресурсите, смекчаване на и приспособяване към изменението на климата, устойчивост на бедствия и превенция и управление на рискове при подбора на дейности.</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FB701A" w:rsidRPr="00981F6F" w:rsidTr="00D50480">
        <w:trPr>
          <w:trHeight w:val="610"/>
        </w:trPr>
        <w:tc>
          <w:tcPr>
            <w:tcW w:w="8647" w:type="dxa"/>
            <w:shd w:val="clear" w:color="auto" w:fill="auto"/>
          </w:tcPr>
          <w:p w:rsidR="00A85EB3" w:rsidRDefault="00B07D03">
            <w:pPr>
              <w:spacing w:line="276" w:lineRule="auto"/>
              <w:rPr>
                <w:rFonts w:eastAsia="Times New Roman"/>
                <w:szCs w:val="24"/>
                <w:lang w:val="en-US"/>
              </w:rPr>
            </w:pPr>
            <w:r>
              <w:rPr>
                <w:rFonts w:eastAsia="Times New Roman"/>
                <w:szCs w:val="24"/>
              </w:rPr>
              <w:t xml:space="preserve">Органите на Програмата за ТГС по ИПП България – Турция трябва да направят така, че при подготовката и изпълнението на програмите да бъдат отразени изискванията за опазване на околната среда, смекчаване и приспособяване към изменението на климата, опазване на биологичното разнообразие и екосистемите, устойчивост на бедствия и превенция и управление на рисковете. В случая с Програмата за ТГС по ИПП България – Турция най-големите предизвикателства са свързани с опазването на околната среда и биологичното разнообразие, устойчивото използване на природните ресурси, мерките във връзка с изменението на климата, управлението на рисковете за околната среда и подготовката за извънредни ситуации. Тези предизвикателства са свързани с опазването на околната среда като устойчива ценност на региона и като предпоставка за устойчив туризъм. </w:t>
            </w:r>
          </w:p>
          <w:p w:rsidR="00A85EB3" w:rsidRDefault="00B07D03">
            <w:pPr>
              <w:spacing w:line="276" w:lineRule="auto"/>
              <w:rPr>
                <w:rFonts w:eastAsia="Times New Roman"/>
                <w:szCs w:val="24"/>
                <w:lang w:val="en-US"/>
              </w:rPr>
            </w:pPr>
            <w:r>
              <w:rPr>
                <w:rFonts w:eastAsia="Times New Roman"/>
                <w:szCs w:val="24"/>
              </w:rPr>
              <w:t>Общо казано и трите измерения на устойчивостта, а именно екологичното, икономическото и социалното, ще бъдат взети под внимание в рамките на Програма по ИПП България – Турция; поради това програмата допринася пряко за компонентите на стратегия „Европа 2020“ за интелигентен, устойчив и приобщаващ растеж.</w:t>
            </w:r>
          </w:p>
          <w:p w:rsidR="00A85EB3" w:rsidRDefault="00B07D03">
            <w:pPr>
              <w:spacing w:line="276" w:lineRule="auto"/>
              <w:rPr>
                <w:rFonts w:eastAsia="Times New Roman"/>
                <w:szCs w:val="24"/>
                <w:lang w:val="en-US"/>
              </w:rPr>
            </w:pPr>
            <w:r>
              <w:rPr>
                <w:rFonts w:eastAsia="Times New Roman"/>
                <w:szCs w:val="24"/>
              </w:rPr>
              <w:t xml:space="preserve">По всички оси от стратегията на програмата на устойчивия растеж се гледа като на </w:t>
            </w:r>
            <w:proofErr w:type="spellStart"/>
            <w:r>
              <w:rPr>
                <w:rFonts w:eastAsia="Times New Roman"/>
                <w:szCs w:val="24"/>
              </w:rPr>
              <w:t>междудисциплинарна</w:t>
            </w:r>
            <w:proofErr w:type="spellEnd"/>
            <w:r>
              <w:rPr>
                <w:rFonts w:eastAsia="Times New Roman"/>
                <w:szCs w:val="24"/>
              </w:rPr>
              <w:t xml:space="preserve"> тема, обща за всичките три стълба (икономически, социален и екологичен), която е еднакво застъпена в двете приоритетни оси на Програмата. По-специално Приоритетна ос 1 на Програмата, която е насочена към сътрудничество в областта на природните и културните ресурси за устойчив растеж, взема под внимание опазването на околната среда, ресурсната ефективност, изменението на климата (което включва смекчаване и приспособяване), както и природните опасности, устойчивостта, превенцията и управлението на бедствия и рискове. В тези области Програмата допринася най-вече за придобиване и разпространяване на знания и капацитет за опазване и устойчиво използване на природните ресурси и разглежда въпроси, свързани с управление на ресурсите. Приоритетна ос 2, чийто предмет е устойчивият туризъм, е насочена към създаване на устойчиви туристически услуги, като за привлекателността на туризма ще допринесат наличните природни и културни ресурси, които ще се управляват и опазват по устойчив начин. </w:t>
            </w:r>
          </w:p>
          <w:p w:rsidR="00A85EB3" w:rsidRDefault="00B07D03">
            <w:pPr>
              <w:spacing w:line="276" w:lineRule="auto"/>
              <w:rPr>
                <w:rFonts w:eastAsia="Times New Roman"/>
                <w:szCs w:val="24"/>
                <w:lang w:val="en-US"/>
              </w:rPr>
            </w:pPr>
            <w:r>
              <w:rPr>
                <w:rFonts w:eastAsia="Times New Roman"/>
                <w:szCs w:val="24"/>
              </w:rPr>
              <w:lastRenderedPageBreak/>
              <w:t>Освен действията в рамките на приоритетите на Програмата, които могат да подпомогнат устойчивото развитие, са определени и редица дейности, които могат да бъдат приложени в проекти, предоставени по всяка избрана Приоритетна ос.</w:t>
            </w:r>
          </w:p>
          <w:p w:rsidR="00A85EB3" w:rsidRDefault="00B07D03">
            <w:pPr>
              <w:spacing w:line="276" w:lineRule="auto"/>
              <w:rPr>
                <w:rFonts w:eastAsia="Times New Roman"/>
                <w:szCs w:val="24"/>
                <w:lang w:val="en-US"/>
              </w:rPr>
            </w:pPr>
            <w:r>
              <w:rPr>
                <w:rFonts w:eastAsia="Times New Roman"/>
                <w:szCs w:val="24"/>
              </w:rPr>
              <w:t>Всички проекти и действия на Програмата по ИПП България – Турция могат да възприемат мерки за намаляване на емисиите от техните действия, например чрез:</w:t>
            </w:r>
          </w:p>
          <w:p w:rsidR="00A85EB3" w:rsidRDefault="00B07D03">
            <w:pPr>
              <w:numPr>
                <w:ilvl w:val="0"/>
                <w:numId w:val="59"/>
              </w:numPr>
              <w:spacing w:line="276" w:lineRule="auto"/>
              <w:rPr>
                <w:rFonts w:eastAsia="Times New Roman"/>
                <w:szCs w:val="24"/>
                <w:lang w:val="en-US"/>
              </w:rPr>
            </w:pPr>
            <w:r>
              <w:rPr>
                <w:rFonts w:eastAsia="Times New Roman"/>
                <w:szCs w:val="24"/>
              </w:rPr>
              <w:t xml:space="preserve">активна работа върху по-широки екологични проблеми </w:t>
            </w:r>
          </w:p>
          <w:p w:rsidR="00A85EB3" w:rsidRDefault="00B07D03">
            <w:pPr>
              <w:numPr>
                <w:ilvl w:val="0"/>
                <w:numId w:val="59"/>
              </w:numPr>
              <w:spacing w:line="276" w:lineRule="auto"/>
              <w:rPr>
                <w:rFonts w:eastAsia="Times New Roman"/>
                <w:szCs w:val="24"/>
                <w:lang w:val="en-US"/>
              </w:rPr>
            </w:pPr>
            <w:r>
              <w:rPr>
                <w:rFonts w:eastAsia="Times New Roman"/>
                <w:szCs w:val="24"/>
              </w:rPr>
              <w:t xml:space="preserve"> активна работа по конкретни екологични проблеми, в т.ч. изменението на климата, както и поддържането на биологичното разнообразие и екосистемите </w:t>
            </w:r>
          </w:p>
          <w:p w:rsidR="00A85EB3" w:rsidRDefault="00B07D03">
            <w:pPr>
              <w:numPr>
                <w:ilvl w:val="0"/>
                <w:numId w:val="59"/>
              </w:numPr>
              <w:spacing w:line="276" w:lineRule="auto"/>
              <w:rPr>
                <w:rFonts w:eastAsia="Times New Roman"/>
                <w:szCs w:val="24"/>
                <w:lang w:val="en-US"/>
              </w:rPr>
            </w:pPr>
            <w:r>
              <w:rPr>
                <w:rFonts w:eastAsia="Times New Roman"/>
                <w:szCs w:val="24"/>
              </w:rPr>
              <w:t>извършване на екологично управление (структуриран обмен на опит, развитие на капацитет и др.)</w:t>
            </w:r>
          </w:p>
          <w:p w:rsidR="00A85EB3" w:rsidRDefault="00B07D03">
            <w:pPr>
              <w:numPr>
                <w:ilvl w:val="0"/>
                <w:numId w:val="59"/>
              </w:numPr>
              <w:spacing w:line="276" w:lineRule="auto"/>
              <w:rPr>
                <w:rFonts w:eastAsia="Times New Roman"/>
                <w:szCs w:val="24"/>
                <w:lang w:val="en-US"/>
              </w:rPr>
            </w:pPr>
            <w:r>
              <w:rPr>
                <w:rFonts w:eastAsia="Times New Roman"/>
                <w:szCs w:val="24"/>
              </w:rPr>
              <w:t>активна работа по въпроси на устойчивостта, в т.ч. екологични, икономически и социални аспекти</w:t>
            </w:r>
          </w:p>
          <w:p w:rsidR="00A85EB3" w:rsidRDefault="00B07D03">
            <w:pPr>
              <w:numPr>
                <w:ilvl w:val="0"/>
                <w:numId w:val="59"/>
              </w:numPr>
              <w:spacing w:line="276" w:lineRule="auto"/>
              <w:rPr>
                <w:rFonts w:eastAsia="Times New Roman"/>
                <w:szCs w:val="24"/>
                <w:lang w:val="en-US"/>
              </w:rPr>
            </w:pPr>
            <w:r>
              <w:rPr>
                <w:rFonts w:eastAsia="Times New Roman"/>
                <w:szCs w:val="24"/>
              </w:rPr>
              <w:t>приемане на мерки за организиране и провеждане на конференции и мероприятия по устойчив начин</w:t>
            </w:r>
          </w:p>
          <w:p w:rsidR="00A85EB3" w:rsidRDefault="00B07D03">
            <w:pPr>
              <w:spacing w:line="276" w:lineRule="auto"/>
              <w:rPr>
                <w:rFonts w:eastAsia="Times New Roman"/>
                <w:szCs w:val="24"/>
                <w:lang w:val="en-US"/>
              </w:rPr>
            </w:pPr>
            <w:r>
              <w:rPr>
                <w:rFonts w:eastAsia="Times New Roman"/>
                <w:szCs w:val="24"/>
              </w:rPr>
              <w:t>Освен това всички проекти, финансирани от Програмата, следва:</w:t>
            </w:r>
          </w:p>
          <w:p w:rsidR="00A85EB3" w:rsidRDefault="00B07D03">
            <w:pPr>
              <w:numPr>
                <w:ilvl w:val="0"/>
                <w:numId w:val="60"/>
              </w:numPr>
              <w:spacing w:line="276" w:lineRule="auto"/>
              <w:rPr>
                <w:rFonts w:eastAsia="Times New Roman"/>
                <w:szCs w:val="24"/>
                <w:lang w:val="en-US"/>
              </w:rPr>
            </w:pPr>
            <w:r>
              <w:rPr>
                <w:rFonts w:eastAsia="Times New Roman"/>
                <w:szCs w:val="24"/>
              </w:rPr>
              <w:t>да допринасят за прилагането на преработената Стратегия на ЕС за устойчиво развитие (2009 г.), което се доказва от всеки заявител по проект по убедителен и прозрачен начин и ще се оценява като критерий в избора на проекти</w:t>
            </w:r>
          </w:p>
          <w:p w:rsidR="00A85EB3" w:rsidRDefault="00B07D03">
            <w:pPr>
              <w:numPr>
                <w:ilvl w:val="0"/>
                <w:numId w:val="60"/>
              </w:numPr>
              <w:spacing w:line="276" w:lineRule="auto"/>
              <w:rPr>
                <w:rFonts w:eastAsia="Times New Roman"/>
                <w:szCs w:val="24"/>
                <w:lang w:val="en-US"/>
              </w:rPr>
            </w:pPr>
            <w:r>
              <w:rPr>
                <w:rFonts w:eastAsia="Times New Roman"/>
                <w:szCs w:val="24"/>
              </w:rPr>
              <w:t>да отчитат принципите на политиката на Общността относно опазването и подобряването на природното наследство и биологичното разнообразие, както и свързаните с това изменения, като Директивата по флората–фауната–местообитанията и Директивата за птиците, които са „крайъгълният камък на политиката на Европа по опазване на природата“ (Европейска комисия, 2013 г., онлайн</w:t>
            </w:r>
            <w:r>
              <w:rPr>
                <w:rFonts w:eastAsia="Times New Roman"/>
                <w:i/>
                <w:szCs w:val="24"/>
              </w:rPr>
              <w:t>).</w:t>
            </w:r>
            <w:r>
              <w:rPr>
                <w:rFonts w:eastAsia="Times New Roman"/>
                <w:szCs w:val="24"/>
                <w:vertAlign w:val="superscript"/>
              </w:rPr>
              <w:footnoteReference w:id="17"/>
            </w:r>
            <w:r>
              <w:rPr>
                <w:rFonts w:eastAsia="Times New Roman"/>
                <w:szCs w:val="24"/>
              </w:rPr>
              <w:t xml:space="preserve"> </w:t>
            </w:r>
          </w:p>
          <w:p w:rsidR="00A85EB3" w:rsidRDefault="00B07D03">
            <w:pPr>
              <w:numPr>
                <w:ilvl w:val="0"/>
                <w:numId w:val="60"/>
              </w:numPr>
              <w:spacing w:line="276" w:lineRule="auto"/>
              <w:rPr>
                <w:rFonts w:eastAsia="Times New Roman"/>
                <w:szCs w:val="24"/>
                <w:lang w:val="en-US"/>
              </w:rPr>
            </w:pPr>
            <w:r>
              <w:rPr>
                <w:rFonts w:eastAsia="Times New Roman"/>
                <w:szCs w:val="24"/>
              </w:rPr>
              <w:t xml:space="preserve">да се стремят към по-широко използване на </w:t>
            </w:r>
            <w:proofErr w:type="spellStart"/>
            <w:r>
              <w:rPr>
                <w:rFonts w:eastAsia="Times New Roman"/>
                <w:szCs w:val="24"/>
              </w:rPr>
              <w:t>възобновяеми</w:t>
            </w:r>
            <w:proofErr w:type="spellEnd"/>
            <w:r>
              <w:rPr>
                <w:rFonts w:eastAsia="Times New Roman"/>
                <w:szCs w:val="24"/>
              </w:rPr>
              <w:t xml:space="preserve"> видове енергия</w:t>
            </w:r>
          </w:p>
          <w:p w:rsidR="00A85EB3" w:rsidRDefault="00B07D03">
            <w:pPr>
              <w:spacing w:line="276" w:lineRule="auto"/>
              <w:rPr>
                <w:rFonts w:eastAsia="Times New Roman"/>
                <w:szCs w:val="24"/>
                <w:lang w:val="en-US"/>
              </w:rPr>
            </w:pPr>
            <w:r>
              <w:rPr>
                <w:rFonts w:eastAsia="Times New Roman"/>
                <w:szCs w:val="24"/>
              </w:rPr>
              <w:t xml:space="preserve">Чрез подходяща организация на управлението Програмата по ИПП България – Турция ще подпомага </w:t>
            </w:r>
            <w:proofErr w:type="spellStart"/>
            <w:r>
              <w:rPr>
                <w:rFonts w:eastAsia="Times New Roman"/>
                <w:szCs w:val="24"/>
              </w:rPr>
              <w:t>екосъобразното</w:t>
            </w:r>
            <w:proofErr w:type="spellEnd"/>
            <w:r>
              <w:rPr>
                <w:rFonts w:eastAsia="Times New Roman"/>
                <w:szCs w:val="24"/>
              </w:rPr>
              <w:t xml:space="preserve"> развитие на района на трансгранично сътрудничество. Освен спазването на изискваните по закон стандарти програмата се стреми да не допусне последици, които не са устойчиви или са неблагоприятни за околната среда на всички равнища от цикъла за изпълнение на програмата. Отрицателните въздействия следва да се избягват във възможно най-голяма степен.</w:t>
            </w:r>
          </w:p>
          <w:p w:rsidR="00A85EB3" w:rsidRDefault="00B07D03">
            <w:pPr>
              <w:spacing w:line="276" w:lineRule="auto"/>
              <w:rPr>
                <w:rFonts w:eastAsia="Times New Roman"/>
                <w:szCs w:val="24"/>
                <w:lang w:val="en-US"/>
              </w:rPr>
            </w:pPr>
            <w:r>
              <w:rPr>
                <w:rFonts w:eastAsia="Times New Roman"/>
                <w:szCs w:val="24"/>
              </w:rPr>
              <w:lastRenderedPageBreak/>
              <w:t xml:space="preserve">Положителните последици и потенциалът за взаимно допълване на Програмата по ИПП България – Турция за оптимизиране на приноса ѝ към екологично устойчиво развитие ще бъде проучен задълбочено и, когато е възможно, ще бъде развит. Когато е осъществимо ще се отдава предпочитание на планирането и осъществяването на </w:t>
            </w:r>
            <w:proofErr w:type="spellStart"/>
            <w:r>
              <w:rPr>
                <w:rFonts w:eastAsia="Times New Roman"/>
                <w:szCs w:val="24"/>
              </w:rPr>
              <w:t>екосъобразни</w:t>
            </w:r>
            <w:proofErr w:type="spellEnd"/>
            <w:r>
              <w:rPr>
                <w:rFonts w:eastAsia="Times New Roman"/>
                <w:szCs w:val="24"/>
              </w:rPr>
              <w:t xml:space="preserve"> решения и проекти.</w:t>
            </w:r>
          </w:p>
          <w:p w:rsidR="00A85EB3" w:rsidRDefault="00B07D03">
            <w:pPr>
              <w:spacing w:line="276" w:lineRule="auto"/>
              <w:rPr>
                <w:rFonts w:eastAsia="Times New Roman"/>
                <w:i/>
                <w:szCs w:val="24"/>
                <w:lang w:val="en-US"/>
              </w:rPr>
            </w:pPr>
            <w:r>
              <w:rPr>
                <w:rFonts w:eastAsia="Times New Roman"/>
                <w:szCs w:val="24"/>
              </w:rPr>
              <w:t xml:space="preserve">Програмата се изпълнява чрез редица проекти. Оценката на качеството на допустимите предложения за проекти следва да се основава на набор от критерии за качество, които са общи за всички Приоритетни оси. Приносът на всеки проект за тези принципи ще бъде разгледан от качествена гледна точка в рамките на избора на проекти и наблюдението и оценката на програмата. Политиката, насочена към устойчиво развитие, ще бъде проверявана на всички етапи от изпълнението на програмата – на равнище програма и на равнище проект.  </w:t>
            </w:r>
          </w:p>
        </w:tc>
      </w:tr>
    </w:tbl>
    <w:p w:rsidR="00A85EB3" w:rsidRDefault="00A85EB3">
      <w:pPr>
        <w:spacing w:after="240"/>
        <w:rPr>
          <w:rFonts w:eastAsia="Times New Roman"/>
          <w:lang w:val="en-US"/>
        </w:rPr>
      </w:pPr>
    </w:p>
    <w:p w:rsidR="00A85EB3" w:rsidRDefault="00B07D03">
      <w:pPr>
        <w:pStyle w:val="Heading2"/>
        <w:numPr>
          <w:ilvl w:val="0"/>
          <w:numId w:val="0"/>
        </w:numPr>
        <w:ind w:left="850" w:hanging="850"/>
        <w:rPr>
          <w:lang w:val="en-US"/>
        </w:rPr>
      </w:pPr>
      <w:bookmarkStart w:id="90" w:name="_Toc408234934"/>
      <w:r>
        <w:t>6.2 Равни възможности и недопускане на дискриминация</w:t>
      </w:r>
      <w:bookmarkEnd w:id="90"/>
    </w:p>
    <w:p w:rsidR="00A85EB3" w:rsidRDefault="00B07D03">
      <w:pPr>
        <w:spacing w:after="240"/>
        <w:rPr>
          <w:rFonts w:eastAsia="Times New Roman"/>
          <w:lang w:val="en-US" w:eastAsia="fr-FR"/>
        </w:rPr>
      </w:pPr>
      <w:r>
        <w:rPr>
          <w:rFonts w:eastAsia="Times New Roman"/>
        </w:rPr>
        <w:t>Описание на конкретните действия за насърчаване на равните възможности и предотвратяване на всякаква дискриминация, основана на пол, расов или етнически произход, религия или убеждения, увреждания, възраст или сексуална ориентация при изготвянето, разработването и изпълнението на програмата за сътрудничество, и по-специално по отношение на достъпа до финансиране, като се вземат предвид потребностите на различните целеви групи, изложени на риск от подобна дискриминация, и по-специално изискванията за осигуряване на достъп за хората с увреждания.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2"/>
      </w:tblGrid>
      <w:tr w:rsidR="00FB701A" w:rsidRPr="00981F6F" w:rsidTr="00D50480">
        <w:trPr>
          <w:trHeight w:val="690"/>
        </w:trPr>
        <w:tc>
          <w:tcPr>
            <w:tcW w:w="8612" w:type="dxa"/>
            <w:shd w:val="clear" w:color="auto" w:fill="auto"/>
          </w:tcPr>
          <w:p w:rsidR="00A85EB3" w:rsidRDefault="00B07D03">
            <w:pPr>
              <w:spacing w:line="276" w:lineRule="auto"/>
              <w:rPr>
                <w:rFonts w:eastAsia="Times New Roman"/>
                <w:szCs w:val="24"/>
                <w:lang w:val="en-US"/>
              </w:rPr>
            </w:pPr>
            <w:r>
              <w:rPr>
                <w:rFonts w:eastAsia="Times New Roman"/>
                <w:szCs w:val="24"/>
              </w:rPr>
              <w:t>Като цяло, целта на Европейския съюз е борба с „</w:t>
            </w:r>
            <w:r>
              <w:rPr>
                <w:rFonts w:eastAsia="Times New Roman"/>
                <w:i/>
                <w:szCs w:val="24"/>
              </w:rPr>
              <w:t>дискриминацията, основана на пол, расов или етнически произход, религия или вярвания, увреждания, възраст или сексуална ориентация</w:t>
            </w:r>
            <w:r>
              <w:rPr>
                <w:rFonts w:eastAsia="Times New Roman"/>
                <w:szCs w:val="24"/>
              </w:rPr>
              <w:t>“ (EU COM, общи разпоредби). Със Зелената книга за недопускането на дискриминация и за равните възможности за всички Европейската комисия публикува съвместна стратегия за „</w:t>
            </w:r>
            <w:r>
              <w:rPr>
                <w:rFonts w:eastAsia="Times New Roman"/>
                <w:i/>
                <w:szCs w:val="24"/>
              </w:rPr>
              <w:t>положително и активно насърчаване на недискриминацията и равните възможности за всички</w:t>
            </w:r>
            <w:r>
              <w:rPr>
                <w:rFonts w:eastAsia="Times New Roman"/>
                <w:szCs w:val="24"/>
              </w:rPr>
              <w:t>“ (EU COM, 2014: онлайн).</w:t>
            </w:r>
            <w:r>
              <w:rPr>
                <w:rFonts w:eastAsia="Times New Roman"/>
                <w:szCs w:val="24"/>
                <w:vertAlign w:val="superscript"/>
              </w:rPr>
              <w:footnoteReference w:id="18"/>
            </w:r>
            <w:r>
              <w:rPr>
                <w:rFonts w:eastAsia="Times New Roman"/>
                <w:szCs w:val="24"/>
              </w:rPr>
              <w:t xml:space="preserve"> Тя е в унисон с Всеобщата декларация за правата на човека на ООН.</w:t>
            </w:r>
          </w:p>
          <w:p w:rsidR="00A85EB3" w:rsidRDefault="00B07D03">
            <w:pPr>
              <w:spacing w:line="276" w:lineRule="auto"/>
              <w:rPr>
                <w:rFonts w:eastAsia="Times New Roman"/>
                <w:szCs w:val="24"/>
                <w:lang w:val="en-US"/>
              </w:rPr>
            </w:pPr>
            <w:r>
              <w:rPr>
                <w:rFonts w:eastAsia="Times New Roman"/>
                <w:szCs w:val="24"/>
              </w:rPr>
              <w:t xml:space="preserve">Стратегическа цел на Програмата по ИПП България – Турция е да осигури защита срещу дискриминация чрез транспониране от държавите–членки, да съдейства за приобщаващо трансгранично развитие и превръщане на граничните райони в по-добро място за живот и работа. Недискриминацията надхвърля проблемите на пола и придобива по широк фокус. Макар и </w:t>
            </w:r>
            <w:proofErr w:type="spellStart"/>
            <w:r>
              <w:rPr>
                <w:rFonts w:eastAsia="Times New Roman"/>
                <w:szCs w:val="24"/>
              </w:rPr>
              <w:t>антидискриминационното</w:t>
            </w:r>
            <w:proofErr w:type="spellEnd"/>
            <w:r>
              <w:rPr>
                <w:rFonts w:eastAsia="Times New Roman"/>
                <w:szCs w:val="24"/>
              </w:rPr>
              <w:t xml:space="preserve"> законодателство да е утвърден аспект на правните системи в ЕС, практическото прилагане на недискриминационни практики </w:t>
            </w:r>
            <w:r>
              <w:rPr>
                <w:rFonts w:eastAsia="Times New Roman"/>
                <w:szCs w:val="24"/>
              </w:rPr>
              <w:lastRenderedPageBreak/>
              <w:t xml:space="preserve">изостава. Проблем е също равният достъп до информация и контролът дали се изпълняват изискванията за недискриминация. В хода на изготвянето на програмата са спазени принципите на </w:t>
            </w:r>
            <w:proofErr w:type="spellStart"/>
            <w:r>
              <w:rPr>
                <w:rFonts w:eastAsia="Times New Roman"/>
                <w:szCs w:val="24"/>
              </w:rPr>
              <w:t>недскриминация</w:t>
            </w:r>
            <w:proofErr w:type="spellEnd"/>
            <w:r>
              <w:rPr>
                <w:rFonts w:eastAsia="Times New Roman"/>
                <w:szCs w:val="24"/>
              </w:rPr>
              <w:t xml:space="preserve"> и в анализа на силните и слабите страни, възможностите и </w:t>
            </w:r>
            <w:proofErr w:type="spellStart"/>
            <w:r>
              <w:rPr>
                <w:rFonts w:eastAsia="Times New Roman"/>
                <w:szCs w:val="24"/>
              </w:rPr>
              <w:t>опасноститеи</w:t>
            </w:r>
            <w:proofErr w:type="spellEnd"/>
            <w:r>
              <w:rPr>
                <w:rFonts w:eastAsia="Times New Roman"/>
                <w:szCs w:val="24"/>
              </w:rPr>
              <w:t xml:space="preserve"> са разгледани съответните проблеми, свързани с етническия и религиозен състав на региона, възрастовата структура и произтичащото социално-демографско развитие в програмния регион (свързано главно с миграцията и застаряването). Стратегията на програмата поставя ударение върху ползите за всички от програмата.</w:t>
            </w:r>
          </w:p>
          <w:p w:rsidR="00A85EB3" w:rsidRDefault="00B07D03">
            <w:pPr>
              <w:spacing w:line="276" w:lineRule="auto"/>
              <w:rPr>
                <w:rFonts w:eastAsia="Times New Roman"/>
                <w:szCs w:val="24"/>
                <w:lang w:val="en-US"/>
              </w:rPr>
            </w:pPr>
            <w:r>
              <w:rPr>
                <w:rFonts w:eastAsia="Times New Roman"/>
                <w:szCs w:val="24"/>
              </w:rPr>
              <w:t>Основните нужди се проявяват в редица проблеми, които се основават на различното развитие в двете страни по програмата през последните години, от неравенствата в областта на достъпността до различното икономическо развитие и социалната сфера. Очевиден е моделът център–периферия. През последните десетилетия икономическото развитие е поело различни пътища, съществуват икономически различия между градските, селските, централните и периферните региони. Неравенствата се наблюдават и в социалната област: особено селските райони се сблъскват с отрицателни демографски тенденции и случаи на изтичане на мозъци поради миграцията на млади и добре образовани работници.</w:t>
            </w:r>
          </w:p>
          <w:p w:rsidR="00A85EB3" w:rsidRDefault="00B07D03">
            <w:pPr>
              <w:spacing w:line="276" w:lineRule="auto"/>
              <w:rPr>
                <w:rFonts w:eastAsia="Times New Roman"/>
                <w:szCs w:val="24"/>
                <w:lang w:val="en-US"/>
              </w:rPr>
            </w:pPr>
            <w:r>
              <w:rPr>
                <w:rFonts w:eastAsia="Times New Roman"/>
                <w:szCs w:val="24"/>
              </w:rPr>
              <w:t>Принципите на равните възможности и недискриминацията се осигуряват чрез действия за подпомагане в области като повишаване на осведомеността, обмен на опит, обучение, разпространяване на информация и др., които също са посочени в Зелената книга на ЕС за равенството и недискриминацията (вж. COM(2004)379 окончателен).</w:t>
            </w:r>
          </w:p>
          <w:p w:rsidR="00A85EB3" w:rsidRDefault="00B07D03">
            <w:pPr>
              <w:spacing w:line="276" w:lineRule="auto"/>
              <w:rPr>
                <w:rFonts w:eastAsia="Times New Roman"/>
                <w:szCs w:val="24"/>
                <w:lang w:val="en-US"/>
              </w:rPr>
            </w:pPr>
            <w:r>
              <w:rPr>
                <w:rFonts w:eastAsia="Times New Roman"/>
                <w:szCs w:val="24"/>
              </w:rPr>
              <w:t xml:space="preserve">За програмния период 2014–2020 г. основният акцент на програмата е насочен към подобряване на условията за живот в граничните райони. Приоритетна ос 1 е насочена към сътрудничество в областта на природните и културни ресурси за устойчив растеж и има за цел повишаване на качеството на живот във функционалните градски зони и намаляване на различията в рамките на програмната област чрез засилване на капацитета и изготвяне и прилагане на интегрирани стратегии и инструменти. Една от основните цели на Приоритетна ос 2 е да намали съществуващите различия в икономическото развитие, особено в периферните райони, които са изправени пред ниско качество на обществената инфраструктура, и оттам да допринесе за създаването на равенството между периферните и централните райони.  </w:t>
            </w:r>
          </w:p>
          <w:p w:rsidR="00A85EB3" w:rsidRDefault="00B07D03">
            <w:pPr>
              <w:spacing w:line="276" w:lineRule="auto"/>
              <w:rPr>
                <w:rFonts w:eastAsia="Times New Roman"/>
                <w:szCs w:val="24"/>
                <w:lang w:val="en-US"/>
              </w:rPr>
            </w:pPr>
            <w:r>
              <w:rPr>
                <w:rFonts w:eastAsia="Times New Roman"/>
                <w:szCs w:val="24"/>
              </w:rPr>
              <w:t>Освен действията в рамките на приоритетите, които са насочени изрично към намаляването на различията, са определени и редица дейности, които могат да бъдат приложени в проекти, предоставени по всяка избрана Приоритетна ос.</w:t>
            </w:r>
          </w:p>
          <w:p w:rsidR="00A85EB3" w:rsidRDefault="00B07D03">
            <w:pPr>
              <w:spacing w:line="276" w:lineRule="auto"/>
              <w:rPr>
                <w:rFonts w:eastAsia="Times New Roman"/>
                <w:szCs w:val="24"/>
                <w:lang w:val="en-US"/>
              </w:rPr>
            </w:pPr>
            <w:r>
              <w:rPr>
                <w:rFonts w:eastAsia="Times New Roman"/>
                <w:szCs w:val="24"/>
              </w:rPr>
              <w:t xml:space="preserve">Всички дейности, които се осъществяват по Програмата за ТГС по ИПП България – Турция, включват мерки за спазване на принципа за равните възможности и </w:t>
            </w:r>
            <w:proofErr w:type="spellStart"/>
            <w:r>
              <w:rPr>
                <w:rFonts w:eastAsia="Times New Roman"/>
                <w:szCs w:val="24"/>
              </w:rPr>
              <w:t>недскриминацията</w:t>
            </w:r>
            <w:proofErr w:type="spellEnd"/>
            <w:r>
              <w:rPr>
                <w:rFonts w:eastAsia="Times New Roman"/>
                <w:szCs w:val="24"/>
              </w:rPr>
              <w:t>, например чрез:</w:t>
            </w:r>
          </w:p>
          <w:p w:rsidR="00A85EB3" w:rsidRDefault="00B07D03">
            <w:pPr>
              <w:numPr>
                <w:ilvl w:val="0"/>
                <w:numId w:val="61"/>
              </w:numPr>
              <w:spacing w:line="276" w:lineRule="auto"/>
              <w:rPr>
                <w:rFonts w:eastAsia="Times New Roman"/>
                <w:szCs w:val="24"/>
                <w:lang w:val="en-US"/>
              </w:rPr>
            </w:pPr>
            <w:r>
              <w:rPr>
                <w:rFonts w:eastAsia="Times New Roman"/>
                <w:szCs w:val="24"/>
              </w:rPr>
              <w:t>активна работа по проблема за демографските промени</w:t>
            </w:r>
          </w:p>
          <w:p w:rsidR="00A85EB3" w:rsidRDefault="00B07D03">
            <w:pPr>
              <w:numPr>
                <w:ilvl w:val="0"/>
                <w:numId w:val="61"/>
              </w:numPr>
              <w:spacing w:line="276" w:lineRule="auto"/>
              <w:rPr>
                <w:rFonts w:eastAsia="Times New Roman"/>
                <w:szCs w:val="24"/>
                <w:lang w:val="en-US"/>
              </w:rPr>
            </w:pPr>
            <w:r>
              <w:rPr>
                <w:rFonts w:eastAsia="Times New Roman"/>
                <w:szCs w:val="24"/>
              </w:rPr>
              <w:lastRenderedPageBreak/>
              <w:t>активна работа по проблема за периферните райони</w:t>
            </w:r>
          </w:p>
          <w:p w:rsidR="00A85EB3" w:rsidRDefault="00B07D03">
            <w:pPr>
              <w:spacing w:line="276" w:lineRule="auto"/>
              <w:rPr>
                <w:rFonts w:eastAsia="Times New Roman"/>
                <w:szCs w:val="24"/>
                <w:lang w:val="en-US"/>
              </w:rPr>
            </w:pPr>
            <w:r>
              <w:rPr>
                <w:rFonts w:eastAsia="Times New Roman"/>
                <w:szCs w:val="24"/>
              </w:rPr>
              <w:t>Освен това всички проекти, финансирани от Програмата, следва за допринасят за/да вземат предвид:</w:t>
            </w:r>
          </w:p>
          <w:p w:rsidR="00A85EB3" w:rsidRDefault="00B07D03">
            <w:pPr>
              <w:numPr>
                <w:ilvl w:val="0"/>
                <w:numId w:val="62"/>
              </w:numPr>
              <w:spacing w:line="276" w:lineRule="auto"/>
              <w:rPr>
                <w:rFonts w:eastAsia="Times New Roman"/>
                <w:szCs w:val="24"/>
                <w:lang w:val="en-US"/>
              </w:rPr>
            </w:pPr>
            <w:r>
              <w:rPr>
                <w:rFonts w:eastAsia="Times New Roman"/>
                <w:szCs w:val="24"/>
              </w:rPr>
              <w:t>гарантирането на това осъществяваните дейностите да не генерират дискриминация от какъвто и да било вид.</w:t>
            </w:r>
          </w:p>
          <w:p w:rsidR="00A85EB3" w:rsidRDefault="00B07D03">
            <w:pPr>
              <w:spacing w:line="276" w:lineRule="auto"/>
              <w:rPr>
                <w:rFonts w:eastAsia="Times New Roman"/>
                <w:szCs w:val="24"/>
                <w:lang w:val="en-US"/>
              </w:rPr>
            </w:pPr>
            <w:r>
              <w:rPr>
                <w:rFonts w:eastAsia="Times New Roman"/>
                <w:szCs w:val="24"/>
              </w:rPr>
              <w:t xml:space="preserve">Спазването на принципа за равни възможности и </w:t>
            </w:r>
            <w:proofErr w:type="spellStart"/>
            <w:r>
              <w:rPr>
                <w:rFonts w:eastAsia="Times New Roman"/>
                <w:szCs w:val="24"/>
              </w:rPr>
              <w:t>недскриминация</w:t>
            </w:r>
            <w:proofErr w:type="spellEnd"/>
            <w:r>
              <w:rPr>
                <w:rFonts w:eastAsia="Times New Roman"/>
                <w:szCs w:val="24"/>
              </w:rPr>
              <w:t xml:space="preserve"> ще бъде осигурено на всички етапи на изпълнението на програмата. Освен това той ще бъде гарантиран по време на извършването на финансовото подпомагане и оценката на неговото въздействие. В разработването на тази програма недопускането на дискриминация ще бъде разглеждано като хоризонтален въпрос.</w:t>
            </w:r>
          </w:p>
          <w:p w:rsidR="00A85EB3" w:rsidRDefault="00A85EB3">
            <w:pPr>
              <w:spacing w:line="276" w:lineRule="auto"/>
              <w:rPr>
                <w:rFonts w:eastAsia="Times New Roman"/>
                <w:i/>
                <w:szCs w:val="24"/>
                <w:lang w:val="en-US"/>
              </w:rPr>
            </w:pPr>
          </w:p>
        </w:tc>
      </w:tr>
    </w:tbl>
    <w:p w:rsidR="00A85EB3" w:rsidRDefault="00A85EB3">
      <w:pPr>
        <w:spacing w:after="240"/>
        <w:rPr>
          <w:rFonts w:eastAsia="Times New Roman"/>
          <w:lang w:val="en-US"/>
        </w:rPr>
      </w:pPr>
    </w:p>
    <w:p w:rsidR="00A85EB3" w:rsidRDefault="00B07D03">
      <w:pPr>
        <w:pStyle w:val="Heading2"/>
        <w:numPr>
          <w:ilvl w:val="0"/>
          <w:numId w:val="0"/>
        </w:numPr>
        <w:ind w:left="850" w:hanging="850"/>
        <w:rPr>
          <w:lang w:val="en-US"/>
        </w:rPr>
      </w:pPr>
      <w:bookmarkStart w:id="91" w:name="_Toc408234935"/>
      <w:r>
        <w:t>6.3 Равенство между мъжете и жените</w:t>
      </w:r>
      <w:bookmarkEnd w:id="91"/>
    </w:p>
    <w:p w:rsidR="00A85EB3" w:rsidRDefault="00B07D03">
      <w:pPr>
        <w:rPr>
          <w:rFonts w:eastAsia="Times New Roman"/>
          <w:lang w:val="en-US"/>
        </w:rPr>
      </w:pPr>
      <w:r>
        <w:rPr>
          <w:rFonts w:eastAsia="Times New Roman"/>
        </w:rPr>
        <w:t xml:space="preserve">Описание на приноса на програмата за сътрудничество за насърчаване на равенството между мъжете и жените и, когато е уместно, мерките за осигуряване на интегрирането на принципа за равенство между половете в програмата за сътрудничество и на ниво дейности.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2"/>
      </w:tblGrid>
      <w:tr w:rsidR="00FB701A" w:rsidRPr="00981F6F" w:rsidTr="00D50480">
        <w:trPr>
          <w:trHeight w:val="1177"/>
        </w:trPr>
        <w:tc>
          <w:tcPr>
            <w:tcW w:w="8612" w:type="dxa"/>
            <w:shd w:val="clear" w:color="auto" w:fill="auto"/>
          </w:tcPr>
          <w:p w:rsidR="00A85EB3" w:rsidRDefault="00B07D03">
            <w:pPr>
              <w:spacing w:line="276" w:lineRule="auto"/>
              <w:rPr>
                <w:rFonts w:eastAsia="Times New Roman"/>
                <w:szCs w:val="24"/>
                <w:lang w:val="en-US"/>
              </w:rPr>
            </w:pPr>
            <w:r>
              <w:rPr>
                <w:rFonts w:eastAsia="Times New Roman"/>
                <w:szCs w:val="24"/>
              </w:rPr>
              <w:t>Както и с устойчивото развитие, насърчаването на равенството между мъжете и жените е един от общите принципи на фондовете по ОСР (вж. EU COM, общи разпоредби) и един от основополагащите принципи на ЕС. В договора за Съюза е посочено, че Съюзът „</w:t>
            </w:r>
            <w:r>
              <w:rPr>
                <w:rFonts w:eastAsia="Times New Roman"/>
                <w:i/>
                <w:szCs w:val="24"/>
              </w:rPr>
              <w:t>се бори срещу социалното изключване и дискриминациите и насърчава социалната справедливост и закрила, равенството между жените и мъжете, солидарността между поколенията и защитата на правата на детето</w:t>
            </w:r>
            <w:r>
              <w:rPr>
                <w:rFonts w:eastAsia="Times New Roman"/>
                <w:szCs w:val="24"/>
              </w:rPr>
              <w:t xml:space="preserve">.“ (EU COM: Договор от Лисабон, чл. 3). </w:t>
            </w:r>
          </w:p>
          <w:p w:rsidR="00A85EB3" w:rsidRDefault="00B07D03">
            <w:pPr>
              <w:spacing w:line="276" w:lineRule="auto"/>
              <w:rPr>
                <w:rFonts w:eastAsia="Times New Roman"/>
                <w:szCs w:val="24"/>
                <w:lang w:val="en-US"/>
              </w:rPr>
            </w:pPr>
            <w:r>
              <w:rPr>
                <w:rFonts w:eastAsia="Times New Roman"/>
                <w:szCs w:val="24"/>
              </w:rPr>
              <w:t>Поради това Съюзът следва „</w:t>
            </w:r>
            <w:r>
              <w:rPr>
                <w:rFonts w:eastAsia="Times New Roman"/>
                <w:i/>
                <w:szCs w:val="24"/>
              </w:rPr>
              <w:t>Стратегията за равенство между жените и мъжете</w:t>
            </w:r>
            <w:r>
              <w:rPr>
                <w:rFonts w:eastAsia="Times New Roman"/>
                <w:szCs w:val="24"/>
              </w:rPr>
              <w:t>“ през периода 2010–2015, като следва тематичните приоритети, включително равна икономическа независимост, равно заплащане за работа с еднаква стойност, равенство при вземането на решения, достойнство, почтеност и премахване на насилието на основата на пол, насърчаване на равенството между половете извън Съюза и хоризонталните проблеми (роля на половете, законодателство и др.) (вж. Европейски съюз, 2010: 4-10</w:t>
            </w:r>
            <w:r>
              <w:rPr>
                <w:rFonts w:eastAsia="Times New Roman"/>
                <w:szCs w:val="24"/>
                <w:vertAlign w:val="superscript"/>
              </w:rPr>
              <w:footnoteReference w:id="19"/>
            </w:r>
            <w:r>
              <w:rPr>
                <w:rFonts w:eastAsia="Times New Roman"/>
                <w:szCs w:val="24"/>
              </w:rPr>
              <w:t>).</w:t>
            </w:r>
          </w:p>
          <w:p w:rsidR="00A85EB3" w:rsidRDefault="00B07D03">
            <w:pPr>
              <w:spacing w:line="276" w:lineRule="auto"/>
              <w:rPr>
                <w:rFonts w:eastAsia="Times New Roman"/>
                <w:szCs w:val="24"/>
                <w:lang w:val="en-US"/>
              </w:rPr>
            </w:pPr>
            <w:r>
              <w:rPr>
                <w:rFonts w:eastAsia="Times New Roman"/>
                <w:szCs w:val="24"/>
              </w:rPr>
              <w:t xml:space="preserve">И все пак програмната област е изправена през предизвикателства в областта на изтичането на мозъци, особено в селските, най-вече периферни райони. Поради липса на възможности за работа главно добре образовани млади жени и мъже напускат селските си домове и мигрират в по-градските райони. Освен това рискът от бедност за различни групи, като жените, е определен като основна </w:t>
            </w:r>
            <w:r>
              <w:rPr>
                <w:rFonts w:eastAsia="Times New Roman"/>
                <w:szCs w:val="24"/>
              </w:rPr>
              <w:lastRenderedPageBreak/>
              <w:t>слабост в района на централна Европа; всички тези проблеми са свързани с неравенството между половете в програмния регион.</w:t>
            </w:r>
          </w:p>
          <w:p w:rsidR="00A85EB3" w:rsidRDefault="00B07D03">
            <w:pPr>
              <w:spacing w:line="276" w:lineRule="auto"/>
              <w:rPr>
                <w:rFonts w:eastAsia="Times New Roman"/>
                <w:szCs w:val="24"/>
                <w:lang w:val="en-US"/>
              </w:rPr>
            </w:pPr>
            <w:r>
              <w:rPr>
                <w:rFonts w:eastAsia="Times New Roman"/>
                <w:szCs w:val="24"/>
              </w:rPr>
              <w:t xml:space="preserve">Програмата за ТГС по ИПП България – Турция допринася за целите на Европа 2020 за приобщаваща икономика и поради това за по-високо равнище на равенството между мъжете и жените. Следователно Програмата допринася за идентифицираните слабости в граничните райони, като високия процент на миграция навън, случаите на изтичане на мозъци и риска от бедност за различни групи (напр. жените, уязвимите групи). За програмния период 2014–2020 г. основният акцент на програмата е насочен към подобряването на условията на живот в региона. </w:t>
            </w:r>
          </w:p>
          <w:p w:rsidR="00A85EB3" w:rsidRDefault="00B07D03">
            <w:pPr>
              <w:spacing w:line="276" w:lineRule="auto"/>
              <w:rPr>
                <w:rFonts w:eastAsia="Times New Roman"/>
                <w:szCs w:val="24"/>
                <w:lang w:val="en-US"/>
              </w:rPr>
            </w:pPr>
            <w:r>
              <w:rPr>
                <w:rFonts w:eastAsia="Times New Roman"/>
                <w:szCs w:val="24"/>
              </w:rPr>
              <w:t xml:space="preserve">За периода 2014–2020 г. основното ударение на програмата е насочено към подобряване на условията за живот в граничните райони. По-конкретно Приоритетна ос 2 на програмата е насочена към устойчивия туризъм и социално-икономическото развитие. Чрез икономическото развитие ще се появят възможности за равенството между мъжете и жените, тъй като устойчивите туристически дейности насърчават равните шансове за заетост на мъжете и жените. </w:t>
            </w:r>
          </w:p>
          <w:p w:rsidR="00A85EB3" w:rsidRDefault="00B07D03">
            <w:pPr>
              <w:spacing w:line="276" w:lineRule="auto"/>
              <w:rPr>
                <w:rFonts w:eastAsia="Times New Roman"/>
                <w:szCs w:val="24"/>
                <w:lang w:val="en-US"/>
              </w:rPr>
            </w:pPr>
            <w:r>
              <w:rPr>
                <w:rFonts w:eastAsia="Times New Roman"/>
                <w:szCs w:val="24"/>
              </w:rPr>
              <w:t>Освен конкретните действията в рамките на приоритета на Програмата, са определени и редица дейности, които могат да бъдат приложени в проекти, предоставени по всяка избрана Приоритетна ос.</w:t>
            </w:r>
          </w:p>
          <w:p w:rsidR="00A85EB3" w:rsidRDefault="00B07D03">
            <w:pPr>
              <w:spacing w:line="276" w:lineRule="auto"/>
              <w:rPr>
                <w:rFonts w:eastAsia="Times New Roman"/>
                <w:szCs w:val="24"/>
                <w:lang w:val="en-US"/>
              </w:rPr>
            </w:pPr>
            <w:r>
              <w:rPr>
                <w:rFonts w:eastAsia="Times New Roman"/>
                <w:szCs w:val="24"/>
              </w:rPr>
              <w:t>Всички проекти и дейности по програмата могат да включат мерки като:</w:t>
            </w:r>
          </w:p>
          <w:p w:rsidR="00A85EB3" w:rsidRDefault="00B07D03">
            <w:pPr>
              <w:numPr>
                <w:ilvl w:val="0"/>
                <w:numId w:val="62"/>
              </w:numPr>
              <w:spacing w:line="276" w:lineRule="auto"/>
              <w:rPr>
                <w:rFonts w:eastAsia="Times New Roman"/>
                <w:szCs w:val="24"/>
                <w:lang w:val="en-US"/>
              </w:rPr>
            </w:pPr>
            <w:r>
              <w:rPr>
                <w:rFonts w:eastAsia="Times New Roman"/>
                <w:szCs w:val="24"/>
              </w:rPr>
              <w:t>Активна работа по проблема за по голямо равенство</w:t>
            </w:r>
          </w:p>
          <w:p w:rsidR="00A85EB3" w:rsidRDefault="00B07D03">
            <w:pPr>
              <w:numPr>
                <w:ilvl w:val="0"/>
                <w:numId w:val="62"/>
              </w:numPr>
              <w:spacing w:line="276" w:lineRule="auto"/>
              <w:rPr>
                <w:rFonts w:eastAsia="Times New Roman"/>
                <w:szCs w:val="24"/>
                <w:lang w:val="en-US"/>
              </w:rPr>
            </w:pPr>
            <w:r>
              <w:rPr>
                <w:rFonts w:eastAsia="Times New Roman"/>
                <w:szCs w:val="24"/>
              </w:rPr>
              <w:t>Включване и наблюдаване на равното участие на жените и мъжете</w:t>
            </w:r>
          </w:p>
          <w:p w:rsidR="00A85EB3" w:rsidRDefault="00B07D03">
            <w:pPr>
              <w:numPr>
                <w:ilvl w:val="0"/>
                <w:numId w:val="62"/>
              </w:numPr>
              <w:spacing w:line="276" w:lineRule="auto"/>
              <w:rPr>
                <w:rFonts w:eastAsia="Times New Roman"/>
                <w:szCs w:val="24"/>
                <w:lang w:val="en-US"/>
              </w:rPr>
            </w:pPr>
            <w:r>
              <w:rPr>
                <w:rFonts w:eastAsia="Times New Roman"/>
                <w:szCs w:val="24"/>
              </w:rPr>
              <w:t xml:space="preserve">Съдействие за по-добър и </w:t>
            </w:r>
            <w:proofErr w:type="spellStart"/>
            <w:r>
              <w:rPr>
                <w:rFonts w:eastAsia="Times New Roman"/>
                <w:szCs w:val="24"/>
              </w:rPr>
              <w:t>по-диверсифициран</w:t>
            </w:r>
            <w:proofErr w:type="spellEnd"/>
            <w:r>
              <w:rPr>
                <w:rFonts w:eastAsia="Times New Roman"/>
                <w:szCs w:val="24"/>
              </w:rPr>
              <w:t xml:space="preserve"> пазар на труда за жените</w:t>
            </w:r>
          </w:p>
          <w:p w:rsidR="00A85EB3" w:rsidRDefault="00B07D03">
            <w:pPr>
              <w:spacing w:line="276" w:lineRule="auto"/>
              <w:rPr>
                <w:rFonts w:eastAsia="Times New Roman"/>
                <w:szCs w:val="24"/>
                <w:lang w:val="en-US"/>
              </w:rPr>
            </w:pPr>
            <w:r>
              <w:rPr>
                <w:rFonts w:eastAsia="Times New Roman"/>
                <w:szCs w:val="24"/>
              </w:rPr>
              <w:t>Освен това всички проекти, финансирани от Програмата, следва за допринасят за/да вземат предвид:</w:t>
            </w:r>
          </w:p>
          <w:p w:rsidR="00A85EB3" w:rsidRDefault="00B07D03">
            <w:pPr>
              <w:numPr>
                <w:ilvl w:val="0"/>
                <w:numId w:val="63"/>
              </w:numPr>
              <w:spacing w:line="276" w:lineRule="auto"/>
              <w:rPr>
                <w:rFonts w:eastAsia="Times New Roman"/>
                <w:i/>
                <w:szCs w:val="24"/>
                <w:lang w:val="en-US"/>
              </w:rPr>
            </w:pPr>
            <w:r>
              <w:rPr>
                <w:rFonts w:eastAsia="Times New Roman"/>
                <w:szCs w:val="24"/>
              </w:rPr>
              <w:t>приноса към принципите на „</w:t>
            </w:r>
            <w:r>
              <w:rPr>
                <w:rFonts w:eastAsia="Times New Roman"/>
                <w:i/>
                <w:szCs w:val="24"/>
              </w:rPr>
              <w:t>Стратегията за равенство между жените и мъжете“.</w:t>
            </w:r>
          </w:p>
          <w:p w:rsidR="00A85EB3" w:rsidRDefault="00B07D03">
            <w:pPr>
              <w:spacing w:line="276" w:lineRule="auto"/>
              <w:rPr>
                <w:rFonts w:eastAsia="Times New Roman"/>
                <w:i/>
                <w:szCs w:val="24"/>
                <w:lang w:val="en-US"/>
              </w:rPr>
            </w:pPr>
            <w:r>
              <w:rPr>
                <w:rFonts w:eastAsia="Times New Roman"/>
                <w:szCs w:val="24"/>
              </w:rPr>
              <w:t xml:space="preserve">Прилагането на мерките съобразно конкретните нужди на жените и мъжете ще се основава също така на националните разпоредби, насочени към равните възможности. В рамките на програмата за ТГС ще се спазва равния статут на мъжете и жените и няма да се толерира дискриминация на лица на основание пол, раса и произход. Спазването на принципа за равенство между мъжете и жените ще се осигури по време на изпълнението на всички етапи на програмата, както и при отпускането на финансовата помощ от фондовете. Принципът ще се спазва също и на етапа на определяне на критериите за подбор на проектите. Политиката, насочена към насърчаване на равенството между половете и предотвратяването на дискриминацията, ще бъде проверявана на всички етапи от изпълнението на програмата – на равнище програма и на равнище проект.  </w:t>
            </w:r>
          </w:p>
        </w:tc>
      </w:tr>
    </w:tbl>
    <w:p w:rsidR="00A85EB3" w:rsidRDefault="00A85EB3">
      <w:pPr>
        <w:ind w:left="584"/>
        <w:rPr>
          <w:rFonts w:eastAsia="Times New Roman"/>
          <w:lang w:val="en-US"/>
        </w:rPr>
        <w:sectPr w:rsidR="00A85EB3" w:rsidSect="006A4BDD">
          <w:headerReference w:type="default" r:id="rId57"/>
          <w:footerReference w:type="default" r:id="rId58"/>
          <w:headerReference w:type="first" r:id="rId59"/>
          <w:footerReference w:type="first" r:id="rId60"/>
          <w:pgSz w:w="11906" w:h="16838"/>
          <w:pgMar w:top="1021" w:right="1701" w:bottom="1021" w:left="1588" w:header="601" w:footer="1077" w:gutter="0"/>
          <w:cols w:space="720"/>
          <w:docGrid w:linePitch="326"/>
        </w:sectPr>
      </w:pPr>
    </w:p>
    <w:p w:rsidR="00A85EB3" w:rsidRDefault="00A85EB3">
      <w:pPr>
        <w:spacing w:after="480"/>
        <w:rPr>
          <w:rFonts w:eastAsia="Times New Roman"/>
          <w:b/>
          <w:lang w:val="en-US"/>
        </w:rPr>
      </w:pPr>
    </w:p>
    <w:p w:rsidR="00A85EB3" w:rsidRDefault="00B07D03">
      <w:pPr>
        <w:spacing w:after="480"/>
        <w:rPr>
          <w:rFonts w:eastAsia="Times New Roman"/>
          <w:b/>
          <w:lang w:val="en-US"/>
        </w:rPr>
      </w:pPr>
      <w:r>
        <w:rPr>
          <w:rFonts w:eastAsia="Times New Roman"/>
          <w:b/>
        </w:rPr>
        <w:t>ПРИЛОЖЕНИЯ (качени на електронните системи за обмен на данни като отделни файлове):</w:t>
      </w:r>
    </w:p>
    <w:p w:rsidR="00A85EB3" w:rsidRDefault="00B07D03">
      <w:pPr>
        <w:pStyle w:val="Bullet0"/>
        <w:numPr>
          <w:ilvl w:val="0"/>
          <w:numId w:val="19"/>
        </w:numPr>
        <w:rPr>
          <w:b/>
          <w:lang w:val="en-US"/>
        </w:rPr>
      </w:pPr>
      <w:r>
        <w:t xml:space="preserve">Проект на доклад от предварителната оценка (включително резюме на доклада) </w:t>
      </w:r>
    </w:p>
    <w:p w:rsidR="00A85EB3" w:rsidRDefault="00B07D03">
      <w:pPr>
        <w:pStyle w:val="Bullet0"/>
        <w:numPr>
          <w:ilvl w:val="0"/>
          <w:numId w:val="19"/>
        </w:numPr>
        <w:rPr>
          <w:lang w:val="en-US"/>
        </w:rPr>
      </w:pPr>
      <w:r>
        <w:t>Писмено потвърждение на съгласие със съдържанието на програмата за сътрудничество (Източник: чл. 8(9) от Регламент (ЕС) № 1299/2013)</w:t>
      </w:r>
    </w:p>
    <w:p w:rsidR="00A85EB3" w:rsidRDefault="00B07D03">
      <w:pPr>
        <w:pStyle w:val="Bullet0"/>
        <w:numPr>
          <w:ilvl w:val="0"/>
          <w:numId w:val="19"/>
        </w:numPr>
        <w:rPr>
          <w:lang w:val="en-US"/>
        </w:rPr>
      </w:pPr>
      <w:r>
        <w:t xml:space="preserve">Карта на региона, включен в програмата за сътрудничество </w:t>
      </w:r>
    </w:p>
    <w:p w:rsidR="00A85EB3" w:rsidRDefault="00B07D03">
      <w:pPr>
        <w:pStyle w:val="Bullet0"/>
        <w:numPr>
          <w:ilvl w:val="0"/>
          <w:numId w:val="19"/>
        </w:numPr>
        <w:rPr>
          <w:lang w:val="en-US"/>
        </w:rPr>
      </w:pPr>
      <w:r>
        <w:t xml:space="preserve">„Резюме за гражданите“ на програмата за сътрудничество </w:t>
      </w:r>
    </w:p>
    <w:p w:rsidR="00A85EB3" w:rsidRDefault="00B07D03">
      <w:pPr>
        <w:pStyle w:val="Bullet0"/>
        <w:numPr>
          <w:ilvl w:val="0"/>
          <w:numId w:val="19"/>
        </w:numPr>
        <w:rPr>
          <w:lang w:val="en-US"/>
        </w:rPr>
      </w:pPr>
      <w:r>
        <w:t>Стратегическа екологична оценка</w:t>
      </w:r>
    </w:p>
    <w:p w:rsidR="00A85EB3" w:rsidRDefault="00B07D03">
      <w:pPr>
        <w:pStyle w:val="Bullet0"/>
        <w:numPr>
          <w:ilvl w:val="0"/>
          <w:numId w:val="19"/>
        </w:numPr>
        <w:rPr>
          <w:lang w:val="en-US"/>
        </w:rPr>
      </w:pPr>
      <w:r>
        <w:t>Сравнителна таблица – предварителни коментари</w:t>
      </w:r>
    </w:p>
    <w:p w:rsidR="00A85EB3" w:rsidRDefault="00B07D03">
      <w:pPr>
        <w:pStyle w:val="Bullet0"/>
        <w:numPr>
          <w:ilvl w:val="0"/>
          <w:numId w:val="19"/>
        </w:numPr>
        <w:rPr>
          <w:lang w:val="en-US"/>
        </w:rPr>
      </w:pPr>
      <w:r>
        <w:t>Базов анализ и анализ на силните и слабите страни, възможностите и опасностите на региона на ТГС България – Турция</w:t>
      </w:r>
    </w:p>
    <w:p w:rsidR="00A85EB3" w:rsidRDefault="00B07D03">
      <w:pPr>
        <w:pStyle w:val="Bullet0"/>
        <w:numPr>
          <w:ilvl w:val="0"/>
          <w:numId w:val="19"/>
        </w:numPr>
        <w:rPr>
          <w:lang w:val="en-US"/>
        </w:rPr>
      </w:pPr>
      <w:r>
        <w:t>Сравнителна таблица за Черно море</w:t>
      </w:r>
    </w:p>
    <w:p w:rsidR="00A85EB3" w:rsidRDefault="00B07D03">
      <w:pPr>
        <w:pStyle w:val="Bullet0"/>
        <w:numPr>
          <w:ilvl w:val="0"/>
          <w:numId w:val="19"/>
        </w:numPr>
        <w:rPr>
          <w:lang w:val="en-US"/>
        </w:rPr>
      </w:pPr>
      <w:r>
        <w:t>Участие на заинтересованите лица в процеса на програмиране</w:t>
      </w:r>
    </w:p>
    <w:p w:rsidR="00A85EB3" w:rsidRDefault="00A85EB3">
      <w:pPr>
        <w:pStyle w:val="Bullet0"/>
        <w:numPr>
          <w:ilvl w:val="0"/>
          <w:numId w:val="0"/>
        </w:numPr>
        <w:ind w:left="850"/>
        <w:rPr>
          <w:lang w:val="en-US"/>
        </w:rPr>
      </w:pPr>
    </w:p>
    <w:sectPr w:rsidR="00A85EB3">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407" w:rsidRPr="00B76110" w:rsidRDefault="00F81407" w:rsidP="00292003">
      <w:pPr>
        <w:spacing w:before="0" w:after="0"/>
      </w:pPr>
      <w:r w:rsidRPr="00B76110">
        <w:separator/>
      </w:r>
    </w:p>
  </w:endnote>
  <w:endnote w:type="continuationSeparator" w:id="0">
    <w:p w:rsidR="00F81407" w:rsidRPr="00B76110" w:rsidRDefault="00F81407" w:rsidP="00292003">
      <w:pPr>
        <w:spacing w:before="0" w:after="0"/>
      </w:pPr>
      <w:r w:rsidRPr="00B761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Frutiger Roman">
    <w:altName w:val="Arial Narrow"/>
    <w:panose1 w:val="00000000000000000000"/>
    <w:charset w:val="80"/>
    <w:family w:val="roman"/>
    <w:notTrueType/>
    <w:pitch w:val="variable"/>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83" w:usb1="08070000" w:usb2="00000010" w:usb3="00000000" w:csb0="00020009"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Footer"/>
      <w:rPr>
        <w:rFonts w:ascii="Arial" w:hAnsi="Arial" w:cs="Arial"/>
        <w:b/>
        <w:sz w:val="48"/>
      </w:rPr>
    </w:pPr>
    <w:r w:rsidRPr="006A4BDD">
      <w:rPr>
        <w:rFonts w:ascii="Arial" w:hAnsi="Arial" w:cs="Arial"/>
        <w:b/>
        <w:sz w:val="48"/>
      </w:rPr>
      <w:t>BG</w:t>
    </w:r>
    <w:r w:rsidRPr="006A4BDD">
      <w:rPr>
        <w:rFonts w:ascii="Arial" w:hAnsi="Arial" w:cs="Arial"/>
        <w:b/>
        <w:sz w:val="48"/>
      </w:rPr>
      <w:tab/>
    </w:r>
    <w:r>
      <w:fldChar w:fldCharType="begin"/>
    </w:r>
    <w:r>
      <w:instrText xml:space="preserve"> PAGE  \* MERGEFORMAT </w:instrText>
    </w:r>
    <w:r>
      <w:fldChar w:fldCharType="separate"/>
    </w:r>
    <w:r w:rsidR="00691714">
      <w:rPr>
        <w:noProof/>
      </w:rPr>
      <w:t>24</w:t>
    </w:r>
    <w:r>
      <w:fldChar w:fldCharType="end"/>
    </w:r>
    <w:r>
      <w:tab/>
    </w:r>
    <w:fldSimple w:instr="  DOCVARIABLE &quot;LW_Confidence&quot; \* MERGEFORMAT ">
      <w:r>
        <w:t xml:space="preserve"> </w:t>
      </w:r>
    </w:fldSimple>
    <w:r>
      <w:t xml:space="preserve"> </w:t>
    </w:r>
    <w:r w:rsidRPr="006A4BDD">
      <w:tab/>
    </w:r>
    <w:r w:rsidRPr="006A4BDD">
      <w:rPr>
        <w:rFonts w:ascii="Arial" w:hAnsi="Arial" w:cs="Arial"/>
        <w:b/>
        <w:sz w:val="48"/>
      </w:rPr>
      <w:t>BG</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FooterLandscape"/>
      <w:rPr>
        <w:rFonts w:ascii="Arial" w:hAnsi="Arial" w:cs="Arial"/>
        <w:b/>
        <w:sz w:val="48"/>
      </w:rPr>
    </w:pPr>
    <w:r w:rsidRPr="006A4BDD">
      <w:rPr>
        <w:rFonts w:ascii="Arial" w:hAnsi="Arial" w:cs="Arial"/>
        <w:b/>
        <w:sz w:val="48"/>
      </w:rPr>
      <w:t>BG</w:t>
    </w:r>
    <w:r w:rsidRPr="006A4BDD">
      <w:rPr>
        <w:rFonts w:ascii="Arial" w:hAnsi="Arial" w:cs="Arial"/>
        <w:b/>
        <w:sz w:val="48"/>
      </w:rPr>
      <w:tab/>
    </w:r>
    <w:r>
      <w:fldChar w:fldCharType="begin"/>
    </w:r>
    <w:r>
      <w:instrText xml:space="preserve"> PAGE  \* MERGEFORMAT </w:instrText>
    </w:r>
    <w:r>
      <w:fldChar w:fldCharType="separate"/>
    </w:r>
    <w:r w:rsidR="00DE6424">
      <w:rPr>
        <w:noProof/>
      </w:rPr>
      <w:t>57</w:t>
    </w:r>
    <w:r>
      <w:fldChar w:fldCharType="end"/>
    </w:r>
    <w:r>
      <w:tab/>
    </w:r>
    <w:fldSimple w:instr="  DOCVARIABLE &quot;LW_Confidence&quot; \* MERGEFORMAT ">
      <w:r>
        <w:t xml:space="preserve"> </w:t>
      </w:r>
    </w:fldSimple>
    <w:r>
      <w:t xml:space="preserve"> </w:t>
    </w:r>
    <w:r w:rsidRPr="006A4BDD">
      <w:tab/>
    </w:r>
    <w:r w:rsidRPr="006A4BDD">
      <w:rPr>
        <w:rFonts w:ascii="Arial" w:hAnsi="Arial" w:cs="Arial"/>
        <w:b/>
        <w:sz w:val="48"/>
      </w:rPr>
      <w:t>BG</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FooterLandscap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Footer"/>
      <w:rPr>
        <w:rFonts w:ascii="Arial" w:hAnsi="Arial" w:cs="Arial"/>
        <w:b/>
        <w:sz w:val="48"/>
      </w:rPr>
    </w:pPr>
    <w:r w:rsidRPr="006A4BDD">
      <w:rPr>
        <w:rFonts w:ascii="Arial" w:hAnsi="Arial" w:cs="Arial"/>
        <w:b/>
        <w:sz w:val="48"/>
      </w:rPr>
      <w:t>BG</w:t>
    </w:r>
    <w:r w:rsidRPr="006A4BDD">
      <w:rPr>
        <w:rFonts w:ascii="Arial" w:hAnsi="Arial" w:cs="Arial"/>
        <w:b/>
        <w:sz w:val="48"/>
      </w:rPr>
      <w:tab/>
    </w:r>
    <w:r>
      <w:fldChar w:fldCharType="begin"/>
    </w:r>
    <w:r>
      <w:instrText xml:space="preserve"> PAGE  \* MERGEFORMAT </w:instrText>
    </w:r>
    <w:r>
      <w:fldChar w:fldCharType="separate"/>
    </w:r>
    <w:r w:rsidR="00DE6424">
      <w:rPr>
        <w:noProof/>
      </w:rPr>
      <w:t>64</w:t>
    </w:r>
    <w:r>
      <w:fldChar w:fldCharType="end"/>
    </w:r>
    <w:r>
      <w:tab/>
    </w:r>
    <w:fldSimple w:instr="  DOCVARIABLE &quot;LW_Confidence&quot; \* MERGEFORMAT ">
      <w:r>
        <w:t xml:space="preserve"> </w:t>
      </w:r>
    </w:fldSimple>
    <w:r>
      <w:t xml:space="preserve"> </w:t>
    </w:r>
    <w:r w:rsidRPr="006A4BDD">
      <w:tab/>
    </w:r>
    <w:r w:rsidRPr="006A4BDD">
      <w:rPr>
        <w:rFonts w:ascii="Arial" w:hAnsi="Arial" w:cs="Arial"/>
        <w:b/>
        <w:sz w:val="48"/>
      </w:rPr>
      <w:t>BG</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FooterLandscape"/>
      <w:rPr>
        <w:rFonts w:ascii="Arial" w:hAnsi="Arial" w:cs="Arial"/>
        <w:b/>
        <w:sz w:val="48"/>
      </w:rPr>
    </w:pPr>
    <w:r w:rsidRPr="006A4BDD">
      <w:rPr>
        <w:rFonts w:ascii="Arial" w:hAnsi="Arial" w:cs="Arial"/>
        <w:b/>
        <w:sz w:val="48"/>
      </w:rPr>
      <w:t>BG</w:t>
    </w:r>
    <w:r w:rsidRPr="006A4BDD">
      <w:rPr>
        <w:rFonts w:ascii="Arial" w:hAnsi="Arial" w:cs="Arial"/>
        <w:b/>
        <w:sz w:val="48"/>
      </w:rPr>
      <w:tab/>
    </w:r>
    <w:r>
      <w:fldChar w:fldCharType="begin"/>
    </w:r>
    <w:r>
      <w:instrText xml:space="preserve"> PAGE  \* MERGEFORMAT </w:instrText>
    </w:r>
    <w:r>
      <w:fldChar w:fldCharType="separate"/>
    </w:r>
    <w:r w:rsidR="00DE6424">
      <w:rPr>
        <w:noProof/>
      </w:rPr>
      <w:t>67</w:t>
    </w:r>
    <w:r>
      <w:fldChar w:fldCharType="end"/>
    </w:r>
    <w:r>
      <w:tab/>
    </w:r>
    <w:fldSimple w:instr="  DOCVARIABLE &quot;LW_Confidence&quot; \* MERGEFORMAT ">
      <w:r>
        <w:t xml:space="preserve"> </w:t>
      </w:r>
    </w:fldSimple>
    <w:r>
      <w:t xml:space="preserve"> </w:t>
    </w:r>
    <w:r w:rsidRPr="006A4BDD">
      <w:tab/>
    </w:r>
    <w:r w:rsidRPr="006A4BDD">
      <w:rPr>
        <w:rFonts w:ascii="Arial" w:hAnsi="Arial" w:cs="Arial"/>
        <w:b/>
        <w:sz w:val="48"/>
      </w:rPr>
      <w:t>BG</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FooterLandscape"/>
      <w:rPr>
        <w:rFonts w:ascii="Arial" w:hAnsi="Arial" w:cs="Arial"/>
        <w:b/>
        <w:sz w:val="48"/>
      </w:rPr>
    </w:pPr>
    <w:r w:rsidRPr="006A4BDD">
      <w:rPr>
        <w:rFonts w:ascii="Arial" w:hAnsi="Arial" w:cs="Arial"/>
        <w:b/>
        <w:sz w:val="48"/>
      </w:rPr>
      <w:t>BG</w:t>
    </w:r>
    <w:r w:rsidRPr="006A4BDD">
      <w:rPr>
        <w:rFonts w:ascii="Arial" w:hAnsi="Arial" w:cs="Arial"/>
        <w:b/>
        <w:sz w:val="48"/>
      </w:rPr>
      <w:tab/>
    </w:r>
    <w:r>
      <w:fldChar w:fldCharType="begin"/>
    </w:r>
    <w:r>
      <w:instrText xml:space="preserve"> PAGE  \* MERGEFORMAT </w:instrText>
    </w:r>
    <w:r>
      <w:fldChar w:fldCharType="separate"/>
    </w:r>
    <w:r w:rsidR="00DE6424">
      <w:rPr>
        <w:noProof/>
      </w:rPr>
      <w:t>68</w:t>
    </w:r>
    <w:r>
      <w:fldChar w:fldCharType="end"/>
    </w:r>
    <w:r>
      <w:tab/>
    </w:r>
    <w:fldSimple w:instr="  DOCVARIABLE &quot;LW_Confidence&quot; \* MERGEFORMAT ">
      <w:r>
        <w:t xml:space="preserve"> </w:t>
      </w:r>
    </w:fldSimple>
    <w:r>
      <w:t xml:space="preserve"> </w:t>
    </w:r>
    <w:r w:rsidRPr="006A4BDD">
      <w:tab/>
    </w:r>
    <w:r w:rsidRPr="006A4BDD">
      <w:rPr>
        <w:rFonts w:ascii="Arial" w:hAnsi="Arial" w:cs="Arial"/>
        <w:b/>
        <w:sz w:val="48"/>
      </w:rPr>
      <w:t>BG</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FooterLandscape"/>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Footer"/>
      <w:rPr>
        <w:rFonts w:ascii="Arial" w:hAnsi="Arial" w:cs="Arial"/>
        <w:b/>
        <w:sz w:val="48"/>
      </w:rPr>
    </w:pPr>
    <w:r w:rsidRPr="006A4BDD">
      <w:rPr>
        <w:rFonts w:ascii="Arial" w:hAnsi="Arial" w:cs="Arial"/>
        <w:b/>
        <w:sz w:val="48"/>
      </w:rPr>
      <w:t>BG</w:t>
    </w:r>
    <w:r w:rsidRPr="006A4BDD">
      <w:rPr>
        <w:rFonts w:ascii="Arial" w:hAnsi="Arial" w:cs="Arial"/>
        <w:b/>
        <w:sz w:val="48"/>
      </w:rPr>
      <w:tab/>
    </w:r>
    <w:r>
      <w:fldChar w:fldCharType="begin"/>
    </w:r>
    <w:r>
      <w:instrText xml:space="preserve"> PAGE  \* MERGEFORMAT </w:instrText>
    </w:r>
    <w:r>
      <w:fldChar w:fldCharType="separate"/>
    </w:r>
    <w:r w:rsidR="00FE1C2A">
      <w:rPr>
        <w:noProof/>
      </w:rPr>
      <w:t>85</w:t>
    </w:r>
    <w:r>
      <w:fldChar w:fldCharType="end"/>
    </w:r>
    <w:r>
      <w:tab/>
    </w:r>
    <w:fldSimple w:instr="  DOCVARIABLE &quot;LW_Confidence&quot; \* MERGEFORMAT ">
      <w:r>
        <w:t xml:space="preserve"> </w:t>
      </w:r>
    </w:fldSimple>
    <w:r>
      <w:t xml:space="preserve"> </w:t>
    </w:r>
    <w:r w:rsidRPr="006A4BDD">
      <w:rPr>
        <w:rFonts w:ascii="Arial" w:hAnsi="Arial" w:cs="Arial"/>
        <w:b/>
        <w:sz w:val="48"/>
      </w:rPr>
      <w:t>BG</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FooterLandscape"/>
      <w:rPr>
        <w:rFonts w:ascii="Arial" w:hAnsi="Arial" w:cs="Arial"/>
        <w:b/>
        <w:sz w:val="48"/>
      </w:rPr>
    </w:pPr>
    <w:r w:rsidRPr="006A4BDD">
      <w:rPr>
        <w:rFonts w:ascii="Arial" w:hAnsi="Arial" w:cs="Arial"/>
        <w:b/>
        <w:sz w:val="48"/>
      </w:rPr>
      <w:t>BG</w:t>
    </w:r>
    <w:r w:rsidRPr="006A4BDD">
      <w:rPr>
        <w:rFonts w:ascii="Arial" w:hAnsi="Arial" w:cs="Arial"/>
        <w:b/>
        <w:sz w:val="48"/>
      </w:rPr>
      <w:tab/>
    </w:r>
    <w:r>
      <w:fldChar w:fldCharType="begin"/>
    </w:r>
    <w:r>
      <w:instrText xml:space="preserve"> PAGE  \* MERGEFORMAT </w:instrText>
    </w:r>
    <w:r>
      <w:fldChar w:fldCharType="separate"/>
    </w:r>
    <w:r w:rsidR="00DE6424">
      <w:rPr>
        <w:noProof/>
      </w:rPr>
      <w:t>31</w:t>
    </w:r>
    <w:r>
      <w:fldChar w:fldCharType="end"/>
    </w:r>
    <w:r>
      <w:tab/>
    </w:r>
    <w:fldSimple w:instr="  DOCVARIABLE &quot;LW_Confidence&quot; \* MERGEFORMAT ">
      <w:r>
        <w:t xml:space="preserve"> </w:t>
      </w:r>
    </w:fldSimple>
    <w:r>
      <w:t xml:space="preserve"> </w:t>
    </w:r>
    <w:r w:rsidRPr="006A4BDD">
      <w:tab/>
    </w:r>
    <w:r w:rsidRPr="006A4BDD">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FooterLandscap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Footer"/>
      <w:rPr>
        <w:rFonts w:ascii="Arial" w:hAnsi="Arial" w:cs="Arial"/>
        <w:b/>
        <w:sz w:val="48"/>
      </w:rPr>
    </w:pPr>
    <w:r w:rsidRPr="006A4BDD">
      <w:rPr>
        <w:rFonts w:ascii="Arial" w:hAnsi="Arial" w:cs="Arial"/>
        <w:b/>
        <w:sz w:val="48"/>
      </w:rPr>
      <w:t>BG</w:t>
    </w:r>
    <w:r w:rsidRPr="006A4BDD">
      <w:rPr>
        <w:rFonts w:ascii="Arial" w:hAnsi="Arial" w:cs="Arial"/>
        <w:b/>
        <w:sz w:val="48"/>
      </w:rPr>
      <w:tab/>
    </w:r>
    <w:r>
      <w:fldChar w:fldCharType="begin"/>
    </w:r>
    <w:r>
      <w:instrText xml:space="preserve"> PAGE  \* MERGEFORMAT </w:instrText>
    </w:r>
    <w:r>
      <w:fldChar w:fldCharType="separate"/>
    </w:r>
    <w:r w:rsidR="00691714">
      <w:rPr>
        <w:noProof/>
      </w:rPr>
      <w:t>38</w:t>
    </w:r>
    <w:r>
      <w:fldChar w:fldCharType="end"/>
    </w:r>
    <w:r>
      <w:tab/>
    </w:r>
    <w:fldSimple w:instr="  DOCVARIABLE &quot;LW_Confidence&quot; \* MERGEFORMAT ">
      <w:r>
        <w:t xml:space="preserve"> </w:t>
      </w:r>
    </w:fldSimple>
    <w:r>
      <w:t xml:space="preserve"> </w:t>
    </w:r>
    <w:r w:rsidRPr="006A4BDD">
      <w:tab/>
    </w:r>
    <w:r w:rsidRPr="006A4BDD">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FooterLandscape"/>
      <w:rPr>
        <w:rFonts w:ascii="Arial" w:hAnsi="Arial" w:cs="Arial"/>
        <w:b/>
        <w:sz w:val="48"/>
      </w:rPr>
    </w:pPr>
    <w:r w:rsidRPr="006A4BDD">
      <w:rPr>
        <w:rFonts w:ascii="Arial" w:hAnsi="Arial" w:cs="Arial"/>
        <w:b/>
        <w:sz w:val="48"/>
      </w:rPr>
      <w:t>BG</w:t>
    </w:r>
    <w:r w:rsidRPr="006A4BDD">
      <w:rPr>
        <w:rFonts w:ascii="Arial" w:hAnsi="Arial" w:cs="Arial"/>
        <w:b/>
        <w:sz w:val="48"/>
      </w:rPr>
      <w:tab/>
    </w:r>
    <w:r>
      <w:fldChar w:fldCharType="begin"/>
    </w:r>
    <w:r>
      <w:instrText xml:space="preserve"> PAGE  \* MERGEFORMAT </w:instrText>
    </w:r>
    <w:r>
      <w:fldChar w:fldCharType="separate"/>
    </w:r>
    <w:r w:rsidR="00DE6424">
      <w:rPr>
        <w:noProof/>
      </w:rPr>
      <w:t>42</w:t>
    </w:r>
    <w:r>
      <w:fldChar w:fldCharType="end"/>
    </w:r>
    <w:r>
      <w:tab/>
    </w:r>
    <w:fldSimple w:instr="  DOCVARIABLE &quot;LW_Confidence&quot; \* MERGEFORMAT ">
      <w:r>
        <w:t xml:space="preserve"> </w:t>
      </w:r>
    </w:fldSimple>
    <w:r>
      <w:t xml:space="preserve"> </w:t>
    </w:r>
    <w:r w:rsidRPr="006A4BDD">
      <w:tab/>
    </w:r>
    <w:r w:rsidRPr="006A4BDD">
      <w:rPr>
        <w:rFonts w:ascii="Arial" w:hAnsi="Arial" w:cs="Arial"/>
        <w:b/>
        <w:sz w:val="48"/>
      </w:rPr>
      <w:t>BG</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FooterLandscap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Footer"/>
      <w:rPr>
        <w:rFonts w:ascii="Arial" w:hAnsi="Arial" w:cs="Arial"/>
        <w:b/>
        <w:sz w:val="48"/>
      </w:rPr>
    </w:pPr>
    <w:r w:rsidRPr="006A4BDD">
      <w:rPr>
        <w:rFonts w:ascii="Arial" w:hAnsi="Arial" w:cs="Arial"/>
        <w:b/>
        <w:sz w:val="48"/>
      </w:rPr>
      <w:t>BG</w:t>
    </w:r>
    <w:r w:rsidRPr="006A4BDD">
      <w:rPr>
        <w:rFonts w:ascii="Arial" w:hAnsi="Arial" w:cs="Arial"/>
        <w:b/>
        <w:sz w:val="48"/>
      </w:rPr>
      <w:tab/>
    </w:r>
    <w:r>
      <w:fldChar w:fldCharType="begin"/>
    </w:r>
    <w:r>
      <w:instrText xml:space="preserve"> PAGE  \* MERGEFORMAT </w:instrText>
    </w:r>
    <w:r>
      <w:fldChar w:fldCharType="separate"/>
    </w:r>
    <w:r w:rsidR="00DE6424">
      <w:rPr>
        <w:noProof/>
      </w:rPr>
      <w:t>55</w:t>
    </w:r>
    <w:r>
      <w:fldChar w:fldCharType="end"/>
    </w:r>
    <w:r>
      <w:tab/>
    </w:r>
    <w:fldSimple w:instr="  DOCVARIABLE &quot;LW_Confidence&quot; \* MERGEFORMAT ">
      <w:r>
        <w:t xml:space="preserve"> </w:t>
      </w:r>
    </w:fldSimple>
    <w:r>
      <w:t xml:space="preserve"> </w:t>
    </w:r>
    <w:r w:rsidRPr="006A4BDD">
      <w:tab/>
    </w:r>
    <w:r w:rsidRPr="006A4BDD">
      <w:rPr>
        <w:rFonts w:ascii="Arial" w:hAnsi="Arial" w:cs="Arial"/>
        <w:b/>
        <w:sz w:val="48"/>
      </w:rPr>
      <w:t>BG</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407" w:rsidRPr="00B76110" w:rsidRDefault="00F81407" w:rsidP="00292003">
      <w:pPr>
        <w:spacing w:before="0" w:after="0"/>
      </w:pPr>
      <w:r w:rsidRPr="00B76110">
        <w:separator/>
      </w:r>
    </w:p>
  </w:footnote>
  <w:footnote w:type="continuationSeparator" w:id="0">
    <w:p w:rsidR="00F81407" w:rsidRPr="00B76110" w:rsidRDefault="00F81407" w:rsidP="00292003">
      <w:pPr>
        <w:spacing w:before="0" w:after="0"/>
      </w:pPr>
      <w:r w:rsidRPr="00B76110">
        <w:continuationSeparator/>
      </w:r>
    </w:p>
  </w:footnote>
  <w:footnote w:id="1">
    <w:p w:rsidR="00F81407" w:rsidRPr="00A6359E" w:rsidRDefault="00F81407" w:rsidP="00CC0839">
      <w:pPr>
        <w:pStyle w:val="FootnoteText"/>
        <w:rPr>
          <w:sz w:val="18"/>
          <w:szCs w:val="18"/>
        </w:rPr>
      </w:pPr>
      <w:r>
        <w:rPr>
          <w:rStyle w:val="FootnoteReference"/>
        </w:rPr>
        <w:footnoteRef/>
      </w:r>
      <w:r>
        <w:t xml:space="preserve"> </w:t>
      </w:r>
      <w:hyperlink r:id="rId1" w:history="1">
        <w:r w:rsidRPr="00A6359E">
          <w:rPr>
            <w:color w:val="0000FF"/>
            <w:sz w:val="18"/>
            <w:szCs w:val="18"/>
            <w:u w:val="single"/>
          </w:rPr>
          <w:t>http://ec.europa.eu/enlargement/instruments/funding-by-country/turkey/index_en.htm</w:t>
        </w:r>
      </w:hyperlink>
    </w:p>
  </w:footnote>
  <w:footnote w:id="2">
    <w:p w:rsidR="00F81407" w:rsidRPr="00606C2C" w:rsidRDefault="00F81407" w:rsidP="009A4231">
      <w:pPr>
        <w:pStyle w:val="FootnoteText"/>
        <w:ind w:left="142" w:hanging="142"/>
      </w:pPr>
      <w:r w:rsidRPr="005C24D7">
        <w:rPr>
          <w:rStyle w:val="FootnoteReference"/>
          <w:rFonts w:ascii="Arial" w:hAnsi="Arial" w:cs="Arial"/>
          <w:sz w:val="18"/>
          <w:szCs w:val="18"/>
        </w:rPr>
        <w:footnoteRef/>
      </w:r>
      <w:r w:rsidRPr="005C24D7">
        <w:rPr>
          <w:rFonts w:ascii="Arial" w:hAnsi="Arial" w:cs="Arial"/>
          <w:sz w:val="18"/>
          <w:szCs w:val="18"/>
        </w:rPr>
        <w:t xml:space="preserve"> </w:t>
      </w:r>
      <w:r w:rsidRPr="00606C2C">
        <w:t>Всички справочни документи както на българския Национален статистически институт така и на Турския статистически институт са изброени в приложение към Оперативната програма</w:t>
      </w:r>
    </w:p>
  </w:footnote>
  <w:footnote w:id="3">
    <w:p w:rsidR="00F81407" w:rsidRPr="00656011" w:rsidRDefault="00F81407" w:rsidP="00CF05BE">
      <w:pPr>
        <w:pStyle w:val="FootnoteText"/>
        <w:ind w:left="142" w:firstLine="0"/>
        <w:rPr>
          <w:lang w:val="en-US"/>
        </w:rPr>
      </w:pPr>
      <w:r>
        <w:rPr>
          <w:rStyle w:val="FootnoteReference"/>
        </w:rPr>
        <w:footnoteRef/>
      </w:r>
      <w:r>
        <w:t xml:space="preserve"> </w:t>
      </w:r>
      <w:r w:rsidRPr="00656011">
        <w:rPr>
          <w:sz w:val="18"/>
          <w:szCs w:val="18"/>
        </w:rPr>
        <w:t xml:space="preserve">В някои текстове на раздела статистическите и/или аналитичните данни за България и Турция са в различни единици поради липсата на съпоставими подходящи данни за държавите – партньори на ниво NUTS III в територията на ТГС.   </w:t>
      </w:r>
    </w:p>
  </w:footnote>
  <w:footnote w:id="4">
    <w:p w:rsidR="00F81407" w:rsidRPr="00656011" w:rsidRDefault="00F81407" w:rsidP="00A03C82">
      <w:pPr>
        <w:pStyle w:val="FootnoteText"/>
        <w:ind w:left="142" w:firstLine="0"/>
        <w:rPr>
          <w:lang w:val="en-US"/>
        </w:rPr>
      </w:pPr>
      <w:r>
        <w:rPr>
          <w:rStyle w:val="FootnoteReference"/>
        </w:rPr>
        <w:footnoteRef/>
      </w:r>
      <w:r>
        <w:t xml:space="preserve"> </w:t>
      </w:r>
      <w:r w:rsidRPr="00656011">
        <w:rPr>
          <w:sz w:val="18"/>
          <w:szCs w:val="18"/>
        </w:rPr>
        <w:t xml:space="preserve">В някои текстове на раздела статистическите и/или аналитичните данни за България и Турция са в различни единици поради липсата на съпоставими подходящи данни за държавите – партньори на ниво NUTS III в територията на ТГС.   </w:t>
      </w:r>
    </w:p>
    <w:p w:rsidR="00F81407" w:rsidRPr="00A03C82" w:rsidRDefault="00F81407">
      <w:pPr>
        <w:pStyle w:val="FootnoteText"/>
        <w:rPr>
          <w:lang w:val="en-US"/>
        </w:rPr>
      </w:pPr>
    </w:p>
  </w:footnote>
  <w:footnote w:id="5">
    <w:p w:rsidR="00F81407" w:rsidRPr="00262F46" w:rsidRDefault="00F81407" w:rsidP="00A628D6">
      <w:pPr>
        <w:pStyle w:val="FootnoteText"/>
        <w:ind w:left="284" w:hanging="284"/>
        <w:rPr>
          <w:sz w:val="18"/>
          <w:szCs w:val="18"/>
        </w:rPr>
      </w:pPr>
      <w:r w:rsidRPr="004C3F5A">
        <w:rPr>
          <w:rStyle w:val="FootnoteReference"/>
          <w:rFonts w:ascii="Arial" w:hAnsi="Arial" w:cs="Arial"/>
          <w:sz w:val="16"/>
          <w:szCs w:val="16"/>
        </w:rPr>
        <w:footnoteRef/>
      </w:r>
      <w:r w:rsidRPr="004C3F5A">
        <w:rPr>
          <w:rFonts w:ascii="Arial" w:hAnsi="Arial" w:cs="Arial"/>
          <w:sz w:val="16"/>
          <w:szCs w:val="16"/>
        </w:rPr>
        <w:t xml:space="preserve"> </w:t>
      </w:r>
      <w:r w:rsidRPr="00262F46">
        <w:rPr>
          <w:sz w:val="18"/>
          <w:szCs w:val="18"/>
        </w:rPr>
        <w:t>EU COM (2014b): Пътна карта за постигане през 2050 година на икономика с ниска въглеродна интензивност Достъпна на: http://ec.europa.eu/clima/policies/roadmap/index_en.htm (</w:t>
      </w:r>
      <w:proofErr w:type="spellStart"/>
      <w:r w:rsidRPr="00262F46">
        <w:rPr>
          <w:sz w:val="18"/>
          <w:szCs w:val="18"/>
        </w:rPr>
        <w:t>May</w:t>
      </w:r>
      <w:proofErr w:type="spellEnd"/>
      <w:r w:rsidRPr="00262F46">
        <w:rPr>
          <w:sz w:val="18"/>
          <w:szCs w:val="18"/>
        </w:rPr>
        <w:t>, 2014)</w:t>
      </w:r>
    </w:p>
  </w:footnote>
  <w:footnote w:id="6">
    <w:p w:rsidR="00F81407" w:rsidRPr="00F15F36" w:rsidRDefault="00F81407" w:rsidP="00F15F36">
      <w:pPr>
        <w:pStyle w:val="FootnoteText"/>
        <w:ind w:left="142" w:hanging="142"/>
        <w:rPr>
          <w:sz w:val="18"/>
          <w:szCs w:val="18"/>
          <w:lang w:val="en-US"/>
        </w:rPr>
      </w:pPr>
      <w:r>
        <w:rPr>
          <w:rStyle w:val="FootnoteReference"/>
        </w:rPr>
        <w:footnoteRef/>
      </w:r>
      <w:r>
        <w:t xml:space="preserve"> </w:t>
      </w:r>
      <w:r w:rsidRPr="004F482A">
        <w:rPr>
          <w:rFonts w:eastAsia="Times New Roman"/>
          <w:iCs/>
          <w:sz w:val="18"/>
          <w:szCs w:val="18"/>
        </w:rPr>
        <w:t xml:space="preserve">Съгласно член 39(1), Подбор на операции, от </w:t>
      </w:r>
      <w:r w:rsidRPr="004F482A">
        <w:rPr>
          <w:sz w:val="18"/>
          <w:szCs w:val="18"/>
          <w:lang w:eastAsia="en-US"/>
        </w:rPr>
        <w:t xml:space="preserve">Регламент за изпълнение (ЕС) № 447/214 на Комисията от 2 май 2014 година относно специфичните правила за изпълнение на Регламент (ЕС) № 231/2014 на Европейския парламент и на Съвета за създаване на Инструмент за предприсъединителна помощ (ИПП II),  </w:t>
      </w:r>
    </w:p>
  </w:footnote>
  <w:footnote w:id="7">
    <w:p w:rsidR="00F81407" w:rsidRPr="00EF32FA" w:rsidRDefault="00F81407">
      <w:pPr>
        <w:pStyle w:val="FootnoteText"/>
      </w:pPr>
      <w:r w:rsidRPr="00394F8E">
        <w:rPr>
          <w:rStyle w:val="FootnoteReference"/>
        </w:rPr>
        <w:footnoteRef/>
      </w:r>
      <w:r>
        <w:tab/>
        <w:t xml:space="preserve">Целевите стойности може да бъдат качествени или количествени. </w:t>
      </w:r>
    </w:p>
  </w:footnote>
  <w:footnote w:id="8">
    <w:p w:rsidR="00F81407" w:rsidRPr="00F15F36" w:rsidRDefault="00F81407" w:rsidP="00D23021">
      <w:pPr>
        <w:pStyle w:val="FootnoteText"/>
        <w:ind w:left="142" w:hanging="142"/>
        <w:rPr>
          <w:sz w:val="18"/>
          <w:szCs w:val="18"/>
          <w:lang w:val="en-US"/>
        </w:rPr>
      </w:pPr>
      <w:r>
        <w:rPr>
          <w:rStyle w:val="FootnoteReference"/>
        </w:rPr>
        <w:footnoteRef/>
      </w:r>
      <w:r>
        <w:t xml:space="preserve"> </w:t>
      </w:r>
      <w:r w:rsidRPr="004F482A">
        <w:rPr>
          <w:rFonts w:eastAsia="Times New Roman"/>
          <w:iCs/>
          <w:sz w:val="18"/>
          <w:szCs w:val="18"/>
        </w:rPr>
        <w:t xml:space="preserve">Съгласно член 39(1), Подбор на операции, от </w:t>
      </w:r>
      <w:r w:rsidRPr="004F482A">
        <w:rPr>
          <w:sz w:val="18"/>
          <w:szCs w:val="18"/>
          <w:lang w:eastAsia="en-US"/>
        </w:rPr>
        <w:t xml:space="preserve">Регламент за изпълнение (ЕС) № 447/214 на Комисията от 2 май 2014 година относно специфичните правила за изпълнение на Регламент (ЕС) № 231/2014 на Европейския парламент и на Съвета за създаване на Инструмент за предприсъединителна помощ (ИПП II),  </w:t>
      </w:r>
    </w:p>
  </w:footnote>
  <w:footnote w:id="9">
    <w:p w:rsidR="00F81407" w:rsidRPr="00EF32FA" w:rsidRDefault="00F81407" w:rsidP="00D4426D">
      <w:pPr>
        <w:pStyle w:val="FootnoteText"/>
      </w:pPr>
      <w:r w:rsidRPr="00394F8E">
        <w:rPr>
          <w:rStyle w:val="FootnoteReference"/>
        </w:rPr>
        <w:footnoteRef/>
      </w:r>
      <w:r>
        <w:tab/>
        <w:t xml:space="preserve">Целевите стойности може да бъдат качествени или количествени. </w:t>
      </w:r>
    </w:p>
  </w:footnote>
  <w:footnote w:id="10">
    <w:p w:rsidR="00F81407" w:rsidRPr="00B76110" w:rsidRDefault="00F81407" w:rsidP="00D17A3D">
      <w:pPr>
        <w:pStyle w:val="FootnoteText"/>
        <w:ind w:left="0" w:firstLine="0"/>
      </w:pPr>
      <w:r w:rsidRPr="00B76110">
        <w:rPr>
          <w:rStyle w:val="FootnoteReference"/>
        </w:rPr>
        <w:footnoteRef/>
      </w:r>
      <w:r w:rsidRPr="00567F19">
        <w:tab/>
        <w:t>Изисква се когато помощта на Съюза за техническа помощ в програмата за сътрудничество надхвърля 15 млн. евро.</w:t>
      </w:r>
    </w:p>
  </w:footnote>
  <w:footnote w:id="11">
    <w:p w:rsidR="00F81407" w:rsidRPr="00B76110" w:rsidRDefault="00F81407" w:rsidP="00D53B6F">
      <w:pPr>
        <w:pStyle w:val="FootnoteText"/>
        <w:ind w:left="0" w:firstLine="0"/>
      </w:pPr>
      <w:r w:rsidRPr="00B76110">
        <w:rPr>
          <w:rStyle w:val="FootnoteReference"/>
        </w:rPr>
        <w:footnoteRef/>
      </w:r>
      <w:r w:rsidRPr="00B76110">
        <w:tab/>
        <w:t>Изисква се когато това е обективно обосновано, като се има предвид съдържанието на дейностите, и когато помощта на Съюза за техническа помощ в програмата за сътрудничество надхвърля 15 млн. евро.</w:t>
      </w:r>
    </w:p>
  </w:footnote>
  <w:footnote w:id="12">
    <w:p w:rsidR="00F81407" w:rsidRPr="00B76110" w:rsidRDefault="00F81407" w:rsidP="00D53B6F">
      <w:pPr>
        <w:spacing w:before="0" w:after="0"/>
      </w:pPr>
      <w:r w:rsidRPr="00B76110">
        <w:rPr>
          <w:rStyle w:val="FootnoteReference"/>
        </w:rPr>
        <w:footnoteRef/>
      </w:r>
      <w:r w:rsidRPr="00B76110">
        <w:rPr>
          <w:sz w:val="20"/>
        </w:rPr>
        <w:tab/>
        <w:t>Целевите стойности може да бъдат качествени или количествени.</w:t>
      </w:r>
    </w:p>
  </w:footnote>
  <w:footnote w:id="13">
    <w:p w:rsidR="00F81407" w:rsidRDefault="00F81407">
      <w:pPr>
        <w:pStyle w:val="FootnoteText"/>
      </w:pPr>
      <w:r w:rsidRPr="00613EA2">
        <w:rPr>
          <w:rStyle w:val="FootnoteReference"/>
        </w:rPr>
        <w:footnoteRef/>
      </w:r>
      <w:r w:rsidRPr="00166627">
        <w:tab/>
        <w:t>Европейска инвестиционна банка</w:t>
      </w:r>
    </w:p>
  </w:footnote>
  <w:footnote w:id="14">
    <w:p w:rsidR="00F81407" w:rsidRPr="00163729" w:rsidRDefault="00F81407" w:rsidP="00F00EE9">
      <w:pPr>
        <w:pStyle w:val="FootnoteText"/>
      </w:pPr>
      <w:r>
        <w:rPr>
          <w:rStyle w:val="FootnoteReference"/>
        </w:rPr>
        <w:footnoteRef/>
      </w:r>
      <w:r>
        <w:t xml:space="preserve"> </w:t>
      </w:r>
      <w:hyperlink r:id="rId2" w:history="1">
        <w:r w:rsidRPr="00CC1670">
          <w:rPr>
            <w:rStyle w:val="Hyperlink"/>
          </w:rPr>
          <w:t>http://www.blacksea-commission.org/_bssap2009.asp</w:t>
        </w:r>
      </w:hyperlink>
      <w:r>
        <w:t xml:space="preserve"> </w:t>
      </w:r>
    </w:p>
  </w:footnote>
  <w:footnote w:id="15">
    <w:p w:rsidR="00F81407" w:rsidRPr="00116A67" w:rsidRDefault="00F81407" w:rsidP="00F00EE9">
      <w:pPr>
        <w:pStyle w:val="FootnoteText"/>
        <w:rPr>
          <w:sz w:val="18"/>
          <w:szCs w:val="18"/>
        </w:rPr>
      </w:pPr>
      <w:r w:rsidRPr="00116A67">
        <w:rPr>
          <w:rStyle w:val="FootnoteReference"/>
          <w:sz w:val="18"/>
          <w:szCs w:val="18"/>
        </w:rPr>
        <w:footnoteRef/>
      </w:r>
      <w:r w:rsidRPr="00116A67">
        <w:rPr>
          <w:sz w:val="18"/>
          <w:szCs w:val="18"/>
        </w:rPr>
        <w:t xml:space="preserve"> </w:t>
      </w:r>
      <w:hyperlink r:id="rId3" w:history="1">
        <w:r w:rsidRPr="00F05232">
          <w:rPr>
            <w:rStyle w:val="Hyperlink"/>
            <w:sz w:val="18"/>
            <w:szCs w:val="18"/>
          </w:rPr>
          <w:t>http://ec.europa.eu/maritimeaffairs/policy/blue_growth/index_en.htm</w:t>
        </w:r>
      </w:hyperlink>
      <w:r>
        <w:rPr>
          <w:sz w:val="18"/>
          <w:szCs w:val="18"/>
        </w:rPr>
        <w:t xml:space="preserve"> </w:t>
      </w:r>
    </w:p>
  </w:footnote>
  <w:footnote w:id="16">
    <w:p w:rsidR="00F81407" w:rsidRPr="00116A67" w:rsidRDefault="00F81407" w:rsidP="00F00EE9">
      <w:pPr>
        <w:pStyle w:val="FootnoteText"/>
        <w:rPr>
          <w:sz w:val="18"/>
          <w:szCs w:val="18"/>
        </w:rPr>
      </w:pPr>
      <w:r w:rsidRPr="00116A67">
        <w:rPr>
          <w:rStyle w:val="FootnoteReference"/>
          <w:sz w:val="18"/>
          <w:szCs w:val="18"/>
        </w:rPr>
        <w:footnoteRef/>
      </w:r>
      <w:r w:rsidRPr="00116A67">
        <w:rPr>
          <w:sz w:val="18"/>
          <w:szCs w:val="18"/>
        </w:rPr>
        <w:t xml:space="preserve"> </w:t>
      </w:r>
      <w:hyperlink r:id="rId4" w:history="1">
        <w:r w:rsidRPr="00F05232">
          <w:rPr>
            <w:rStyle w:val="Hyperlink"/>
            <w:sz w:val="18"/>
            <w:szCs w:val="18"/>
          </w:rPr>
          <w:t>http://ec.europa.eu/maritimeaffairs/policy/coastal_tourism/index_en.htm</w:t>
        </w:r>
      </w:hyperlink>
      <w:r>
        <w:rPr>
          <w:sz w:val="18"/>
          <w:szCs w:val="18"/>
        </w:rPr>
        <w:t xml:space="preserve"> </w:t>
      </w:r>
    </w:p>
  </w:footnote>
  <w:footnote w:id="17">
    <w:p w:rsidR="00F81407" w:rsidRPr="004743D5" w:rsidRDefault="00F81407" w:rsidP="004743D5">
      <w:pPr>
        <w:pStyle w:val="FootnoteText"/>
        <w:ind w:left="142" w:hanging="142"/>
        <w:jc w:val="left"/>
        <w:rPr>
          <w:sz w:val="18"/>
          <w:szCs w:val="18"/>
        </w:rPr>
      </w:pPr>
      <w:r w:rsidRPr="004743D5">
        <w:rPr>
          <w:rStyle w:val="FootnoteReference"/>
          <w:sz w:val="18"/>
          <w:szCs w:val="18"/>
        </w:rPr>
        <w:footnoteRef/>
      </w:r>
      <w:r w:rsidRPr="004743D5">
        <w:rPr>
          <w:sz w:val="18"/>
          <w:szCs w:val="18"/>
        </w:rPr>
        <w:t xml:space="preserve"> Вж. EU COM(2013): Директива за местообитанията URL: </w:t>
      </w:r>
      <w:hyperlink r:id="rId5" w:history="1">
        <w:r w:rsidRPr="00F05232">
          <w:rPr>
            <w:rStyle w:val="Hyperlink"/>
            <w:sz w:val="18"/>
            <w:szCs w:val="18"/>
          </w:rPr>
          <w:t>http://ec.europa.eu/environment/nature/legislation/habitatsdirective/</w:t>
        </w:r>
      </w:hyperlink>
      <w:r w:rsidRPr="004743D5">
        <w:rPr>
          <w:sz w:val="18"/>
          <w:szCs w:val="18"/>
        </w:rPr>
        <w:t>(юни 2014 г.)</w:t>
      </w:r>
    </w:p>
  </w:footnote>
  <w:footnote w:id="18">
    <w:p w:rsidR="00F81407" w:rsidRPr="004E2FE4" w:rsidRDefault="00F81407" w:rsidP="004E2FE4">
      <w:pPr>
        <w:pStyle w:val="FootnoteText"/>
        <w:ind w:left="284" w:hanging="284"/>
        <w:rPr>
          <w:sz w:val="18"/>
          <w:szCs w:val="18"/>
        </w:rPr>
      </w:pPr>
      <w:r w:rsidRPr="004C3F5A">
        <w:rPr>
          <w:rStyle w:val="FootnoteReference"/>
          <w:rFonts w:ascii="Arial" w:hAnsi="Arial" w:cs="Arial"/>
          <w:sz w:val="16"/>
          <w:szCs w:val="16"/>
        </w:rPr>
        <w:footnoteRef/>
      </w:r>
      <w:r w:rsidRPr="004C3F5A">
        <w:rPr>
          <w:rFonts w:ascii="Arial" w:hAnsi="Arial" w:cs="Arial"/>
          <w:sz w:val="16"/>
          <w:szCs w:val="16"/>
        </w:rPr>
        <w:t xml:space="preserve"> </w:t>
      </w:r>
      <w:r w:rsidRPr="004E2FE4">
        <w:rPr>
          <w:sz w:val="18"/>
          <w:szCs w:val="18"/>
        </w:rPr>
        <w:t xml:space="preserve">Вж. EU COM (2014): Рамкова стратегия за недопускане на дискриминация и за равни възможности за всички. URL: </w:t>
      </w:r>
      <w:hyperlink r:id="rId6" w:history="1">
        <w:r w:rsidRPr="00F05232">
          <w:rPr>
            <w:rStyle w:val="Hyperlink"/>
            <w:sz w:val="18"/>
            <w:szCs w:val="18"/>
          </w:rPr>
          <w:t>http://europa.eu/legislation_summaries/human_rights/fundamental_rights_within_european_union/c10313_en.htm</w:t>
        </w:r>
      </w:hyperlink>
      <w:r w:rsidRPr="004E2FE4">
        <w:rPr>
          <w:sz w:val="18"/>
          <w:szCs w:val="18"/>
        </w:rPr>
        <w:t xml:space="preserve"> (юни 2014 г.). </w:t>
      </w:r>
    </w:p>
  </w:footnote>
  <w:footnote w:id="19">
    <w:p w:rsidR="00F81407" w:rsidRPr="00DF7F74" w:rsidRDefault="00F81407" w:rsidP="00A849B2">
      <w:pPr>
        <w:pStyle w:val="FootnoteText"/>
        <w:ind w:left="284" w:hanging="284"/>
        <w:rPr>
          <w:sz w:val="18"/>
          <w:szCs w:val="18"/>
        </w:rPr>
      </w:pPr>
      <w:r w:rsidRPr="00DF7F74">
        <w:rPr>
          <w:rStyle w:val="FootnoteReference"/>
          <w:sz w:val="18"/>
          <w:szCs w:val="18"/>
        </w:rPr>
        <w:footnoteRef/>
      </w:r>
      <w:r w:rsidRPr="00DF7F74">
        <w:rPr>
          <w:sz w:val="18"/>
          <w:szCs w:val="18"/>
        </w:rPr>
        <w:t xml:space="preserve"> Вж. EU COM (2010): Условията за гъвкаво работно време и равенството между половете – сравнителен анализ на 30 европейски страни. URL: </w:t>
      </w:r>
      <w:hyperlink r:id="rId7" w:history="1">
        <w:r w:rsidRPr="00DF7F74">
          <w:rPr>
            <w:rStyle w:val="Hyperlink"/>
            <w:sz w:val="18"/>
            <w:szCs w:val="18"/>
          </w:rPr>
          <w:t>http://ec.europa.eu/social/home.jsplangId=en</w:t>
        </w:r>
      </w:hyperlink>
      <w:r w:rsidRPr="00DF7F74">
        <w:rPr>
          <w:sz w:val="18"/>
          <w:szCs w:val="18"/>
        </w:rPr>
        <w:t xml:space="preserve"> (юни 2014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3A48D1" w:rsidRDefault="00F81407" w:rsidP="002F71D4">
    <w:pPr>
      <w:pStyle w:val="Header"/>
      <w:tabs>
        <w:tab w:val="clear" w:pos="4535"/>
        <w:tab w:val="clear" w:pos="9071"/>
        <w:tab w:val="left" w:pos="1178"/>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HeaderLandscap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90517" w:rsidRDefault="00F81407" w:rsidP="006A4BDD">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90517" w:rsidRDefault="00F81407" w:rsidP="006A4BDD">
    <w:pPr>
      <w:pStyle w:val="HeaderLandscape"/>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HeaderLandscape"/>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90517" w:rsidRDefault="00F81407" w:rsidP="006A4BDD">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90517" w:rsidRDefault="00F81407" w:rsidP="006A4BDD">
    <w:pPr>
      <w:pStyle w:val="HeaderLandscap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HeaderLandscap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A4BDD" w:rsidRDefault="00F81407" w:rsidP="006A4BD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407" w:rsidRPr="00690517" w:rsidRDefault="00F81407" w:rsidP="006A4BDD">
    <w:pPr>
      <w:pStyle w:val="HeaderLandscap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FFFFFF81"/>
    <w:multiLevelType w:val="singleLevel"/>
    <w:tmpl w:val="8244F1CE"/>
    <w:lvl w:ilvl="0">
      <w:start w:val="1"/>
      <w:numFmt w:val="bullet"/>
      <w:pStyle w:val="ListBullet4"/>
      <w:lvlText w:val=""/>
      <w:lvlJc w:val="left"/>
      <w:pPr>
        <w:tabs>
          <w:tab w:val="num" w:pos="1209"/>
        </w:tabs>
        <w:ind w:left="1209" w:hanging="360"/>
      </w:pPr>
      <w:rPr>
        <w:rFonts w:ascii="Symbol" w:hAnsi="Symbol" w:hint="default"/>
      </w:rPr>
    </w:lvl>
  </w:abstractNum>
  <w:abstractNum w:abstractNumId="3">
    <w:nsid w:val="FFFFFF82"/>
    <w:multiLevelType w:val="singleLevel"/>
    <w:tmpl w:val="98B87070"/>
    <w:lvl w:ilvl="0">
      <w:start w:val="1"/>
      <w:numFmt w:val="bullet"/>
      <w:pStyle w:val="ListBullet3"/>
      <w:lvlText w:val=""/>
      <w:lvlJc w:val="left"/>
      <w:pPr>
        <w:tabs>
          <w:tab w:val="num" w:pos="926"/>
        </w:tabs>
        <w:ind w:left="926" w:hanging="360"/>
      </w:pPr>
      <w:rPr>
        <w:rFonts w:ascii="Symbol" w:hAnsi="Symbol" w:hint="default"/>
      </w:rPr>
    </w:lvl>
  </w:abstractNum>
  <w:abstractNum w:abstractNumId="4">
    <w:nsid w:val="FFFFFF83"/>
    <w:multiLevelType w:val="singleLevel"/>
    <w:tmpl w:val="B03A2460"/>
    <w:lvl w:ilvl="0">
      <w:start w:val="1"/>
      <w:numFmt w:val="bullet"/>
      <w:pStyle w:val="ListBullet2"/>
      <w:lvlText w:val=""/>
      <w:lvlJc w:val="left"/>
      <w:pPr>
        <w:tabs>
          <w:tab w:val="num" w:pos="643"/>
        </w:tabs>
        <w:ind w:left="643" w:hanging="360"/>
      </w:pPr>
      <w:rPr>
        <w:rFonts w:ascii="Symbol" w:hAnsi="Symbol" w:hint="default"/>
      </w:rPr>
    </w:lvl>
  </w:abstractNum>
  <w:abstractNum w:abstractNumId="5">
    <w:nsid w:val="FFFFFF89"/>
    <w:multiLevelType w:val="singleLevel"/>
    <w:tmpl w:val="BC94FA26"/>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00740BC"/>
    <w:multiLevelType w:val="hybridMultilevel"/>
    <w:tmpl w:val="3AC0205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nsid w:val="01885F62"/>
    <w:multiLevelType w:val="hybridMultilevel"/>
    <w:tmpl w:val="F9C492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02116F48"/>
    <w:multiLevelType w:val="hybridMultilevel"/>
    <w:tmpl w:val="BD5029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032E1E6E"/>
    <w:multiLevelType w:val="hybridMultilevel"/>
    <w:tmpl w:val="1CA0AF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nsid w:val="04A60B34"/>
    <w:multiLevelType w:val="hybridMultilevel"/>
    <w:tmpl w:val="E50A5A4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65A54C2"/>
    <w:multiLevelType w:val="hybridMultilevel"/>
    <w:tmpl w:val="C9C077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082C2C62"/>
    <w:multiLevelType w:val="hybridMultilevel"/>
    <w:tmpl w:val="E28EE8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nsid w:val="0A772E18"/>
    <w:multiLevelType w:val="hybridMultilevel"/>
    <w:tmpl w:val="114607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0A8543EA"/>
    <w:multiLevelType w:val="hybridMultilevel"/>
    <w:tmpl w:val="74F091C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0C281B53"/>
    <w:multiLevelType w:val="hybridMultilevel"/>
    <w:tmpl w:val="0E7039EE"/>
    <w:lvl w:ilvl="0" w:tplc="E7509394">
      <w:start w:val="2"/>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41D5611"/>
    <w:multiLevelType w:val="hybridMultilevel"/>
    <w:tmpl w:val="0C4C17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0">
    <w:nsid w:val="1CCA2D63"/>
    <w:multiLevelType w:val="hybridMultilevel"/>
    <w:tmpl w:val="B08C6B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nsid w:val="1EC23E7B"/>
    <w:multiLevelType w:val="hybridMultilevel"/>
    <w:tmpl w:val="CF965D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1FC3299A"/>
    <w:multiLevelType w:val="hybridMultilevel"/>
    <w:tmpl w:val="44C6E854"/>
    <w:lvl w:ilvl="0" w:tplc="04020001">
      <w:start w:val="1"/>
      <w:numFmt w:val="bullet"/>
      <w:lvlText w:val=""/>
      <w:lvlJc w:val="left"/>
      <w:pPr>
        <w:ind w:left="1440" w:hanging="360"/>
      </w:pPr>
      <w:rPr>
        <w:rFonts w:ascii="Symbol" w:hAnsi="Symbol" w:hint="default"/>
        <w:b/>
        <w:i w:val="0"/>
        <w:color w:val="auto"/>
        <w:sz w:val="24"/>
      </w:rPr>
    </w:lvl>
    <w:lvl w:ilvl="1" w:tplc="040C0003">
      <w:start w:val="1"/>
      <w:numFmt w:val="bullet"/>
      <w:lvlText w:val="o"/>
      <w:lvlJc w:val="left"/>
      <w:pPr>
        <w:ind w:left="2160" w:hanging="360"/>
      </w:pPr>
      <w:rPr>
        <w:rFonts w:ascii="Courier New" w:hAnsi="Courier New" w:cs="Times New Roman"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Times New Roman"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Times New Roman" w:hint="default"/>
      </w:rPr>
    </w:lvl>
    <w:lvl w:ilvl="8" w:tplc="040C0005">
      <w:start w:val="1"/>
      <w:numFmt w:val="bullet"/>
      <w:lvlText w:val=""/>
      <w:lvlJc w:val="left"/>
      <w:pPr>
        <w:ind w:left="7200" w:hanging="360"/>
      </w:pPr>
      <w:rPr>
        <w:rFonts w:ascii="Wingdings" w:hAnsi="Wingdings" w:hint="default"/>
      </w:rPr>
    </w:lvl>
  </w:abstractNum>
  <w:abstractNum w:abstractNumId="23">
    <w:nsid w:val="20244B17"/>
    <w:multiLevelType w:val="hybridMultilevel"/>
    <w:tmpl w:val="0F78ED58"/>
    <w:lvl w:ilvl="0" w:tplc="04020001">
      <w:start w:val="1"/>
      <w:numFmt w:val="bullet"/>
      <w:lvlText w:val=""/>
      <w:lvlJc w:val="left"/>
      <w:pPr>
        <w:ind w:left="1440" w:hanging="360"/>
      </w:pPr>
      <w:rPr>
        <w:rFonts w:ascii="Symbol" w:hAnsi="Symbol" w:hint="default"/>
        <w:b/>
        <w:i w:val="0"/>
        <w:color w:val="auto"/>
        <w:sz w:val="24"/>
      </w:rPr>
    </w:lvl>
    <w:lvl w:ilvl="1" w:tplc="040C0003">
      <w:start w:val="1"/>
      <w:numFmt w:val="bullet"/>
      <w:lvlText w:val="o"/>
      <w:lvlJc w:val="left"/>
      <w:pPr>
        <w:ind w:left="2160" w:hanging="360"/>
      </w:pPr>
      <w:rPr>
        <w:rFonts w:ascii="Courier New" w:hAnsi="Courier New" w:cs="Times New Roman"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Times New Roman"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Times New Roman" w:hint="default"/>
      </w:rPr>
    </w:lvl>
    <w:lvl w:ilvl="8" w:tplc="040C0005">
      <w:start w:val="1"/>
      <w:numFmt w:val="bullet"/>
      <w:lvlText w:val=""/>
      <w:lvlJc w:val="left"/>
      <w:pPr>
        <w:ind w:left="7200" w:hanging="360"/>
      </w:pPr>
      <w:rPr>
        <w:rFonts w:ascii="Wingdings" w:hAnsi="Wingdings" w:hint="default"/>
      </w:rPr>
    </w:lvl>
  </w:abstractNum>
  <w:abstractNum w:abstractNumId="24">
    <w:nsid w:val="20EB0281"/>
    <w:multiLevelType w:val="hybridMultilevel"/>
    <w:tmpl w:val="D5605B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7">
    <w:nsid w:val="24396981"/>
    <w:multiLevelType w:val="multilevel"/>
    <w:tmpl w:val="6EF62D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24730845"/>
    <w:multiLevelType w:val="hybridMultilevel"/>
    <w:tmpl w:val="F660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6577E47"/>
    <w:multiLevelType w:val="hybridMultilevel"/>
    <w:tmpl w:val="8FA660B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32">
    <w:nsid w:val="2F520E83"/>
    <w:multiLevelType w:val="hybridMultilevel"/>
    <w:tmpl w:val="796EDF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nsid w:val="2F81161B"/>
    <w:multiLevelType w:val="hybridMultilevel"/>
    <w:tmpl w:val="1FBA775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331A1E6A"/>
    <w:multiLevelType w:val="hybridMultilevel"/>
    <w:tmpl w:val="14F08A0A"/>
    <w:lvl w:ilvl="0" w:tplc="04020001">
      <w:start w:val="1"/>
      <w:numFmt w:val="bullet"/>
      <w:lvlText w:val=""/>
      <w:lvlJc w:val="left"/>
      <w:pPr>
        <w:ind w:left="720" w:hanging="360"/>
      </w:pPr>
      <w:rPr>
        <w:rFonts w:ascii="Symbol" w:hAnsi="Symbol" w:hint="default"/>
      </w:rPr>
    </w:lvl>
    <w:lvl w:ilvl="1" w:tplc="14070003">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35">
    <w:nsid w:val="3D680F6A"/>
    <w:multiLevelType w:val="hybridMultilevel"/>
    <w:tmpl w:val="0AEC57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nsid w:val="3DFA7035"/>
    <w:multiLevelType w:val="hybridMultilevel"/>
    <w:tmpl w:val="C6A090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nsid w:val="3E835977"/>
    <w:multiLevelType w:val="hybridMultilevel"/>
    <w:tmpl w:val="0548002C"/>
    <w:lvl w:ilvl="0" w:tplc="04020001">
      <w:start w:val="1"/>
      <w:numFmt w:val="bullet"/>
      <w:lvlText w:val=""/>
      <w:lvlJc w:val="left"/>
      <w:pPr>
        <w:ind w:left="1440" w:hanging="360"/>
      </w:pPr>
      <w:rPr>
        <w:rFonts w:ascii="Symbol" w:hAnsi="Symbol" w:hint="default"/>
        <w:b/>
        <w:i w:val="0"/>
        <w:color w:val="auto"/>
        <w:sz w:val="24"/>
      </w:rPr>
    </w:lvl>
    <w:lvl w:ilvl="1" w:tplc="040C0003">
      <w:start w:val="1"/>
      <w:numFmt w:val="bullet"/>
      <w:lvlText w:val="o"/>
      <w:lvlJc w:val="left"/>
      <w:pPr>
        <w:ind w:left="2160" w:hanging="360"/>
      </w:pPr>
      <w:rPr>
        <w:rFonts w:ascii="Courier New" w:hAnsi="Courier New" w:cs="Times New Roman"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Times New Roman"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Times New Roman" w:hint="default"/>
      </w:rPr>
    </w:lvl>
    <w:lvl w:ilvl="8" w:tplc="040C0005">
      <w:start w:val="1"/>
      <w:numFmt w:val="bullet"/>
      <w:lvlText w:val=""/>
      <w:lvlJc w:val="left"/>
      <w:pPr>
        <w:ind w:left="7200" w:hanging="360"/>
      </w:pPr>
      <w:rPr>
        <w:rFonts w:ascii="Wingdings" w:hAnsi="Wingdings" w:hint="default"/>
      </w:rPr>
    </w:lvl>
  </w:abstractNum>
  <w:abstractNum w:abstractNumId="38">
    <w:nsid w:val="3F3B0D1B"/>
    <w:multiLevelType w:val="hybridMultilevel"/>
    <w:tmpl w:val="D6F042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9">
    <w:nsid w:val="3FD16FA3"/>
    <w:multiLevelType w:val="hybridMultilevel"/>
    <w:tmpl w:val="430C812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0">
    <w:nsid w:val="3FEB51F9"/>
    <w:multiLevelType w:val="hybridMultilevel"/>
    <w:tmpl w:val="3E14E6F8"/>
    <w:lvl w:ilvl="0" w:tplc="D8E08DA4">
      <w:start w:val="1"/>
      <w:numFmt w:val="upperRoman"/>
      <w:lvlText w:val="%1."/>
      <w:lvlJc w:val="left"/>
      <w:pPr>
        <w:ind w:left="1440" w:hanging="720"/>
      </w:pPr>
      <w:rPr>
        <w:rFonts w:hint="default"/>
        <w:u w:val="none"/>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1">
    <w:nsid w:val="4147131B"/>
    <w:multiLevelType w:val="hybridMultilevel"/>
    <w:tmpl w:val="47A6355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nsid w:val="41ED6B18"/>
    <w:multiLevelType w:val="hybridMultilevel"/>
    <w:tmpl w:val="8EB09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4">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46">
    <w:nsid w:val="430B3554"/>
    <w:multiLevelType w:val="hybridMultilevel"/>
    <w:tmpl w:val="12B4DF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433D4498"/>
    <w:multiLevelType w:val="hybridMultilevel"/>
    <w:tmpl w:val="84624682"/>
    <w:lvl w:ilvl="0" w:tplc="04020001">
      <w:start w:val="1"/>
      <w:numFmt w:val="bullet"/>
      <w:lvlText w:val=""/>
      <w:lvlJc w:val="left"/>
      <w:pPr>
        <w:ind w:left="1440" w:hanging="360"/>
      </w:pPr>
      <w:rPr>
        <w:rFonts w:ascii="Symbol" w:hAnsi="Symbol" w:hint="default"/>
        <w:b/>
        <w:i w:val="0"/>
        <w:color w:val="auto"/>
        <w:sz w:val="24"/>
      </w:rPr>
    </w:lvl>
    <w:lvl w:ilvl="1" w:tplc="040C0003">
      <w:start w:val="1"/>
      <w:numFmt w:val="bullet"/>
      <w:lvlText w:val="o"/>
      <w:lvlJc w:val="left"/>
      <w:pPr>
        <w:ind w:left="2160" w:hanging="360"/>
      </w:pPr>
      <w:rPr>
        <w:rFonts w:ascii="Courier New" w:hAnsi="Courier New" w:cs="Times New Roman"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Times New Roman"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Times New Roman" w:hint="default"/>
      </w:rPr>
    </w:lvl>
    <w:lvl w:ilvl="8" w:tplc="040C0005">
      <w:start w:val="1"/>
      <w:numFmt w:val="bullet"/>
      <w:lvlText w:val=""/>
      <w:lvlJc w:val="left"/>
      <w:pPr>
        <w:ind w:left="7200" w:hanging="360"/>
      </w:pPr>
      <w:rPr>
        <w:rFonts w:ascii="Wingdings" w:hAnsi="Wingdings" w:hint="default"/>
      </w:rPr>
    </w:lvl>
  </w:abstractNum>
  <w:abstractNum w:abstractNumId="48">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5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471412E8"/>
    <w:multiLevelType w:val="hybridMultilevel"/>
    <w:tmpl w:val="327C1F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2">
    <w:nsid w:val="47857458"/>
    <w:multiLevelType w:val="hybridMultilevel"/>
    <w:tmpl w:val="3474AFB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3">
    <w:nsid w:val="47EE275A"/>
    <w:multiLevelType w:val="hybridMultilevel"/>
    <w:tmpl w:val="AD9A74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4">
    <w:nsid w:val="48785479"/>
    <w:multiLevelType w:val="hybridMultilevel"/>
    <w:tmpl w:val="E9C233F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5">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
    <w:nsid w:val="4E11179F"/>
    <w:multiLevelType w:val="hybridMultilevel"/>
    <w:tmpl w:val="C6DEAE8A"/>
    <w:lvl w:ilvl="0" w:tplc="04020001">
      <w:start w:val="1"/>
      <w:numFmt w:val="bullet"/>
      <w:lvlText w:val=""/>
      <w:lvlJc w:val="left"/>
      <w:pPr>
        <w:ind w:left="1800" w:hanging="360"/>
      </w:pPr>
      <w:rPr>
        <w:rFonts w:ascii="Symbol" w:hAnsi="Symbol" w:hint="default"/>
      </w:rPr>
    </w:lvl>
    <w:lvl w:ilvl="1" w:tplc="04020003" w:tentative="1">
      <w:start w:val="1"/>
      <w:numFmt w:val="bullet"/>
      <w:lvlText w:val="o"/>
      <w:lvlJc w:val="left"/>
      <w:pPr>
        <w:ind w:left="2520" w:hanging="360"/>
      </w:pPr>
      <w:rPr>
        <w:rFonts w:ascii="Courier New" w:hAnsi="Courier New" w:cs="Courier New" w:hint="default"/>
      </w:rPr>
    </w:lvl>
    <w:lvl w:ilvl="2" w:tplc="04020005" w:tentative="1">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5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58">
    <w:nsid w:val="5A233BF5"/>
    <w:multiLevelType w:val="hybridMultilevel"/>
    <w:tmpl w:val="125CB67E"/>
    <w:lvl w:ilvl="0" w:tplc="47E6BA14">
      <w:numFmt w:val="bullet"/>
      <w:lvlText w:val=""/>
      <w:lvlJc w:val="left"/>
      <w:pPr>
        <w:tabs>
          <w:tab w:val="num" w:pos="0"/>
        </w:tabs>
        <w:ind w:left="720" w:hanging="360"/>
      </w:pPr>
      <w:rPr>
        <w:rFonts w:ascii="Wingdings" w:eastAsia="Times New Roman" w:hAnsi="Wingdings"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nsid w:val="5B2C7F4D"/>
    <w:multiLevelType w:val="hybridMultilevel"/>
    <w:tmpl w:val="1638C53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6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3">
    <w:nsid w:val="5EBE7651"/>
    <w:multiLevelType w:val="hybridMultilevel"/>
    <w:tmpl w:val="BEC408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4">
    <w:nsid w:val="612501EC"/>
    <w:multiLevelType w:val="hybridMultilevel"/>
    <w:tmpl w:val="B554EEA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5">
    <w:nsid w:val="61DA3D03"/>
    <w:multiLevelType w:val="hybridMultilevel"/>
    <w:tmpl w:val="5B345046"/>
    <w:lvl w:ilvl="0" w:tplc="5592596C">
      <w:numFmt w:val="bullet"/>
      <w:lvlText w:val=""/>
      <w:lvlJc w:val="left"/>
      <w:pPr>
        <w:tabs>
          <w:tab w:val="num" w:pos="2262"/>
        </w:tabs>
        <w:ind w:left="2262" w:hanging="360"/>
      </w:pPr>
      <w:rPr>
        <w:rFonts w:ascii="Wingdings" w:hAnsi="Wingdings" w:hint="default"/>
        <w:b/>
        <w:color w:val="17365D"/>
        <w:sz w:val="16"/>
        <w:szCs w:val="18"/>
      </w:rPr>
    </w:lvl>
    <w:lvl w:ilvl="1" w:tplc="0DB40B62">
      <w:start w:val="1"/>
      <w:numFmt w:val="decimal"/>
      <w:lvlText w:val="R-1.%2."/>
      <w:lvlJc w:val="left"/>
      <w:pPr>
        <w:tabs>
          <w:tab w:val="num" w:pos="1440"/>
        </w:tabs>
        <w:ind w:left="1440" w:hanging="360"/>
      </w:pPr>
      <w:rPr>
        <w:rFonts w:hint="default"/>
        <w:b/>
        <w:color w:val="auto"/>
        <w:sz w:val="18"/>
        <w:szCs w:val="1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nsid w:val="63737816"/>
    <w:multiLevelType w:val="hybridMultilevel"/>
    <w:tmpl w:val="811223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7">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nsid w:val="661D3C8E"/>
    <w:multiLevelType w:val="hybridMultilevel"/>
    <w:tmpl w:val="9F4E1316"/>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9">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7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71">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7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73">
    <w:nsid w:val="69122964"/>
    <w:multiLevelType w:val="hybridMultilevel"/>
    <w:tmpl w:val="2EFE4B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4">
    <w:nsid w:val="6BCF3AED"/>
    <w:multiLevelType w:val="hybridMultilevel"/>
    <w:tmpl w:val="2D625F0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5">
    <w:nsid w:val="6C461805"/>
    <w:multiLevelType w:val="hybridMultilevel"/>
    <w:tmpl w:val="F8EE61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6">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77">
    <w:nsid w:val="6EEC2162"/>
    <w:multiLevelType w:val="hybridMultilevel"/>
    <w:tmpl w:val="DE0AAA5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8">
    <w:nsid w:val="74D0298B"/>
    <w:multiLevelType w:val="hybridMultilevel"/>
    <w:tmpl w:val="FEDE4FBC"/>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79">
    <w:nsid w:val="75C00AB4"/>
    <w:multiLevelType w:val="hybridMultilevel"/>
    <w:tmpl w:val="852ED8B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0">
    <w:nsid w:val="7610228B"/>
    <w:multiLevelType w:val="hybridMultilevel"/>
    <w:tmpl w:val="CAFA96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1">
    <w:nsid w:val="7C675CC3"/>
    <w:multiLevelType w:val="hybridMultilevel"/>
    <w:tmpl w:val="E7D8FB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9"/>
  </w:num>
  <w:num w:numId="8">
    <w:abstractNumId w:val="71"/>
  </w:num>
  <w:num w:numId="9">
    <w:abstractNumId w:val="70"/>
  </w:num>
  <w:num w:numId="10">
    <w:abstractNumId w:val="76"/>
  </w:num>
  <w:num w:numId="11">
    <w:abstractNumId w:val="26"/>
  </w:num>
  <w:num w:numId="12">
    <w:abstractNumId w:val="44"/>
  </w:num>
  <w:num w:numId="13">
    <w:abstractNumId w:val="50"/>
  </w:num>
  <w:num w:numId="14">
    <w:abstractNumId w:val="48"/>
  </w:num>
  <w:num w:numId="15">
    <w:abstractNumId w:val="11"/>
  </w:num>
  <w:num w:numId="16">
    <w:abstractNumId w:val="55"/>
  </w:num>
  <w:num w:numId="17">
    <w:abstractNumId w:val="46"/>
  </w:num>
  <w:num w:numId="18">
    <w:abstractNumId w:val="17"/>
  </w:num>
  <w:num w:numId="19">
    <w:abstractNumId w:val="49"/>
    <w:lvlOverride w:ilvl="0">
      <w:startOverride w:val="1"/>
    </w:lvlOverride>
  </w:num>
  <w:num w:numId="20">
    <w:abstractNumId w:val="62"/>
  </w:num>
  <w:num w:numId="21">
    <w:abstractNumId w:val="43"/>
  </w:num>
  <w:num w:numId="22">
    <w:abstractNumId w:val="72"/>
  </w:num>
  <w:num w:numId="23">
    <w:abstractNumId w:val="31"/>
  </w:num>
  <w:num w:numId="24">
    <w:abstractNumId w:val="45"/>
  </w:num>
  <w:num w:numId="25">
    <w:abstractNumId w:val="25"/>
  </w:num>
  <w:num w:numId="26">
    <w:abstractNumId w:val="67"/>
  </w:num>
  <w:num w:numId="27">
    <w:abstractNumId w:val="19"/>
  </w:num>
  <w:num w:numId="28">
    <w:abstractNumId w:val="49"/>
  </w:num>
  <w:num w:numId="29">
    <w:abstractNumId w:val="60"/>
  </w:num>
  <w:num w:numId="30">
    <w:abstractNumId w:val="61"/>
  </w:num>
  <w:num w:numId="31">
    <w:abstractNumId w:val="30"/>
  </w:num>
  <w:num w:numId="32">
    <w:abstractNumId w:val="57"/>
  </w:num>
  <w:num w:numId="33">
    <w:abstractNumId w:val="82"/>
  </w:num>
  <w:num w:numId="34">
    <w:abstractNumId w:val="12"/>
  </w:num>
  <w:num w:numId="35">
    <w:abstractNumId w:val="36"/>
  </w:num>
  <w:num w:numId="36">
    <w:abstractNumId w:val="41"/>
  </w:num>
  <w:num w:numId="37">
    <w:abstractNumId w:val="35"/>
  </w:num>
  <w:num w:numId="38">
    <w:abstractNumId w:val="75"/>
  </w:num>
  <w:num w:numId="39">
    <w:abstractNumId w:val="77"/>
  </w:num>
  <w:num w:numId="40">
    <w:abstractNumId w:val="73"/>
  </w:num>
  <w:num w:numId="41">
    <w:abstractNumId w:val="7"/>
  </w:num>
  <w:num w:numId="42">
    <w:abstractNumId w:val="59"/>
  </w:num>
  <w:num w:numId="43">
    <w:abstractNumId w:val="63"/>
  </w:num>
  <w:num w:numId="44">
    <w:abstractNumId w:val="80"/>
  </w:num>
  <w:num w:numId="45">
    <w:abstractNumId w:val="20"/>
  </w:num>
  <w:num w:numId="46">
    <w:abstractNumId w:val="53"/>
  </w:num>
  <w:num w:numId="47">
    <w:abstractNumId w:val="38"/>
  </w:num>
  <w:num w:numId="48">
    <w:abstractNumId w:val="52"/>
  </w:num>
  <w:num w:numId="49">
    <w:abstractNumId w:val="14"/>
  </w:num>
  <w:num w:numId="50">
    <w:abstractNumId w:val="6"/>
  </w:num>
  <w:num w:numId="51">
    <w:abstractNumId w:val="9"/>
  </w:num>
  <w:num w:numId="52">
    <w:abstractNumId w:val="64"/>
  </w:num>
  <w:num w:numId="53">
    <w:abstractNumId w:val="10"/>
  </w:num>
  <w:num w:numId="54">
    <w:abstractNumId w:val="58"/>
  </w:num>
  <w:num w:numId="55">
    <w:abstractNumId w:val="28"/>
  </w:num>
  <w:num w:numId="56">
    <w:abstractNumId w:val="65"/>
  </w:num>
  <w:num w:numId="57">
    <w:abstractNumId w:val="15"/>
  </w:num>
  <w:num w:numId="58">
    <w:abstractNumId w:val="34"/>
  </w:num>
  <w:num w:numId="59">
    <w:abstractNumId w:val="66"/>
  </w:num>
  <w:num w:numId="60">
    <w:abstractNumId w:val="18"/>
  </w:num>
  <w:num w:numId="61">
    <w:abstractNumId w:val="39"/>
  </w:num>
  <w:num w:numId="62">
    <w:abstractNumId w:val="32"/>
  </w:num>
  <w:num w:numId="63">
    <w:abstractNumId w:val="13"/>
  </w:num>
  <w:num w:numId="64">
    <w:abstractNumId w:val="68"/>
  </w:num>
  <w:num w:numId="65">
    <w:abstractNumId w:val="81"/>
  </w:num>
  <w:num w:numId="66">
    <w:abstractNumId w:val="23"/>
  </w:num>
  <w:num w:numId="67">
    <w:abstractNumId w:val="37"/>
  </w:num>
  <w:num w:numId="68">
    <w:abstractNumId w:val="47"/>
  </w:num>
  <w:num w:numId="69">
    <w:abstractNumId w:val="22"/>
  </w:num>
  <w:num w:numId="70">
    <w:abstractNumId w:val="33"/>
  </w:num>
  <w:num w:numId="71">
    <w:abstractNumId w:val="8"/>
  </w:num>
  <w:num w:numId="72">
    <w:abstractNumId w:val="54"/>
  </w:num>
  <w:num w:numId="73">
    <w:abstractNumId w:val="27"/>
  </w:num>
  <w:num w:numId="74">
    <w:abstractNumId w:val="29"/>
  </w:num>
  <w:num w:numId="75">
    <w:abstractNumId w:val="40"/>
  </w:num>
  <w:num w:numId="76">
    <w:abstractNumId w:val="24"/>
  </w:num>
  <w:num w:numId="77">
    <w:abstractNumId w:val="21"/>
  </w:num>
  <w:num w:numId="78">
    <w:abstractNumId w:val="51"/>
  </w:num>
  <w:num w:numId="79">
    <w:abstractNumId w:val="74"/>
  </w:num>
  <w:num w:numId="80">
    <w:abstractNumId w:val="78"/>
  </w:num>
  <w:num w:numId="81">
    <w:abstractNumId w:val="56"/>
  </w:num>
  <w:num w:numId="82">
    <w:abstractNumId w:val="79"/>
  </w:num>
  <w:num w:numId="83">
    <w:abstractNumId w:val="42"/>
  </w:num>
  <w:num w:numId="84">
    <w:abstractNumId w:val="16"/>
  </w:num>
  <w:numIdMacAtCleanup w:val="8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iewer ">
    <w15:presenceInfo w15:providerId="None" w15:userId="Reviewe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attachedTemplate r:id="rId1"/>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3-12-20 16:22:2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7"/>
    <w:docVar w:name="DQCResult_ModifiedMarkers" w:val="0;0"/>
    <w:docVar w:name="DQCResult_ModifiedNumbering" w:val="0;0"/>
    <w:docVar w:name="DQCResult_Objects" w:val="0;0"/>
    <w:docVar w:name="DQCResult_Sections" w:val="0;0"/>
    <w:docVar w:name="DQCResult_StructureCheck" w:val="0;0"/>
    <w:docVar w:name="DQCResult_SuperfluousWhitespace" w:val="0;57"/>
    <w:docVar w:name="DQCResult_UnknownFonts" w:val="0;0"/>
    <w:docVar w:name="DQCResult_UnknownStyles" w:val="0;3"/>
    <w:docVar w:name="DQCStatus" w:val="Yellow"/>
    <w:docVar w:name="DQCVersion" w:val="3"/>
    <w:docVar w:name="DQCWithWarnings" w:val="0"/>
    <w:docVar w:name="LW_ACCOMPAGNANT.CP" w:val="to the"/>
    <w:docVar w:name="LW_ANNEX_NBR_FIRST" w:val="2"/>
    <w:docVar w:name="LW_ANNEX_NBR_LAST" w:val="2"/>
    <w:docVar w:name="LW_CONFIDENCE" w:val=" "/>
    <w:docVar w:name="LW_CONST_RESTREINT_UE" w:val="RESTREINT UE"/>
    <w:docVar w:name="LW_CORRIGENDUM" w:val="&lt;UNUSED&gt;"/>
    <w:docVar w:name="LW_COVERPAGE_GUID" w:val="6634FBEDC06C4C0A8EB2C36FE3593655"/>
    <w:docVar w:name="LW_CROSSREFERENCE" w:val="&lt;UNUSED&gt;"/>
    <w:docVar w:name="LW_DocType" w:val="ANNEX"/>
    <w:docVar w:name="LW_EMISSION" w:val="&lt;EMPTY&gt;"/>
    <w:docVar w:name="LW_EMISSION_ISODATE" w:val="&lt;EMPTY&gt;"/>
    <w:docVar w:name="LW_EMISSION_LOCATION" w:val="BRX"/>
    <w:docVar w:name="LW_EMISSION_PREFIX" w:val="Brussels, "/>
    <w:docVar w:name="LW_EMISSION_SUFFIX" w:val=" "/>
    <w:docVar w:name="LW_ID_DOCSTRUCTURE" w:val="COM/ANNEX"/>
    <w:docVar w:name="LW_ID_DOCTYPE" w:val="SG-068"/>
    <w:docVar w:name="LW_LANGUE" w:val="EN"/>
    <w:docVar w:name="LW_MARKING" w:val="&lt;UNUSED&gt;"/>
    <w:docVar w:name="LW_NOM.INST" w:val="EUROPEAN COMMISSION"/>
    <w:docVar w:name="LW_NOM.INST_JOINTDOC" w:val="&lt;EMPTY&gt;"/>
    <w:docVar w:name="LW_OBJETACTEPRINCIPAL.CP" w:val="laying down rules pursuant to Regulation (EU) No 1303/2013 of the European Parliament and of the Council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with regard to models for operational programmes under the Investment for growth and jobs goal and pursuant to Regulation (EU) No 1299/2013 of the European Parliament and of the Council on specific provisions for the support from the European Regional Development Fund to the European territorial cooperation goal with regard to models for cooperation programmes under the European territorial cooperation goal"/>
    <w:docVar w:name="LW_PART_NBR" w:val="1"/>
    <w:docVar w:name="LW_PART_NBR_TOTAL" w:val="1"/>
    <w:docVar w:name="LW_REF.INST.NEW" w:val="&lt;EMPTY&gt;"/>
    <w:docVar w:name="LW_REF.INST.NEW_ADOPTED" w:val="draft"/>
    <w:docVar w:name="LW_REF.INST.NEW_TEXT" w:val="(2013) XXX"/>
    <w:docVar w:name="LW_REF.INTERNE" w:val="&lt;UNUSED&gt;"/>
    <w:docVar w:name="LW_SUPERTITRE" w:val="&lt;UNUSED&gt;"/>
    <w:docVar w:name="LW_TITRE.OBJ.CP" w:val="Model for cooperation programmes under the European territorial cooperation goal"/>
    <w:docVar w:name="LW_TYPE.DOC.CP" w:val="ANNEX"/>
    <w:docVar w:name="LW_TYPEACTEPRINCIPAL.CP" w:val="COMMISSION IMPLEMENTING REGULATION (EU) No \u8230?/.."/>
    <w:docVar w:name="Stamp" w:val="\\dossiers.dgt.cec.eu.int\dossiers\REGIO\REGIO-2013-00828\REGIO-2013-00828-00-02-EN-REV-00.DOC"/>
  </w:docVars>
  <w:rsids>
    <w:rsidRoot w:val="00292003"/>
    <w:rsid w:val="000017BE"/>
    <w:rsid w:val="000022EE"/>
    <w:rsid w:val="00007D81"/>
    <w:rsid w:val="00007E1A"/>
    <w:rsid w:val="00011F40"/>
    <w:rsid w:val="000145F5"/>
    <w:rsid w:val="00016935"/>
    <w:rsid w:val="00020046"/>
    <w:rsid w:val="0002027C"/>
    <w:rsid w:val="00022C1D"/>
    <w:rsid w:val="00024BAB"/>
    <w:rsid w:val="00034071"/>
    <w:rsid w:val="000344F6"/>
    <w:rsid w:val="0003651E"/>
    <w:rsid w:val="000404F9"/>
    <w:rsid w:val="00042E79"/>
    <w:rsid w:val="00050A46"/>
    <w:rsid w:val="00056BD9"/>
    <w:rsid w:val="00056D25"/>
    <w:rsid w:val="00064D14"/>
    <w:rsid w:val="00070A08"/>
    <w:rsid w:val="00070E89"/>
    <w:rsid w:val="00073B6E"/>
    <w:rsid w:val="0007480E"/>
    <w:rsid w:val="00083BDB"/>
    <w:rsid w:val="0008435A"/>
    <w:rsid w:val="00084FFE"/>
    <w:rsid w:val="00085B0C"/>
    <w:rsid w:val="00087072"/>
    <w:rsid w:val="0009031B"/>
    <w:rsid w:val="00092883"/>
    <w:rsid w:val="0009301E"/>
    <w:rsid w:val="000A216D"/>
    <w:rsid w:val="000A3C95"/>
    <w:rsid w:val="000A52C2"/>
    <w:rsid w:val="000A7979"/>
    <w:rsid w:val="000B42FD"/>
    <w:rsid w:val="000B5F72"/>
    <w:rsid w:val="000C139C"/>
    <w:rsid w:val="000D2382"/>
    <w:rsid w:val="000D43CE"/>
    <w:rsid w:val="000D59B4"/>
    <w:rsid w:val="000D755D"/>
    <w:rsid w:val="000E2340"/>
    <w:rsid w:val="000E4DDD"/>
    <w:rsid w:val="000E51FF"/>
    <w:rsid w:val="000E58B0"/>
    <w:rsid w:val="000E6A5C"/>
    <w:rsid w:val="000E7D43"/>
    <w:rsid w:val="000F0EF3"/>
    <w:rsid w:val="000F2679"/>
    <w:rsid w:val="000F43E2"/>
    <w:rsid w:val="000F791D"/>
    <w:rsid w:val="001008BD"/>
    <w:rsid w:val="00104E5E"/>
    <w:rsid w:val="00105B1B"/>
    <w:rsid w:val="00107722"/>
    <w:rsid w:val="00110C82"/>
    <w:rsid w:val="00110FDE"/>
    <w:rsid w:val="00112FB4"/>
    <w:rsid w:val="00113FF1"/>
    <w:rsid w:val="001149DD"/>
    <w:rsid w:val="00116A67"/>
    <w:rsid w:val="00121E65"/>
    <w:rsid w:val="00125379"/>
    <w:rsid w:val="001306F7"/>
    <w:rsid w:val="00132859"/>
    <w:rsid w:val="00135CCF"/>
    <w:rsid w:val="0014278E"/>
    <w:rsid w:val="00142891"/>
    <w:rsid w:val="00146B85"/>
    <w:rsid w:val="001478DC"/>
    <w:rsid w:val="00150B41"/>
    <w:rsid w:val="001510B9"/>
    <w:rsid w:val="00152C0F"/>
    <w:rsid w:val="001536E9"/>
    <w:rsid w:val="00153842"/>
    <w:rsid w:val="00153BD6"/>
    <w:rsid w:val="00154291"/>
    <w:rsid w:val="00154D89"/>
    <w:rsid w:val="00162CEC"/>
    <w:rsid w:val="001632AF"/>
    <w:rsid w:val="00163729"/>
    <w:rsid w:val="001653EE"/>
    <w:rsid w:val="00166627"/>
    <w:rsid w:val="00167317"/>
    <w:rsid w:val="001705FA"/>
    <w:rsid w:val="0017143D"/>
    <w:rsid w:val="00171635"/>
    <w:rsid w:val="001722EA"/>
    <w:rsid w:val="001737DC"/>
    <w:rsid w:val="001817E4"/>
    <w:rsid w:val="00185E04"/>
    <w:rsid w:val="00190C40"/>
    <w:rsid w:val="00192586"/>
    <w:rsid w:val="00192C6B"/>
    <w:rsid w:val="001A1B0D"/>
    <w:rsid w:val="001A1B17"/>
    <w:rsid w:val="001A383B"/>
    <w:rsid w:val="001A38A7"/>
    <w:rsid w:val="001A7232"/>
    <w:rsid w:val="001B037E"/>
    <w:rsid w:val="001B6014"/>
    <w:rsid w:val="001B62A7"/>
    <w:rsid w:val="001C021F"/>
    <w:rsid w:val="001C143C"/>
    <w:rsid w:val="001C153E"/>
    <w:rsid w:val="001C1FDA"/>
    <w:rsid w:val="001C5F4E"/>
    <w:rsid w:val="001C7F03"/>
    <w:rsid w:val="001D026F"/>
    <w:rsid w:val="001D02C1"/>
    <w:rsid w:val="001D3041"/>
    <w:rsid w:val="001D4629"/>
    <w:rsid w:val="001D5571"/>
    <w:rsid w:val="001D6826"/>
    <w:rsid w:val="001D7296"/>
    <w:rsid w:val="001E0B04"/>
    <w:rsid w:val="001E111F"/>
    <w:rsid w:val="001E1DBD"/>
    <w:rsid w:val="001E581E"/>
    <w:rsid w:val="001F05A5"/>
    <w:rsid w:val="001F0683"/>
    <w:rsid w:val="002015B1"/>
    <w:rsid w:val="00202803"/>
    <w:rsid w:val="0020365A"/>
    <w:rsid w:val="002049BF"/>
    <w:rsid w:val="002066E5"/>
    <w:rsid w:val="00210615"/>
    <w:rsid w:val="0021087E"/>
    <w:rsid w:val="00210B53"/>
    <w:rsid w:val="002131AE"/>
    <w:rsid w:val="00216EC9"/>
    <w:rsid w:val="0022046E"/>
    <w:rsid w:val="002230A3"/>
    <w:rsid w:val="00225BBC"/>
    <w:rsid w:val="0022623F"/>
    <w:rsid w:val="00230E2F"/>
    <w:rsid w:val="0023225A"/>
    <w:rsid w:val="00236B3D"/>
    <w:rsid w:val="00237BE3"/>
    <w:rsid w:val="00240E52"/>
    <w:rsid w:val="00242B3E"/>
    <w:rsid w:val="00244531"/>
    <w:rsid w:val="00245A73"/>
    <w:rsid w:val="0024666D"/>
    <w:rsid w:val="00246A2F"/>
    <w:rsid w:val="002508AD"/>
    <w:rsid w:val="00250B3C"/>
    <w:rsid w:val="00250D1E"/>
    <w:rsid w:val="00251828"/>
    <w:rsid w:val="00251F5E"/>
    <w:rsid w:val="00252DD5"/>
    <w:rsid w:val="002543B9"/>
    <w:rsid w:val="002545EF"/>
    <w:rsid w:val="002610E2"/>
    <w:rsid w:val="002612C8"/>
    <w:rsid w:val="002624CC"/>
    <w:rsid w:val="00262F46"/>
    <w:rsid w:val="00263D3E"/>
    <w:rsid w:val="00265534"/>
    <w:rsid w:val="00270990"/>
    <w:rsid w:val="00271FB8"/>
    <w:rsid w:val="00272260"/>
    <w:rsid w:val="002728D6"/>
    <w:rsid w:val="0027712F"/>
    <w:rsid w:val="00280D6E"/>
    <w:rsid w:val="002812D4"/>
    <w:rsid w:val="00283AB2"/>
    <w:rsid w:val="00283FA4"/>
    <w:rsid w:val="0028452A"/>
    <w:rsid w:val="002869AE"/>
    <w:rsid w:val="0028720E"/>
    <w:rsid w:val="00287FEA"/>
    <w:rsid w:val="002909F4"/>
    <w:rsid w:val="00292003"/>
    <w:rsid w:val="0029444B"/>
    <w:rsid w:val="00295AF6"/>
    <w:rsid w:val="00296FAA"/>
    <w:rsid w:val="002A1819"/>
    <w:rsid w:val="002A210F"/>
    <w:rsid w:val="002A23E6"/>
    <w:rsid w:val="002A54F8"/>
    <w:rsid w:val="002A720F"/>
    <w:rsid w:val="002B0F34"/>
    <w:rsid w:val="002B110C"/>
    <w:rsid w:val="002B27E6"/>
    <w:rsid w:val="002B38D0"/>
    <w:rsid w:val="002C0B63"/>
    <w:rsid w:val="002C1897"/>
    <w:rsid w:val="002C252A"/>
    <w:rsid w:val="002C2629"/>
    <w:rsid w:val="002C29F2"/>
    <w:rsid w:val="002C2A32"/>
    <w:rsid w:val="002C77CC"/>
    <w:rsid w:val="002E0699"/>
    <w:rsid w:val="002E121A"/>
    <w:rsid w:val="002E283B"/>
    <w:rsid w:val="002E2D8E"/>
    <w:rsid w:val="002E37B7"/>
    <w:rsid w:val="002E5AA0"/>
    <w:rsid w:val="002E70F3"/>
    <w:rsid w:val="002E7490"/>
    <w:rsid w:val="002F442C"/>
    <w:rsid w:val="002F4E3E"/>
    <w:rsid w:val="002F71D4"/>
    <w:rsid w:val="002F73E1"/>
    <w:rsid w:val="003031B1"/>
    <w:rsid w:val="00305528"/>
    <w:rsid w:val="00305EDC"/>
    <w:rsid w:val="00310EFD"/>
    <w:rsid w:val="00311AE2"/>
    <w:rsid w:val="00311F8D"/>
    <w:rsid w:val="00312EDE"/>
    <w:rsid w:val="00313343"/>
    <w:rsid w:val="0031448F"/>
    <w:rsid w:val="00317FAB"/>
    <w:rsid w:val="003207D1"/>
    <w:rsid w:val="00321CAC"/>
    <w:rsid w:val="00321DFD"/>
    <w:rsid w:val="00330891"/>
    <w:rsid w:val="00331169"/>
    <w:rsid w:val="0033125C"/>
    <w:rsid w:val="0033565E"/>
    <w:rsid w:val="0034049C"/>
    <w:rsid w:val="0034445E"/>
    <w:rsid w:val="00345567"/>
    <w:rsid w:val="003461DF"/>
    <w:rsid w:val="00346A1B"/>
    <w:rsid w:val="003479F2"/>
    <w:rsid w:val="00352F87"/>
    <w:rsid w:val="003531D1"/>
    <w:rsid w:val="00355AB1"/>
    <w:rsid w:val="00356DD6"/>
    <w:rsid w:val="00357630"/>
    <w:rsid w:val="003609DD"/>
    <w:rsid w:val="00361C91"/>
    <w:rsid w:val="003623CE"/>
    <w:rsid w:val="00362C71"/>
    <w:rsid w:val="00363740"/>
    <w:rsid w:val="003656A0"/>
    <w:rsid w:val="003662DE"/>
    <w:rsid w:val="00374D7B"/>
    <w:rsid w:val="00375E04"/>
    <w:rsid w:val="003761CB"/>
    <w:rsid w:val="00376CCA"/>
    <w:rsid w:val="00380261"/>
    <w:rsid w:val="00381B5E"/>
    <w:rsid w:val="00385274"/>
    <w:rsid w:val="00385ABC"/>
    <w:rsid w:val="00385B81"/>
    <w:rsid w:val="00394ADF"/>
    <w:rsid w:val="00394F3B"/>
    <w:rsid w:val="00394F8E"/>
    <w:rsid w:val="003958B8"/>
    <w:rsid w:val="003A0292"/>
    <w:rsid w:val="003A18A3"/>
    <w:rsid w:val="003A1FD2"/>
    <w:rsid w:val="003A241C"/>
    <w:rsid w:val="003A34A4"/>
    <w:rsid w:val="003A46FB"/>
    <w:rsid w:val="003A48D1"/>
    <w:rsid w:val="003A5EF7"/>
    <w:rsid w:val="003A6822"/>
    <w:rsid w:val="003B01D5"/>
    <w:rsid w:val="003B2279"/>
    <w:rsid w:val="003C29AF"/>
    <w:rsid w:val="003C33DE"/>
    <w:rsid w:val="003C3F2C"/>
    <w:rsid w:val="003D05CE"/>
    <w:rsid w:val="003E10BA"/>
    <w:rsid w:val="003E28E0"/>
    <w:rsid w:val="003E438F"/>
    <w:rsid w:val="003E5336"/>
    <w:rsid w:val="003E75F1"/>
    <w:rsid w:val="003F08BD"/>
    <w:rsid w:val="003F5736"/>
    <w:rsid w:val="003F5BF4"/>
    <w:rsid w:val="003F729C"/>
    <w:rsid w:val="00401ADF"/>
    <w:rsid w:val="004021E5"/>
    <w:rsid w:val="004035EA"/>
    <w:rsid w:val="00404EB0"/>
    <w:rsid w:val="004057FB"/>
    <w:rsid w:val="0041210C"/>
    <w:rsid w:val="0041355C"/>
    <w:rsid w:val="004146C5"/>
    <w:rsid w:val="00416410"/>
    <w:rsid w:val="004164DA"/>
    <w:rsid w:val="00417BE6"/>
    <w:rsid w:val="004201F5"/>
    <w:rsid w:val="004211E3"/>
    <w:rsid w:val="0042279D"/>
    <w:rsid w:val="00423E1B"/>
    <w:rsid w:val="00430AA7"/>
    <w:rsid w:val="00430ECE"/>
    <w:rsid w:val="00437319"/>
    <w:rsid w:val="00437FF5"/>
    <w:rsid w:val="0044305E"/>
    <w:rsid w:val="004436C6"/>
    <w:rsid w:val="00444406"/>
    <w:rsid w:val="00446913"/>
    <w:rsid w:val="004470E8"/>
    <w:rsid w:val="00454080"/>
    <w:rsid w:val="0045460A"/>
    <w:rsid w:val="00457EF8"/>
    <w:rsid w:val="00460712"/>
    <w:rsid w:val="004628BA"/>
    <w:rsid w:val="00462F1A"/>
    <w:rsid w:val="0046536C"/>
    <w:rsid w:val="004704E8"/>
    <w:rsid w:val="004743D5"/>
    <w:rsid w:val="004757D7"/>
    <w:rsid w:val="004808E5"/>
    <w:rsid w:val="00481558"/>
    <w:rsid w:val="00481C5B"/>
    <w:rsid w:val="004822A7"/>
    <w:rsid w:val="00482EB0"/>
    <w:rsid w:val="00483B57"/>
    <w:rsid w:val="00483C19"/>
    <w:rsid w:val="00491656"/>
    <w:rsid w:val="00494778"/>
    <w:rsid w:val="00494EB2"/>
    <w:rsid w:val="0049601E"/>
    <w:rsid w:val="004A05B0"/>
    <w:rsid w:val="004A0DA1"/>
    <w:rsid w:val="004A1074"/>
    <w:rsid w:val="004A52A7"/>
    <w:rsid w:val="004A5852"/>
    <w:rsid w:val="004B2406"/>
    <w:rsid w:val="004B3EEB"/>
    <w:rsid w:val="004B7198"/>
    <w:rsid w:val="004B78F8"/>
    <w:rsid w:val="004C44D7"/>
    <w:rsid w:val="004C59CF"/>
    <w:rsid w:val="004C5D16"/>
    <w:rsid w:val="004C6B5A"/>
    <w:rsid w:val="004D0523"/>
    <w:rsid w:val="004D190F"/>
    <w:rsid w:val="004D1EAC"/>
    <w:rsid w:val="004D3386"/>
    <w:rsid w:val="004D6378"/>
    <w:rsid w:val="004D7E71"/>
    <w:rsid w:val="004E158F"/>
    <w:rsid w:val="004E2FE4"/>
    <w:rsid w:val="004E539B"/>
    <w:rsid w:val="004E5AB3"/>
    <w:rsid w:val="004E6C08"/>
    <w:rsid w:val="004E7943"/>
    <w:rsid w:val="004F222C"/>
    <w:rsid w:val="004F482A"/>
    <w:rsid w:val="004F57B7"/>
    <w:rsid w:val="004F7475"/>
    <w:rsid w:val="0050230E"/>
    <w:rsid w:val="00503EBC"/>
    <w:rsid w:val="00507249"/>
    <w:rsid w:val="00510C7F"/>
    <w:rsid w:val="00512CFE"/>
    <w:rsid w:val="00512DAB"/>
    <w:rsid w:val="00515290"/>
    <w:rsid w:val="00516235"/>
    <w:rsid w:val="00516ADD"/>
    <w:rsid w:val="00520A17"/>
    <w:rsid w:val="00520E1F"/>
    <w:rsid w:val="00522BB4"/>
    <w:rsid w:val="00523A35"/>
    <w:rsid w:val="00523BE4"/>
    <w:rsid w:val="0052415C"/>
    <w:rsid w:val="00524A6B"/>
    <w:rsid w:val="00530F6C"/>
    <w:rsid w:val="005311D5"/>
    <w:rsid w:val="00531565"/>
    <w:rsid w:val="005325AF"/>
    <w:rsid w:val="005338DE"/>
    <w:rsid w:val="0054042D"/>
    <w:rsid w:val="00540CAA"/>
    <w:rsid w:val="00541670"/>
    <w:rsid w:val="0054185A"/>
    <w:rsid w:val="00541DDB"/>
    <w:rsid w:val="00544357"/>
    <w:rsid w:val="005455BC"/>
    <w:rsid w:val="005510BF"/>
    <w:rsid w:val="00551D37"/>
    <w:rsid w:val="00553D19"/>
    <w:rsid w:val="0055656C"/>
    <w:rsid w:val="005609B2"/>
    <w:rsid w:val="00560E96"/>
    <w:rsid w:val="005616E9"/>
    <w:rsid w:val="00562055"/>
    <w:rsid w:val="005638EB"/>
    <w:rsid w:val="0056556D"/>
    <w:rsid w:val="0056588F"/>
    <w:rsid w:val="00566DFE"/>
    <w:rsid w:val="00567F19"/>
    <w:rsid w:val="00572078"/>
    <w:rsid w:val="005727F6"/>
    <w:rsid w:val="00575154"/>
    <w:rsid w:val="00576BD1"/>
    <w:rsid w:val="00580B6C"/>
    <w:rsid w:val="0059168F"/>
    <w:rsid w:val="00591FF2"/>
    <w:rsid w:val="0059211F"/>
    <w:rsid w:val="0059297B"/>
    <w:rsid w:val="0059439E"/>
    <w:rsid w:val="005A0BE5"/>
    <w:rsid w:val="005A2465"/>
    <w:rsid w:val="005A4A5E"/>
    <w:rsid w:val="005A7346"/>
    <w:rsid w:val="005B353F"/>
    <w:rsid w:val="005B3931"/>
    <w:rsid w:val="005B4B17"/>
    <w:rsid w:val="005C00DF"/>
    <w:rsid w:val="005C07F9"/>
    <w:rsid w:val="005C29B8"/>
    <w:rsid w:val="005C2B7D"/>
    <w:rsid w:val="005C3D44"/>
    <w:rsid w:val="005C633B"/>
    <w:rsid w:val="005D283D"/>
    <w:rsid w:val="005D35F6"/>
    <w:rsid w:val="005D7909"/>
    <w:rsid w:val="005D7AE4"/>
    <w:rsid w:val="005E15ED"/>
    <w:rsid w:val="005E307E"/>
    <w:rsid w:val="005E66BB"/>
    <w:rsid w:val="005E6DA3"/>
    <w:rsid w:val="005F06D8"/>
    <w:rsid w:val="005F0A7B"/>
    <w:rsid w:val="005F11ED"/>
    <w:rsid w:val="005F431B"/>
    <w:rsid w:val="005F4A09"/>
    <w:rsid w:val="005F571A"/>
    <w:rsid w:val="005F69F2"/>
    <w:rsid w:val="00601D16"/>
    <w:rsid w:val="00602364"/>
    <w:rsid w:val="00602870"/>
    <w:rsid w:val="006037F7"/>
    <w:rsid w:val="0060415A"/>
    <w:rsid w:val="006051FA"/>
    <w:rsid w:val="00606C2C"/>
    <w:rsid w:val="0061146B"/>
    <w:rsid w:val="00612C72"/>
    <w:rsid w:val="00613EA2"/>
    <w:rsid w:val="0061402F"/>
    <w:rsid w:val="0062227F"/>
    <w:rsid w:val="00622A01"/>
    <w:rsid w:val="00622B9E"/>
    <w:rsid w:val="00626D4E"/>
    <w:rsid w:val="00627509"/>
    <w:rsid w:val="00630C5B"/>
    <w:rsid w:val="00630EA9"/>
    <w:rsid w:val="00634455"/>
    <w:rsid w:val="0063655F"/>
    <w:rsid w:val="006409EB"/>
    <w:rsid w:val="00645294"/>
    <w:rsid w:val="0065033A"/>
    <w:rsid w:val="0065075A"/>
    <w:rsid w:val="00652CBF"/>
    <w:rsid w:val="00656011"/>
    <w:rsid w:val="00656CD2"/>
    <w:rsid w:val="00660FCA"/>
    <w:rsid w:val="0066276B"/>
    <w:rsid w:val="00662DD2"/>
    <w:rsid w:val="00663619"/>
    <w:rsid w:val="00667D5F"/>
    <w:rsid w:val="0067414F"/>
    <w:rsid w:val="0067454E"/>
    <w:rsid w:val="00674929"/>
    <w:rsid w:val="0067574C"/>
    <w:rsid w:val="006776FD"/>
    <w:rsid w:val="00680CA5"/>
    <w:rsid w:val="00683C1C"/>
    <w:rsid w:val="00690517"/>
    <w:rsid w:val="006907EA"/>
    <w:rsid w:val="00691714"/>
    <w:rsid w:val="00691A5F"/>
    <w:rsid w:val="00693173"/>
    <w:rsid w:val="0069320D"/>
    <w:rsid w:val="00694DBE"/>
    <w:rsid w:val="006963D4"/>
    <w:rsid w:val="006964C7"/>
    <w:rsid w:val="006A0B1C"/>
    <w:rsid w:val="006A3035"/>
    <w:rsid w:val="006A4BDD"/>
    <w:rsid w:val="006A6EE8"/>
    <w:rsid w:val="006A7045"/>
    <w:rsid w:val="006A7AA9"/>
    <w:rsid w:val="006A7C2B"/>
    <w:rsid w:val="006B03F8"/>
    <w:rsid w:val="006B1B4B"/>
    <w:rsid w:val="006B2D2C"/>
    <w:rsid w:val="006B5552"/>
    <w:rsid w:val="006B66C1"/>
    <w:rsid w:val="006B68CB"/>
    <w:rsid w:val="006C2C97"/>
    <w:rsid w:val="006C46B3"/>
    <w:rsid w:val="006C4CEF"/>
    <w:rsid w:val="006D68E9"/>
    <w:rsid w:val="006D701A"/>
    <w:rsid w:val="006E1133"/>
    <w:rsid w:val="006E42DF"/>
    <w:rsid w:val="006E5005"/>
    <w:rsid w:val="006F00AA"/>
    <w:rsid w:val="006F05FB"/>
    <w:rsid w:val="006F0F86"/>
    <w:rsid w:val="006F2E3E"/>
    <w:rsid w:val="006F48BE"/>
    <w:rsid w:val="006F5014"/>
    <w:rsid w:val="006F5E29"/>
    <w:rsid w:val="00702C7F"/>
    <w:rsid w:val="0070329A"/>
    <w:rsid w:val="0070384B"/>
    <w:rsid w:val="00703E50"/>
    <w:rsid w:val="00704774"/>
    <w:rsid w:val="00705688"/>
    <w:rsid w:val="00705DBA"/>
    <w:rsid w:val="0070697A"/>
    <w:rsid w:val="0071119A"/>
    <w:rsid w:val="0071178E"/>
    <w:rsid w:val="0071696D"/>
    <w:rsid w:val="00717930"/>
    <w:rsid w:val="00721FAB"/>
    <w:rsid w:val="0072421E"/>
    <w:rsid w:val="0072435C"/>
    <w:rsid w:val="007259DA"/>
    <w:rsid w:val="007273BB"/>
    <w:rsid w:val="00727972"/>
    <w:rsid w:val="00732535"/>
    <w:rsid w:val="00732F76"/>
    <w:rsid w:val="0074412F"/>
    <w:rsid w:val="00747ADB"/>
    <w:rsid w:val="00752CE1"/>
    <w:rsid w:val="0075503A"/>
    <w:rsid w:val="007616E4"/>
    <w:rsid w:val="00762D9A"/>
    <w:rsid w:val="007658B2"/>
    <w:rsid w:val="007664B3"/>
    <w:rsid w:val="00766545"/>
    <w:rsid w:val="007666B2"/>
    <w:rsid w:val="007773AC"/>
    <w:rsid w:val="00780A0E"/>
    <w:rsid w:val="00780AD3"/>
    <w:rsid w:val="00782EE1"/>
    <w:rsid w:val="00783A0C"/>
    <w:rsid w:val="00786DAB"/>
    <w:rsid w:val="00787748"/>
    <w:rsid w:val="00787D88"/>
    <w:rsid w:val="0079204E"/>
    <w:rsid w:val="0079345D"/>
    <w:rsid w:val="007966EA"/>
    <w:rsid w:val="00796970"/>
    <w:rsid w:val="00797341"/>
    <w:rsid w:val="007A0A92"/>
    <w:rsid w:val="007A659E"/>
    <w:rsid w:val="007A7815"/>
    <w:rsid w:val="007B02C8"/>
    <w:rsid w:val="007C00CC"/>
    <w:rsid w:val="007C12AB"/>
    <w:rsid w:val="007C1D38"/>
    <w:rsid w:val="007C4269"/>
    <w:rsid w:val="007C45CE"/>
    <w:rsid w:val="007C587D"/>
    <w:rsid w:val="007C7B30"/>
    <w:rsid w:val="007D1347"/>
    <w:rsid w:val="007D51B6"/>
    <w:rsid w:val="007D6CC9"/>
    <w:rsid w:val="007E3727"/>
    <w:rsid w:val="007E4342"/>
    <w:rsid w:val="007E4E50"/>
    <w:rsid w:val="007E6E9F"/>
    <w:rsid w:val="007E78E6"/>
    <w:rsid w:val="007E7EA4"/>
    <w:rsid w:val="007F2709"/>
    <w:rsid w:val="007F2E6F"/>
    <w:rsid w:val="007F4EC2"/>
    <w:rsid w:val="007F5A4B"/>
    <w:rsid w:val="007F6B7E"/>
    <w:rsid w:val="00800359"/>
    <w:rsid w:val="00800B95"/>
    <w:rsid w:val="00800F8B"/>
    <w:rsid w:val="00801CBA"/>
    <w:rsid w:val="00802260"/>
    <w:rsid w:val="008025DF"/>
    <w:rsid w:val="008027E8"/>
    <w:rsid w:val="00804385"/>
    <w:rsid w:val="00807412"/>
    <w:rsid w:val="00811866"/>
    <w:rsid w:val="00812332"/>
    <w:rsid w:val="008140A2"/>
    <w:rsid w:val="00816658"/>
    <w:rsid w:val="00822644"/>
    <w:rsid w:val="00825076"/>
    <w:rsid w:val="008256D5"/>
    <w:rsid w:val="008268E7"/>
    <w:rsid w:val="00830BDF"/>
    <w:rsid w:val="00830CCB"/>
    <w:rsid w:val="008321BF"/>
    <w:rsid w:val="008328A8"/>
    <w:rsid w:val="0083291C"/>
    <w:rsid w:val="008346F4"/>
    <w:rsid w:val="0083494D"/>
    <w:rsid w:val="00835956"/>
    <w:rsid w:val="0083662C"/>
    <w:rsid w:val="00837E64"/>
    <w:rsid w:val="00841E5F"/>
    <w:rsid w:val="0084321E"/>
    <w:rsid w:val="00843292"/>
    <w:rsid w:val="00843DCD"/>
    <w:rsid w:val="00844A3E"/>
    <w:rsid w:val="00847D37"/>
    <w:rsid w:val="00850539"/>
    <w:rsid w:val="008513C5"/>
    <w:rsid w:val="0085445C"/>
    <w:rsid w:val="008605D2"/>
    <w:rsid w:val="008611A1"/>
    <w:rsid w:val="00862F47"/>
    <w:rsid w:val="00863CAF"/>
    <w:rsid w:val="00865B25"/>
    <w:rsid w:val="0086644D"/>
    <w:rsid w:val="00866BB8"/>
    <w:rsid w:val="00871835"/>
    <w:rsid w:val="0087376E"/>
    <w:rsid w:val="00875083"/>
    <w:rsid w:val="008762C6"/>
    <w:rsid w:val="00877F6E"/>
    <w:rsid w:val="00877FD2"/>
    <w:rsid w:val="008803EA"/>
    <w:rsid w:val="00880A07"/>
    <w:rsid w:val="00881DF8"/>
    <w:rsid w:val="0088602A"/>
    <w:rsid w:val="00887726"/>
    <w:rsid w:val="0089089B"/>
    <w:rsid w:val="0089356F"/>
    <w:rsid w:val="00893AE3"/>
    <w:rsid w:val="008950EE"/>
    <w:rsid w:val="008A2319"/>
    <w:rsid w:val="008A3339"/>
    <w:rsid w:val="008A70A6"/>
    <w:rsid w:val="008B0DF1"/>
    <w:rsid w:val="008B1213"/>
    <w:rsid w:val="008B1489"/>
    <w:rsid w:val="008B19E5"/>
    <w:rsid w:val="008B1BD4"/>
    <w:rsid w:val="008B2B22"/>
    <w:rsid w:val="008B44EB"/>
    <w:rsid w:val="008B5F4C"/>
    <w:rsid w:val="008C1221"/>
    <w:rsid w:val="008C194E"/>
    <w:rsid w:val="008C2B13"/>
    <w:rsid w:val="008C2B6F"/>
    <w:rsid w:val="008D16A3"/>
    <w:rsid w:val="008D3FE2"/>
    <w:rsid w:val="008D6ED5"/>
    <w:rsid w:val="008E035C"/>
    <w:rsid w:val="008E3121"/>
    <w:rsid w:val="008E40AA"/>
    <w:rsid w:val="008E5899"/>
    <w:rsid w:val="008E7426"/>
    <w:rsid w:val="008F0E22"/>
    <w:rsid w:val="008F41E8"/>
    <w:rsid w:val="008F4366"/>
    <w:rsid w:val="008F4F7D"/>
    <w:rsid w:val="008F533F"/>
    <w:rsid w:val="008F5B01"/>
    <w:rsid w:val="008F6A66"/>
    <w:rsid w:val="00901CB6"/>
    <w:rsid w:val="0090277F"/>
    <w:rsid w:val="00902C27"/>
    <w:rsid w:val="00903D90"/>
    <w:rsid w:val="00906380"/>
    <w:rsid w:val="00912263"/>
    <w:rsid w:val="009124F0"/>
    <w:rsid w:val="00912A16"/>
    <w:rsid w:val="0091402F"/>
    <w:rsid w:val="00914178"/>
    <w:rsid w:val="009210BB"/>
    <w:rsid w:val="00922255"/>
    <w:rsid w:val="009248C7"/>
    <w:rsid w:val="009256EE"/>
    <w:rsid w:val="00926432"/>
    <w:rsid w:val="00930169"/>
    <w:rsid w:val="00933C84"/>
    <w:rsid w:val="00940AD9"/>
    <w:rsid w:val="00941972"/>
    <w:rsid w:val="0094366C"/>
    <w:rsid w:val="009439F3"/>
    <w:rsid w:val="00944736"/>
    <w:rsid w:val="00946D42"/>
    <w:rsid w:val="009513F8"/>
    <w:rsid w:val="009535D1"/>
    <w:rsid w:val="009539D6"/>
    <w:rsid w:val="0095443E"/>
    <w:rsid w:val="00954781"/>
    <w:rsid w:val="00954A6E"/>
    <w:rsid w:val="00956063"/>
    <w:rsid w:val="00957D44"/>
    <w:rsid w:val="0096253E"/>
    <w:rsid w:val="009625C9"/>
    <w:rsid w:val="00962A12"/>
    <w:rsid w:val="00962A75"/>
    <w:rsid w:val="00965678"/>
    <w:rsid w:val="0096629E"/>
    <w:rsid w:val="009668B2"/>
    <w:rsid w:val="00971D62"/>
    <w:rsid w:val="00972AEF"/>
    <w:rsid w:val="009730CB"/>
    <w:rsid w:val="00973541"/>
    <w:rsid w:val="00973B7A"/>
    <w:rsid w:val="00975FDD"/>
    <w:rsid w:val="00976253"/>
    <w:rsid w:val="00976A6F"/>
    <w:rsid w:val="0097753E"/>
    <w:rsid w:val="00981F6F"/>
    <w:rsid w:val="009851B3"/>
    <w:rsid w:val="009854F6"/>
    <w:rsid w:val="009871C0"/>
    <w:rsid w:val="009901FC"/>
    <w:rsid w:val="009911EB"/>
    <w:rsid w:val="00996750"/>
    <w:rsid w:val="00997E3C"/>
    <w:rsid w:val="00997FA3"/>
    <w:rsid w:val="009A0C97"/>
    <w:rsid w:val="009A35C1"/>
    <w:rsid w:val="009A4231"/>
    <w:rsid w:val="009A6F90"/>
    <w:rsid w:val="009A78C2"/>
    <w:rsid w:val="009B19FC"/>
    <w:rsid w:val="009B3E56"/>
    <w:rsid w:val="009B4032"/>
    <w:rsid w:val="009B6AF4"/>
    <w:rsid w:val="009B7D77"/>
    <w:rsid w:val="009C051C"/>
    <w:rsid w:val="009C0C28"/>
    <w:rsid w:val="009C5641"/>
    <w:rsid w:val="009C5F85"/>
    <w:rsid w:val="009D2831"/>
    <w:rsid w:val="009E2240"/>
    <w:rsid w:val="009E5B1C"/>
    <w:rsid w:val="009E605E"/>
    <w:rsid w:val="009E646A"/>
    <w:rsid w:val="009F014B"/>
    <w:rsid w:val="009F3089"/>
    <w:rsid w:val="009F4669"/>
    <w:rsid w:val="00A00FD0"/>
    <w:rsid w:val="00A01993"/>
    <w:rsid w:val="00A01E6E"/>
    <w:rsid w:val="00A033F1"/>
    <w:rsid w:val="00A03B98"/>
    <w:rsid w:val="00A03C82"/>
    <w:rsid w:val="00A11B48"/>
    <w:rsid w:val="00A13B50"/>
    <w:rsid w:val="00A150D8"/>
    <w:rsid w:val="00A1790F"/>
    <w:rsid w:val="00A26CC8"/>
    <w:rsid w:val="00A3525D"/>
    <w:rsid w:val="00A35CB2"/>
    <w:rsid w:val="00A366E4"/>
    <w:rsid w:val="00A3691E"/>
    <w:rsid w:val="00A4083F"/>
    <w:rsid w:val="00A41D65"/>
    <w:rsid w:val="00A46286"/>
    <w:rsid w:val="00A4670C"/>
    <w:rsid w:val="00A46DA3"/>
    <w:rsid w:val="00A5053A"/>
    <w:rsid w:val="00A51761"/>
    <w:rsid w:val="00A52424"/>
    <w:rsid w:val="00A52655"/>
    <w:rsid w:val="00A554A6"/>
    <w:rsid w:val="00A56EF3"/>
    <w:rsid w:val="00A579D0"/>
    <w:rsid w:val="00A60E94"/>
    <w:rsid w:val="00A61102"/>
    <w:rsid w:val="00A628D6"/>
    <w:rsid w:val="00A632AC"/>
    <w:rsid w:val="00A6359E"/>
    <w:rsid w:val="00A65EB2"/>
    <w:rsid w:val="00A74FFD"/>
    <w:rsid w:val="00A8277B"/>
    <w:rsid w:val="00A83688"/>
    <w:rsid w:val="00A849B2"/>
    <w:rsid w:val="00A8537C"/>
    <w:rsid w:val="00A85EB3"/>
    <w:rsid w:val="00A87019"/>
    <w:rsid w:val="00A87A02"/>
    <w:rsid w:val="00A91640"/>
    <w:rsid w:val="00A93C23"/>
    <w:rsid w:val="00A94789"/>
    <w:rsid w:val="00A95846"/>
    <w:rsid w:val="00AA7DEB"/>
    <w:rsid w:val="00AB05A1"/>
    <w:rsid w:val="00AB18F2"/>
    <w:rsid w:val="00AB3C57"/>
    <w:rsid w:val="00AB61D0"/>
    <w:rsid w:val="00AB7B1A"/>
    <w:rsid w:val="00AB7B52"/>
    <w:rsid w:val="00AC1FA5"/>
    <w:rsid w:val="00AC34E4"/>
    <w:rsid w:val="00AC487B"/>
    <w:rsid w:val="00AC4CC0"/>
    <w:rsid w:val="00AD2E29"/>
    <w:rsid w:val="00AD449B"/>
    <w:rsid w:val="00AD55AC"/>
    <w:rsid w:val="00AD61DA"/>
    <w:rsid w:val="00AE507E"/>
    <w:rsid w:val="00AE61D4"/>
    <w:rsid w:val="00AE7ABD"/>
    <w:rsid w:val="00AE7B45"/>
    <w:rsid w:val="00AF07E4"/>
    <w:rsid w:val="00AF2CAB"/>
    <w:rsid w:val="00AF5616"/>
    <w:rsid w:val="00AF648A"/>
    <w:rsid w:val="00B00CF6"/>
    <w:rsid w:val="00B0359F"/>
    <w:rsid w:val="00B04D5A"/>
    <w:rsid w:val="00B04DCA"/>
    <w:rsid w:val="00B06EE2"/>
    <w:rsid w:val="00B07D03"/>
    <w:rsid w:val="00B07D43"/>
    <w:rsid w:val="00B153BA"/>
    <w:rsid w:val="00B15E12"/>
    <w:rsid w:val="00B271BC"/>
    <w:rsid w:val="00B27F74"/>
    <w:rsid w:val="00B30579"/>
    <w:rsid w:val="00B30930"/>
    <w:rsid w:val="00B31BE0"/>
    <w:rsid w:val="00B33D10"/>
    <w:rsid w:val="00B34A78"/>
    <w:rsid w:val="00B36481"/>
    <w:rsid w:val="00B4247F"/>
    <w:rsid w:val="00B42A4D"/>
    <w:rsid w:val="00B44CFD"/>
    <w:rsid w:val="00B465B7"/>
    <w:rsid w:val="00B4726A"/>
    <w:rsid w:val="00B52354"/>
    <w:rsid w:val="00B53F57"/>
    <w:rsid w:val="00B54DBC"/>
    <w:rsid w:val="00B555F9"/>
    <w:rsid w:val="00B6120C"/>
    <w:rsid w:val="00B629D3"/>
    <w:rsid w:val="00B635DC"/>
    <w:rsid w:val="00B64B2E"/>
    <w:rsid w:val="00B6792F"/>
    <w:rsid w:val="00B70F03"/>
    <w:rsid w:val="00B73B85"/>
    <w:rsid w:val="00B76110"/>
    <w:rsid w:val="00B76199"/>
    <w:rsid w:val="00B779DF"/>
    <w:rsid w:val="00B873DE"/>
    <w:rsid w:val="00B93AF4"/>
    <w:rsid w:val="00B97613"/>
    <w:rsid w:val="00BA085A"/>
    <w:rsid w:val="00BA1B5C"/>
    <w:rsid w:val="00BA29D4"/>
    <w:rsid w:val="00BA4F1F"/>
    <w:rsid w:val="00BA5521"/>
    <w:rsid w:val="00BA642B"/>
    <w:rsid w:val="00BB2AAB"/>
    <w:rsid w:val="00BB3A1B"/>
    <w:rsid w:val="00BB5FD9"/>
    <w:rsid w:val="00BB7F4F"/>
    <w:rsid w:val="00BC0014"/>
    <w:rsid w:val="00BC42C8"/>
    <w:rsid w:val="00BC4BC3"/>
    <w:rsid w:val="00BC65D4"/>
    <w:rsid w:val="00BD0CAA"/>
    <w:rsid w:val="00BD1626"/>
    <w:rsid w:val="00BD3E81"/>
    <w:rsid w:val="00BE2887"/>
    <w:rsid w:val="00BE6CD1"/>
    <w:rsid w:val="00BF246A"/>
    <w:rsid w:val="00BF2DE5"/>
    <w:rsid w:val="00BF350C"/>
    <w:rsid w:val="00BF5BDA"/>
    <w:rsid w:val="00C03695"/>
    <w:rsid w:val="00C039C2"/>
    <w:rsid w:val="00C0542A"/>
    <w:rsid w:val="00C06886"/>
    <w:rsid w:val="00C11034"/>
    <w:rsid w:val="00C11156"/>
    <w:rsid w:val="00C121C3"/>
    <w:rsid w:val="00C14ABF"/>
    <w:rsid w:val="00C17803"/>
    <w:rsid w:val="00C2052B"/>
    <w:rsid w:val="00C233BA"/>
    <w:rsid w:val="00C25270"/>
    <w:rsid w:val="00C26466"/>
    <w:rsid w:val="00C41FD9"/>
    <w:rsid w:val="00C42F18"/>
    <w:rsid w:val="00C42FCA"/>
    <w:rsid w:val="00C432AC"/>
    <w:rsid w:val="00C46782"/>
    <w:rsid w:val="00C472D5"/>
    <w:rsid w:val="00C47ACF"/>
    <w:rsid w:val="00C5051A"/>
    <w:rsid w:val="00C50FB5"/>
    <w:rsid w:val="00C567E9"/>
    <w:rsid w:val="00C56C14"/>
    <w:rsid w:val="00C56E54"/>
    <w:rsid w:val="00C5736B"/>
    <w:rsid w:val="00C64009"/>
    <w:rsid w:val="00C671E4"/>
    <w:rsid w:val="00C702CF"/>
    <w:rsid w:val="00C72E31"/>
    <w:rsid w:val="00C762DE"/>
    <w:rsid w:val="00C85BCC"/>
    <w:rsid w:val="00C85FB5"/>
    <w:rsid w:val="00C87D94"/>
    <w:rsid w:val="00C908F6"/>
    <w:rsid w:val="00C915AC"/>
    <w:rsid w:val="00C94114"/>
    <w:rsid w:val="00C94411"/>
    <w:rsid w:val="00C96C97"/>
    <w:rsid w:val="00C97046"/>
    <w:rsid w:val="00CA0BA8"/>
    <w:rsid w:val="00CA2E10"/>
    <w:rsid w:val="00CA35DA"/>
    <w:rsid w:val="00CA5D3C"/>
    <w:rsid w:val="00CA604B"/>
    <w:rsid w:val="00CA7C38"/>
    <w:rsid w:val="00CB2104"/>
    <w:rsid w:val="00CB340F"/>
    <w:rsid w:val="00CB432C"/>
    <w:rsid w:val="00CC0839"/>
    <w:rsid w:val="00CC0CF0"/>
    <w:rsid w:val="00CC1038"/>
    <w:rsid w:val="00CC4001"/>
    <w:rsid w:val="00CD041E"/>
    <w:rsid w:val="00CD04C6"/>
    <w:rsid w:val="00CD16F2"/>
    <w:rsid w:val="00CD1A15"/>
    <w:rsid w:val="00CD31F2"/>
    <w:rsid w:val="00CD4178"/>
    <w:rsid w:val="00CD4C7F"/>
    <w:rsid w:val="00CD6BE3"/>
    <w:rsid w:val="00CE103F"/>
    <w:rsid w:val="00CE2651"/>
    <w:rsid w:val="00CE50B0"/>
    <w:rsid w:val="00CE75C4"/>
    <w:rsid w:val="00CE77E5"/>
    <w:rsid w:val="00CF05BE"/>
    <w:rsid w:val="00CF348C"/>
    <w:rsid w:val="00CF37CA"/>
    <w:rsid w:val="00CF57A6"/>
    <w:rsid w:val="00CF59B7"/>
    <w:rsid w:val="00CF6A8E"/>
    <w:rsid w:val="00CF6C4B"/>
    <w:rsid w:val="00CF722C"/>
    <w:rsid w:val="00D008F6"/>
    <w:rsid w:val="00D0149C"/>
    <w:rsid w:val="00D04BDB"/>
    <w:rsid w:val="00D06C29"/>
    <w:rsid w:val="00D0770B"/>
    <w:rsid w:val="00D07B15"/>
    <w:rsid w:val="00D15EB4"/>
    <w:rsid w:val="00D16411"/>
    <w:rsid w:val="00D17A3D"/>
    <w:rsid w:val="00D215AE"/>
    <w:rsid w:val="00D21A12"/>
    <w:rsid w:val="00D23021"/>
    <w:rsid w:val="00D258B0"/>
    <w:rsid w:val="00D260CB"/>
    <w:rsid w:val="00D27118"/>
    <w:rsid w:val="00D322CB"/>
    <w:rsid w:val="00D34334"/>
    <w:rsid w:val="00D36AC2"/>
    <w:rsid w:val="00D375FA"/>
    <w:rsid w:val="00D41627"/>
    <w:rsid w:val="00D41968"/>
    <w:rsid w:val="00D41B25"/>
    <w:rsid w:val="00D41B73"/>
    <w:rsid w:val="00D4426D"/>
    <w:rsid w:val="00D4452C"/>
    <w:rsid w:val="00D45D9A"/>
    <w:rsid w:val="00D46593"/>
    <w:rsid w:val="00D4797B"/>
    <w:rsid w:val="00D50480"/>
    <w:rsid w:val="00D53A1F"/>
    <w:rsid w:val="00D53B6F"/>
    <w:rsid w:val="00D5754F"/>
    <w:rsid w:val="00D60DA2"/>
    <w:rsid w:val="00D61627"/>
    <w:rsid w:val="00D62165"/>
    <w:rsid w:val="00D6542D"/>
    <w:rsid w:val="00D65451"/>
    <w:rsid w:val="00D67FD8"/>
    <w:rsid w:val="00D712D9"/>
    <w:rsid w:val="00D71D7D"/>
    <w:rsid w:val="00D725B4"/>
    <w:rsid w:val="00D72A40"/>
    <w:rsid w:val="00D72D62"/>
    <w:rsid w:val="00D73B13"/>
    <w:rsid w:val="00D73EFD"/>
    <w:rsid w:val="00D73F94"/>
    <w:rsid w:val="00D746A7"/>
    <w:rsid w:val="00D81D6F"/>
    <w:rsid w:val="00D82AD0"/>
    <w:rsid w:val="00D9003B"/>
    <w:rsid w:val="00D90DA7"/>
    <w:rsid w:val="00D917DC"/>
    <w:rsid w:val="00D96D9D"/>
    <w:rsid w:val="00DA3D0C"/>
    <w:rsid w:val="00DA4108"/>
    <w:rsid w:val="00DA43DB"/>
    <w:rsid w:val="00DA4F67"/>
    <w:rsid w:val="00DB2F51"/>
    <w:rsid w:val="00DB311D"/>
    <w:rsid w:val="00DB3A27"/>
    <w:rsid w:val="00DC17A7"/>
    <w:rsid w:val="00DC2FAC"/>
    <w:rsid w:val="00DC3C18"/>
    <w:rsid w:val="00DC4838"/>
    <w:rsid w:val="00DD3AAB"/>
    <w:rsid w:val="00DE5D22"/>
    <w:rsid w:val="00DE6424"/>
    <w:rsid w:val="00DF0DBD"/>
    <w:rsid w:val="00DF727F"/>
    <w:rsid w:val="00DF7F74"/>
    <w:rsid w:val="00E012BF"/>
    <w:rsid w:val="00E01912"/>
    <w:rsid w:val="00E048F7"/>
    <w:rsid w:val="00E0674C"/>
    <w:rsid w:val="00E0729B"/>
    <w:rsid w:val="00E10024"/>
    <w:rsid w:val="00E10305"/>
    <w:rsid w:val="00E13977"/>
    <w:rsid w:val="00E14050"/>
    <w:rsid w:val="00E16DFC"/>
    <w:rsid w:val="00E17367"/>
    <w:rsid w:val="00E178FB"/>
    <w:rsid w:val="00E22483"/>
    <w:rsid w:val="00E22D09"/>
    <w:rsid w:val="00E24295"/>
    <w:rsid w:val="00E24BB9"/>
    <w:rsid w:val="00E24CD2"/>
    <w:rsid w:val="00E26B3C"/>
    <w:rsid w:val="00E27AA9"/>
    <w:rsid w:val="00E3025E"/>
    <w:rsid w:val="00E31672"/>
    <w:rsid w:val="00E31962"/>
    <w:rsid w:val="00E31C31"/>
    <w:rsid w:val="00E342B6"/>
    <w:rsid w:val="00E351B1"/>
    <w:rsid w:val="00E36EF0"/>
    <w:rsid w:val="00E37011"/>
    <w:rsid w:val="00E37488"/>
    <w:rsid w:val="00E41001"/>
    <w:rsid w:val="00E43ABD"/>
    <w:rsid w:val="00E4462B"/>
    <w:rsid w:val="00E45E59"/>
    <w:rsid w:val="00E54100"/>
    <w:rsid w:val="00E66B87"/>
    <w:rsid w:val="00E71CEA"/>
    <w:rsid w:val="00E7241F"/>
    <w:rsid w:val="00E72F3C"/>
    <w:rsid w:val="00E73316"/>
    <w:rsid w:val="00E7405D"/>
    <w:rsid w:val="00E744C5"/>
    <w:rsid w:val="00E761F7"/>
    <w:rsid w:val="00E77023"/>
    <w:rsid w:val="00E77E8D"/>
    <w:rsid w:val="00E802F9"/>
    <w:rsid w:val="00E84D9E"/>
    <w:rsid w:val="00E8541B"/>
    <w:rsid w:val="00E86136"/>
    <w:rsid w:val="00E87D4C"/>
    <w:rsid w:val="00E94FF5"/>
    <w:rsid w:val="00E95E22"/>
    <w:rsid w:val="00E96571"/>
    <w:rsid w:val="00EA0BEC"/>
    <w:rsid w:val="00EA3E84"/>
    <w:rsid w:val="00EA5C6D"/>
    <w:rsid w:val="00EB2A11"/>
    <w:rsid w:val="00EC0786"/>
    <w:rsid w:val="00EC2E4B"/>
    <w:rsid w:val="00EC3C45"/>
    <w:rsid w:val="00EC6674"/>
    <w:rsid w:val="00ED18D4"/>
    <w:rsid w:val="00ED26AF"/>
    <w:rsid w:val="00ED3F5C"/>
    <w:rsid w:val="00ED6CEE"/>
    <w:rsid w:val="00EE1462"/>
    <w:rsid w:val="00EE503D"/>
    <w:rsid w:val="00EE7C3F"/>
    <w:rsid w:val="00EF00E0"/>
    <w:rsid w:val="00EF0A0C"/>
    <w:rsid w:val="00EF118F"/>
    <w:rsid w:val="00EF32FA"/>
    <w:rsid w:val="00EF4FB5"/>
    <w:rsid w:val="00EF5413"/>
    <w:rsid w:val="00EF7021"/>
    <w:rsid w:val="00F00EE9"/>
    <w:rsid w:val="00F01286"/>
    <w:rsid w:val="00F01731"/>
    <w:rsid w:val="00F01F19"/>
    <w:rsid w:val="00F031C3"/>
    <w:rsid w:val="00F04798"/>
    <w:rsid w:val="00F049A3"/>
    <w:rsid w:val="00F05032"/>
    <w:rsid w:val="00F056AF"/>
    <w:rsid w:val="00F07AFF"/>
    <w:rsid w:val="00F07C6E"/>
    <w:rsid w:val="00F10FE2"/>
    <w:rsid w:val="00F131BD"/>
    <w:rsid w:val="00F13BF2"/>
    <w:rsid w:val="00F13F0E"/>
    <w:rsid w:val="00F14DC4"/>
    <w:rsid w:val="00F15F36"/>
    <w:rsid w:val="00F178C2"/>
    <w:rsid w:val="00F20BE4"/>
    <w:rsid w:val="00F22DA7"/>
    <w:rsid w:val="00F24755"/>
    <w:rsid w:val="00F25590"/>
    <w:rsid w:val="00F301FE"/>
    <w:rsid w:val="00F313E8"/>
    <w:rsid w:val="00F319C1"/>
    <w:rsid w:val="00F4778D"/>
    <w:rsid w:val="00F47C51"/>
    <w:rsid w:val="00F502F5"/>
    <w:rsid w:val="00F52CC3"/>
    <w:rsid w:val="00F53787"/>
    <w:rsid w:val="00F5636B"/>
    <w:rsid w:val="00F64369"/>
    <w:rsid w:val="00F645AF"/>
    <w:rsid w:val="00F65C71"/>
    <w:rsid w:val="00F669C6"/>
    <w:rsid w:val="00F67FAC"/>
    <w:rsid w:val="00F70826"/>
    <w:rsid w:val="00F72E82"/>
    <w:rsid w:val="00F74106"/>
    <w:rsid w:val="00F7637E"/>
    <w:rsid w:val="00F807B5"/>
    <w:rsid w:val="00F813CA"/>
    <w:rsid w:val="00F81407"/>
    <w:rsid w:val="00F83315"/>
    <w:rsid w:val="00F85DC7"/>
    <w:rsid w:val="00F86988"/>
    <w:rsid w:val="00F87183"/>
    <w:rsid w:val="00F91737"/>
    <w:rsid w:val="00F97E74"/>
    <w:rsid w:val="00FA1C2F"/>
    <w:rsid w:val="00FA1EE0"/>
    <w:rsid w:val="00FA35A5"/>
    <w:rsid w:val="00FA3CE3"/>
    <w:rsid w:val="00FA7765"/>
    <w:rsid w:val="00FB701A"/>
    <w:rsid w:val="00FC05AA"/>
    <w:rsid w:val="00FC36A1"/>
    <w:rsid w:val="00FC38D6"/>
    <w:rsid w:val="00FC3D16"/>
    <w:rsid w:val="00FC60CC"/>
    <w:rsid w:val="00FD21A0"/>
    <w:rsid w:val="00FD2D9E"/>
    <w:rsid w:val="00FD37C7"/>
    <w:rsid w:val="00FE0561"/>
    <w:rsid w:val="00FE088B"/>
    <w:rsid w:val="00FE0E0A"/>
    <w:rsid w:val="00FE1C2A"/>
    <w:rsid w:val="00FE3BC4"/>
    <w:rsid w:val="00FE6097"/>
    <w:rsid w:val="00FE67A0"/>
    <w:rsid w:val="00FF22E8"/>
    <w:rsid w:val="00FF50B5"/>
    <w:rsid w:val="00FF5E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en-GB" w:bidi="bg-BG"/>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Title" w:semiHidden="0" w:unhideWhenUsed="0" w:qFormat="1"/>
    <w:lsdException w:name="Signature" w:uiPriority="99"/>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18F"/>
    <w:pPr>
      <w:spacing w:before="120" w:after="120"/>
      <w:jc w:val="both"/>
    </w:pPr>
    <w:rPr>
      <w:rFonts w:ascii="Times New Roman" w:hAnsi="Times New Roman"/>
      <w:sz w:val="24"/>
    </w:rPr>
  </w:style>
  <w:style w:type="paragraph" w:styleId="Heading1">
    <w:name w:val="heading 1"/>
    <w:basedOn w:val="Normal"/>
    <w:next w:val="Text1"/>
    <w:link w:val="Heading1Char"/>
    <w:uiPriority w:val="9"/>
    <w:qFormat/>
    <w:rsid w:val="0075503A"/>
    <w:pPr>
      <w:keepNext/>
      <w:numPr>
        <w:numId w:val="26"/>
      </w:numPr>
      <w:spacing w:before="360"/>
      <w:outlineLvl w:val="0"/>
    </w:pPr>
    <w:rPr>
      <w:rFonts w:eastAsia="Times New Roman"/>
      <w:b/>
      <w:bCs/>
      <w:smallCaps/>
      <w:szCs w:val="28"/>
    </w:rPr>
  </w:style>
  <w:style w:type="paragraph" w:styleId="Heading2">
    <w:name w:val="heading 2"/>
    <w:basedOn w:val="Normal"/>
    <w:next w:val="Text1"/>
    <w:link w:val="Heading2Char"/>
    <w:uiPriority w:val="9"/>
    <w:unhideWhenUsed/>
    <w:qFormat/>
    <w:rsid w:val="0075503A"/>
    <w:pPr>
      <w:keepNext/>
      <w:numPr>
        <w:ilvl w:val="1"/>
        <w:numId w:val="26"/>
      </w:numPr>
      <w:outlineLvl w:val="1"/>
    </w:pPr>
    <w:rPr>
      <w:rFonts w:eastAsia="Times New Roman"/>
      <w:b/>
      <w:bCs/>
      <w:szCs w:val="26"/>
    </w:rPr>
  </w:style>
  <w:style w:type="paragraph" w:styleId="Heading3">
    <w:name w:val="heading 3"/>
    <w:basedOn w:val="Normal"/>
    <w:next w:val="Text1"/>
    <w:link w:val="Heading3Char"/>
    <w:uiPriority w:val="9"/>
    <w:unhideWhenUsed/>
    <w:qFormat/>
    <w:rsid w:val="0075503A"/>
    <w:pPr>
      <w:keepNext/>
      <w:numPr>
        <w:ilvl w:val="2"/>
        <w:numId w:val="26"/>
      </w:numPr>
      <w:outlineLvl w:val="2"/>
    </w:pPr>
    <w:rPr>
      <w:rFonts w:eastAsia="Times New Roman"/>
      <w:bCs/>
      <w:i/>
    </w:rPr>
  </w:style>
  <w:style w:type="paragraph" w:styleId="Heading4">
    <w:name w:val="heading 4"/>
    <w:basedOn w:val="Normal"/>
    <w:next w:val="Text1"/>
    <w:link w:val="Heading4Char"/>
    <w:uiPriority w:val="9"/>
    <w:unhideWhenUsed/>
    <w:qFormat/>
    <w:rsid w:val="0075503A"/>
    <w:pPr>
      <w:keepNext/>
      <w:numPr>
        <w:ilvl w:val="3"/>
        <w:numId w:val="26"/>
      </w:numPr>
      <w:outlineLvl w:val="3"/>
    </w:pPr>
    <w:rPr>
      <w:rFonts w:eastAsia="Times New Roman"/>
      <w:bCs/>
      <w:iCs/>
    </w:rPr>
  </w:style>
  <w:style w:type="paragraph" w:styleId="Heading5">
    <w:name w:val="heading 5"/>
    <w:basedOn w:val="Normal"/>
    <w:next w:val="Normal"/>
    <w:link w:val="Heading5Char"/>
    <w:qFormat/>
    <w:rsid w:val="00FB701A"/>
    <w:pPr>
      <w:spacing w:before="240" w:after="60"/>
      <w:ind w:left="1008" w:hanging="1008"/>
      <w:outlineLvl w:val="4"/>
    </w:pPr>
    <w:rPr>
      <w:rFonts w:ascii="Arial" w:eastAsia="Times New Roman" w:hAnsi="Arial"/>
      <w:sz w:val="22"/>
    </w:rPr>
  </w:style>
  <w:style w:type="paragraph" w:styleId="Heading6">
    <w:name w:val="heading 6"/>
    <w:basedOn w:val="Normal"/>
    <w:next w:val="Normal"/>
    <w:link w:val="Heading6Char"/>
    <w:qFormat/>
    <w:rsid w:val="00FB701A"/>
    <w:pPr>
      <w:spacing w:before="240" w:after="60"/>
      <w:ind w:left="1152" w:hanging="1152"/>
      <w:outlineLvl w:val="5"/>
    </w:pPr>
    <w:rPr>
      <w:rFonts w:ascii="Arial" w:eastAsia="Times New Roman" w:hAnsi="Arial"/>
      <w:i/>
      <w:sz w:val="22"/>
    </w:rPr>
  </w:style>
  <w:style w:type="paragraph" w:styleId="Heading7">
    <w:name w:val="heading 7"/>
    <w:basedOn w:val="Normal"/>
    <w:next w:val="Normal"/>
    <w:link w:val="Heading7Char"/>
    <w:qFormat/>
    <w:rsid w:val="00FB701A"/>
    <w:pPr>
      <w:spacing w:before="240" w:after="60"/>
      <w:ind w:left="1296" w:hanging="1296"/>
      <w:outlineLvl w:val="6"/>
    </w:pPr>
    <w:rPr>
      <w:rFonts w:ascii="Arial" w:eastAsia="Times New Roman" w:hAnsi="Arial"/>
      <w:sz w:val="20"/>
    </w:rPr>
  </w:style>
  <w:style w:type="paragraph" w:styleId="Heading8">
    <w:name w:val="heading 8"/>
    <w:basedOn w:val="Normal"/>
    <w:next w:val="Normal"/>
    <w:link w:val="Heading8Char"/>
    <w:qFormat/>
    <w:rsid w:val="00FB701A"/>
    <w:pPr>
      <w:spacing w:before="240" w:after="60"/>
      <w:ind w:left="1440" w:hanging="1440"/>
      <w:outlineLvl w:val="7"/>
    </w:pPr>
    <w:rPr>
      <w:rFonts w:ascii="Arial" w:eastAsia="Times New Roman" w:hAnsi="Arial"/>
      <w:i/>
      <w:sz w:val="20"/>
    </w:rPr>
  </w:style>
  <w:style w:type="paragraph" w:styleId="Heading9">
    <w:name w:val="heading 9"/>
    <w:basedOn w:val="Normal"/>
    <w:next w:val="Normal"/>
    <w:link w:val="Heading9Char"/>
    <w:qFormat/>
    <w:rsid w:val="00FB701A"/>
    <w:pPr>
      <w:spacing w:before="240" w:after="60"/>
      <w:ind w:left="1584" w:hanging="1584"/>
      <w:outlineLvl w:val="8"/>
    </w:pPr>
    <w:rPr>
      <w:rFonts w:ascii="Arial" w:eastAsia="Times New Roman"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rsid w:val="00796970"/>
    <w:pPr>
      <w:numPr>
        <w:numId w:val="1"/>
      </w:numPr>
      <w:contextualSpacing/>
    </w:pPr>
  </w:style>
  <w:style w:type="paragraph" w:styleId="ListBullet2">
    <w:name w:val="List Bullet 2"/>
    <w:basedOn w:val="Normal"/>
    <w:unhideWhenUsed/>
    <w:rsid w:val="00796970"/>
    <w:pPr>
      <w:numPr>
        <w:numId w:val="2"/>
      </w:numPr>
      <w:contextualSpacing/>
    </w:pPr>
  </w:style>
  <w:style w:type="paragraph" w:styleId="ListBullet3">
    <w:name w:val="List Bullet 3"/>
    <w:basedOn w:val="Normal"/>
    <w:unhideWhenUsed/>
    <w:rsid w:val="00796970"/>
    <w:pPr>
      <w:numPr>
        <w:numId w:val="3"/>
      </w:numPr>
      <w:contextualSpacing/>
    </w:pPr>
  </w:style>
  <w:style w:type="paragraph" w:styleId="ListBullet4">
    <w:name w:val="List Bullet 4"/>
    <w:basedOn w:val="Normal"/>
    <w:unhideWhenUsed/>
    <w:rsid w:val="00796970"/>
    <w:pPr>
      <w:numPr>
        <w:numId w:val="4"/>
      </w:numPr>
      <w:contextualSpacing/>
    </w:pPr>
  </w:style>
  <w:style w:type="character" w:customStyle="1" w:styleId="Heading5Char">
    <w:name w:val="Heading 5 Char"/>
    <w:link w:val="Heading5"/>
    <w:rsid w:val="00FB701A"/>
    <w:rPr>
      <w:rFonts w:ascii="Arial" w:eastAsia="Times New Roman" w:hAnsi="Arial"/>
      <w:sz w:val="22"/>
      <w:lang w:eastAsia="en-US"/>
    </w:rPr>
  </w:style>
  <w:style w:type="character" w:customStyle="1" w:styleId="Heading6Char">
    <w:name w:val="Heading 6 Char"/>
    <w:link w:val="Heading6"/>
    <w:rsid w:val="00FB701A"/>
    <w:rPr>
      <w:rFonts w:ascii="Arial" w:eastAsia="Times New Roman" w:hAnsi="Arial"/>
      <w:i/>
      <w:sz w:val="22"/>
      <w:lang w:eastAsia="en-US"/>
    </w:rPr>
  </w:style>
  <w:style w:type="character" w:customStyle="1" w:styleId="Heading7Char">
    <w:name w:val="Heading 7 Char"/>
    <w:link w:val="Heading7"/>
    <w:rsid w:val="00FB701A"/>
    <w:rPr>
      <w:rFonts w:ascii="Arial" w:eastAsia="Times New Roman" w:hAnsi="Arial"/>
      <w:lang w:eastAsia="en-US"/>
    </w:rPr>
  </w:style>
  <w:style w:type="character" w:customStyle="1" w:styleId="Heading8Char">
    <w:name w:val="Heading 8 Char"/>
    <w:link w:val="Heading8"/>
    <w:rsid w:val="00FB701A"/>
    <w:rPr>
      <w:rFonts w:ascii="Arial" w:eastAsia="Times New Roman" w:hAnsi="Arial"/>
      <w:i/>
      <w:lang w:eastAsia="en-US"/>
    </w:rPr>
  </w:style>
  <w:style w:type="character" w:customStyle="1" w:styleId="Heading9Char">
    <w:name w:val="Heading 9 Char"/>
    <w:link w:val="Heading9"/>
    <w:rsid w:val="00FB701A"/>
    <w:rPr>
      <w:rFonts w:ascii="Arial" w:eastAsia="Times New Roman" w:hAnsi="Arial"/>
      <w:i/>
      <w:sz w:val="18"/>
      <w:lang w:eastAsia="en-US"/>
    </w:rPr>
  </w:style>
  <w:style w:type="numbering" w:customStyle="1" w:styleId="NoList1">
    <w:name w:val="No List1"/>
    <w:next w:val="NoList"/>
    <w:uiPriority w:val="99"/>
    <w:semiHidden/>
    <w:unhideWhenUsed/>
    <w:rsid w:val="00FB701A"/>
  </w:style>
  <w:style w:type="paragraph" w:customStyle="1" w:styleId="AddressTL">
    <w:name w:val="AddressTL"/>
    <w:basedOn w:val="Normal"/>
    <w:next w:val="Normal"/>
    <w:rsid w:val="00FB701A"/>
    <w:pPr>
      <w:spacing w:before="0" w:after="720"/>
      <w:jc w:val="left"/>
    </w:pPr>
    <w:rPr>
      <w:rFonts w:eastAsia="Times New Roman"/>
    </w:rPr>
  </w:style>
  <w:style w:type="paragraph" w:customStyle="1" w:styleId="AddressTR">
    <w:name w:val="AddressTR"/>
    <w:basedOn w:val="Normal"/>
    <w:next w:val="Normal"/>
    <w:rsid w:val="00FB701A"/>
    <w:pPr>
      <w:spacing w:before="0" w:after="720"/>
      <w:ind w:left="5103"/>
      <w:jc w:val="left"/>
    </w:pPr>
    <w:rPr>
      <w:rFonts w:eastAsia="Times New Roman"/>
    </w:rPr>
  </w:style>
  <w:style w:type="paragraph" w:styleId="BlockText">
    <w:name w:val="Block Text"/>
    <w:basedOn w:val="Normal"/>
    <w:rsid w:val="00FB701A"/>
    <w:pPr>
      <w:spacing w:before="0"/>
      <w:ind w:left="1440" w:right="1440"/>
    </w:pPr>
    <w:rPr>
      <w:rFonts w:eastAsia="Times New Roman"/>
    </w:rPr>
  </w:style>
  <w:style w:type="paragraph" w:styleId="BodyText">
    <w:name w:val="Body Text"/>
    <w:basedOn w:val="Normal"/>
    <w:link w:val="BodyTextChar"/>
    <w:rsid w:val="00FB701A"/>
    <w:pPr>
      <w:spacing w:before="0"/>
    </w:pPr>
    <w:rPr>
      <w:rFonts w:eastAsia="Times New Roman"/>
    </w:rPr>
  </w:style>
  <w:style w:type="character" w:customStyle="1" w:styleId="BodyTextChar">
    <w:name w:val="Body Text Char"/>
    <w:link w:val="BodyText"/>
    <w:rsid w:val="00FB701A"/>
    <w:rPr>
      <w:rFonts w:ascii="Times New Roman" w:eastAsia="Times New Roman" w:hAnsi="Times New Roman"/>
      <w:sz w:val="24"/>
      <w:lang w:eastAsia="en-US"/>
    </w:rPr>
  </w:style>
  <w:style w:type="paragraph" w:styleId="BodyText2">
    <w:name w:val="Body Text 2"/>
    <w:basedOn w:val="Normal"/>
    <w:link w:val="BodyText2Char"/>
    <w:rsid w:val="00FB701A"/>
    <w:pPr>
      <w:spacing w:before="0" w:line="480" w:lineRule="auto"/>
    </w:pPr>
    <w:rPr>
      <w:rFonts w:eastAsia="Times New Roman"/>
    </w:rPr>
  </w:style>
  <w:style w:type="character" w:customStyle="1" w:styleId="BodyText2Char">
    <w:name w:val="Body Text 2 Char"/>
    <w:link w:val="BodyText2"/>
    <w:rsid w:val="00FB701A"/>
    <w:rPr>
      <w:rFonts w:ascii="Times New Roman" w:eastAsia="Times New Roman" w:hAnsi="Times New Roman"/>
      <w:sz w:val="24"/>
      <w:lang w:eastAsia="en-US"/>
    </w:rPr>
  </w:style>
  <w:style w:type="paragraph" w:styleId="BodyText3">
    <w:name w:val="Body Text 3"/>
    <w:basedOn w:val="Normal"/>
    <w:link w:val="BodyText3Char"/>
    <w:rsid w:val="00FB701A"/>
    <w:pPr>
      <w:spacing w:before="0"/>
    </w:pPr>
    <w:rPr>
      <w:rFonts w:eastAsia="Times New Roman"/>
      <w:sz w:val="16"/>
    </w:rPr>
  </w:style>
  <w:style w:type="character" w:customStyle="1" w:styleId="BodyText3Char">
    <w:name w:val="Body Text 3 Char"/>
    <w:link w:val="BodyText3"/>
    <w:rsid w:val="00FB701A"/>
    <w:rPr>
      <w:rFonts w:ascii="Times New Roman" w:eastAsia="Times New Roman" w:hAnsi="Times New Roman"/>
      <w:sz w:val="16"/>
      <w:lang w:eastAsia="en-US"/>
    </w:rPr>
  </w:style>
  <w:style w:type="paragraph" w:styleId="BodyTextFirstIndent">
    <w:name w:val="Body Text First Indent"/>
    <w:basedOn w:val="BodyText"/>
    <w:link w:val="BodyTextFirstIndentChar"/>
    <w:rsid w:val="00FB701A"/>
    <w:pPr>
      <w:ind w:firstLine="210"/>
    </w:pPr>
  </w:style>
  <w:style w:type="character" w:customStyle="1" w:styleId="BodyTextFirstIndentChar">
    <w:name w:val="Body Text First Indent Char"/>
    <w:link w:val="BodyTextFirstIndent"/>
    <w:rsid w:val="00FB701A"/>
    <w:rPr>
      <w:rFonts w:ascii="Times New Roman" w:eastAsia="Times New Roman" w:hAnsi="Times New Roman"/>
      <w:sz w:val="24"/>
      <w:lang w:eastAsia="en-US"/>
    </w:rPr>
  </w:style>
  <w:style w:type="paragraph" w:styleId="BodyTextIndent">
    <w:name w:val="Body Text Indent"/>
    <w:basedOn w:val="Normal"/>
    <w:link w:val="BodyTextIndentChar"/>
    <w:rsid w:val="00FB701A"/>
    <w:pPr>
      <w:spacing w:before="0"/>
      <w:ind w:left="283"/>
    </w:pPr>
    <w:rPr>
      <w:rFonts w:eastAsia="Times New Roman"/>
    </w:rPr>
  </w:style>
  <w:style w:type="character" w:customStyle="1" w:styleId="BodyTextIndentChar">
    <w:name w:val="Body Text Indent Char"/>
    <w:link w:val="BodyTextIndent"/>
    <w:rsid w:val="00FB701A"/>
    <w:rPr>
      <w:rFonts w:ascii="Times New Roman" w:eastAsia="Times New Roman" w:hAnsi="Times New Roman"/>
      <w:sz w:val="24"/>
      <w:lang w:eastAsia="en-US"/>
    </w:rPr>
  </w:style>
  <w:style w:type="paragraph" w:styleId="BodyTextFirstIndent2">
    <w:name w:val="Body Text First Indent 2"/>
    <w:basedOn w:val="BodyTextIndent"/>
    <w:link w:val="BodyTextFirstIndent2Char"/>
    <w:rsid w:val="00FB701A"/>
    <w:pPr>
      <w:ind w:firstLine="210"/>
    </w:pPr>
  </w:style>
  <w:style w:type="character" w:customStyle="1" w:styleId="BodyTextFirstIndent2Char">
    <w:name w:val="Body Text First Indent 2 Char"/>
    <w:link w:val="BodyTextFirstIndent2"/>
    <w:rsid w:val="00FB701A"/>
    <w:rPr>
      <w:rFonts w:ascii="Times New Roman" w:eastAsia="Times New Roman" w:hAnsi="Times New Roman"/>
      <w:sz w:val="24"/>
      <w:lang w:eastAsia="en-US"/>
    </w:rPr>
  </w:style>
  <w:style w:type="paragraph" w:styleId="BodyTextIndent2">
    <w:name w:val="Body Text Indent 2"/>
    <w:basedOn w:val="Normal"/>
    <w:link w:val="BodyTextIndent2Char"/>
    <w:rsid w:val="00FB701A"/>
    <w:pPr>
      <w:spacing w:before="0" w:line="480" w:lineRule="auto"/>
      <w:ind w:left="283"/>
    </w:pPr>
    <w:rPr>
      <w:rFonts w:eastAsia="Times New Roman"/>
    </w:rPr>
  </w:style>
  <w:style w:type="character" w:customStyle="1" w:styleId="BodyTextIndent2Char">
    <w:name w:val="Body Text Indent 2 Char"/>
    <w:link w:val="BodyTextIndent2"/>
    <w:rsid w:val="00FB701A"/>
    <w:rPr>
      <w:rFonts w:ascii="Times New Roman" w:eastAsia="Times New Roman" w:hAnsi="Times New Roman"/>
      <w:sz w:val="24"/>
      <w:lang w:eastAsia="en-US"/>
    </w:rPr>
  </w:style>
  <w:style w:type="paragraph" w:styleId="BodyTextIndent3">
    <w:name w:val="Body Text Indent 3"/>
    <w:basedOn w:val="Normal"/>
    <w:link w:val="BodyTextIndent3Char"/>
    <w:rsid w:val="00FB701A"/>
    <w:pPr>
      <w:spacing w:before="0"/>
      <w:ind w:left="283"/>
    </w:pPr>
    <w:rPr>
      <w:rFonts w:eastAsia="Times New Roman"/>
      <w:sz w:val="16"/>
    </w:rPr>
  </w:style>
  <w:style w:type="character" w:customStyle="1" w:styleId="BodyTextIndent3Char">
    <w:name w:val="Body Text Indent 3 Char"/>
    <w:link w:val="BodyTextIndent3"/>
    <w:rsid w:val="00FB701A"/>
    <w:rPr>
      <w:rFonts w:ascii="Times New Roman" w:eastAsia="Times New Roman" w:hAnsi="Times New Roman"/>
      <w:sz w:val="16"/>
      <w:lang w:eastAsia="en-US"/>
    </w:rPr>
  </w:style>
  <w:style w:type="paragraph" w:styleId="Caption">
    <w:name w:val="caption"/>
    <w:basedOn w:val="Normal"/>
    <w:next w:val="Normal"/>
    <w:qFormat/>
    <w:rsid w:val="00FB701A"/>
    <w:rPr>
      <w:rFonts w:eastAsia="Times New Roman"/>
      <w:b/>
    </w:rPr>
  </w:style>
  <w:style w:type="paragraph" w:styleId="Closing">
    <w:name w:val="Closing"/>
    <w:basedOn w:val="Normal"/>
    <w:next w:val="Signature"/>
    <w:link w:val="ClosingChar"/>
    <w:rsid w:val="00FB701A"/>
    <w:pPr>
      <w:tabs>
        <w:tab w:val="left" w:pos="5103"/>
      </w:tabs>
      <w:spacing w:before="240" w:after="240"/>
      <w:ind w:left="5103"/>
      <w:jc w:val="left"/>
    </w:pPr>
    <w:rPr>
      <w:rFonts w:eastAsia="Times New Roman"/>
    </w:rPr>
  </w:style>
  <w:style w:type="character" w:customStyle="1" w:styleId="ClosingChar">
    <w:name w:val="Closing Char"/>
    <w:link w:val="Closing"/>
    <w:rsid w:val="00FB701A"/>
    <w:rPr>
      <w:rFonts w:ascii="Times New Roman" w:eastAsia="Times New Roman" w:hAnsi="Times New Roman"/>
      <w:sz w:val="24"/>
      <w:lang w:eastAsia="en-US"/>
    </w:rPr>
  </w:style>
  <w:style w:type="paragraph" w:styleId="Signature">
    <w:name w:val="Signature"/>
    <w:basedOn w:val="Normal"/>
    <w:next w:val="Contact"/>
    <w:link w:val="SignatureChar"/>
    <w:uiPriority w:val="99"/>
    <w:rsid w:val="00FB701A"/>
    <w:pPr>
      <w:tabs>
        <w:tab w:val="left" w:pos="5103"/>
      </w:tabs>
      <w:spacing w:before="1200" w:after="0"/>
      <w:ind w:left="5103"/>
      <w:jc w:val="center"/>
    </w:pPr>
    <w:rPr>
      <w:rFonts w:eastAsia="Times New Roman"/>
    </w:rPr>
  </w:style>
  <w:style w:type="character" w:customStyle="1" w:styleId="SignatureChar">
    <w:name w:val="Signature Char"/>
    <w:link w:val="Signature"/>
    <w:uiPriority w:val="99"/>
    <w:rsid w:val="00FB701A"/>
    <w:rPr>
      <w:rFonts w:ascii="Times New Roman" w:eastAsia="Times New Roman" w:hAnsi="Times New Roman"/>
      <w:sz w:val="24"/>
      <w:lang w:eastAsia="en-US"/>
    </w:rPr>
  </w:style>
  <w:style w:type="paragraph" w:customStyle="1" w:styleId="Enclosures">
    <w:name w:val="Enclosures"/>
    <w:basedOn w:val="Normal"/>
    <w:next w:val="Participants"/>
    <w:rsid w:val="00FB701A"/>
    <w:pPr>
      <w:keepNext/>
      <w:keepLines/>
      <w:tabs>
        <w:tab w:val="left" w:pos="5670"/>
      </w:tabs>
      <w:spacing w:before="480" w:after="0"/>
      <w:ind w:left="1985" w:hanging="1985"/>
      <w:jc w:val="left"/>
    </w:pPr>
    <w:rPr>
      <w:rFonts w:eastAsia="Times New Roman"/>
    </w:rPr>
  </w:style>
  <w:style w:type="paragraph" w:customStyle="1" w:styleId="Participants">
    <w:name w:val="Participants"/>
    <w:basedOn w:val="Normal"/>
    <w:next w:val="Copies"/>
    <w:rsid w:val="00FB701A"/>
    <w:pPr>
      <w:tabs>
        <w:tab w:val="left" w:pos="2552"/>
        <w:tab w:val="left" w:pos="2835"/>
        <w:tab w:val="left" w:pos="5670"/>
        <w:tab w:val="left" w:pos="6379"/>
        <w:tab w:val="left" w:pos="6804"/>
      </w:tabs>
      <w:spacing w:before="480" w:after="0"/>
      <w:ind w:left="1985" w:hanging="1985"/>
      <w:jc w:val="left"/>
    </w:pPr>
    <w:rPr>
      <w:rFonts w:eastAsia="Times New Roman"/>
    </w:rPr>
  </w:style>
  <w:style w:type="paragraph" w:customStyle="1" w:styleId="Copies">
    <w:name w:val="Copies"/>
    <w:basedOn w:val="Normal"/>
    <w:next w:val="Normal"/>
    <w:rsid w:val="00FB701A"/>
    <w:pPr>
      <w:tabs>
        <w:tab w:val="left" w:pos="2552"/>
        <w:tab w:val="left" w:pos="2835"/>
        <w:tab w:val="left" w:pos="5670"/>
        <w:tab w:val="left" w:pos="6379"/>
        <w:tab w:val="left" w:pos="6804"/>
      </w:tabs>
      <w:spacing w:before="480" w:after="0"/>
      <w:ind w:left="1985" w:hanging="1985"/>
      <w:jc w:val="left"/>
    </w:pPr>
    <w:rPr>
      <w:rFonts w:eastAsia="Times New Roman"/>
    </w:rPr>
  </w:style>
  <w:style w:type="paragraph" w:styleId="CommentText">
    <w:name w:val="annotation text"/>
    <w:basedOn w:val="Normal"/>
    <w:link w:val="CommentTextChar"/>
    <w:rsid w:val="00FB701A"/>
    <w:pPr>
      <w:spacing w:before="0" w:after="240"/>
    </w:pPr>
    <w:rPr>
      <w:rFonts w:eastAsia="Times New Roman"/>
      <w:sz w:val="20"/>
    </w:rPr>
  </w:style>
  <w:style w:type="character" w:customStyle="1" w:styleId="CommentTextChar">
    <w:name w:val="Comment Text Char"/>
    <w:link w:val="CommentText"/>
    <w:rsid w:val="00FB701A"/>
    <w:rPr>
      <w:rFonts w:ascii="Times New Roman" w:eastAsia="Times New Roman" w:hAnsi="Times New Roman"/>
      <w:lang w:eastAsia="en-US"/>
    </w:rPr>
  </w:style>
  <w:style w:type="paragraph" w:styleId="Date">
    <w:name w:val="Date"/>
    <w:basedOn w:val="Normal"/>
    <w:next w:val="References"/>
    <w:link w:val="DateChar"/>
    <w:rsid w:val="00FB701A"/>
    <w:pPr>
      <w:spacing w:before="0" w:after="0"/>
      <w:ind w:left="5103" w:right="-567"/>
      <w:jc w:val="left"/>
    </w:pPr>
    <w:rPr>
      <w:rFonts w:eastAsia="Times New Roman"/>
    </w:rPr>
  </w:style>
  <w:style w:type="character" w:customStyle="1" w:styleId="DateChar">
    <w:name w:val="Date Char"/>
    <w:link w:val="Date"/>
    <w:rsid w:val="00FB701A"/>
    <w:rPr>
      <w:rFonts w:ascii="Times New Roman" w:eastAsia="Times New Roman" w:hAnsi="Times New Roman"/>
      <w:sz w:val="24"/>
      <w:lang w:eastAsia="en-US"/>
    </w:rPr>
  </w:style>
  <w:style w:type="paragraph" w:customStyle="1" w:styleId="References">
    <w:name w:val="References"/>
    <w:basedOn w:val="Normal"/>
    <w:next w:val="AddressTR"/>
    <w:rsid w:val="00FB701A"/>
    <w:pPr>
      <w:spacing w:before="0" w:after="240"/>
      <w:ind w:left="5103"/>
      <w:jc w:val="left"/>
    </w:pPr>
    <w:rPr>
      <w:rFonts w:eastAsia="Times New Roman"/>
      <w:sz w:val="20"/>
    </w:rPr>
  </w:style>
  <w:style w:type="paragraph" w:styleId="DocumentMap">
    <w:name w:val="Document Map"/>
    <w:basedOn w:val="Normal"/>
    <w:link w:val="DocumentMapChar"/>
    <w:semiHidden/>
    <w:rsid w:val="00FB701A"/>
    <w:pPr>
      <w:shd w:val="clear" w:color="auto" w:fill="000080"/>
      <w:spacing w:before="0" w:after="240"/>
    </w:pPr>
    <w:rPr>
      <w:rFonts w:ascii="Tahoma" w:eastAsia="Times New Roman" w:hAnsi="Tahoma"/>
    </w:rPr>
  </w:style>
  <w:style w:type="character" w:customStyle="1" w:styleId="DocumentMapChar">
    <w:name w:val="Document Map Char"/>
    <w:link w:val="DocumentMap"/>
    <w:semiHidden/>
    <w:rsid w:val="00FB701A"/>
    <w:rPr>
      <w:rFonts w:ascii="Tahoma" w:eastAsia="Times New Roman" w:hAnsi="Tahoma"/>
      <w:sz w:val="24"/>
      <w:shd w:val="clear" w:color="auto" w:fill="000080"/>
      <w:lang w:eastAsia="en-US"/>
    </w:rPr>
  </w:style>
  <w:style w:type="paragraph" w:customStyle="1" w:styleId="DoubSign">
    <w:name w:val="DoubSign"/>
    <w:basedOn w:val="Normal"/>
    <w:next w:val="Contact"/>
    <w:rsid w:val="00FB701A"/>
    <w:pPr>
      <w:tabs>
        <w:tab w:val="left" w:pos="5103"/>
      </w:tabs>
      <w:spacing w:before="1200" w:after="0"/>
      <w:jc w:val="left"/>
    </w:pPr>
    <w:rPr>
      <w:rFonts w:eastAsia="Times New Roman"/>
    </w:rPr>
  </w:style>
  <w:style w:type="paragraph" w:styleId="EndnoteText">
    <w:name w:val="endnote text"/>
    <w:basedOn w:val="Normal"/>
    <w:link w:val="EndnoteTextChar"/>
    <w:semiHidden/>
    <w:rsid w:val="00FB701A"/>
    <w:pPr>
      <w:spacing w:before="0" w:after="240"/>
    </w:pPr>
    <w:rPr>
      <w:rFonts w:eastAsia="Times New Roman"/>
      <w:sz w:val="20"/>
    </w:rPr>
  </w:style>
  <w:style w:type="character" w:customStyle="1" w:styleId="EndnoteTextChar">
    <w:name w:val="Endnote Text Char"/>
    <w:link w:val="EndnoteText"/>
    <w:semiHidden/>
    <w:rsid w:val="00FB701A"/>
    <w:rPr>
      <w:rFonts w:ascii="Times New Roman" w:eastAsia="Times New Roman" w:hAnsi="Times New Roman"/>
      <w:lang w:eastAsia="en-US"/>
    </w:rPr>
  </w:style>
  <w:style w:type="paragraph" w:styleId="EnvelopeAddress">
    <w:name w:val="envelope address"/>
    <w:basedOn w:val="Normal"/>
    <w:rsid w:val="00FB701A"/>
    <w:pPr>
      <w:framePr w:w="7920" w:h="1980" w:hRule="exact" w:hSpace="180" w:wrap="auto" w:hAnchor="page" w:xAlign="center" w:yAlign="bottom"/>
      <w:spacing w:before="0" w:after="0"/>
    </w:pPr>
    <w:rPr>
      <w:rFonts w:eastAsia="Times New Roman"/>
    </w:rPr>
  </w:style>
  <w:style w:type="paragraph" w:styleId="EnvelopeReturn">
    <w:name w:val="envelope return"/>
    <w:basedOn w:val="Normal"/>
    <w:rsid w:val="00FB701A"/>
    <w:pPr>
      <w:spacing w:before="0" w:after="0"/>
    </w:pPr>
    <w:rPr>
      <w:rFonts w:eastAsia="Times New Roman"/>
      <w:sz w:val="20"/>
    </w:rPr>
  </w:style>
  <w:style w:type="paragraph" w:styleId="Index1">
    <w:name w:val="index 1"/>
    <w:basedOn w:val="Normal"/>
    <w:next w:val="Normal"/>
    <w:autoRedefine/>
    <w:semiHidden/>
    <w:rsid w:val="00FB701A"/>
    <w:pPr>
      <w:spacing w:before="0" w:after="240"/>
      <w:ind w:left="240" w:hanging="240"/>
    </w:pPr>
    <w:rPr>
      <w:rFonts w:eastAsia="Times New Roman"/>
    </w:rPr>
  </w:style>
  <w:style w:type="paragraph" w:styleId="Index2">
    <w:name w:val="index 2"/>
    <w:basedOn w:val="Normal"/>
    <w:next w:val="Normal"/>
    <w:autoRedefine/>
    <w:semiHidden/>
    <w:rsid w:val="00FB701A"/>
    <w:pPr>
      <w:spacing w:before="0" w:after="240"/>
      <w:ind w:left="480" w:hanging="240"/>
    </w:pPr>
    <w:rPr>
      <w:rFonts w:eastAsia="Times New Roman"/>
    </w:rPr>
  </w:style>
  <w:style w:type="paragraph" w:styleId="Index3">
    <w:name w:val="index 3"/>
    <w:basedOn w:val="Normal"/>
    <w:next w:val="Normal"/>
    <w:autoRedefine/>
    <w:semiHidden/>
    <w:rsid w:val="00FB701A"/>
    <w:pPr>
      <w:spacing w:before="0" w:after="240"/>
      <w:ind w:left="720" w:hanging="240"/>
    </w:pPr>
    <w:rPr>
      <w:rFonts w:eastAsia="Times New Roman"/>
    </w:rPr>
  </w:style>
  <w:style w:type="paragraph" w:styleId="Index4">
    <w:name w:val="index 4"/>
    <w:basedOn w:val="Normal"/>
    <w:next w:val="Normal"/>
    <w:autoRedefine/>
    <w:semiHidden/>
    <w:rsid w:val="00FB701A"/>
    <w:pPr>
      <w:spacing w:before="0" w:after="240"/>
      <w:ind w:left="960" w:hanging="240"/>
    </w:pPr>
    <w:rPr>
      <w:rFonts w:eastAsia="Times New Roman"/>
    </w:rPr>
  </w:style>
  <w:style w:type="paragraph" w:styleId="Index5">
    <w:name w:val="index 5"/>
    <w:basedOn w:val="Normal"/>
    <w:next w:val="Normal"/>
    <w:autoRedefine/>
    <w:semiHidden/>
    <w:rsid w:val="00FB701A"/>
    <w:pPr>
      <w:spacing w:before="0" w:after="240"/>
      <w:ind w:left="1200" w:hanging="240"/>
    </w:pPr>
    <w:rPr>
      <w:rFonts w:eastAsia="Times New Roman"/>
    </w:rPr>
  </w:style>
  <w:style w:type="paragraph" w:styleId="Index6">
    <w:name w:val="index 6"/>
    <w:basedOn w:val="Normal"/>
    <w:next w:val="Normal"/>
    <w:autoRedefine/>
    <w:semiHidden/>
    <w:rsid w:val="00FB701A"/>
    <w:pPr>
      <w:spacing w:before="0" w:after="240"/>
      <w:ind w:left="1440" w:hanging="240"/>
    </w:pPr>
    <w:rPr>
      <w:rFonts w:eastAsia="Times New Roman"/>
    </w:rPr>
  </w:style>
  <w:style w:type="paragraph" w:styleId="Index7">
    <w:name w:val="index 7"/>
    <w:basedOn w:val="Normal"/>
    <w:next w:val="Normal"/>
    <w:autoRedefine/>
    <w:semiHidden/>
    <w:rsid w:val="00FB701A"/>
    <w:pPr>
      <w:spacing w:before="0" w:after="240"/>
      <w:ind w:left="1680" w:hanging="240"/>
    </w:pPr>
    <w:rPr>
      <w:rFonts w:eastAsia="Times New Roman"/>
    </w:rPr>
  </w:style>
  <w:style w:type="paragraph" w:styleId="Index8">
    <w:name w:val="index 8"/>
    <w:basedOn w:val="Normal"/>
    <w:next w:val="Normal"/>
    <w:autoRedefine/>
    <w:semiHidden/>
    <w:rsid w:val="00FB701A"/>
    <w:pPr>
      <w:spacing w:before="0" w:after="240"/>
      <w:ind w:left="1920" w:hanging="240"/>
    </w:pPr>
    <w:rPr>
      <w:rFonts w:eastAsia="Times New Roman"/>
    </w:rPr>
  </w:style>
  <w:style w:type="paragraph" w:styleId="Index9">
    <w:name w:val="index 9"/>
    <w:basedOn w:val="Normal"/>
    <w:next w:val="Normal"/>
    <w:autoRedefine/>
    <w:semiHidden/>
    <w:rsid w:val="00FB701A"/>
    <w:pPr>
      <w:spacing w:before="0" w:after="240"/>
      <w:ind w:left="2160" w:hanging="240"/>
    </w:pPr>
    <w:rPr>
      <w:rFonts w:eastAsia="Times New Roman"/>
    </w:rPr>
  </w:style>
  <w:style w:type="paragraph" w:styleId="IndexHeading">
    <w:name w:val="index heading"/>
    <w:basedOn w:val="Normal"/>
    <w:next w:val="Index1"/>
    <w:semiHidden/>
    <w:rsid w:val="00FB701A"/>
    <w:pPr>
      <w:spacing w:before="0" w:after="240"/>
    </w:pPr>
    <w:rPr>
      <w:rFonts w:ascii="Arial" w:eastAsia="Times New Roman" w:hAnsi="Arial"/>
      <w:b/>
    </w:rPr>
  </w:style>
  <w:style w:type="paragraph" w:styleId="List">
    <w:name w:val="List"/>
    <w:basedOn w:val="Normal"/>
    <w:rsid w:val="00FB701A"/>
    <w:pPr>
      <w:spacing w:before="0" w:after="240"/>
      <w:ind w:left="283" w:hanging="283"/>
    </w:pPr>
    <w:rPr>
      <w:rFonts w:eastAsia="Times New Roman"/>
    </w:rPr>
  </w:style>
  <w:style w:type="paragraph" w:styleId="List2">
    <w:name w:val="List 2"/>
    <w:basedOn w:val="Normal"/>
    <w:rsid w:val="00FB701A"/>
    <w:pPr>
      <w:spacing w:before="0" w:after="240"/>
      <w:ind w:left="566" w:hanging="283"/>
    </w:pPr>
    <w:rPr>
      <w:rFonts w:eastAsia="Times New Roman"/>
    </w:rPr>
  </w:style>
  <w:style w:type="paragraph" w:styleId="List3">
    <w:name w:val="List 3"/>
    <w:basedOn w:val="Normal"/>
    <w:rsid w:val="00FB701A"/>
    <w:pPr>
      <w:spacing w:before="0" w:after="240"/>
      <w:ind w:left="849" w:hanging="283"/>
    </w:pPr>
    <w:rPr>
      <w:rFonts w:eastAsia="Times New Roman"/>
    </w:rPr>
  </w:style>
  <w:style w:type="paragraph" w:styleId="List4">
    <w:name w:val="List 4"/>
    <w:basedOn w:val="Normal"/>
    <w:rsid w:val="00FB701A"/>
    <w:pPr>
      <w:spacing w:before="0" w:after="240"/>
      <w:ind w:left="1132" w:hanging="283"/>
    </w:pPr>
    <w:rPr>
      <w:rFonts w:eastAsia="Times New Roman"/>
    </w:rPr>
  </w:style>
  <w:style w:type="paragraph" w:styleId="List5">
    <w:name w:val="List 5"/>
    <w:basedOn w:val="Normal"/>
    <w:rsid w:val="00FB701A"/>
    <w:pPr>
      <w:spacing w:before="0" w:after="240"/>
      <w:ind w:left="1415" w:hanging="283"/>
    </w:pPr>
    <w:rPr>
      <w:rFonts w:eastAsia="Times New Roman"/>
    </w:rPr>
  </w:style>
  <w:style w:type="paragraph" w:styleId="ListBullet5">
    <w:name w:val="List Bullet 5"/>
    <w:basedOn w:val="Normal"/>
    <w:autoRedefine/>
    <w:rsid w:val="00FB701A"/>
    <w:pPr>
      <w:numPr>
        <w:numId w:val="5"/>
      </w:numPr>
      <w:spacing w:before="0" w:after="240"/>
    </w:pPr>
    <w:rPr>
      <w:rFonts w:eastAsia="Times New Roman"/>
    </w:rPr>
  </w:style>
  <w:style w:type="paragraph" w:styleId="ListContinue">
    <w:name w:val="List Continue"/>
    <w:basedOn w:val="Normal"/>
    <w:rsid w:val="00FB701A"/>
    <w:pPr>
      <w:spacing w:before="0"/>
      <w:ind w:left="283"/>
    </w:pPr>
    <w:rPr>
      <w:rFonts w:eastAsia="Times New Roman"/>
    </w:rPr>
  </w:style>
  <w:style w:type="paragraph" w:styleId="ListContinue2">
    <w:name w:val="List Continue 2"/>
    <w:basedOn w:val="Normal"/>
    <w:rsid w:val="00FB701A"/>
    <w:pPr>
      <w:spacing w:before="0"/>
      <w:ind w:left="566"/>
    </w:pPr>
    <w:rPr>
      <w:rFonts w:eastAsia="Times New Roman"/>
    </w:rPr>
  </w:style>
  <w:style w:type="paragraph" w:styleId="ListContinue3">
    <w:name w:val="List Continue 3"/>
    <w:basedOn w:val="Normal"/>
    <w:rsid w:val="00FB701A"/>
    <w:pPr>
      <w:spacing w:before="0"/>
      <w:ind w:left="849"/>
    </w:pPr>
    <w:rPr>
      <w:rFonts w:eastAsia="Times New Roman"/>
    </w:rPr>
  </w:style>
  <w:style w:type="paragraph" w:styleId="ListContinue4">
    <w:name w:val="List Continue 4"/>
    <w:basedOn w:val="Normal"/>
    <w:rsid w:val="00FB701A"/>
    <w:pPr>
      <w:spacing w:before="0"/>
      <w:ind w:left="1132"/>
    </w:pPr>
    <w:rPr>
      <w:rFonts w:eastAsia="Times New Roman"/>
    </w:rPr>
  </w:style>
  <w:style w:type="paragraph" w:styleId="ListContinue5">
    <w:name w:val="List Continue 5"/>
    <w:basedOn w:val="Normal"/>
    <w:rsid w:val="00FB701A"/>
    <w:pPr>
      <w:spacing w:before="0"/>
      <w:ind w:left="1415"/>
    </w:pPr>
    <w:rPr>
      <w:rFonts w:eastAsia="Times New Roman"/>
    </w:rPr>
  </w:style>
  <w:style w:type="paragraph" w:styleId="ListNumber">
    <w:name w:val="List Number"/>
    <w:basedOn w:val="Normal"/>
    <w:rsid w:val="00FB701A"/>
    <w:pPr>
      <w:numPr>
        <w:numId w:val="12"/>
      </w:numPr>
      <w:spacing w:before="0" w:after="240"/>
    </w:pPr>
    <w:rPr>
      <w:rFonts w:eastAsia="Times New Roman"/>
    </w:rPr>
  </w:style>
  <w:style w:type="paragraph" w:styleId="ListNumber2">
    <w:name w:val="List Number 2"/>
    <w:basedOn w:val="Text2"/>
    <w:rsid w:val="00FB701A"/>
    <w:pPr>
      <w:numPr>
        <w:numId w:val="14"/>
      </w:numPr>
      <w:spacing w:before="0" w:after="240"/>
    </w:pPr>
    <w:rPr>
      <w:rFonts w:eastAsia="Times New Roman"/>
    </w:rPr>
  </w:style>
  <w:style w:type="paragraph" w:styleId="ListNumber3">
    <w:name w:val="List Number 3"/>
    <w:basedOn w:val="Text3"/>
    <w:rsid w:val="00FB701A"/>
    <w:pPr>
      <w:numPr>
        <w:numId w:val="15"/>
      </w:numPr>
      <w:spacing w:before="0" w:after="240"/>
    </w:pPr>
    <w:rPr>
      <w:rFonts w:eastAsia="Times New Roman"/>
    </w:rPr>
  </w:style>
  <w:style w:type="paragraph" w:styleId="ListNumber4">
    <w:name w:val="List Number 4"/>
    <w:basedOn w:val="Text4"/>
    <w:rsid w:val="00FB701A"/>
    <w:pPr>
      <w:numPr>
        <w:numId w:val="16"/>
      </w:numPr>
      <w:spacing w:before="0" w:after="240"/>
    </w:pPr>
    <w:rPr>
      <w:rFonts w:eastAsia="Times New Roman"/>
    </w:rPr>
  </w:style>
  <w:style w:type="paragraph" w:styleId="ListNumber5">
    <w:name w:val="List Number 5"/>
    <w:basedOn w:val="Normal"/>
    <w:rsid w:val="00FB701A"/>
    <w:pPr>
      <w:numPr>
        <w:numId w:val="6"/>
      </w:numPr>
      <w:spacing w:before="0" w:after="240"/>
    </w:pPr>
    <w:rPr>
      <w:rFonts w:eastAsia="Times New Roman"/>
    </w:rPr>
  </w:style>
  <w:style w:type="paragraph" w:styleId="MacroText">
    <w:name w:val="macro"/>
    <w:link w:val="MacroTextChar"/>
    <w:semiHidden/>
    <w:rsid w:val="00FB701A"/>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lang w:eastAsia="en-US"/>
    </w:rPr>
  </w:style>
  <w:style w:type="character" w:customStyle="1" w:styleId="MacroTextChar">
    <w:name w:val="Macro Text Char"/>
    <w:link w:val="MacroText"/>
    <w:semiHidden/>
    <w:rsid w:val="00FB701A"/>
    <w:rPr>
      <w:rFonts w:ascii="Courier New" w:eastAsia="Times New Roman" w:hAnsi="Courier New"/>
      <w:lang w:eastAsia="en-US"/>
    </w:rPr>
  </w:style>
  <w:style w:type="paragraph" w:styleId="MessageHeader">
    <w:name w:val="Message Header"/>
    <w:basedOn w:val="Normal"/>
    <w:link w:val="MessageHeaderChar"/>
    <w:rsid w:val="00FB701A"/>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rPr>
  </w:style>
  <w:style w:type="character" w:customStyle="1" w:styleId="MessageHeaderChar">
    <w:name w:val="Message Header Char"/>
    <w:link w:val="MessageHeader"/>
    <w:rsid w:val="00FB701A"/>
    <w:rPr>
      <w:rFonts w:ascii="Arial" w:eastAsia="Times New Roman" w:hAnsi="Arial"/>
      <w:sz w:val="24"/>
      <w:shd w:val="pct20" w:color="auto" w:fill="auto"/>
      <w:lang w:eastAsia="en-US"/>
    </w:rPr>
  </w:style>
  <w:style w:type="paragraph" w:styleId="NormalIndent">
    <w:name w:val="Normal Indent"/>
    <w:basedOn w:val="Normal"/>
    <w:rsid w:val="00FB701A"/>
    <w:pPr>
      <w:spacing w:before="0" w:after="240"/>
      <w:ind w:left="720"/>
    </w:pPr>
    <w:rPr>
      <w:rFonts w:eastAsia="Times New Roman"/>
    </w:rPr>
  </w:style>
  <w:style w:type="paragraph" w:styleId="NoteHeading">
    <w:name w:val="Note Heading"/>
    <w:basedOn w:val="Normal"/>
    <w:next w:val="Normal"/>
    <w:link w:val="NoteHeadingChar"/>
    <w:rsid w:val="00FB701A"/>
    <w:pPr>
      <w:spacing w:before="0" w:after="240"/>
    </w:pPr>
    <w:rPr>
      <w:rFonts w:eastAsia="Times New Roman"/>
    </w:rPr>
  </w:style>
  <w:style w:type="character" w:customStyle="1" w:styleId="NoteHeadingChar">
    <w:name w:val="Note Heading Char"/>
    <w:link w:val="NoteHeading"/>
    <w:rsid w:val="00FB701A"/>
    <w:rPr>
      <w:rFonts w:ascii="Times New Roman" w:eastAsia="Times New Roman" w:hAnsi="Times New Roman"/>
      <w:sz w:val="24"/>
      <w:lang w:eastAsia="en-US"/>
    </w:rPr>
  </w:style>
  <w:style w:type="paragraph" w:customStyle="1" w:styleId="NoteHead">
    <w:name w:val="NoteHead"/>
    <w:basedOn w:val="Normal"/>
    <w:next w:val="Subject"/>
    <w:rsid w:val="00FB701A"/>
    <w:pPr>
      <w:spacing w:before="720" w:after="720"/>
      <w:jc w:val="center"/>
    </w:pPr>
    <w:rPr>
      <w:rFonts w:eastAsia="Times New Roman"/>
      <w:b/>
      <w:smallCaps/>
    </w:rPr>
  </w:style>
  <w:style w:type="paragraph" w:customStyle="1" w:styleId="Subject">
    <w:name w:val="Subject"/>
    <w:basedOn w:val="Normal"/>
    <w:next w:val="Normal"/>
    <w:rsid w:val="00FB701A"/>
    <w:pPr>
      <w:spacing w:before="0" w:after="480"/>
      <w:ind w:left="1531" w:hanging="1531"/>
      <w:jc w:val="left"/>
    </w:pPr>
    <w:rPr>
      <w:rFonts w:eastAsia="Times New Roman"/>
      <w:b/>
    </w:rPr>
  </w:style>
  <w:style w:type="paragraph" w:customStyle="1" w:styleId="NoteList">
    <w:name w:val="NoteList"/>
    <w:basedOn w:val="Normal"/>
    <w:next w:val="Subject"/>
    <w:rsid w:val="00FB701A"/>
    <w:pPr>
      <w:tabs>
        <w:tab w:val="left" w:pos="5823"/>
      </w:tabs>
      <w:spacing w:before="720" w:after="720"/>
      <w:ind w:left="5104" w:hanging="3119"/>
      <w:jc w:val="left"/>
    </w:pPr>
    <w:rPr>
      <w:rFonts w:eastAsia="Times New Roman"/>
      <w:b/>
      <w:smallCaps/>
    </w:rPr>
  </w:style>
  <w:style w:type="paragraph" w:styleId="PlainText">
    <w:name w:val="Plain Text"/>
    <w:basedOn w:val="Normal"/>
    <w:link w:val="PlainTextChar"/>
    <w:rsid w:val="00FB701A"/>
    <w:pPr>
      <w:spacing w:before="0" w:after="240"/>
    </w:pPr>
    <w:rPr>
      <w:rFonts w:ascii="Courier New" w:eastAsia="Times New Roman" w:hAnsi="Courier New"/>
      <w:sz w:val="20"/>
    </w:rPr>
  </w:style>
  <w:style w:type="character" w:customStyle="1" w:styleId="PlainTextChar">
    <w:name w:val="Plain Text Char"/>
    <w:link w:val="PlainText"/>
    <w:rsid w:val="00FB701A"/>
    <w:rPr>
      <w:rFonts w:ascii="Courier New" w:eastAsia="Times New Roman" w:hAnsi="Courier New"/>
      <w:lang w:eastAsia="en-US"/>
    </w:rPr>
  </w:style>
  <w:style w:type="paragraph" w:styleId="Salutation">
    <w:name w:val="Salutation"/>
    <w:basedOn w:val="Normal"/>
    <w:next w:val="Normal"/>
    <w:link w:val="SalutationChar"/>
    <w:rsid w:val="00FB701A"/>
    <w:pPr>
      <w:spacing w:before="0" w:after="240"/>
    </w:pPr>
    <w:rPr>
      <w:rFonts w:eastAsia="Times New Roman"/>
    </w:rPr>
  </w:style>
  <w:style w:type="character" w:customStyle="1" w:styleId="SalutationChar">
    <w:name w:val="Salutation Char"/>
    <w:link w:val="Salutation"/>
    <w:rsid w:val="00FB701A"/>
    <w:rPr>
      <w:rFonts w:ascii="Times New Roman" w:eastAsia="Times New Roman" w:hAnsi="Times New Roman"/>
      <w:sz w:val="24"/>
      <w:lang w:eastAsia="en-US"/>
    </w:rPr>
  </w:style>
  <w:style w:type="paragraph" w:styleId="Subtitle">
    <w:name w:val="Subtitle"/>
    <w:basedOn w:val="Normal"/>
    <w:link w:val="SubtitleChar"/>
    <w:qFormat/>
    <w:rsid w:val="00FB701A"/>
    <w:pPr>
      <w:spacing w:before="0" w:after="60"/>
      <w:jc w:val="center"/>
      <w:outlineLvl w:val="1"/>
    </w:pPr>
    <w:rPr>
      <w:rFonts w:ascii="Arial" w:eastAsia="Times New Roman" w:hAnsi="Arial"/>
    </w:rPr>
  </w:style>
  <w:style w:type="character" w:customStyle="1" w:styleId="SubtitleChar">
    <w:name w:val="Subtitle Char"/>
    <w:link w:val="Subtitle"/>
    <w:rsid w:val="00FB701A"/>
    <w:rPr>
      <w:rFonts w:ascii="Arial" w:eastAsia="Times New Roman" w:hAnsi="Arial"/>
      <w:sz w:val="24"/>
      <w:lang w:eastAsia="en-US"/>
    </w:rPr>
  </w:style>
  <w:style w:type="paragraph" w:styleId="TableofAuthorities">
    <w:name w:val="table of authorities"/>
    <w:basedOn w:val="Normal"/>
    <w:next w:val="Normal"/>
    <w:semiHidden/>
    <w:rsid w:val="00FB701A"/>
    <w:pPr>
      <w:spacing w:before="0" w:after="240"/>
      <w:ind w:left="240" w:hanging="240"/>
    </w:pPr>
    <w:rPr>
      <w:rFonts w:eastAsia="Times New Roman"/>
    </w:rPr>
  </w:style>
  <w:style w:type="paragraph" w:styleId="TableofFigures">
    <w:name w:val="table of figures"/>
    <w:basedOn w:val="Normal"/>
    <w:next w:val="Normal"/>
    <w:semiHidden/>
    <w:rsid w:val="00FB701A"/>
    <w:pPr>
      <w:spacing w:before="0" w:after="240"/>
      <w:ind w:left="480" w:hanging="480"/>
    </w:pPr>
    <w:rPr>
      <w:rFonts w:eastAsia="Times New Roman"/>
    </w:rPr>
  </w:style>
  <w:style w:type="paragraph" w:styleId="Title">
    <w:name w:val="Title"/>
    <w:basedOn w:val="Normal"/>
    <w:link w:val="TitleChar"/>
    <w:qFormat/>
    <w:rsid w:val="00FB701A"/>
    <w:pPr>
      <w:spacing w:before="240" w:after="60"/>
      <w:jc w:val="center"/>
      <w:outlineLvl w:val="0"/>
    </w:pPr>
    <w:rPr>
      <w:rFonts w:ascii="Arial" w:eastAsia="Times New Roman" w:hAnsi="Arial"/>
      <w:b/>
      <w:kern w:val="28"/>
      <w:sz w:val="32"/>
    </w:rPr>
  </w:style>
  <w:style w:type="character" w:customStyle="1" w:styleId="TitleChar">
    <w:name w:val="Title Char"/>
    <w:link w:val="Title"/>
    <w:rsid w:val="00FB701A"/>
    <w:rPr>
      <w:rFonts w:ascii="Arial" w:eastAsia="Times New Roman" w:hAnsi="Arial"/>
      <w:b/>
      <w:kern w:val="28"/>
      <w:sz w:val="32"/>
      <w:lang w:eastAsia="en-US"/>
    </w:rPr>
  </w:style>
  <w:style w:type="paragraph" w:styleId="TOAHeading">
    <w:name w:val="toa heading"/>
    <w:basedOn w:val="Normal"/>
    <w:next w:val="Normal"/>
    <w:semiHidden/>
    <w:rsid w:val="00FB701A"/>
    <w:pPr>
      <w:spacing w:after="240"/>
    </w:pPr>
    <w:rPr>
      <w:rFonts w:ascii="Arial" w:eastAsia="Times New Roman" w:hAnsi="Arial"/>
      <w:b/>
    </w:rPr>
  </w:style>
  <w:style w:type="paragraph" w:customStyle="1" w:styleId="YReferences">
    <w:name w:val="YReferences"/>
    <w:basedOn w:val="Normal"/>
    <w:next w:val="Normal"/>
    <w:rsid w:val="00FB701A"/>
    <w:pPr>
      <w:spacing w:before="0" w:after="480"/>
      <w:ind w:left="1531" w:hanging="1531"/>
    </w:pPr>
    <w:rPr>
      <w:rFonts w:eastAsia="Times New Roman"/>
    </w:rPr>
  </w:style>
  <w:style w:type="paragraph" w:customStyle="1" w:styleId="ListBullet1">
    <w:name w:val="List Bullet 1"/>
    <w:basedOn w:val="Text1"/>
    <w:rsid w:val="00FB701A"/>
    <w:pPr>
      <w:tabs>
        <w:tab w:val="num" w:pos="765"/>
      </w:tabs>
      <w:spacing w:before="0" w:after="240"/>
      <w:ind w:left="765" w:hanging="283"/>
    </w:pPr>
    <w:rPr>
      <w:rFonts w:eastAsia="Times New Roman"/>
    </w:rPr>
  </w:style>
  <w:style w:type="paragraph" w:customStyle="1" w:styleId="ListDash">
    <w:name w:val="List Dash"/>
    <w:basedOn w:val="Normal"/>
    <w:rsid w:val="00FB701A"/>
    <w:pPr>
      <w:numPr>
        <w:numId w:val="7"/>
      </w:numPr>
      <w:spacing w:before="0" w:after="240"/>
    </w:pPr>
    <w:rPr>
      <w:rFonts w:eastAsia="Times New Roman"/>
    </w:rPr>
  </w:style>
  <w:style w:type="paragraph" w:customStyle="1" w:styleId="ListDash1">
    <w:name w:val="List Dash 1"/>
    <w:basedOn w:val="Text1"/>
    <w:rsid w:val="00FB701A"/>
    <w:pPr>
      <w:numPr>
        <w:numId w:val="8"/>
      </w:numPr>
      <w:spacing w:before="0" w:after="240"/>
    </w:pPr>
    <w:rPr>
      <w:rFonts w:eastAsia="Times New Roman"/>
    </w:rPr>
  </w:style>
  <w:style w:type="paragraph" w:customStyle="1" w:styleId="ListDash2">
    <w:name w:val="List Dash 2"/>
    <w:basedOn w:val="Text2"/>
    <w:rsid w:val="00FB701A"/>
    <w:pPr>
      <w:numPr>
        <w:numId w:val="9"/>
      </w:numPr>
      <w:spacing w:before="0" w:after="240"/>
    </w:pPr>
    <w:rPr>
      <w:rFonts w:eastAsia="Times New Roman"/>
    </w:rPr>
  </w:style>
  <w:style w:type="paragraph" w:customStyle="1" w:styleId="ListDash3">
    <w:name w:val="List Dash 3"/>
    <w:basedOn w:val="Text3"/>
    <w:rsid w:val="00FB701A"/>
    <w:pPr>
      <w:numPr>
        <w:numId w:val="10"/>
      </w:numPr>
      <w:spacing w:before="0" w:after="240"/>
    </w:pPr>
    <w:rPr>
      <w:rFonts w:eastAsia="Times New Roman"/>
    </w:rPr>
  </w:style>
  <w:style w:type="paragraph" w:customStyle="1" w:styleId="ListDash4">
    <w:name w:val="List Dash 4"/>
    <w:basedOn w:val="Text4"/>
    <w:rsid w:val="00FB701A"/>
    <w:pPr>
      <w:numPr>
        <w:numId w:val="11"/>
      </w:numPr>
      <w:spacing w:before="0" w:after="240"/>
    </w:pPr>
    <w:rPr>
      <w:rFonts w:eastAsia="Times New Roman"/>
    </w:rPr>
  </w:style>
  <w:style w:type="paragraph" w:customStyle="1" w:styleId="ListNumberLevel2">
    <w:name w:val="List Number (Level 2)"/>
    <w:basedOn w:val="Normal"/>
    <w:rsid w:val="00FB701A"/>
    <w:pPr>
      <w:numPr>
        <w:ilvl w:val="1"/>
        <w:numId w:val="12"/>
      </w:numPr>
      <w:spacing w:before="0" w:after="240"/>
    </w:pPr>
    <w:rPr>
      <w:rFonts w:eastAsia="Times New Roman"/>
    </w:rPr>
  </w:style>
  <w:style w:type="paragraph" w:customStyle="1" w:styleId="ListNumberLevel3">
    <w:name w:val="List Number (Level 3)"/>
    <w:basedOn w:val="Normal"/>
    <w:rsid w:val="00FB701A"/>
    <w:pPr>
      <w:numPr>
        <w:ilvl w:val="2"/>
        <w:numId w:val="12"/>
      </w:numPr>
      <w:spacing w:before="0" w:after="240"/>
    </w:pPr>
    <w:rPr>
      <w:rFonts w:eastAsia="Times New Roman"/>
    </w:rPr>
  </w:style>
  <w:style w:type="paragraph" w:customStyle="1" w:styleId="ListNumberLevel4">
    <w:name w:val="List Number (Level 4)"/>
    <w:basedOn w:val="Normal"/>
    <w:rsid w:val="00FB701A"/>
    <w:pPr>
      <w:numPr>
        <w:ilvl w:val="3"/>
        <w:numId w:val="12"/>
      </w:numPr>
      <w:spacing w:before="0" w:after="240"/>
    </w:pPr>
    <w:rPr>
      <w:rFonts w:eastAsia="Times New Roman"/>
    </w:rPr>
  </w:style>
  <w:style w:type="paragraph" w:customStyle="1" w:styleId="ListNumber1">
    <w:name w:val="List Number 1"/>
    <w:basedOn w:val="Text1"/>
    <w:rsid w:val="00FB701A"/>
    <w:pPr>
      <w:numPr>
        <w:numId w:val="13"/>
      </w:numPr>
      <w:spacing w:before="0" w:after="240"/>
    </w:pPr>
    <w:rPr>
      <w:rFonts w:eastAsia="Times New Roman"/>
    </w:rPr>
  </w:style>
  <w:style w:type="paragraph" w:customStyle="1" w:styleId="ListNumber1Level2">
    <w:name w:val="List Number 1 (Level 2)"/>
    <w:basedOn w:val="Text1"/>
    <w:rsid w:val="00FB701A"/>
    <w:pPr>
      <w:numPr>
        <w:ilvl w:val="1"/>
        <w:numId w:val="13"/>
      </w:numPr>
      <w:spacing w:before="0" w:after="240"/>
    </w:pPr>
    <w:rPr>
      <w:rFonts w:eastAsia="Times New Roman"/>
    </w:rPr>
  </w:style>
  <w:style w:type="paragraph" w:customStyle="1" w:styleId="ListNumber1Level3">
    <w:name w:val="List Number 1 (Level 3)"/>
    <w:basedOn w:val="Text1"/>
    <w:rsid w:val="00FB701A"/>
    <w:pPr>
      <w:numPr>
        <w:ilvl w:val="2"/>
        <w:numId w:val="13"/>
      </w:numPr>
      <w:spacing w:before="0" w:after="240"/>
    </w:pPr>
    <w:rPr>
      <w:rFonts w:eastAsia="Times New Roman"/>
    </w:rPr>
  </w:style>
  <w:style w:type="paragraph" w:customStyle="1" w:styleId="ListNumber1Level4">
    <w:name w:val="List Number 1 (Level 4)"/>
    <w:basedOn w:val="Text1"/>
    <w:rsid w:val="00FB701A"/>
    <w:pPr>
      <w:numPr>
        <w:ilvl w:val="3"/>
        <w:numId w:val="13"/>
      </w:numPr>
      <w:spacing w:before="0" w:after="240"/>
    </w:pPr>
    <w:rPr>
      <w:rFonts w:eastAsia="Times New Roman"/>
    </w:rPr>
  </w:style>
  <w:style w:type="paragraph" w:customStyle="1" w:styleId="ListNumber2Level2">
    <w:name w:val="List Number 2 (Level 2)"/>
    <w:basedOn w:val="Text2"/>
    <w:rsid w:val="00FB701A"/>
    <w:pPr>
      <w:numPr>
        <w:ilvl w:val="1"/>
        <w:numId w:val="14"/>
      </w:numPr>
      <w:spacing w:before="0" w:after="240"/>
    </w:pPr>
    <w:rPr>
      <w:rFonts w:eastAsia="Times New Roman"/>
    </w:rPr>
  </w:style>
  <w:style w:type="paragraph" w:customStyle="1" w:styleId="ListNumber2Level3">
    <w:name w:val="List Number 2 (Level 3)"/>
    <w:basedOn w:val="Text2"/>
    <w:rsid w:val="00FB701A"/>
    <w:pPr>
      <w:numPr>
        <w:ilvl w:val="2"/>
        <w:numId w:val="14"/>
      </w:numPr>
      <w:spacing w:before="0" w:after="240"/>
    </w:pPr>
    <w:rPr>
      <w:rFonts w:eastAsia="Times New Roman"/>
    </w:rPr>
  </w:style>
  <w:style w:type="paragraph" w:customStyle="1" w:styleId="ListNumber2Level4">
    <w:name w:val="List Number 2 (Level 4)"/>
    <w:basedOn w:val="Text2"/>
    <w:rsid w:val="00FB701A"/>
    <w:pPr>
      <w:numPr>
        <w:ilvl w:val="3"/>
        <w:numId w:val="14"/>
      </w:numPr>
      <w:spacing w:before="0" w:after="240"/>
      <w:ind w:left="3901" w:hanging="703"/>
    </w:pPr>
    <w:rPr>
      <w:rFonts w:eastAsia="Times New Roman"/>
    </w:rPr>
  </w:style>
  <w:style w:type="paragraph" w:customStyle="1" w:styleId="ListNumber3Level2">
    <w:name w:val="List Number 3 (Level 2)"/>
    <w:basedOn w:val="Text3"/>
    <w:rsid w:val="00FB701A"/>
    <w:pPr>
      <w:numPr>
        <w:ilvl w:val="1"/>
        <w:numId w:val="15"/>
      </w:numPr>
      <w:spacing w:before="0" w:after="240"/>
    </w:pPr>
    <w:rPr>
      <w:rFonts w:eastAsia="Times New Roman"/>
    </w:rPr>
  </w:style>
  <w:style w:type="paragraph" w:customStyle="1" w:styleId="ListNumber3Level3">
    <w:name w:val="List Number 3 (Level 3)"/>
    <w:basedOn w:val="Text3"/>
    <w:rsid w:val="00FB701A"/>
    <w:pPr>
      <w:numPr>
        <w:ilvl w:val="2"/>
        <w:numId w:val="15"/>
      </w:numPr>
      <w:spacing w:before="0" w:after="240"/>
    </w:pPr>
    <w:rPr>
      <w:rFonts w:eastAsia="Times New Roman"/>
    </w:rPr>
  </w:style>
  <w:style w:type="paragraph" w:customStyle="1" w:styleId="ListNumber3Level4">
    <w:name w:val="List Number 3 (Level 4)"/>
    <w:basedOn w:val="Text3"/>
    <w:rsid w:val="00FB701A"/>
    <w:pPr>
      <w:numPr>
        <w:ilvl w:val="3"/>
        <w:numId w:val="15"/>
      </w:numPr>
      <w:spacing w:before="0" w:after="240"/>
    </w:pPr>
    <w:rPr>
      <w:rFonts w:eastAsia="Times New Roman"/>
    </w:rPr>
  </w:style>
  <w:style w:type="paragraph" w:customStyle="1" w:styleId="ListNumber4Level2">
    <w:name w:val="List Number 4 (Level 2)"/>
    <w:basedOn w:val="Text4"/>
    <w:rsid w:val="00FB701A"/>
    <w:pPr>
      <w:numPr>
        <w:ilvl w:val="1"/>
        <w:numId w:val="16"/>
      </w:numPr>
      <w:spacing w:before="0" w:after="240"/>
    </w:pPr>
    <w:rPr>
      <w:rFonts w:eastAsia="Times New Roman"/>
    </w:rPr>
  </w:style>
  <w:style w:type="paragraph" w:customStyle="1" w:styleId="ListNumber4Level3">
    <w:name w:val="List Number 4 (Level 3)"/>
    <w:basedOn w:val="Text4"/>
    <w:rsid w:val="00FB701A"/>
    <w:pPr>
      <w:numPr>
        <w:ilvl w:val="2"/>
        <w:numId w:val="16"/>
      </w:numPr>
      <w:spacing w:before="0" w:after="240"/>
    </w:pPr>
    <w:rPr>
      <w:rFonts w:eastAsia="Times New Roman"/>
    </w:rPr>
  </w:style>
  <w:style w:type="paragraph" w:customStyle="1" w:styleId="ListNumber4Level4">
    <w:name w:val="List Number 4 (Level 4)"/>
    <w:basedOn w:val="Text4"/>
    <w:rsid w:val="00FB701A"/>
    <w:pPr>
      <w:numPr>
        <w:ilvl w:val="3"/>
        <w:numId w:val="16"/>
      </w:numPr>
      <w:spacing w:before="0" w:after="240"/>
    </w:pPr>
    <w:rPr>
      <w:rFonts w:eastAsia="Times New Roman"/>
    </w:rPr>
  </w:style>
  <w:style w:type="paragraph" w:customStyle="1" w:styleId="Contact">
    <w:name w:val="Contact"/>
    <w:basedOn w:val="Normal"/>
    <w:next w:val="Enclosures"/>
    <w:rsid w:val="00FB701A"/>
    <w:pPr>
      <w:spacing w:before="480" w:after="0"/>
      <w:ind w:left="567" w:hanging="567"/>
      <w:jc w:val="left"/>
    </w:pPr>
    <w:rPr>
      <w:rFonts w:eastAsia="Times New Roman"/>
    </w:rPr>
  </w:style>
  <w:style w:type="paragraph" w:customStyle="1" w:styleId="DisclaimerNotice">
    <w:name w:val="Disclaimer Notice"/>
    <w:basedOn w:val="Normal"/>
    <w:next w:val="AddressTR"/>
    <w:rsid w:val="00FB701A"/>
    <w:pPr>
      <w:spacing w:before="0" w:after="240"/>
      <w:ind w:left="5103"/>
      <w:jc w:val="left"/>
    </w:pPr>
    <w:rPr>
      <w:rFonts w:eastAsia="Times New Roman"/>
      <w:i/>
      <w:sz w:val="20"/>
    </w:rPr>
  </w:style>
  <w:style w:type="paragraph" w:customStyle="1" w:styleId="Disclaimer">
    <w:name w:val="Disclaimer"/>
    <w:basedOn w:val="Normal"/>
    <w:rsid w:val="00FB701A"/>
    <w:pPr>
      <w:keepLines/>
      <w:pBdr>
        <w:top w:val="single" w:sz="4" w:space="1" w:color="auto"/>
      </w:pBdr>
      <w:spacing w:before="480" w:after="0"/>
    </w:pPr>
    <w:rPr>
      <w:rFonts w:eastAsia="Times New Roman"/>
      <w:i/>
    </w:rPr>
  </w:style>
  <w:style w:type="character" w:styleId="FollowedHyperlink">
    <w:name w:val="FollowedHyperlink"/>
    <w:rsid w:val="00FB701A"/>
    <w:rPr>
      <w:color w:val="800080"/>
      <w:u w:val="single"/>
    </w:rPr>
  </w:style>
  <w:style w:type="paragraph" w:customStyle="1" w:styleId="DisclaimerSJ">
    <w:name w:val="Disclaimer_SJ"/>
    <w:basedOn w:val="Normal"/>
    <w:next w:val="Normal"/>
    <w:rsid w:val="00FB701A"/>
    <w:pPr>
      <w:spacing w:before="0" w:after="0"/>
    </w:pPr>
    <w:rPr>
      <w:rFonts w:ascii="Arial" w:eastAsia="Times New Roman" w:hAnsi="Arial"/>
      <w:b/>
      <w:sz w:val="16"/>
    </w:rPr>
  </w:style>
  <w:style w:type="paragraph" w:styleId="NormalWeb">
    <w:name w:val="Normal (Web)"/>
    <w:basedOn w:val="Normal"/>
    <w:rsid w:val="00FB701A"/>
    <w:pPr>
      <w:suppressAutoHyphens/>
      <w:spacing w:before="100" w:after="100"/>
      <w:jc w:val="left"/>
    </w:pPr>
    <w:rPr>
      <w:rFonts w:eastAsia="Times New Roman"/>
      <w:szCs w:val="24"/>
      <w:lang w:eastAsia="ar-SA"/>
    </w:rPr>
  </w:style>
  <w:style w:type="character" w:customStyle="1" w:styleId="Text1Char">
    <w:name w:val="Text 1 Char"/>
    <w:link w:val="Text1"/>
    <w:locked/>
    <w:rsid w:val="00FB701A"/>
    <w:rPr>
      <w:rFonts w:ascii="Times New Roman" w:hAnsi="Times New Roman"/>
      <w:sz w:val="24"/>
      <w:szCs w:val="22"/>
      <w:lang w:eastAsia="en-US"/>
    </w:rPr>
  </w:style>
  <w:style w:type="table" w:styleId="TableGrid">
    <w:name w:val="Table Grid"/>
    <w:basedOn w:val="TableNormal"/>
    <w:rsid w:val="00FB70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nualNumPar1Char">
    <w:name w:val="Manual NumPar 1 Char"/>
    <w:link w:val="ManualNumPar1"/>
    <w:rsid w:val="00FB701A"/>
    <w:rPr>
      <w:rFonts w:ascii="Times New Roman" w:hAnsi="Times New Roman"/>
      <w:sz w:val="24"/>
      <w:szCs w:val="22"/>
      <w:lang w:eastAsia="en-US"/>
    </w:rPr>
  </w:style>
  <w:style w:type="character" w:styleId="PageNumber">
    <w:name w:val="page number"/>
    <w:rsid w:val="00FB701A"/>
  </w:style>
  <w:style w:type="paragraph" w:styleId="BalloonText">
    <w:name w:val="Balloon Text"/>
    <w:basedOn w:val="Normal"/>
    <w:link w:val="BalloonTextChar"/>
    <w:semiHidden/>
    <w:rsid w:val="00FB701A"/>
    <w:pPr>
      <w:spacing w:before="0" w:after="240"/>
    </w:pPr>
    <w:rPr>
      <w:rFonts w:ascii="Tahoma" w:eastAsia="Times New Roman" w:hAnsi="Tahoma" w:cs="Tahoma"/>
      <w:sz w:val="16"/>
      <w:szCs w:val="16"/>
    </w:rPr>
  </w:style>
  <w:style w:type="character" w:customStyle="1" w:styleId="BalloonTextChar">
    <w:name w:val="Balloon Text Char"/>
    <w:link w:val="BalloonText"/>
    <w:semiHidden/>
    <w:rsid w:val="00FB701A"/>
    <w:rPr>
      <w:rFonts w:ascii="Tahoma" w:eastAsia="Times New Roman" w:hAnsi="Tahoma" w:cs="Tahoma"/>
      <w:sz w:val="16"/>
      <w:szCs w:val="16"/>
      <w:lang w:eastAsia="en-US"/>
    </w:rPr>
  </w:style>
  <w:style w:type="paragraph" w:customStyle="1" w:styleId="StyleHeading3BoldNotItalic">
    <w:name w:val="Style Heading 3 + Bold Not Italic"/>
    <w:basedOn w:val="Heading3"/>
    <w:autoRedefine/>
    <w:rsid w:val="00FB701A"/>
    <w:pPr>
      <w:spacing w:before="0" w:after="240"/>
      <w:ind w:left="720" w:hanging="720"/>
    </w:pPr>
    <w:rPr>
      <w:rFonts w:ascii="Times New Roman Bold" w:hAnsi="Times New Roman Bold"/>
    </w:rPr>
  </w:style>
  <w:style w:type="character" w:styleId="CommentReference">
    <w:name w:val="annotation reference"/>
    <w:uiPriority w:val="99"/>
    <w:rsid w:val="00FB701A"/>
    <w:rPr>
      <w:sz w:val="16"/>
      <w:szCs w:val="16"/>
    </w:rPr>
  </w:style>
  <w:style w:type="paragraph" w:styleId="CommentSubject">
    <w:name w:val="annotation subject"/>
    <w:basedOn w:val="CommentText"/>
    <w:next w:val="CommentText"/>
    <w:link w:val="CommentSubjectChar"/>
    <w:semiHidden/>
    <w:rsid w:val="00FB701A"/>
    <w:rPr>
      <w:b/>
      <w:bCs/>
    </w:rPr>
  </w:style>
  <w:style w:type="character" w:customStyle="1" w:styleId="CommentSubjectChar">
    <w:name w:val="Comment Subject Char"/>
    <w:link w:val="CommentSubject"/>
    <w:semiHidden/>
    <w:rsid w:val="00FB701A"/>
    <w:rPr>
      <w:rFonts w:ascii="Times New Roman" w:eastAsia="Times New Roman" w:hAnsi="Times New Roman"/>
      <w:b/>
      <w:bCs/>
      <w:lang w:eastAsia="en-US"/>
    </w:rPr>
  </w:style>
  <w:style w:type="paragraph" w:customStyle="1" w:styleId="Annextitle">
    <w:name w:val="Annex title"/>
    <w:basedOn w:val="Normal"/>
    <w:autoRedefine/>
    <w:rsid w:val="00FB701A"/>
    <w:pPr>
      <w:spacing w:after="240"/>
      <w:jc w:val="left"/>
    </w:pPr>
    <w:rPr>
      <w:rFonts w:ascii="Times New Roman Bold" w:eastAsia="Times New Roman" w:hAnsi="Times New Roman Bold"/>
      <w:iCs/>
      <w:smallCaps/>
      <w:szCs w:val="24"/>
    </w:rPr>
  </w:style>
  <w:style w:type="paragraph" w:styleId="Revision">
    <w:name w:val="Revision"/>
    <w:hidden/>
    <w:uiPriority w:val="99"/>
    <w:semiHidden/>
    <w:rsid w:val="00FB701A"/>
    <w:rPr>
      <w:rFonts w:ascii="Times New Roman" w:eastAsia="Times New Roman" w:hAnsi="Times New Roman"/>
      <w:sz w:val="24"/>
      <w:lang w:eastAsia="en-US"/>
    </w:rPr>
  </w:style>
  <w:style w:type="character" w:styleId="EndnoteReference">
    <w:name w:val="endnote reference"/>
    <w:rsid w:val="00FB701A"/>
    <w:rPr>
      <w:vertAlign w:val="superscript"/>
    </w:rPr>
  </w:style>
  <w:style w:type="paragraph" w:styleId="ListParagraph">
    <w:name w:val="List Paragraph"/>
    <w:basedOn w:val="Normal"/>
    <w:link w:val="ListParagraphChar"/>
    <w:uiPriority w:val="34"/>
    <w:qFormat/>
    <w:rsid w:val="00FB701A"/>
    <w:pPr>
      <w:spacing w:before="0" w:after="240"/>
      <w:ind w:left="720"/>
    </w:pPr>
    <w:rPr>
      <w:rFonts w:eastAsia="Times New Roman"/>
    </w:rPr>
  </w:style>
  <w:style w:type="paragraph" w:customStyle="1" w:styleId="StyleHeading1Hanging085cm">
    <w:name w:val="Style Heading 1 + Hanging:  0.85 cm"/>
    <w:basedOn w:val="Heading1"/>
    <w:autoRedefine/>
    <w:rsid w:val="00FB701A"/>
    <w:pPr>
      <w:numPr>
        <w:numId w:val="0"/>
      </w:numPr>
      <w:spacing w:after="240"/>
    </w:pPr>
    <w:rPr>
      <w:bCs w:val="0"/>
      <w:szCs w:val="24"/>
    </w:rPr>
  </w:style>
  <w:style w:type="paragraph" w:customStyle="1" w:styleId="StyleHeading1Left0cm">
    <w:name w:val="Style Heading 1 + Left:  0 cm"/>
    <w:basedOn w:val="Heading1"/>
    <w:autoRedefine/>
    <w:rsid w:val="00FB701A"/>
    <w:pPr>
      <w:numPr>
        <w:numId w:val="18"/>
      </w:numPr>
      <w:spacing w:after="240"/>
    </w:pPr>
    <w:rPr>
      <w:rFonts w:ascii="Times New Roman Bold" w:hAnsi="Times New Roman Bold"/>
      <w:bCs w:val="0"/>
      <w:szCs w:val="24"/>
    </w:rPr>
  </w:style>
  <w:style w:type="character" w:customStyle="1" w:styleId="CharacterStyle2">
    <w:name w:val="Character Style 2"/>
    <w:uiPriority w:val="99"/>
    <w:rsid w:val="00FB701A"/>
    <w:rPr>
      <w:sz w:val="20"/>
      <w:szCs w:val="20"/>
    </w:rPr>
  </w:style>
  <w:style w:type="character" w:styleId="Hyperlink">
    <w:name w:val="Hyperlink"/>
    <w:uiPriority w:val="99"/>
    <w:unhideWhenUsed/>
    <w:rsid w:val="00481558"/>
    <w:rPr>
      <w:color w:val="0000FF"/>
      <w:u w:val="single"/>
    </w:rPr>
  </w:style>
  <w:style w:type="paragraph" w:styleId="Header">
    <w:name w:val="header"/>
    <w:basedOn w:val="Normal"/>
    <w:link w:val="HeaderChar"/>
    <w:uiPriority w:val="99"/>
    <w:unhideWhenUsed/>
    <w:rsid w:val="006A4BDD"/>
    <w:pPr>
      <w:tabs>
        <w:tab w:val="center" w:pos="4535"/>
        <w:tab w:val="right" w:pos="9071"/>
      </w:tabs>
      <w:spacing w:before="0"/>
    </w:pPr>
    <w:rPr>
      <w:rFonts w:eastAsiaTheme="minorHAnsi"/>
      <w:szCs w:val="22"/>
      <w:lang w:eastAsia="en-US"/>
    </w:rPr>
  </w:style>
  <w:style w:type="character" w:customStyle="1" w:styleId="HeaderChar">
    <w:name w:val="Header Char"/>
    <w:basedOn w:val="DefaultParagraphFont"/>
    <w:link w:val="Header"/>
    <w:uiPriority w:val="99"/>
    <w:rsid w:val="006A4BDD"/>
    <w:rPr>
      <w:rFonts w:ascii="Times New Roman" w:eastAsiaTheme="minorHAnsi" w:hAnsi="Times New Roman"/>
      <w:sz w:val="24"/>
      <w:szCs w:val="22"/>
      <w:lang w:eastAsia="en-US"/>
    </w:rPr>
  </w:style>
  <w:style w:type="paragraph" w:styleId="Footer">
    <w:name w:val="footer"/>
    <w:basedOn w:val="Normal"/>
    <w:link w:val="FooterChar"/>
    <w:uiPriority w:val="99"/>
    <w:unhideWhenUsed/>
    <w:rsid w:val="0075503A"/>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sid w:val="0075503A"/>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5503A"/>
    <w:pPr>
      <w:spacing w:before="0" w:after="0"/>
      <w:ind w:left="720" w:hanging="720"/>
    </w:pPr>
    <w:rPr>
      <w:sz w:val="20"/>
    </w:rPr>
  </w:style>
  <w:style w:type="character" w:customStyle="1" w:styleId="FootnoteTextChar">
    <w:name w:val="Footnote Text Char"/>
    <w:link w:val="FootnoteText"/>
    <w:uiPriority w:val="99"/>
    <w:semiHidden/>
    <w:rsid w:val="0075503A"/>
    <w:rPr>
      <w:rFonts w:ascii="Times New Roman" w:hAnsi="Times New Roman" w:cs="Times New Roman"/>
      <w:sz w:val="20"/>
      <w:szCs w:val="20"/>
      <w:shd w:val="clear" w:color="auto" w:fill="auto"/>
      <w:lang w:val="en-GB"/>
    </w:rPr>
  </w:style>
  <w:style w:type="character" w:customStyle="1" w:styleId="Heading1Char">
    <w:name w:val="Heading 1 Char"/>
    <w:link w:val="Heading1"/>
    <w:uiPriority w:val="9"/>
    <w:rsid w:val="0075503A"/>
    <w:rPr>
      <w:rFonts w:ascii="Times New Roman" w:eastAsia="Times New Roman" w:hAnsi="Times New Roman"/>
      <w:b/>
      <w:bCs/>
      <w:smallCaps/>
      <w:sz w:val="24"/>
      <w:szCs w:val="28"/>
    </w:rPr>
  </w:style>
  <w:style w:type="character" w:customStyle="1" w:styleId="Heading2Char">
    <w:name w:val="Heading 2 Char"/>
    <w:link w:val="Heading2"/>
    <w:uiPriority w:val="9"/>
    <w:rsid w:val="0075503A"/>
    <w:rPr>
      <w:rFonts w:ascii="Times New Roman" w:eastAsia="Times New Roman" w:hAnsi="Times New Roman"/>
      <w:b/>
      <w:bCs/>
      <w:sz w:val="24"/>
      <w:szCs w:val="26"/>
    </w:rPr>
  </w:style>
  <w:style w:type="character" w:customStyle="1" w:styleId="Heading3Char">
    <w:name w:val="Heading 3 Char"/>
    <w:link w:val="Heading3"/>
    <w:uiPriority w:val="9"/>
    <w:rsid w:val="0075503A"/>
    <w:rPr>
      <w:rFonts w:ascii="Times New Roman" w:eastAsia="Times New Roman" w:hAnsi="Times New Roman"/>
      <w:bCs/>
      <w:i/>
      <w:sz w:val="24"/>
    </w:rPr>
  </w:style>
  <w:style w:type="character" w:customStyle="1" w:styleId="Heading4Char">
    <w:name w:val="Heading 4 Char"/>
    <w:link w:val="Heading4"/>
    <w:uiPriority w:val="9"/>
    <w:rsid w:val="0075503A"/>
    <w:rPr>
      <w:rFonts w:ascii="Times New Roman" w:eastAsia="Times New Roman" w:hAnsi="Times New Roman"/>
      <w:bCs/>
      <w:iCs/>
      <w:sz w:val="24"/>
    </w:rPr>
  </w:style>
  <w:style w:type="paragraph" w:styleId="TOCHeading">
    <w:name w:val="TOC Heading"/>
    <w:basedOn w:val="Normal"/>
    <w:next w:val="Normal"/>
    <w:uiPriority w:val="39"/>
    <w:semiHidden/>
    <w:unhideWhenUsed/>
    <w:qFormat/>
    <w:rsid w:val="0075503A"/>
    <w:pPr>
      <w:spacing w:after="240"/>
      <w:jc w:val="center"/>
    </w:pPr>
    <w:rPr>
      <w:b/>
      <w:sz w:val="28"/>
    </w:rPr>
  </w:style>
  <w:style w:type="paragraph" w:styleId="TOC1">
    <w:name w:val="toc 1"/>
    <w:basedOn w:val="Normal"/>
    <w:next w:val="Normal"/>
    <w:uiPriority w:val="39"/>
    <w:unhideWhenUsed/>
    <w:rsid w:val="0075503A"/>
    <w:pPr>
      <w:tabs>
        <w:tab w:val="right" w:leader="dot" w:pos="9071"/>
      </w:tabs>
      <w:spacing w:before="60"/>
      <w:ind w:left="850" w:hanging="850"/>
      <w:jc w:val="left"/>
    </w:pPr>
  </w:style>
  <w:style w:type="paragraph" w:styleId="TOC2">
    <w:name w:val="toc 2"/>
    <w:basedOn w:val="Normal"/>
    <w:next w:val="Normal"/>
    <w:uiPriority w:val="39"/>
    <w:unhideWhenUsed/>
    <w:rsid w:val="0075503A"/>
    <w:pPr>
      <w:tabs>
        <w:tab w:val="right" w:leader="dot" w:pos="9071"/>
      </w:tabs>
      <w:spacing w:before="60"/>
      <w:ind w:left="850" w:hanging="850"/>
      <w:jc w:val="left"/>
    </w:pPr>
  </w:style>
  <w:style w:type="paragraph" w:styleId="TOC3">
    <w:name w:val="toc 3"/>
    <w:basedOn w:val="Normal"/>
    <w:next w:val="Normal"/>
    <w:uiPriority w:val="39"/>
    <w:unhideWhenUsed/>
    <w:rsid w:val="0075503A"/>
    <w:pPr>
      <w:tabs>
        <w:tab w:val="right" w:leader="dot" w:pos="9071"/>
      </w:tabs>
      <w:spacing w:before="60"/>
      <w:ind w:left="850" w:hanging="850"/>
      <w:jc w:val="left"/>
    </w:pPr>
  </w:style>
  <w:style w:type="paragraph" w:styleId="TOC4">
    <w:name w:val="toc 4"/>
    <w:basedOn w:val="Normal"/>
    <w:next w:val="Normal"/>
    <w:uiPriority w:val="39"/>
    <w:semiHidden/>
    <w:unhideWhenUsed/>
    <w:rsid w:val="0075503A"/>
    <w:pPr>
      <w:tabs>
        <w:tab w:val="right" w:leader="dot" w:pos="9071"/>
      </w:tabs>
      <w:spacing w:before="60"/>
      <w:ind w:left="850" w:hanging="850"/>
      <w:jc w:val="left"/>
    </w:pPr>
  </w:style>
  <w:style w:type="paragraph" w:styleId="TOC5">
    <w:name w:val="toc 5"/>
    <w:basedOn w:val="Normal"/>
    <w:next w:val="Normal"/>
    <w:uiPriority w:val="39"/>
    <w:semiHidden/>
    <w:unhideWhenUsed/>
    <w:rsid w:val="0075503A"/>
    <w:pPr>
      <w:tabs>
        <w:tab w:val="right" w:leader="dot" w:pos="9071"/>
      </w:tabs>
      <w:spacing w:before="300"/>
      <w:jc w:val="left"/>
    </w:pPr>
  </w:style>
  <w:style w:type="paragraph" w:styleId="TOC6">
    <w:name w:val="toc 6"/>
    <w:basedOn w:val="Normal"/>
    <w:next w:val="Normal"/>
    <w:uiPriority w:val="39"/>
    <w:semiHidden/>
    <w:unhideWhenUsed/>
    <w:rsid w:val="0075503A"/>
    <w:pPr>
      <w:tabs>
        <w:tab w:val="right" w:leader="dot" w:pos="9071"/>
      </w:tabs>
      <w:spacing w:before="240"/>
      <w:jc w:val="left"/>
    </w:pPr>
  </w:style>
  <w:style w:type="paragraph" w:styleId="TOC7">
    <w:name w:val="toc 7"/>
    <w:basedOn w:val="Normal"/>
    <w:next w:val="Normal"/>
    <w:uiPriority w:val="39"/>
    <w:semiHidden/>
    <w:unhideWhenUsed/>
    <w:rsid w:val="0075503A"/>
    <w:pPr>
      <w:tabs>
        <w:tab w:val="right" w:leader="dot" w:pos="9071"/>
      </w:tabs>
      <w:spacing w:before="180"/>
      <w:jc w:val="left"/>
    </w:pPr>
  </w:style>
  <w:style w:type="paragraph" w:styleId="TOC8">
    <w:name w:val="toc 8"/>
    <w:basedOn w:val="Normal"/>
    <w:next w:val="Normal"/>
    <w:uiPriority w:val="39"/>
    <w:semiHidden/>
    <w:unhideWhenUsed/>
    <w:rsid w:val="0075503A"/>
    <w:pPr>
      <w:tabs>
        <w:tab w:val="right" w:leader="dot" w:pos="9071"/>
      </w:tabs>
      <w:jc w:val="left"/>
    </w:pPr>
  </w:style>
  <w:style w:type="paragraph" w:styleId="TOC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6A4BDD"/>
    <w:pPr>
      <w:tabs>
        <w:tab w:val="center" w:pos="7285"/>
        <w:tab w:val="right" w:pos="14003"/>
      </w:tabs>
      <w:spacing w:before="0"/>
    </w:pPr>
    <w:rPr>
      <w:rFonts w:eastAsiaTheme="minorHAnsi"/>
      <w:szCs w:val="22"/>
      <w:lang w:eastAsia="en-US"/>
    </w:r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unhideWhenUsed/>
    <w:rsid w:val="0075503A"/>
    <w:rPr>
      <w:shd w:val="clear" w:color="auto" w:fill="auto"/>
      <w:vertAlign w:val="superscript"/>
    </w:rPr>
  </w:style>
  <w:style w:type="paragraph" w:customStyle="1" w:styleId="Text1">
    <w:name w:val="Text 1"/>
    <w:basedOn w:val="Normal"/>
    <w:link w:val="Text1Char"/>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20"/>
      </w:numPr>
    </w:pPr>
  </w:style>
  <w:style w:type="paragraph" w:customStyle="1" w:styleId="Tiret1">
    <w:name w:val="Tiret 1"/>
    <w:basedOn w:val="Point1"/>
    <w:rsid w:val="0075503A"/>
    <w:pPr>
      <w:numPr>
        <w:numId w:val="21"/>
      </w:numPr>
    </w:pPr>
  </w:style>
  <w:style w:type="paragraph" w:customStyle="1" w:styleId="Tiret2">
    <w:name w:val="Tiret 2"/>
    <w:basedOn w:val="Point2"/>
    <w:rsid w:val="0075503A"/>
    <w:pPr>
      <w:numPr>
        <w:numId w:val="22"/>
      </w:numPr>
    </w:pPr>
  </w:style>
  <w:style w:type="paragraph" w:customStyle="1" w:styleId="Tiret3">
    <w:name w:val="Tiret 3"/>
    <w:basedOn w:val="Point3"/>
    <w:rsid w:val="0075503A"/>
    <w:pPr>
      <w:numPr>
        <w:numId w:val="23"/>
      </w:numPr>
    </w:pPr>
  </w:style>
  <w:style w:type="paragraph" w:customStyle="1" w:styleId="Tiret4">
    <w:name w:val="Tiret 4"/>
    <w:basedOn w:val="Point4"/>
    <w:rsid w:val="0075503A"/>
    <w:pPr>
      <w:numPr>
        <w:numId w:val="24"/>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25"/>
      </w:numPr>
    </w:pPr>
  </w:style>
  <w:style w:type="paragraph" w:customStyle="1" w:styleId="NumPar2">
    <w:name w:val="NumPar 2"/>
    <w:basedOn w:val="Normal"/>
    <w:next w:val="Text1"/>
    <w:rsid w:val="0075503A"/>
    <w:pPr>
      <w:numPr>
        <w:ilvl w:val="1"/>
        <w:numId w:val="25"/>
      </w:numPr>
    </w:pPr>
  </w:style>
  <w:style w:type="paragraph" w:customStyle="1" w:styleId="NumPar3">
    <w:name w:val="NumPar 3"/>
    <w:basedOn w:val="Normal"/>
    <w:next w:val="Text1"/>
    <w:rsid w:val="0075503A"/>
    <w:pPr>
      <w:numPr>
        <w:ilvl w:val="2"/>
        <w:numId w:val="25"/>
      </w:numPr>
    </w:pPr>
  </w:style>
  <w:style w:type="paragraph" w:customStyle="1" w:styleId="NumPar4">
    <w:name w:val="NumPar 4"/>
    <w:basedOn w:val="Normal"/>
    <w:next w:val="Text1"/>
    <w:rsid w:val="0075503A"/>
    <w:pPr>
      <w:numPr>
        <w:ilvl w:val="3"/>
        <w:numId w:val="25"/>
      </w:numPr>
    </w:pPr>
  </w:style>
  <w:style w:type="paragraph" w:customStyle="1" w:styleId="ManualNumPar1">
    <w:name w:val="Manual NumPar 1"/>
    <w:basedOn w:val="Normal"/>
    <w:next w:val="Text1"/>
    <w:link w:val="ManualNumPar1Char"/>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Heading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Normal"/>
    <w:rsid w:val="0075503A"/>
    <w:pPr>
      <w:numPr>
        <w:numId w:val="27"/>
      </w:numPr>
    </w:pPr>
  </w:style>
  <w:style w:type="paragraph" w:customStyle="1" w:styleId="Point1number">
    <w:name w:val="Point 1 (number)"/>
    <w:basedOn w:val="Normal"/>
    <w:rsid w:val="0075503A"/>
    <w:pPr>
      <w:numPr>
        <w:ilvl w:val="2"/>
        <w:numId w:val="27"/>
      </w:numPr>
    </w:pPr>
  </w:style>
  <w:style w:type="paragraph" w:customStyle="1" w:styleId="Point2number">
    <w:name w:val="Point 2 (number)"/>
    <w:basedOn w:val="Normal"/>
    <w:rsid w:val="0075503A"/>
    <w:pPr>
      <w:numPr>
        <w:ilvl w:val="4"/>
        <w:numId w:val="27"/>
      </w:numPr>
    </w:pPr>
  </w:style>
  <w:style w:type="paragraph" w:customStyle="1" w:styleId="Point3number">
    <w:name w:val="Point 3 (number)"/>
    <w:basedOn w:val="Normal"/>
    <w:rsid w:val="0075503A"/>
    <w:pPr>
      <w:numPr>
        <w:ilvl w:val="6"/>
        <w:numId w:val="27"/>
      </w:numPr>
    </w:pPr>
  </w:style>
  <w:style w:type="paragraph" w:customStyle="1" w:styleId="Point0letter">
    <w:name w:val="Point 0 (letter)"/>
    <w:basedOn w:val="Normal"/>
    <w:rsid w:val="0075503A"/>
    <w:pPr>
      <w:numPr>
        <w:ilvl w:val="1"/>
        <w:numId w:val="27"/>
      </w:numPr>
    </w:pPr>
  </w:style>
  <w:style w:type="paragraph" w:customStyle="1" w:styleId="Point1letter">
    <w:name w:val="Point 1 (letter)"/>
    <w:basedOn w:val="Normal"/>
    <w:rsid w:val="0075503A"/>
    <w:pPr>
      <w:numPr>
        <w:ilvl w:val="3"/>
        <w:numId w:val="27"/>
      </w:numPr>
    </w:pPr>
  </w:style>
  <w:style w:type="paragraph" w:customStyle="1" w:styleId="Point2letter">
    <w:name w:val="Point 2 (letter)"/>
    <w:basedOn w:val="Normal"/>
    <w:rsid w:val="0075503A"/>
    <w:pPr>
      <w:numPr>
        <w:ilvl w:val="5"/>
        <w:numId w:val="27"/>
      </w:numPr>
    </w:pPr>
  </w:style>
  <w:style w:type="paragraph" w:customStyle="1" w:styleId="Point3letter">
    <w:name w:val="Point 3 (letter)"/>
    <w:basedOn w:val="Normal"/>
    <w:rsid w:val="0075503A"/>
    <w:pPr>
      <w:numPr>
        <w:ilvl w:val="7"/>
        <w:numId w:val="27"/>
      </w:numPr>
    </w:pPr>
  </w:style>
  <w:style w:type="paragraph" w:customStyle="1" w:styleId="Point4letter">
    <w:name w:val="Point 4 (letter)"/>
    <w:basedOn w:val="Normal"/>
    <w:rsid w:val="0075503A"/>
    <w:pPr>
      <w:numPr>
        <w:ilvl w:val="8"/>
        <w:numId w:val="27"/>
      </w:numPr>
    </w:pPr>
  </w:style>
  <w:style w:type="paragraph" w:customStyle="1" w:styleId="Bullet0">
    <w:name w:val="Bullet 0"/>
    <w:basedOn w:val="Normal"/>
    <w:rsid w:val="0075503A"/>
    <w:pPr>
      <w:numPr>
        <w:numId w:val="28"/>
      </w:numPr>
    </w:pPr>
  </w:style>
  <w:style w:type="paragraph" w:customStyle="1" w:styleId="Bullet1">
    <w:name w:val="Bullet 1"/>
    <w:basedOn w:val="Normal"/>
    <w:rsid w:val="0075503A"/>
    <w:pPr>
      <w:numPr>
        <w:numId w:val="29"/>
      </w:numPr>
    </w:pPr>
  </w:style>
  <w:style w:type="paragraph" w:customStyle="1" w:styleId="Bullet2">
    <w:name w:val="Bullet 2"/>
    <w:basedOn w:val="Normal"/>
    <w:rsid w:val="0075503A"/>
    <w:pPr>
      <w:numPr>
        <w:numId w:val="30"/>
      </w:numPr>
    </w:pPr>
  </w:style>
  <w:style w:type="paragraph" w:customStyle="1" w:styleId="Bullet3">
    <w:name w:val="Bullet 3"/>
    <w:basedOn w:val="Normal"/>
    <w:rsid w:val="0075503A"/>
    <w:pPr>
      <w:numPr>
        <w:numId w:val="31"/>
      </w:numPr>
    </w:pPr>
  </w:style>
  <w:style w:type="paragraph" w:customStyle="1" w:styleId="Bullet4">
    <w:name w:val="Bullet 4"/>
    <w:basedOn w:val="Normal"/>
    <w:rsid w:val="0075503A"/>
    <w:pPr>
      <w:numPr>
        <w:numId w:val="32"/>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uiPriority w:val="99"/>
    <w:rsid w:val="0075503A"/>
    <w:pPr>
      <w:numPr>
        <w:numId w:val="33"/>
      </w:numPr>
    </w:pPr>
  </w:style>
  <w:style w:type="paragraph" w:customStyle="1" w:styleId="Corrigendum">
    <w:name w:val="Corrigendum"/>
    <w:basedOn w:val="Normal"/>
    <w:next w:val="Normal"/>
    <w:rsid w:val="0075503A"/>
    <w:pPr>
      <w:spacing w:before="0"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before="0"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before="0"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before="0" w:after="0"/>
      <w:jc w:val="left"/>
    </w:pPr>
    <w:rPr>
      <w:i/>
    </w:rPr>
  </w:style>
  <w:style w:type="paragraph" w:customStyle="1" w:styleId="Rfrenceinstitutionnelle">
    <w:name w:val="Référence institutionnelle"/>
    <w:basedOn w:val="Normal"/>
    <w:next w:val="Confidentialit"/>
    <w:rsid w:val="0075503A"/>
    <w:pPr>
      <w:spacing w:before="0" w:after="240"/>
      <w:ind w:left="5103"/>
      <w:jc w:val="left"/>
    </w:pPr>
  </w:style>
  <w:style w:type="paragraph" w:customStyle="1" w:styleId="Rfrenceinterinstitutionnelle">
    <w:name w:val="Référence interinstitutionnelle"/>
    <w:basedOn w:val="Normal"/>
    <w:next w:val="Statut"/>
    <w:rsid w:val="0075503A"/>
    <w:pPr>
      <w:spacing w:before="0" w:after="0"/>
      <w:ind w:left="5103"/>
      <w:jc w:val="left"/>
    </w:pPr>
  </w:style>
  <w:style w:type="paragraph" w:customStyle="1" w:styleId="Rfrenceinterne">
    <w:name w:val="Référence interne"/>
    <w:basedOn w:val="Normal"/>
    <w:next w:val="Rfrenceinterinstitutionnelle"/>
    <w:rsid w:val="0075503A"/>
    <w:pPr>
      <w:spacing w:before="0" w:after="0"/>
      <w:ind w:left="5103"/>
      <w:jc w:val="left"/>
    </w:pPr>
  </w:style>
  <w:style w:type="paragraph" w:customStyle="1" w:styleId="Sous-titreobjet">
    <w:name w:val="Sous-titre objet"/>
    <w:basedOn w:val="Normal"/>
    <w:rsid w:val="0075503A"/>
    <w:pPr>
      <w:spacing w:before="0"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before="0" w:after="0"/>
    </w:pPr>
  </w:style>
  <w:style w:type="paragraph" w:customStyle="1" w:styleId="Supertitre">
    <w:name w:val="Supertitre"/>
    <w:basedOn w:val="Normal"/>
    <w:next w:val="Normal"/>
    <w:rsid w:val="0075503A"/>
    <w:pPr>
      <w:spacing w:before="0"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before="0"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before="0"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before="0" w:after="240"/>
      <w:jc w:val="center"/>
    </w:pPr>
    <w:rPr>
      <w:b/>
    </w:rPr>
  </w:style>
  <w:style w:type="paragraph" w:customStyle="1" w:styleId="Objetacteprincipal">
    <w:name w:val="Objet acte principal"/>
    <w:basedOn w:val="Normal"/>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 w:type="paragraph" w:styleId="NoSpacing">
    <w:name w:val="No Spacing"/>
    <w:link w:val="NoSpacingChar"/>
    <w:uiPriority w:val="1"/>
    <w:qFormat/>
    <w:rsid w:val="00BA642B"/>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BA642B"/>
    <w:rPr>
      <w:rFonts w:asciiTheme="minorHAnsi" w:eastAsiaTheme="minorEastAsia" w:hAnsiTheme="minorHAnsi" w:cstheme="minorBidi"/>
      <w:sz w:val="22"/>
      <w:szCs w:val="22"/>
      <w:lang w:val="en-US" w:eastAsia="ja-JP"/>
    </w:rPr>
  </w:style>
  <w:style w:type="paragraph" w:customStyle="1" w:styleId="7C1ACB1844B645AE9187B20DABB10BEE">
    <w:name w:val="7C1ACB1844B645AE9187B20DABB10BEE"/>
    <w:rsid w:val="00BA642B"/>
    <w:pPr>
      <w:spacing w:after="200" w:line="276" w:lineRule="auto"/>
    </w:pPr>
    <w:rPr>
      <w:rFonts w:asciiTheme="minorHAnsi" w:eastAsiaTheme="minorEastAsia" w:hAnsiTheme="minorHAnsi" w:cstheme="minorBidi"/>
      <w:sz w:val="22"/>
      <w:szCs w:val="22"/>
      <w:lang w:val="en-US" w:eastAsia="ja-JP"/>
    </w:rPr>
  </w:style>
  <w:style w:type="paragraph" w:customStyle="1" w:styleId="Tekstkader">
    <w:name w:val="Tekstkader"/>
    <w:basedOn w:val="Normal"/>
    <w:rsid w:val="00381B5E"/>
    <w:pPr>
      <w:pBdr>
        <w:left w:val="single" w:sz="4" w:space="4" w:color="006487"/>
      </w:pBdr>
      <w:suppressAutoHyphens/>
      <w:overflowPunct w:val="0"/>
      <w:autoSpaceDE w:val="0"/>
      <w:autoSpaceDN w:val="0"/>
      <w:adjustRightInd w:val="0"/>
      <w:spacing w:before="0" w:after="0" w:line="280" w:lineRule="exact"/>
      <w:ind w:left="113"/>
      <w:textAlignment w:val="baseline"/>
    </w:pPr>
    <w:rPr>
      <w:rFonts w:ascii="Frutiger Roman" w:eastAsia="Times New Roman" w:hAnsi="Frutiger Roman"/>
      <w:color w:val="006487"/>
      <w:sz w:val="16"/>
      <w:lang w:eastAsia="nl-NL"/>
    </w:rPr>
  </w:style>
  <w:style w:type="character" w:customStyle="1" w:styleId="ListParagraphChar">
    <w:name w:val="List Paragraph Char"/>
    <w:link w:val="ListParagraph"/>
    <w:locked/>
    <w:rsid w:val="0071696D"/>
    <w:rPr>
      <w:rFonts w:ascii="Times New Roman" w:eastAsia="Times New Roman" w:hAnsi="Times New Roman"/>
      <w:sz w:val="24"/>
    </w:rPr>
  </w:style>
  <w:style w:type="paragraph" w:customStyle="1" w:styleId="Default">
    <w:name w:val="Default"/>
    <w:rsid w:val="008605D2"/>
    <w:pPr>
      <w:autoSpaceDE w:val="0"/>
      <w:autoSpaceDN w:val="0"/>
      <w:adjustRightInd w:val="0"/>
    </w:pPr>
    <w:rPr>
      <w:rFonts w:ascii="Times New Roman" w:hAnsi="Times New Roman"/>
      <w:color w:val="000000"/>
      <w:sz w:val="24"/>
      <w:szCs w:val="24"/>
      <w:lang w:val="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en-GB" w:bidi="bg-BG"/>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footnote reference" w:uiPriority="99"/>
    <w:lsdException w:name="annotation reference" w:uiPriority="99"/>
    <w:lsdException w:name="line number" w:uiPriority="99"/>
    <w:lsdException w:name="Title" w:semiHidden="0" w:unhideWhenUsed="0" w:qFormat="1"/>
    <w:lsdException w:name="Signature" w:uiPriority="99"/>
    <w:lsdException w:name="Default Paragraph Font" w:uiPriority="1"/>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E-mail Signature" w:uiPriority="99"/>
    <w:lsdException w:name="HTML Top of Form" w:uiPriority="99"/>
    <w:lsdException w:name="HTML Bottom of Form"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18F"/>
    <w:pPr>
      <w:spacing w:before="120" w:after="120"/>
      <w:jc w:val="both"/>
    </w:pPr>
    <w:rPr>
      <w:rFonts w:ascii="Times New Roman" w:hAnsi="Times New Roman"/>
      <w:sz w:val="24"/>
    </w:rPr>
  </w:style>
  <w:style w:type="paragraph" w:styleId="Heading1">
    <w:name w:val="heading 1"/>
    <w:basedOn w:val="Normal"/>
    <w:next w:val="Text1"/>
    <w:link w:val="Heading1Char"/>
    <w:uiPriority w:val="9"/>
    <w:qFormat/>
    <w:rsid w:val="0075503A"/>
    <w:pPr>
      <w:keepNext/>
      <w:numPr>
        <w:numId w:val="26"/>
      </w:numPr>
      <w:spacing w:before="360"/>
      <w:outlineLvl w:val="0"/>
    </w:pPr>
    <w:rPr>
      <w:rFonts w:eastAsia="Times New Roman"/>
      <w:b/>
      <w:bCs/>
      <w:smallCaps/>
      <w:szCs w:val="28"/>
    </w:rPr>
  </w:style>
  <w:style w:type="paragraph" w:styleId="Heading2">
    <w:name w:val="heading 2"/>
    <w:basedOn w:val="Normal"/>
    <w:next w:val="Text1"/>
    <w:link w:val="Heading2Char"/>
    <w:uiPriority w:val="9"/>
    <w:unhideWhenUsed/>
    <w:qFormat/>
    <w:rsid w:val="0075503A"/>
    <w:pPr>
      <w:keepNext/>
      <w:numPr>
        <w:ilvl w:val="1"/>
        <w:numId w:val="26"/>
      </w:numPr>
      <w:outlineLvl w:val="1"/>
    </w:pPr>
    <w:rPr>
      <w:rFonts w:eastAsia="Times New Roman"/>
      <w:b/>
      <w:bCs/>
      <w:szCs w:val="26"/>
    </w:rPr>
  </w:style>
  <w:style w:type="paragraph" w:styleId="Heading3">
    <w:name w:val="heading 3"/>
    <w:basedOn w:val="Normal"/>
    <w:next w:val="Text1"/>
    <w:link w:val="Heading3Char"/>
    <w:uiPriority w:val="9"/>
    <w:unhideWhenUsed/>
    <w:qFormat/>
    <w:rsid w:val="0075503A"/>
    <w:pPr>
      <w:keepNext/>
      <w:numPr>
        <w:ilvl w:val="2"/>
        <w:numId w:val="26"/>
      </w:numPr>
      <w:outlineLvl w:val="2"/>
    </w:pPr>
    <w:rPr>
      <w:rFonts w:eastAsia="Times New Roman"/>
      <w:bCs/>
      <w:i/>
    </w:rPr>
  </w:style>
  <w:style w:type="paragraph" w:styleId="Heading4">
    <w:name w:val="heading 4"/>
    <w:basedOn w:val="Normal"/>
    <w:next w:val="Text1"/>
    <w:link w:val="Heading4Char"/>
    <w:uiPriority w:val="9"/>
    <w:unhideWhenUsed/>
    <w:qFormat/>
    <w:rsid w:val="0075503A"/>
    <w:pPr>
      <w:keepNext/>
      <w:numPr>
        <w:ilvl w:val="3"/>
        <w:numId w:val="26"/>
      </w:numPr>
      <w:outlineLvl w:val="3"/>
    </w:pPr>
    <w:rPr>
      <w:rFonts w:eastAsia="Times New Roman"/>
      <w:bCs/>
      <w:iCs/>
    </w:rPr>
  </w:style>
  <w:style w:type="paragraph" w:styleId="Heading5">
    <w:name w:val="heading 5"/>
    <w:basedOn w:val="Normal"/>
    <w:next w:val="Normal"/>
    <w:link w:val="Heading5Char"/>
    <w:qFormat/>
    <w:rsid w:val="00FB701A"/>
    <w:pPr>
      <w:spacing w:before="240" w:after="60"/>
      <w:ind w:left="1008" w:hanging="1008"/>
      <w:outlineLvl w:val="4"/>
    </w:pPr>
    <w:rPr>
      <w:rFonts w:ascii="Arial" w:eastAsia="Times New Roman" w:hAnsi="Arial"/>
      <w:sz w:val="22"/>
    </w:rPr>
  </w:style>
  <w:style w:type="paragraph" w:styleId="Heading6">
    <w:name w:val="heading 6"/>
    <w:basedOn w:val="Normal"/>
    <w:next w:val="Normal"/>
    <w:link w:val="Heading6Char"/>
    <w:qFormat/>
    <w:rsid w:val="00FB701A"/>
    <w:pPr>
      <w:spacing w:before="240" w:after="60"/>
      <w:ind w:left="1152" w:hanging="1152"/>
      <w:outlineLvl w:val="5"/>
    </w:pPr>
    <w:rPr>
      <w:rFonts w:ascii="Arial" w:eastAsia="Times New Roman" w:hAnsi="Arial"/>
      <w:i/>
      <w:sz w:val="22"/>
    </w:rPr>
  </w:style>
  <w:style w:type="paragraph" w:styleId="Heading7">
    <w:name w:val="heading 7"/>
    <w:basedOn w:val="Normal"/>
    <w:next w:val="Normal"/>
    <w:link w:val="Heading7Char"/>
    <w:qFormat/>
    <w:rsid w:val="00FB701A"/>
    <w:pPr>
      <w:spacing w:before="240" w:after="60"/>
      <w:ind w:left="1296" w:hanging="1296"/>
      <w:outlineLvl w:val="6"/>
    </w:pPr>
    <w:rPr>
      <w:rFonts w:ascii="Arial" w:eastAsia="Times New Roman" w:hAnsi="Arial"/>
      <w:sz w:val="20"/>
    </w:rPr>
  </w:style>
  <w:style w:type="paragraph" w:styleId="Heading8">
    <w:name w:val="heading 8"/>
    <w:basedOn w:val="Normal"/>
    <w:next w:val="Normal"/>
    <w:link w:val="Heading8Char"/>
    <w:qFormat/>
    <w:rsid w:val="00FB701A"/>
    <w:pPr>
      <w:spacing w:before="240" w:after="60"/>
      <w:ind w:left="1440" w:hanging="1440"/>
      <w:outlineLvl w:val="7"/>
    </w:pPr>
    <w:rPr>
      <w:rFonts w:ascii="Arial" w:eastAsia="Times New Roman" w:hAnsi="Arial"/>
      <w:i/>
      <w:sz w:val="20"/>
    </w:rPr>
  </w:style>
  <w:style w:type="paragraph" w:styleId="Heading9">
    <w:name w:val="heading 9"/>
    <w:basedOn w:val="Normal"/>
    <w:next w:val="Normal"/>
    <w:link w:val="Heading9Char"/>
    <w:qFormat/>
    <w:rsid w:val="00FB701A"/>
    <w:pPr>
      <w:spacing w:before="240" w:after="60"/>
      <w:ind w:left="1584" w:hanging="1584"/>
      <w:outlineLvl w:val="8"/>
    </w:pPr>
    <w:rPr>
      <w:rFonts w:ascii="Arial" w:eastAsia="Times New Roman"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rsid w:val="00796970"/>
    <w:pPr>
      <w:numPr>
        <w:numId w:val="1"/>
      </w:numPr>
      <w:contextualSpacing/>
    </w:pPr>
  </w:style>
  <w:style w:type="paragraph" w:styleId="ListBullet2">
    <w:name w:val="List Bullet 2"/>
    <w:basedOn w:val="Normal"/>
    <w:unhideWhenUsed/>
    <w:rsid w:val="00796970"/>
    <w:pPr>
      <w:numPr>
        <w:numId w:val="2"/>
      </w:numPr>
      <w:contextualSpacing/>
    </w:pPr>
  </w:style>
  <w:style w:type="paragraph" w:styleId="ListBullet3">
    <w:name w:val="List Bullet 3"/>
    <w:basedOn w:val="Normal"/>
    <w:unhideWhenUsed/>
    <w:rsid w:val="00796970"/>
    <w:pPr>
      <w:numPr>
        <w:numId w:val="3"/>
      </w:numPr>
      <w:contextualSpacing/>
    </w:pPr>
  </w:style>
  <w:style w:type="paragraph" w:styleId="ListBullet4">
    <w:name w:val="List Bullet 4"/>
    <w:basedOn w:val="Normal"/>
    <w:unhideWhenUsed/>
    <w:rsid w:val="00796970"/>
    <w:pPr>
      <w:numPr>
        <w:numId w:val="4"/>
      </w:numPr>
      <w:contextualSpacing/>
    </w:pPr>
  </w:style>
  <w:style w:type="character" w:customStyle="1" w:styleId="Heading5Char">
    <w:name w:val="Heading 5 Char"/>
    <w:link w:val="Heading5"/>
    <w:rsid w:val="00FB701A"/>
    <w:rPr>
      <w:rFonts w:ascii="Arial" w:eastAsia="Times New Roman" w:hAnsi="Arial"/>
      <w:sz w:val="22"/>
      <w:lang w:eastAsia="en-US"/>
    </w:rPr>
  </w:style>
  <w:style w:type="character" w:customStyle="1" w:styleId="Heading6Char">
    <w:name w:val="Heading 6 Char"/>
    <w:link w:val="Heading6"/>
    <w:rsid w:val="00FB701A"/>
    <w:rPr>
      <w:rFonts w:ascii="Arial" w:eastAsia="Times New Roman" w:hAnsi="Arial"/>
      <w:i/>
      <w:sz w:val="22"/>
      <w:lang w:eastAsia="en-US"/>
    </w:rPr>
  </w:style>
  <w:style w:type="character" w:customStyle="1" w:styleId="Heading7Char">
    <w:name w:val="Heading 7 Char"/>
    <w:link w:val="Heading7"/>
    <w:rsid w:val="00FB701A"/>
    <w:rPr>
      <w:rFonts w:ascii="Arial" w:eastAsia="Times New Roman" w:hAnsi="Arial"/>
      <w:lang w:eastAsia="en-US"/>
    </w:rPr>
  </w:style>
  <w:style w:type="character" w:customStyle="1" w:styleId="Heading8Char">
    <w:name w:val="Heading 8 Char"/>
    <w:link w:val="Heading8"/>
    <w:rsid w:val="00FB701A"/>
    <w:rPr>
      <w:rFonts w:ascii="Arial" w:eastAsia="Times New Roman" w:hAnsi="Arial"/>
      <w:i/>
      <w:lang w:eastAsia="en-US"/>
    </w:rPr>
  </w:style>
  <w:style w:type="character" w:customStyle="1" w:styleId="Heading9Char">
    <w:name w:val="Heading 9 Char"/>
    <w:link w:val="Heading9"/>
    <w:rsid w:val="00FB701A"/>
    <w:rPr>
      <w:rFonts w:ascii="Arial" w:eastAsia="Times New Roman" w:hAnsi="Arial"/>
      <w:i/>
      <w:sz w:val="18"/>
      <w:lang w:eastAsia="en-US"/>
    </w:rPr>
  </w:style>
  <w:style w:type="numbering" w:customStyle="1" w:styleId="NoList1">
    <w:name w:val="No List1"/>
    <w:next w:val="NoList"/>
    <w:uiPriority w:val="99"/>
    <w:semiHidden/>
    <w:unhideWhenUsed/>
    <w:rsid w:val="00FB701A"/>
  </w:style>
  <w:style w:type="paragraph" w:customStyle="1" w:styleId="AddressTL">
    <w:name w:val="AddressTL"/>
    <w:basedOn w:val="Normal"/>
    <w:next w:val="Normal"/>
    <w:rsid w:val="00FB701A"/>
    <w:pPr>
      <w:spacing w:before="0" w:after="720"/>
      <w:jc w:val="left"/>
    </w:pPr>
    <w:rPr>
      <w:rFonts w:eastAsia="Times New Roman"/>
    </w:rPr>
  </w:style>
  <w:style w:type="paragraph" w:customStyle="1" w:styleId="AddressTR">
    <w:name w:val="AddressTR"/>
    <w:basedOn w:val="Normal"/>
    <w:next w:val="Normal"/>
    <w:rsid w:val="00FB701A"/>
    <w:pPr>
      <w:spacing w:before="0" w:after="720"/>
      <w:ind w:left="5103"/>
      <w:jc w:val="left"/>
    </w:pPr>
    <w:rPr>
      <w:rFonts w:eastAsia="Times New Roman"/>
    </w:rPr>
  </w:style>
  <w:style w:type="paragraph" w:styleId="BlockText">
    <w:name w:val="Block Text"/>
    <w:basedOn w:val="Normal"/>
    <w:rsid w:val="00FB701A"/>
    <w:pPr>
      <w:spacing w:before="0"/>
      <w:ind w:left="1440" w:right="1440"/>
    </w:pPr>
    <w:rPr>
      <w:rFonts w:eastAsia="Times New Roman"/>
    </w:rPr>
  </w:style>
  <w:style w:type="paragraph" w:styleId="BodyText">
    <w:name w:val="Body Text"/>
    <w:basedOn w:val="Normal"/>
    <w:link w:val="BodyTextChar"/>
    <w:rsid w:val="00FB701A"/>
    <w:pPr>
      <w:spacing w:before="0"/>
    </w:pPr>
    <w:rPr>
      <w:rFonts w:eastAsia="Times New Roman"/>
    </w:rPr>
  </w:style>
  <w:style w:type="character" w:customStyle="1" w:styleId="BodyTextChar">
    <w:name w:val="Body Text Char"/>
    <w:link w:val="BodyText"/>
    <w:rsid w:val="00FB701A"/>
    <w:rPr>
      <w:rFonts w:ascii="Times New Roman" w:eastAsia="Times New Roman" w:hAnsi="Times New Roman"/>
      <w:sz w:val="24"/>
      <w:lang w:eastAsia="en-US"/>
    </w:rPr>
  </w:style>
  <w:style w:type="paragraph" w:styleId="BodyText2">
    <w:name w:val="Body Text 2"/>
    <w:basedOn w:val="Normal"/>
    <w:link w:val="BodyText2Char"/>
    <w:rsid w:val="00FB701A"/>
    <w:pPr>
      <w:spacing w:before="0" w:line="480" w:lineRule="auto"/>
    </w:pPr>
    <w:rPr>
      <w:rFonts w:eastAsia="Times New Roman"/>
    </w:rPr>
  </w:style>
  <w:style w:type="character" w:customStyle="1" w:styleId="BodyText2Char">
    <w:name w:val="Body Text 2 Char"/>
    <w:link w:val="BodyText2"/>
    <w:rsid w:val="00FB701A"/>
    <w:rPr>
      <w:rFonts w:ascii="Times New Roman" w:eastAsia="Times New Roman" w:hAnsi="Times New Roman"/>
      <w:sz w:val="24"/>
      <w:lang w:eastAsia="en-US"/>
    </w:rPr>
  </w:style>
  <w:style w:type="paragraph" w:styleId="BodyText3">
    <w:name w:val="Body Text 3"/>
    <w:basedOn w:val="Normal"/>
    <w:link w:val="BodyText3Char"/>
    <w:rsid w:val="00FB701A"/>
    <w:pPr>
      <w:spacing w:before="0"/>
    </w:pPr>
    <w:rPr>
      <w:rFonts w:eastAsia="Times New Roman"/>
      <w:sz w:val="16"/>
    </w:rPr>
  </w:style>
  <w:style w:type="character" w:customStyle="1" w:styleId="BodyText3Char">
    <w:name w:val="Body Text 3 Char"/>
    <w:link w:val="BodyText3"/>
    <w:rsid w:val="00FB701A"/>
    <w:rPr>
      <w:rFonts w:ascii="Times New Roman" w:eastAsia="Times New Roman" w:hAnsi="Times New Roman"/>
      <w:sz w:val="16"/>
      <w:lang w:eastAsia="en-US"/>
    </w:rPr>
  </w:style>
  <w:style w:type="paragraph" w:styleId="BodyTextFirstIndent">
    <w:name w:val="Body Text First Indent"/>
    <w:basedOn w:val="BodyText"/>
    <w:link w:val="BodyTextFirstIndentChar"/>
    <w:rsid w:val="00FB701A"/>
    <w:pPr>
      <w:ind w:firstLine="210"/>
    </w:pPr>
  </w:style>
  <w:style w:type="character" w:customStyle="1" w:styleId="BodyTextFirstIndentChar">
    <w:name w:val="Body Text First Indent Char"/>
    <w:link w:val="BodyTextFirstIndent"/>
    <w:rsid w:val="00FB701A"/>
    <w:rPr>
      <w:rFonts w:ascii="Times New Roman" w:eastAsia="Times New Roman" w:hAnsi="Times New Roman"/>
      <w:sz w:val="24"/>
      <w:lang w:eastAsia="en-US"/>
    </w:rPr>
  </w:style>
  <w:style w:type="paragraph" w:styleId="BodyTextIndent">
    <w:name w:val="Body Text Indent"/>
    <w:basedOn w:val="Normal"/>
    <w:link w:val="BodyTextIndentChar"/>
    <w:rsid w:val="00FB701A"/>
    <w:pPr>
      <w:spacing w:before="0"/>
      <w:ind w:left="283"/>
    </w:pPr>
    <w:rPr>
      <w:rFonts w:eastAsia="Times New Roman"/>
    </w:rPr>
  </w:style>
  <w:style w:type="character" w:customStyle="1" w:styleId="BodyTextIndentChar">
    <w:name w:val="Body Text Indent Char"/>
    <w:link w:val="BodyTextIndent"/>
    <w:rsid w:val="00FB701A"/>
    <w:rPr>
      <w:rFonts w:ascii="Times New Roman" w:eastAsia="Times New Roman" w:hAnsi="Times New Roman"/>
      <w:sz w:val="24"/>
      <w:lang w:eastAsia="en-US"/>
    </w:rPr>
  </w:style>
  <w:style w:type="paragraph" w:styleId="BodyTextFirstIndent2">
    <w:name w:val="Body Text First Indent 2"/>
    <w:basedOn w:val="BodyTextIndent"/>
    <w:link w:val="BodyTextFirstIndent2Char"/>
    <w:rsid w:val="00FB701A"/>
    <w:pPr>
      <w:ind w:firstLine="210"/>
    </w:pPr>
  </w:style>
  <w:style w:type="character" w:customStyle="1" w:styleId="BodyTextFirstIndent2Char">
    <w:name w:val="Body Text First Indent 2 Char"/>
    <w:link w:val="BodyTextFirstIndent2"/>
    <w:rsid w:val="00FB701A"/>
    <w:rPr>
      <w:rFonts w:ascii="Times New Roman" w:eastAsia="Times New Roman" w:hAnsi="Times New Roman"/>
      <w:sz w:val="24"/>
      <w:lang w:eastAsia="en-US"/>
    </w:rPr>
  </w:style>
  <w:style w:type="paragraph" w:styleId="BodyTextIndent2">
    <w:name w:val="Body Text Indent 2"/>
    <w:basedOn w:val="Normal"/>
    <w:link w:val="BodyTextIndent2Char"/>
    <w:rsid w:val="00FB701A"/>
    <w:pPr>
      <w:spacing w:before="0" w:line="480" w:lineRule="auto"/>
      <w:ind w:left="283"/>
    </w:pPr>
    <w:rPr>
      <w:rFonts w:eastAsia="Times New Roman"/>
    </w:rPr>
  </w:style>
  <w:style w:type="character" w:customStyle="1" w:styleId="BodyTextIndent2Char">
    <w:name w:val="Body Text Indent 2 Char"/>
    <w:link w:val="BodyTextIndent2"/>
    <w:rsid w:val="00FB701A"/>
    <w:rPr>
      <w:rFonts w:ascii="Times New Roman" w:eastAsia="Times New Roman" w:hAnsi="Times New Roman"/>
      <w:sz w:val="24"/>
      <w:lang w:eastAsia="en-US"/>
    </w:rPr>
  </w:style>
  <w:style w:type="paragraph" w:styleId="BodyTextIndent3">
    <w:name w:val="Body Text Indent 3"/>
    <w:basedOn w:val="Normal"/>
    <w:link w:val="BodyTextIndent3Char"/>
    <w:rsid w:val="00FB701A"/>
    <w:pPr>
      <w:spacing w:before="0"/>
      <w:ind w:left="283"/>
    </w:pPr>
    <w:rPr>
      <w:rFonts w:eastAsia="Times New Roman"/>
      <w:sz w:val="16"/>
    </w:rPr>
  </w:style>
  <w:style w:type="character" w:customStyle="1" w:styleId="BodyTextIndent3Char">
    <w:name w:val="Body Text Indent 3 Char"/>
    <w:link w:val="BodyTextIndent3"/>
    <w:rsid w:val="00FB701A"/>
    <w:rPr>
      <w:rFonts w:ascii="Times New Roman" w:eastAsia="Times New Roman" w:hAnsi="Times New Roman"/>
      <w:sz w:val="16"/>
      <w:lang w:eastAsia="en-US"/>
    </w:rPr>
  </w:style>
  <w:style w:type="paragraph" w:styleId="Caption">
    <w:name w:val="caption"/>
    <w:basedOn w:val="Normal"/>
    <w:next w:val="Normal"/>
    <w:qFormat/>
    <w:rsid w:val="00FB701A"/>
    <w:rPr>
      <w:rFonts w:eastAsia="Times New Roman"/>
      <w:b/>
    </w:rPr>
  </w:style>
  <w:style w:type="paragraph" w:styleId="Closing">
    <w:name w:val="Closing"/>
    <w:basedOn w:val="Normal"/>
    <w:next w:val="Signature"/>
    <w:link w:val="ClosingChar"/>
    <w:rsid w:val="00FB701A"/>
    <w:pPr>
      <w:tabs>
        <w:tab w:val="left" w:pos="5103"/>
      </w:tabs>
      <w:spacing w:before="240" w:after="240"/>
      <w:ind w:left="5103"/>
      <w:jc w:val="left"/>
    </w:pPr>
    <w:rPr>
      <w:rFonts w:eastAsia="Times New Roman"/>
    </w:rPr>
  </w:style>
  <w:style w:type="character" w:customStyle="1" w:styleId="ClosingChar">
    <w:name w:val="Closing Char"/>
    <w:link w:val="Closing"/>
    <w:rsid w:val="00FB701A"/>
    <w:rPr>
      <w:rFonts w:ascii="Times New Roman" w:eastAsia="Times New Roman" w:hAnsi="Times New Roman"/>
      <w:sz w:val="24"/>
      <w:lang w:eastAsia="en-US"/>
    </w:rPr>
  </w:style>
  <w:style w:type="paragraph" w:styleId="Signature">
    <w:name w:val="Signature"/>
    <w:basedOn w:val="Normal"/>
    <w:next w:val="Contact"/>
    <w:link w:val="SignatureChar"/>
    <w:uiPriority w:val="99"/>
    <w:rsid w:val="00FB701A"/>
    <w:pPr>
      <w:tabs>
        <w:tab w:val="left" w:pos="5103"/>
      </w:tabs>
      <w:spacing w:before="1200" w:after="0"/>
      <w:ind w:left="5103"/>
      <w:jc w:val="center"/>
    </w:pPr>
    <w:rPr>
      <w:rFonts w:eastAsia="Times New Roman"/>
    </w:rPr>
  </w:style>
  <w:style w:type="character" w:customStyle="1" w:styleId="SignatureChar">
    <w:name w:val="Signature Char"/>
    <w:link w:val="Signature"/>
    <w:uiPriority w:val="99"/>
    <w:rsid w:val="00FB701A"/>
    <w:rPr>
      <w:rFonts w:ascii="Times New Roman" w:eastAsia="Times New Roman" w:hAnsi="Times New Roman"/>
      <w:sz w:val="24"/>
      <w:lang w:eastAsia="en-US"/>
    </w:rPr>
  </w:style>
  <w:style w:type="paragraph" w:customStyle="1" w:styleId="Enclosures">
    <w:name w:val="Enclosures"/>
    <w:basedOn w:val="Normal"/>
    <w:next w:val="Participants"/>
    <w:rsid w:val="00FB701A"/>
    <w:pPr>
      <w:keepNext/>
      <w:keepLines/>
      <w:tabs>
        <w:tab w:val="left" w:pos="5670"/>
      </w:tabs>
      <w:spacing w:before="480" w:after="0"/>
      <w:ind w:left="1985" w:hanging="1985"/>
      <w:jc w:val="left"/>
    </w:pPr>
    <w:rPr>
      <w:rFonts w:eastAsia="Times New Roman"/>
    </w:rPr>
  </w:style>
  <w:style w:type="paragraph" w:customStyle="1" w:styleId="Participants">
    <w:name w:val="Participants"/>
    <w:basedOn w:val="Normal"/>
    <w:next w:val="Copies"/>
    <w:rsid w:val="00FB701A"/>
    <w:pPr>
      <w:tabs>
        <w:tab w:val="left" w:pos="2552"/>
        <w:tab w:val="left" w:pos="2835"/>
        <w:tab w:val="left" w:pos="5670"/>
        <w:tab w:val="left" w:pos="6379"/>
        <w:tab w:val="left" w:pos="6804"/>
      </w:tabs>
      <w:spacing w:before="480" w:after="0"/>
      <w:ind w:left="1985" w:hanging="1985"/>
      <w:jc w:val="left"/>
    </w:pPr>
    <w:rPr>
      <w:rFonts w:eastAsia="Times New Roman"/>
    </w:rPr>
  </w:style>
  <w:style w:type="paragraph" w:customStyle="1" w:styleId="Copies">
    <w:name w:val="Copies"/>
    <w:basedOn w:val="Normal"/>
    <w:next w:val="Normal"/>
    <w:rsid w:val="00FB701A"/>
    <w:pPr>
      <w:tabs>
        <w:tab w:val="left" w:pos="2552"/>
        <w:tab w:val="left" w:pos="2835"/>
        <w:tab w:val="left" w:pos="5670"/>
        <w:tab w:val="left" w:pos="6379"/>
        <w:tab w:val="left" w:pos="6804"/>
      </w:tabs>
      <w:spacing w:before="480" w:after="0"/>
      <w:ind w:left="1985" w:hanging="1985"/>
      <w:jc w:val="left"/>
    </w:pPr>
    <w:rPr>
      <w:rFonts w:eastAsia="Times New Roman"/>
    </w:rPr>
  </w:style>
  <w:style w:type="paragraph" w:styleId="CommentText">
    <w:name w:val="annotation text"/>
    <w:basedOn w:val="Normal"/>
    <w:link w:val="CommentTextChar"/>
    <w:rsid w:val="00FB701A"/>
    <w:pPr>
      <w:spacing w:before="0" w:after="240"/>
    </w:pPr>
    <w:rPr>
      <w:rFonts w:eastAsia="Times New Roman"/>
      <w:sz w:val="20"/>
    </w:rPr>
  </w:style>
  <w:style w:type="character" w:customStyle="1" w:styleId="CommentTextChar">
    <w:name w:val="Comment Text Char"/>
    <w:link w:val="CommentText"/>
    <w:rsid w:val="00FB701A"/>
    <w:rPr>
      <w:rFonts w:ascii="Times New Roman" w:eastAsia="Times New Roman" w:hAnsi="Times New Roman"/>
      <w:lang w:eastAsia="en-US"/>
    </w:rPr>
  </w:style>
  <w:style w:type="paragraph" w:styleId="Date">
    <w:name w:val="Date"/>
    <w:basedOn w:val="Normal"/>
    <w:next w:val="References"/>
    <w:link w:val="DateChar"/>
    <w:rsid w:val="00FB701A"/>
    <w:pPr>
      <w:spacing w:before="0" w:after="0"/>
      <w:ind w:left="5103" w:right="-567"/>
      <w:jc w:val="left"/>
    </w:pPr>
    <w:rPr>
      <w:rFonts w:eastAsia="Times New Roman"/>
    </w:rPr>
  </w:style>
  <w:style w:type="character" w:customStyle="1" w:styleId="DateChar">
    <w:name w:val="Date Char"/>
    <w:link w:val="Date"/>
    <w:rsid w:val="00FB701A"/>
    <w:rPr>
      <w:rFonts w:ascii="Times New Roman" w:eastAsia="Times New Roman" w:hAnsi="Times New Roman"/>
      <w:sz w:val="24"/>
      <w:lang w:eastAsia="en-US"/>
    </w:rPr>
  </w:style>
  <w:style w:type="paragraph" w:customStyle="1" w:styleId="References">
    <w:name w:val="References"/>
    <w:basedOn w:val="Normal"/>
    <w:next w:val="AddressTR"/>
    <w:rsid w:val="00FB701A"/>
    <w:pPr>
      <w:spacing w:before="0" w:after="240"/>
      <w:ind w:left="5103"/>
      <w:jc w:val="left"/>
    </w:pPr>
    <w:rPr>
      <w:rFonts w:eastAsia="Times New Roman"/>
      <w:sz w:val="20"/>
    </w:rPr>
  </w:style>
  <w:style w:type="paragraph" w:styleId="DocumentMap">
    <w:name w:val="Document Map"/>
    <w:basedOn w:val="Normal"/>
    <w:link w:val="DocumentMapChar"/>
    <w:semiHidden/>
    <w:rsid w:val="00FB701A"/>
    <w:pPr>
      <w:shd w:val="clear" w:color="auto" w:fill="000080"/>
      <w:spacing w:before="0" w:after="240"/>
    </w:pPr>
    <w:rPr>
      <w:rFonts w:ascii="Tahoma" w:eastAsia="Times New Roman" w:hAnsi="Tahoma"/>
    </w:rPr>
  </w:style>
  <w:style w:type="character" w:customStyle="1" w:styleId="DocumentMapChar">
    <w:name w:val="Document Map Char"/>
    <w:link w:val="DocumentMap"/>
    <w:semiHidden/>
    <w:rsid w:val="00FB701A"/>
    <w:rPr>
      <w:rFonts w:ascii="Tahoma" w:eastAsia="Times New Roman" w:hAnsi="Tahoma"/>
      <w:sz w:val="24"/>
      <w:shd w:val="clear" w:color="auto" w:fill="000080"/>
      <w:lang w:eastAsia="en-US"/>
    </w:rPr>
  </w:style>
  <w:style w:type="paragraph" w:customStyle="1" w:styleId="DoubSign">
    <w:name w:val="DoubSign"/>
    <w:basedOn w:val="Normal"/>
    <w:next w:val="Contact"/>
    <w:rsid w:val="00FB701A"/>
    <w:pPr>
      <w:tabs>
        <w:tab w:val="left" w:pos="5103"/>
      </w:tabs>
      <w:spacing w:before="1200" w:after="0"/>
      <w:jc w:val="left"/>
    </w:pPr>
    <w:rPr>
      <w:rFonts w:eastAsia="Times New Roman"/>
    </w:rPr>
  </w:style>
  <w:style w:type="paragraph" w:styleId="EndnoteText">
    <w:name w:val="endnote text"/>
    <w:basedOn w:val="Normal"/>
    <w:link w:val="EndnoteTextChar"/>
    <w:semiHidden/>
    <w:rsid w:val="00FB701A"/>
    <w:pPr>
      <w:spacing w:before="0" w:after="240"/>
    </w:pPr>
    <w:rPr>
      <w:rFonts w:eastAsia="Times New Roman"/>
      <w:sz w:val="20"/>
    </w:rPr>
  </w:style>
  <w:style w:type="character" w:customStyle="1" w:styleId="EndnoteTextChar">
    <w:name w:val="Endnote Text Char"/>
    <w:link w:val="EndnoteText"/>
    <w:semiHidden/>
    <w:rsid w:val="00FB701A"/>
    <w:rPr>
      <w:rFonts w:ascii="Times New Roman" w:eastAsia="Times New Roman" w:hAnsi="Times New Roman"/>
      <w:lang w:eastAsia="en-US"/>
    </w:rPr>
  </w:style>
  <w:style w:type="paragraph" w:styleId="EnvelopeAddress">
    <w:name w:val="envelope address"/>
    <w:basedOn w:val="Normal"/>
    <w:rsid w:val="00FB701A"/>
    <w:pPr>
      <w:framePr w:w="7920" w:h="1980" w:hRule="exact" w:hSpace="180" w:wrap="auto" w:hAnchor="page" w:xAlign="center" w:yAlign="bottom"/>
      <w:spacing w:before="0" w:after="0"/>
    </w:pPr>
    <w:rPr>
      <w:rFonts w:eastAsia="Times New Roman"/>
    </w:rPr>
  </w:style>
  <w:style w:type="paragraph" w:styleId="EnvelopeReturn">
    <w:name w:val="envelope return"/>
    <w:basedOn w:val="Normal"/>
    <w:rsid w:val="00FB701A"/>
    <w:pPr>
      <w:spacing w:before="0" w:after="0"/>
    </w:pPr>
    <w:rPr>
      <w:rFonts w:eastAsia="Times New Roman"/>
      <w:sz w:val="20"/>
    </w:rPr>
  </w:style>
  <w:style w:type="paragraph" w:styleId="Index1">
    <w:name w:val="index 1"/>
    <w:basedOn w:val="Normal"/>
    <w:next w:val="Normal"/>
    <w:autoRedefine/>
    <w:semiHidden/>
    <w:rsid w:val="00FB701A"/>
    <w:pPr>
      <w:spacing w:before="0" w:after="240"/>
      <w:ind w:left="240" w:hanging="240"/>
    </w:pPr>
    <w:rPr>
      <w:rFonts w:eastAsia="Times New Roman"/>
    </w:rPr>
  </w:style>
  <w:style w:type="paragraph" w:styleId="Index2">
    <w:name w:val="index 2"/>
    <w:basedOn w:val="Normal"/>
    <w:next w:val="Normal"/>
    <w:autoRedefine/>
    <w:semiHidden/>
    <w:rsid w:val="00FB701A"/>
    <w:pPr>
      <w:spacing w:before="0" w:after="240"/>
      <w:ind w:left="480" w:hanging="240"/>
    </w:pPr>
    <w:rPr>
      <w:rFonts w:eastAsia="Times New Roman"/>
    </w:rPr>
  </w:style>
  <w:style w:type="paragraph" w:styleId="Index3">
    <w:name w:val="index 3"/>
    <w:basedOn w:val="Normal"/>
    <w:next w:val="Normal"/>
    <w:autoRedefine/>
    <w:semiHidden/>
    <w:rsid w:val="00FB701A"/>
    <w:pPr>
      <w:spacing w:before="0" w:after="240"/>
      <w:ind w:left="720" w:hanging="240"/>
    </w:pPr>
    <w:rPr>
      <w:rFonts w:eastAsia="Times New Roman"/>
    </w:rPr>
  </w:style>
  <w:style w:type="paragraph" w:styleId="Index4">
    <w:name w:val="index 4"/>
    <w:basedOn w:val="Normal"/>
    <w:next w:val="Normal"/>
    <w:autoRedefine/>
    <w:semiHidden/>
    <w:rsid w:val="00FB701A"/>
    <w:pPr>
      <w:spacing w:before="0" w:after="240"/>
      <w:ind w:left="960" w:hanging="240"/>
    </w:pPr>
    <w:rPr>
      <w:rFonts w:eastAsia="Times New Roman"/>
    </w:rPr>
  </w:style>
  <w:style w:type="paragraph" w:styleId="Index5">
    <w:name w:val="index 5"/>
    <w:basedOn w:val="Normal"/>
    <w:next w:val="Normal"/>
    <w:autoRedefine/>
    <w:semiHidden/>
    <w:rsid w:val="00FB701A"/>
    <w:pPr>
      <w:spacing w:before="0" w:after="240"/>
      <w:ind w:left="1200" w:hanging="240"/>
    </w:pPr>
    <w:rPr>
      <w:rFonts w:eastAsia="Times New Roman"/>
    </w:rPr>
  </w:style>
  <w:style w:type="paragraph" w:styleId="Index6">
    <w:name w:val="index 6"/>
    <w:basedOn w:val="Normal"/>
    <w:next w:val="Normal"/>
    <w:autoRedefine/>
    <w:semiHidden/>
    <w:rsid w:val="00FB701A"/>
    <w:pPr>
      <w:spacing w:before="0" w:after="240"/>
      <w:ind w:left="1440" w:hanging="240"/>
    </w:pPr>
    <w:rPr>
      <w:rFonts w:eastAsia="Times New Roman"/>
    </w:rPr>
  </w:style>
  <w:style w:type="paragraph" w:styleId="Index7">
    <w:name w:val="index 7"/>
    <w:basedOn w:val="Normal"/>
    <w:next w:val="Normal"/>
    <w:autoRedefine/>
    <w:semiHidden/>
    <w:rsid w:val="00FB701A"/>
    <w:pPr>
      <w:spacing w:before="0" w:after="240"/>
      <w:ind w:left="1680" w:hanging="240"/>
    </w:pPr>
    <w:rPr>
      <w:rFonts w:eastAsia="Times New Roman"/>
    </w:rPr>
  </w:style>
  <w:style w:type="paragraph" w:styleId="Index8">
    <w:name w:val="index 8"/>
    <w:basedOn w:val="Normal"/>
    <w:next w:val="Normal"/>
    <w:autoRedefine/>
    <w:semiHidden/>
    <w:rsid w:val="00FB701A"/>
    <w:pPr>
      <w:spacing w:before="0" w:after="240"/>
      <w:ind w:left="1920" w:hanging="240"/>
    </w:pPr>
    <w:rPr>
      <w:rFonts w:eastAsia="Times New Roman"/>
    </w:rPr>
  </w:style>
  <w:style w:type="paragraph" w:styleId="Index9">
    <w:name w:val="index 9"/>
    <w:basedOn w:val="Normal"/>
    <w:next w:val="Normal"/>
    <w:autoRedefine/>
    <w:semiHidden/>
    <w:rsid w:val="00FB701A"/>
    <w:pPr>
      <w:spacing w:before="0" w:after="240"/>
      <w:ind w:left="2160" w:hanging="240"/>
    </w:pPr>
    <w:rPr>
      <w:rFonts w:eastAsia="Times New Roman"/>
    </w:rPr>
  </w:style>
  <w:style w:type="paragraph" w:styleId="IndexHeading">
    <w:name w:val="index heading"/>
    <w:basedOn w:val="Normal"/>
    <w:next w:val="Index1"/>
    <w:semiHidden/>
    <w:rsid w:val="00FB701A"/>
    <w:pPr>
      <w:spacing w:before="0" w:after="240"/>
    </w:pPr>
    <w:rPr>
      <w:rFonts w:ascii="Arial" w:eastAsia="Times New Roman" w:hAnsi="Arial"/>
      <w:b/>
    </w:rPr>
  </w:style>
  <w:style w:type="paragraph" w:styleId="List">
    <w:name w:val="List"/>
    <w:basedOn w:val="Normal"/>
    <w:rsid w:val="00FB701A"/>
    <w:pPr>
      <w:spacing w:before="0" w:after="240"/>
      <w:ind w:left="283" w:hanging="283"/>
    </w:pPr>
    <w:rPr>
      <w:rFonts w:eastAsia="Times New Roman"/>
    </w:rPr>
  </w:style>
  <w:style w:type="paragraph" w:styleId="List2">
    <w:name w:val="List 2"/>
    <w:basedOn w:val="Normal"/>
    <w:rsid w:val="00FB701A"/>
    <w:pPr>
      <w:spacing w:before="0" w:after="240"/>
      <w:ind w:left="566" w:hanging="283"/>
    </w:pPr>
    <w:rPr>
      <w:rFonts w:eastAsia="Times New Roman"/>
    </w:rPr>
  </w:style>
  <w:style w:type="paragraph" w:styleId="List3">
    <w:name w:val="List 3"/>
    <w:basedOn w:val="Normal"/>
    <w:rsid w:val="00FB701A"/>
    <w:pPr>
      <w:spacing w:before="0" w:after="240"/>
      <w:ind w:left="849" w:hanging="283"/>
    </w:pPr>
    <w:rPr>
      <w:rFonts w:eastAsia="Times New Roman"/>
    </w:rPr>
  </w:style>
  <w:style w:type="paragraph" w:styleId="List4">
    <w:name w:val="List 4"/>
    <w:basedOn w:val="Normal"/>
    <w:rsid w:val="00FB701A"/>
    <w:pPr>
      <w:spacing w:before="0" w:after="240"/>
      <w:ind w:left="1132" w:hanging="283"/>
    </w:pPr>
    <w:rPr>
      <w:rFonts w:eastAsia="Times New Roman"/>
    </w:rPr>
  </w:style>
  <w:style w:type="paragraph" w:styleId="List5">
    <w:name w:val="List 5"/>
    <w:basedOn w:val="Normal"/>
    <w:rsid w:val="00FB701A"/>
    <w:pPr>
      <w:spacing w:before="0" w:after="240"/>
      <w:ind w:left="1415" w:hanging="283"/>
    </w:pPr>
    <w:rPr>
      <w:rFonts w:eastAsia="Times New Roman"/>
    </w:rPr>
  </w:style>
  <w:style w:type="paragraph" w:styleId="ListBullet5">
    <w:name w:val="List Bullet 5"/>
    <w:basedOn w:val="Normal"/>
    <w:autoRedefine/>
    <w:rsid w:val="00FB701A"/>
    <w:pPr>
      <w:numPr>
        <w:numId w:val="5"/>
      </w:numPr>
      <w:spacing w:before="0" w:after="240"/>
    </w:pPr>
    <w:rPr>
      <w:rFonts w:eastAsia="Times New Roman"/>
    </w:rPr>
  </w:style>
  <w:style w:type="paragraph" w:styleId="ListContinue">
    <w:name w:val="List Continue"/>
    <w:basedOn w:val="Normal"/>
    <w:rsid w:val="00FB701A"/>
    <w:pPr>
      <w:spacing w:before="0"/>
      <w:ind w:left="283"/>
    </w:pPr>
    <w:rPr>
      <w:rFonts w:eastAsia="Times New Roman"/>
    </w:rPr>
  </w:style>
  <w:style w:type="paragraph" w:styleId="ListContinue2">
    <w:name w:val="List Continue 2"/>
    <w:basedOn w:val="Normal"/>
    <w:rsid w:val="00FB701A"/>
    <w:pPr>
      <w:spacing w:before="0"/>
      <w:ind w:left="566"/>
    </w:pPr>
    <w:rPr>
      <w:rFonts w:eastAsia="Times New Roman"/>
    </w:rPr>
  </w:style>
  <w:style w:type="paragraph" w:styleId="ListContinue3">
    <w:name w:val="List Continue 3"/>
    <w:basedOn w:val="Normal"/>
    <w:rsid w:val="00FB701A"/>
    <w:pPr>
      <w:spacing w:before="0"/>
      <w:ind w:left="849"/>
    </w:pPr>
    <w:rPr>
      <w:rFonts w:eastAsia="Times New Roman"/>
    </w:rPr>
  </w:style>
  <w:style w:type="paragraph" w:styleId="ListContinue4">
    <w:name w:val="List Continue 4"/>
    <w:basedOn w:val="Normal"/>
    <w:rsid w:val="00FB701A"/>
    <w:pPr>
      <w:spacing w:before="0"/>
      <w:ind w:left="1132"/>
    </w:pPr>
    <w:rPr>
      <w:rFonts w:eastAsia="Times New Roman"/>
    </w:rPr>
  </w:style>
  <w:style w:type="paragraph" w:styleId="ListContinue5">
    <w:name w:val="List Continue 5"/>
    <w:basedOn w:val="Normal"/>
    <w:rsid w:val="00FB701A"/>
    <w:pPr>
      <w:spacing w:before="0"/>
      <w:ind w:left="1415"/>
    </w:pPr>
    <w:rPr>
      <w:rFonts w:eastAsia="Times New Roman"/>
    </w:rPr>
  </w:style>
  <w:style w:type="paragraph" w:styleId="ListNumber">
    <w:name w:val="List Number"/>
    <w:basedOn w:val="Normal"/>
    <w:rsid w:val="00FB701A"/>
    <w:pPr>
      <w:numPr>
        <w:numId w:val="12"/>
      </w:numPr>
      <w:spacing w:before="0" w:after="240"/>
    </w:pPr>
    <w:rPr>
      <w:rFonts w:eastAsia="Times New Roman"/>
    </w:rPr>
  </w:style>
  <w:style w:type="paragraph" w:styleId="ListNumber2">
    <w:name w:val="List Number 2"/>
    <w:basedOn w:val="Text2"/>
    <w:rsid w:val="00FB701A"/>
    <w:pPr>
      <w:numPr>
        <w:numId w:val="14"/>
      </w:numPr>
      <w:spacing w:before="0" w:after="240"/>
    </w:pPr>
    <w:rPr>
      <w:rFonts w:eastAsia="Times New Roman"/>
    </w:rPr>
  </w:style>
  <w:style w:type="paragraph" w:styleId="ListNumber3">
    <w:name w:val="List Number 3"/>
    <w:basedOn w:val="Text3"/>
    <w:rsid w:val="00FB701A"/>
    <w:pPr>
      <w:numPr>
        <w:numId w:val="15"/>
      </w:numPr>
      <w:spacing w:before="0" w:after="240"/>
    </w:pPr>
    <w:rPr>
      <w:rFonts w:eastAsia="Times New Roman"/>
    </w:rPr>
  </w:style>
  <w:style w:type="paragraph" w:styleId="ListNumber4">
    <w:name w:val="List Number 4"/>
    <w:basedOn w:val="Text4"/>
    <w:rsid w:val="00FB701A"/>
    <w:pPr>
      <w:numPr>
        <w:numId w:val="16"/>
      </w:numPr>
      <w:spacing w:before="0" w:after="240"/>
    </w:pPr>
    <w:rPr>
      <w:rFonts w:eastAsia="Times New Roman"/>
    </w:rPr>
  </w:style>
  <w:style w:type="paragraph" w:styleId="ListNumber5">
    <w:name w:val="List Number 5"/>
    <w:basedOn w:val="Normal"/>
    <w:rsid w:val="00FB701A"/>
    <w:pPr>
      <w:numPr>
        <w:numId w:val="6"/>
      </w:numPr>
      <w:spacing w:before="0" w:after="240"/>
    </w:pPr>
    <w:rPr>
      <w:rFonts w:eastAsia="Times New Roman"/>
    </w:rPr>
  </w:style>
  <w:style w:type="paragraph" w:styleId="MacroText">
    <w:name w:val="macro"/>
    <w:link w:val="MacroTextChar"/>
    <w:semiHidden/>
    <w:rsid w:val="00FB701A"/>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lang w:eastAsia="en-US"/>
    </w:rPr>
  </w:style>
  <w:style w:type="character" w:customStyle="1" w:styleId="MacroTextChar">
    <w:name w:val="Macro Text Char"/>
    <w:link w:val="MacroText"/>
    <w:semiHidden/>
    <w:rsid w:val="00FB701A"/>
    <w:rPr>
      <w:rFonts w:ascii="Courier New" w:eastAsia="Times New Roman" w:hAnsi="Courier New"/>
      <w:lang w:eastAsia="en-US"/>
    </w:rPr>
  </w:style>
  <w:style w:type="paragraph" w:styleId="MessageHeader">
    <w:name w:val="Message Header"/>
    <w:basedOn w:val="Normal"/>
    <w:link w:val="MessageHeaderChar"/>
    <w:rsid w:val="00FB701A"/>
    <w:pPr>
      <w:pBdr>
        <w:top w:val="single" w:sz="6" w:space="1" w:color="auto"/>
        <w:left w:val="single" w:sz="6" w:space="1" w:color="auto"/>
        <w:bottom w:val="single" w:sz="6" w:space="1" w:color="auto"/>
        <w:right w:val="single" w:sz="6" w:space="1" w:color="auto"/>
      </w:pBdr>
      <w:shd w:val="pct20" w:color="auto" w:fill="auto"/>
      <w:spacing w:before="0" w:after="240"/>
      <w:ind w:left="1134" w:hanging="1134"/>
    </w:pPr>
    <w:rPr>
      <w:rFonts w:ascii="Arial" w:eastAsia="Times New Roman" w:hAnsi="Arial"/>
    </w:rPr>
  </w:style>
  <w:style w:type="character" w:customStyle="1" w:styleId="MessageHeaderChar">
    <w:name w:val="Message Header Char"/>
    <w:link w:val="MessageHeader"/>
    <w:rsid w:val="00FB701A"/>
    <w:rPr>
      <w:rFonts w:ascii="Arial" w:eastAsia="Times New Roman" w:hAnsi="Arial"/>
      <w:sz w:val="24"/>
      <w:shd w:val="pct20" w:color="auto" w:fill="auto"/>
      <w:lang w:eastAsia="en-US"/>
    </w:rPr>
  </w:style>
  <w:style w:type="paragraph" w:styleId="NormalIndent">
    <w:name w:val="Normal Indent"/>
    <w:basedOn w:val="Normal"/>
    <w:rsid w:val="00FB701A"/>
    <w:pPr>
      <w:spacing w:before="0" w:after="240"/>
      <w:ind w:left="720"/>
    </w:pPr>
    <w:rPr>
      <w:rFonts w:eastAsia="Times New Roman"/>
    </w:rPr>
  </w:style>
  <w:style w:type="paragraph" w:styleId="NoteHeading">
    <w:name w:val="Note Heading"/>
    <w:basedOn w:val="Normal"/>
    <w:next w:val="Normal"/>
    <w:link w:val="NoteHeadingChar"/>
    <w:rsid w:val="00FB701A"/>
    <w:pPr>
      <w:spacing w:before="0" w:after="240"/>
    </w:pPr>
    <w:rPr>
      <w:rFonts w:eastAsia="Times New Roman"/>
    </w:rPr>
  </w:style>
  <w:style w:type="character" w:customStyle="1" w:styleId="NoteHeadingChar">
    <w:name w:val="Note Heading Char"/>
    <w:link w:val="NoteHeading"/>
    <w:rsid w:val="00FB701A"/>
    <w:rPr>
      <w:rFonts w:ascii="Times New Roman" w:eastAsia="Times New Roman" w:hAnsi="Times New Roman"/>
      <w:sz w:val="24"/>
      <w:lang w:eastAsia="en-US"/>
    </w:rPr>
  </w:style>
  <w:style w:type="paragraph" w:customStyle="1" w:styleId="NoteHead">
    <w:name w:val="NoteHead"/>
    <w:basedOn w:val="Normal"/>
    <w:next w:val="Subject"/>
    <w:rsid w:val="00FB701A"/>
    <w:pPr>
      <w:spacing w:before="720" w:after="720"/>
      <w:jc w:val="center"/>
    </w:pPr>
    <w:rPr>
      <w:rFonts w:eastAsia="Times New Roman"/>
      <w:b/>
      <w:smallCaps/>
    </w:rPr>
  </w:style>
  <w:style w:type="paragraph" w:customStyle="1" w:styleId="Subject">
    <w:name w:val="Subject"/>
    <w:basedOn w:val="Normal"/>
    <w:next w:val="Normal"/>
    <w:rsid w:val="00FB701A"/>
    <w:pPr>
      <w:spacing w:before="0" w:after="480"/>
      <w:ind w:left="1531" w:hanging="1531"/>
      <w:jc w:val="left"/>
    </w:pPr>
    <w:rPr>
      <w:rFonts w:eastAsia="Times New Roman"/>
      <w:b/>
    </w:rPr>
  </w:style>
  <w:style w:type="paragraph" w:customStyle="1" w:styleId="NoteList">
    <w:name w:val="NoteList"/>
    <w:basedOn w:val="Normal"/>
    <w:next w:val="Subject"/>
    <w:rsid w:val="00FB701A"/>
    <w:pPr>
      <w:tabs>
        <w:tab w:val="left" w:pos="5823"/>
      </w:tabs>
      <w:spacing w:before="720" w:after="720"/>
      <w:ind w:left="5104" w:hanging="3119"/>
      <w:jc w:val="left"/>
    </w:pPr>
    <w:rPr>
      <w:rFonts w:eastAsia="Times New Roman"/>
      <w:b/>
      <w:smallCaps/>
    </w:rPr>
  </w:style>
  <w:style w:type="paragraph" w:styleId="PlainText">
    <w:name w:val="Plain Text"/>
    <w:basedOn w:val="Normal"/>
    <w:link w:val="PlainTextChar"/>
    <w:rsid w:val="00FB701A"/>
    <w:pPr>
      <w:spacing w:before="0" w:after="240"/>
    </w:pPr>
    <w:rPr>
      <w:rFonts w:ascii="Courier New" w:eastAsia="Times New Roman" w:hAnsi="Courier New"/>
      <w:sz w:val="20"/>
    </w:rPr>
  </w:style>
  <w:style w:type="character" w:customStyle="1" w:styleId="PlainTextChar">
    <w:name w:val="Plain Text Char"/>
    <w:link w:val="PlainText"/>
    <w:rsid w:val="00FB701A"/>
    <w:rPr>
      <w:rFonts w:ascii="Courier New" w:eastAsia="Times New Roman" w:hAnsi="Courier New"/>
      <w:lang w:eastAsia="en-US"/>
    </w:rPr>
  </w:style>
  <w:style w:type="paragraph" w:styleId="Salutation">
    <w:name w:val="Salutation"/>
    <w:basedOn w:val="Normal"/>
    <w:next w:val="Normal"/>
    <w:link w:val="SalutationChar"/>
    <w:rsid w:val="00FB701A"/>
    <w:pPr>
      <w:spacing w:before="0" w:after="240"/>
    </w:pPr>
    <w:rPr>
      <w:rFonts w:eastAsia="Times New Roman"/>
    </w:rPr>
  </w:style>
  <w:style w:type="character" w:customStyle="1" w:styleId="SalutationChar">
    <w:name w:val="Salutation Char"/>
    <w:link w:val="Salutation"/>
    <w:rsid w:val="00FB701A"/>
    <w:rPr>
      <w:rFonts w:ascii="Times New Roman" w:eastAsia="Times New Roman" w:hAnsi="Times New Roman"/>
      <w:sz w:val="24"/>
      <w:lang w:eastAsia="en-US"/>
    </w:rPr>
  </w:style>
  <w:style w:type="paragraph" w:styleId="Subtitle">
    <w:name w:val="Subtitle"/>
    <w:basedOn w:val="Normal"/>
    <w:link w:val="SubtitleChar"/>
    <w:qFormat/>
    <w:rsid w:val="00FB701A"/>
    <w:pPr>
      <w:spacing w:before="0" w:after="60"/>
      <w:jc w:val="center"/>
      <w:outlineLvl w:val="1"/>
    </w:pPr>
    <w:rPr>
      <w:rFonts w:ascii="Arial" w:eastAsia="Times New Roman" w:hAnsi="Arial"/>
    </w:rPr>
  </w:style>
  <w:style w:type="character" w:customStyle="1" w:styleId="SubtitleChar">
    <w:name w:val="Subtitle Char"/>
    <w:link w:val="Subtitle"/>
    <w:rsid w:val="00FB701A"/>
    <w:rPr>
      <w:rFonts w:ascii="Arial" w:eastAsia="Times New Roman" w:hAnsi="Arial"/>
      <w:sz w:val="24"/>
      <w:lang w:eastAsia="en-US"/>
    </w:rPr>
  </w:style>
  <w:style w:type="paragraph" w:styleId="TableofAuthorities">
    <w:name w:val="table of authorities"/>
    <w:basedOn w:val="Normal"/>
    <w:next w:val="Normal"/>
    <w:semiHidden/>
    <w:rsid w:val="00FB701A"/>
    <w:pPr>
      <w:spacing w:before="0" w:after="240"/>
      <w:ind w:left="240" w:hanging="240"/>
    </w:pPr>
    <w:rPr>
      <w:rFonts w:eastAsia="Times New Roman"/>
    </w:rPr>
  </w:style>
  <w:style w:type="paragraph" w:styleId="TableofFigures">
    <w:name w:val="table of figures"/>
    <w:basedOn w:val="Normal"/>
    <w:next w:val="Normal"/>
    <w:semiHidden/>
    <w:rsid w:val="00FB701A"/>
    <w:pPr>
      <w:spacing w:before="0" w:after="240"/>
      <w:ind w:left="480" w:hanging="480"/>
    </w:pPr>
    <w:rPr>
      <w:rFonts w:eastAsia="Times New Roman"/>
    </w:rPr>
  </w:style>
  <w:style w:type="paragraph" w:styleId="Title">
    <w:name w:val="Title"/>
    <w:basedOn w:val="Normal"/>
    <w:link w:val="TitleChar"/>
    <w:qFormat/>
    <w:rsid w:val="00FB701A"/>
    <w:pPr>
      <w:spacing w:before="240" w:after="60"/>
      <w:jc w:val="center"/>
      <w:outlineLvl w:val="0"/>
    </w:pPr>
    <w:rPr>
      <w:rFonts w:ascii="Arial" w:eastAsia="Times New Roman" w:hAnsi="Arial"/>
      <w:b/>
      <w:kern w:val="28"/>
      <w:sz w:val="32"/>
    </w:rPr>
  </w:style>
  <w:style w:type="character" w:customStyle="1" w:styleId="TitleChar">
    <w:name w:val="Title Char"/>
    <w:link w:val="Title"/>
    <w:rsid w:val="00FB701A"/>
    <w:rPr>
      <w:rFonts w:ascii="Arial" w:eastAsia="Times New Roman" w:hAnsi="Arial"/>
      <w:b/>
      <w:kern w:val="28"/>
      <w:sz w:val="32"/>
      <w:lang w:eastAsia="en-US"/>
    </w:rPr>
  </w:style>
  <w:style w:type="paragraph" w:styleId="TOAHeading">
    <w:name w:val="toa heading"/>
    <w:basedOn w:val="Normal"/>
    <w:next w:val="Normal"/>
    <w:semiHidden/>
    <w:rsid w:val="00FB701A"/>
    <w:pPr>
      <w:spacing w:after="240"/>
    </w:pPr>
    <w:rPr>
      <w:rFonts w:ascii="Arial" w:eastAsia="Times New Roman" w:hAnsi="Arial"/>
      <w:b/>
    </w:rPr>
  </w:style>
  <w:style w:type="paragraph" w:customStyle="1" w:styleId="YReferences">
    <w:name w:val="YReferences"/>
    <w:basedOn w:val="Normal"/>
    <w:next w:val="Normal"/>
    <w:rsid w:val="00FB701A"/>
    <w:pPr>
      <w:spacing w:before="0" w:after="480"/>
      <w:ind w:left="1531" w:hanging="1531"/>
    </w:pPr>
    <w:rPr>
      <w:rFonts w:eastAsia="Times New Roman"/>
    </w:rPr>
  </w:style>
  <w:style w:type="paragraph" w:customStyle="1" w:styleId="ListBullet1">
    <w:name w:val="List Bullet 1"/>
    <w:basedOn w:val="Text1"/>
    <w:rsid w:val="00FB701A"/>
    <w:pPr>
      <w:tabs>
        <w:tab w:val="num" w:pos="765"/>
      </w:tabs>
      <w:spacing w:before="0" w:after="240"/>
      <w:ind w:left="765" w:hanging="283"/>
    </w:pPr>
    <w:rPr>
      <w:rFonts w:eastAsia="Times New Roman"/>
    </w:rPr>
  </w:style>
  <w:style w:type="paragraph" w:customStyle="1" w:styleId="ListDash">
    <w:name w:val="List Dash"/>
    <w:basedOn w:val="Normal"/>
    <w:rsid w:val="00FB701A"/>
    <w:pPr>
      <w:numPr>
        <w:numId w:val="7"/>
      </w:numPr>
      <w:spacing w:before="0" w:after="240"/>
    </w:pPr>
    <w:rPr>
      <w:rFonts w:eastAsia="Times New Roman"/>
    </w:rPr>
  </w:style>
  <w:style w:type="paragraph" w:customStyle="1" w:styleId="ListDash1">
    <w:name w:val="List Dash 1"/>
    <w:basedOn w:val="Text1"/>
    <w:rsid w:val="00FB701A"/>
    <w:pPr>
      <w:numPr>
        <w:numId w:val="8"/>
      </w:numPr>
      <w:spacing w:before="0" w:after="240"/>
    </w:pPr>
    <w:rPr>
      <w:rFonts w:eastAsia="Times New Roman"/>
    </w:rPr>
  </w:style>
  <w:style w:type="paragraph" w:customStyle="1" w:styleId="ListDash2">
    <w:name w:val="List Dash 2"/>
    <w:basedOn w:val="Text2"/>
    <w:rsid w:val="00FB701A"/>
    <w:pPr>
      <w:numPr>
        <w:numId w:val="9"/>
      </w:numPr>
      <w:spacing w:before="0" w:after="240"/>
    </w:pPr>
    <w:rPr>
      <w:rFonts w:eastAsia="Times New Roman"/>
    </w:rPr>
  </w:style>
  <w:style w:type="paragraph" w:customStyle="1" w:styleId="ListDash3">
    <w:name w:val="List Dash 3"/>
    <w:basedOn w:val="Text3"/>
    <w:rsid w:val="00FB701A"/>
    <w:pPr>
      <w:numPr>
        <w:numId w:val="10"/>
      </w:numPr>
      <w:spacing w:before="0" w:after="240"/>
    </w:pPr>
    <w:rPr>
      <w:rFonts w:eastAsia="Times New Roman"/>
    </w:rPr>
  </w:style>
  <w:style w:type="paragraph" w:customStyle="1" w:styleId="ListDash4">
    <w:name w:val="List Dash 4"/>
    <w:basedOn w:val="Text4"/>
    <w:rsid w:val="00FB701A"/>
    <w:pPr>
      <w:numPr>
        <w:numId w:val="11"/>
      </w:numPr>
      <w:spacing w:before="0" w:after="240"/>
    </w:pPr>
    <w:rPr>
      <w:rFonts w:eastAsia="Times New Roman"/>
    </w:rPr>
  </w:style>
  <w:style w:type="paragraph" w:customStyle="1" w:styleId="ListNumberLevel2">
    <w:name w:val="List Number (Level 2)"/>
    <w:basedOn w:val="Normal"/>
    <w:rsid w:val="00FB701A"/>
    <w:pPr>
      <w:numPr>
        <w:ilvl w:val="1"/>
        <w:numId w:val="12"/>
      </w:numPr>
      <w:spacing w:before="0" w:after="240"/>
    </w:pPr>
    <w:rPr>
      <w:rFonts w:eastAsia="Times New Roman"/>
    </w:rPr>
  </w:style>
  <w:style w:type="paragraph" w:customStyle="1" w:styleId="ListNumberLevel3">
    <w:name w:val="List Number (Level 3)"/>
    <w:basedOn w:val="Normal"/>
    <w:rsid w:val="00FB701A"/>
    <w:pPr>
      <w:numPr>
        <w:ilvl w:val="2"/>
        <w:numId w:val="12"/>
      </w:numPr>
      <w:spacing w:before="0" w:after="240"/>
    </w:pPr>
    <w:rPr>
      <w:rFonts w:eastAsia="Times New Roman"/>
    </w:rPr>
  </w:style>
  <w:style w:type="paragraph" w:customStyle="1" w:styleId="ListNumberLevel4">
    <w:name w:val="List Number (Level 4)"/>
    <w:basedOn w:val="Normal"/>
    <w:rsid w:val="00FB701A"/>
    <w:pPr>
      <w:numPr>
        <w:ilvl w:val="3"/>
        <w:numId w:val="12"/>
      </w:numPr>
      <w:spacing w:before="0" w:after="240"/>
    </w:pPr>
    <w:rPr>
      <w:rFonts w:eastAsia="Times New Roman"/>
    </w:rPr>
  </w:style>
  <w:style w:type="paragraph" w:customStyle="1" w:styleId="ListNumber1">
    <w:name w:val="List Number 1"/>
    <w:basedOn w:val="Text1"/>
    <w:rsid w:val="00FB701A"/>
    <w:pPr>
      <w:numPr>
        <w:numId w:val="13"/>
      </w:numPr>
      <w:spacing w:before="0" w:after="240"/>
    </w:pPr>
    <w:rPr>
      <w:rFonts w:eastAsia="Times New Roman"/>
    </w:rPr>
  </w:style>
  <w:style w:type="paragraph" w:customStyle="1" w:styleId="ListNumber1Level2">
    <w:name w:val="List Number 1 (Level 2)"/>
    <w:basedOn w:val="Text1"/>
    <w:rsid w:val="00FB701A"/>
    <w:pPr>
      <w:numPr>
        <w:ilvl w:val="1"/>
        <w:numId w:val="13"/>
      </w:numPr>
      <w:spacing w:before="0" w:after="240"/>
    </w:pPr>
    <w:rPr>
      <w:rFonts w:eastAsia="Times New Roman"/>
    </w:rPr>
  </w:style>
  <w:style w:type="paragraph" w:customStyle="1" w:styleId="ListNumber1Level3">
    <w:name w:val="List Number 1 (Level 3)"/>
    <w:basedOn w:val="Text1"/>
    <w:rsid w:val="00FB701A"/>
    <w:pPr>
      <w:numPr>
        <w:ilvl w:val="2"/>
        <w:numId w:val="13"/>
      </w:numPr>
      <w:spacing w:before="0" w:after="240"/>
    </w:pPr>
    <w:rPr>
      <w:rFonts w:eastAsia="Times New Roman"/>
    </w:rPr>
  </w:style>
  <w:style w:type="paragraph" w:customStyle="1" w:styleId="ListNumber1Level4">
    <w:name w:val="List Number 1 (Level 4)"/>
    <w:basedOn w:val="Text1"/>
    <w:rsid w:val="00FB701A"/>
    <w:pPr>
      <w:numPr>
        <w:ilvl w:val="3"/>
        <w:numId w:val="13"/>
      </w:numPr>
      <w:spacing w:before="0" w:after="240"/>
    </w:pPr>
    <w:rPr>
      <w:rFonts w:eastAsia="Times New Roman"/>
    </w:rPr>
  </w:style>
  <w:style w:type="paragraph" w:customStyle="1" w:styleId="ListNumber2Level2">
    <w:name w:val="List Number 2 (Level 2)"/>
    <w:basedOn w:val="Text2"/>
    <w:rsid w:val="00FB701A"/>
    <w:pPr>
      <w:numPr>
        <w:ilvl w:val="1"/>
        <w:numId w:val="14"/>
      </w:numPr>
      <w:spacing w:before="0" w:after="240"/>
    </w:pPr>
    <w:rPr>
      <w:rFonts w:eastAsia="Times New Roman"/>
    </w:rPr>
  </w:style>
  <w:style w:type="paragraph" w:customStyle="1" w:styleId="ListNumber2Level3">
    <w:name w:val="List Number 2 (Level 3)"/>
    <w:basedOn w:val="Text2"/>
    <w:rsid w:val="00FB701A"/>
    <w:pPr>
      <w:numPr>
        <w:ilvl w:val="2"/>
        <w:numId w:val="14"/>
      </w:numPr>
      <w:spacing w:before="0" w:after="240"/>
    </w:pPr>
    <w:rPr>
      <w:rFonts w:eastAsia="Times New Roman"/>
    </w:rPr>
  </w:style>
  <w:style w:type="paragraph" w:customStyle="1" w:styleId="ListNumber2Level4">
    <w:name w:val="List Number 2 (Level 4)"/>
    <w:basedOn w:val="Text2"/>
    <w:rsid w:val="00FB701A"/>
    <w:pPr>
      <w:numPr>
        <w:ilvl w:val="3"/>
        <w:numId w:val="14"/>
      </w:numPr>
      <w:spacing w:before="0" w:after="240"/>
      <w:ind w:left="3901" w:hanging="703"/>
    </w:pPr>
    <w:rPr>
      <w:rFonts w:eastAsia="Times New Roman"/>
    </w:rPr>
  </w:style>
  <w:style w:type="paragraph" w:customStyle="1" w:styleId="ListNumber3Level2">
    <w:name w:val="List Number 3 (Level 2)"/>
    <w:basedOn w:val="Text3"/>
    <w:rsid w:val="00FB701A"/>
    <w:pPr>
      <w:numPr>
        <w:ilvl w:val="1"/>
        <w:numId w:val="15"/>
      </w:numPr>
      <w:spacing w:before="0" w:after="240"/>
    </w:pPr>
    <w:rPr>
      <w:rFonts w:eastAsia="Times New Roman"/>
    </w:rPr>
  </w:style>
  <w:style w:type="paragraph" w:customStyle="1" w:styleId="ListNumber3Level3">
    <w:name w:val="List Number 3 (Level 3)"/>
    <w:basedOn w:val="Text3"/>
    <w:rsid w:val="00FB701A"/>
    <w:pPr>
      <w:numPr>
        <w:ilvl w:val="2"/>
        <w:numId w:val="15"/>
      </w:numPr>
      <w:spacing w:before="0" w:after="240"/>
    </w:pPr>
    <w:rPr>
      <w:rFonts w:eastAsia="Times New Roman"/>
    </w:rPr>
  </w:style>
  <w:style w:type="paragraph" w:customStyle="1" w:styleId="ListNumber3Level4">
    <w:name w:val="List Number 3 (Level 4)"/>
    <w:basedOn w:val="Text3"/>
    <w:rsid w:val="00FB701A"/>
    <w:pPr>
      <w:numPr>
        <w:ilvl w:val="3"/>
        <w:numId w:val="15"/>
      </w:numPr>
      <w:spacing w:before="0" w:after="240"/>
    </w:pPr>
    <w:rPr>
      <w:rFonts w:eastAsia="Times New Roman"/>
    </w:rPr>
  </w:style>
  <w:style w:type="paragraph" w:customStyle="1" w:styleId="ListNumber4Level2">
    <w:name w:val="List Number 4 (Level 2)"/>
    <w:basedOn w:val="Text4"/>
    <w:rsid w:val="00FB701A"/>
    <w:pPr>
      <w:numPr>
        <w:ilvl w:val="1"/>
        <w:numId w:val="16"/>
      </w:numPr>
      <w:spacing w:before="0" w:after="240"/>
    </w:pPr>
    <w:rPr>
      <w:rFonts w:eastAsia="Times New Roman"/>
    </w:rPr>
  </w:style>
  <w:style w:type="paragraph" w:customStyle="1" w:styleId="ListNumber4Level3">
    <w:name w:val="List Number 4 (Level 3)"/>
    <w:basedOn w:val="Text4"/>
    <w:rsid w:val="00FB701A"/>
    <w:pPr>
      <w:numPr>
        <w:ilvl w:val="2"/>
        <w:numId w:val="16"/>
      </w:numPr>
      <w:spacing w:before="0" w:after="240"/>
    </w:pPr>
    <w:rPr>
      <w:rFonts w:eastAsia="Times New Roman"/>
    </w:rPr>
  </w:style>
  <w:style w:type="paragraph" w:customStyle="1" w:styleId="ListNumber4Level4">
    <w:name w:val="List Number 4 (Level 4)"/>
    <w:basedOn w:val="Text4"/>
    <w:rsid w:val="00FB701A"/>
    <w:pPr>
      <w:numPr>
        <w:ilvl w:val="3"/>
        <w:numId w:val="16"/>
      </w:numPr>
      <w:spacing w:before="0" w:after="240"/>
    </w:pPr>
    <w:rPr>
      <w:rFonts w:eastAsia="Times New Roman"/>
    </w:rPr>
  </w:style>
  <w:style w:type="paragraph" w:customStyle="1" w:styleId="Contact">
    <w:name w:val="Contact"/>
    <w:basedOn w:val="Normal"/>
    <w:next w:val="Enclosures"/>
    <w:rsid w:val="00FB701A"/>
    <w:pPr>
      <w:spacing w:before="480" w:after="0"/>
      <w:ind w:left="567" w:hanging="567"/>
      <w:jc w:val="left"/>
    </w:pPr>
    <w:rPr>
      <w:rFonts w:eastAsia="Times New Roman"/>
    </w:rPr>
  </w:style>
  <w:style w:type="paragraph" w:customStyle="1" w:styleId="DisclaimerNotice">
    <w:name w:val="Disclaimer Notice"/>
    <w:basedOn w:val="Normal"/>
    <w:next w:val="AddressTR"/>
    <w:rsid w:val="00FB701A"/>
    <w:pPr>
      <w:spacing w:before="0" w:after="240"/>
      <w:ind w:left="5103"/>
      <w:jc w:val="left"/>
    </w:pPr>
    <w:rPr>
      <w:rFonts w:eastAsia="Times New Roman"/>
      <w:i/>
      <w:sz w:val="20"/>
    </w:rPr>
  </w:style>
  <w:style w:type="paragraph" w:customStyle="1" w:styleId="Disclaimer">
    <w:name w:val="Disclaimer"/>
    <w:basedOn w:val="Normal"/>
    <w:rsid w:val="00FB701A"/>
    <w:pPr>
      <w:keepLines/>
      <w:pBdr>
        <w:top w:val="single" w:sz="4" w:space="1" w:color="auto"/>
      </w:pBdr>
      <w:spacing w:before="480" w:after="0"/>
    </w:pPr>
    <w:rPr>
      <w:rFonts w:eastAsia="Times New Roman"/>
      <w:i/>
    </w:rPr>
  </w:style>
  <w:style w:type="character" w:styleId="FollowedHyperlink">
    <w:name w:val="FollowedHyperlink"/>
    <w:rsid w:val="00FB701A"/>
    <w:rPr>
      <w:color w:val="800080"/>
      <w:u w:val="single"/>
    </w:rPr>
  </w:style>
  <w:style w:type="paragraph" w:customStyle="1" w:styleId="DisclaimerSJ">
    <w:name w:val="Disclaimer_SJ"/>
    <w:basedOn w:val="Normal"/>
    <w:next w:val="Normal"/>
    <w:rsid w:val="00FB701A"/>
    <w:pPr>
      <w:spacing w:before="0" w:after="0"/>
    </w:pPr>
    <w:rPr>
      <w:rFonts w:ascii="Arial" w:eastAsia="Times New Roman" w:hAnsi="Arial"/>
      <w:b/>
      <w:sz w:val="16"/>
    </w:rPr>
  </w:style>
  <w:style w:type="paragraph" w:styleId="NormalWeb">
    <w:name w:val="Normal (Web)"/>
    <w:basedOn w:val="Normal"/>
    <w:rsid w:val="00FB701A"/>
    <w:pPr>
      <w:suppressAutoHyphens/>
      <w:spacing w:before="100" w:after="100"/>
      <w:jc w:val="left"/>
    </w:pPr>
    <w:rPr>
      <w:rFonts w:eastAsia="Times New Roman"/>
      <w:szCs w:val="24"/>
      <w:lang w:eastAsia="ar-SA"/>
    </w:rPr>
  </w:style>
  <w:style w:type="character" w:customStyle="1" w:styleId="Text1Char">
    <w:name w:val="Text 1 Char"/>
    <w:link w:val="Text1"/>
    <w:locked/>
    <w:rsid w:val="00FB701A"/>
    <w:rPr>
      <w:rFonts w:ascii="Times New Roman" w:hAnsi="Times New Roman"/>
      <w:sz w:val="24"/>
      <w:szCs w:val="22"/>
      <w:lang w:eastAsia="en-US"/>
    </w:rPr>
  </w:style>
  <w:style w:type="table" w:styleId="TableGrid">
    <w:name w:val="Table Grid"/>
    <w:basedOn w:val="TableNormal"/>
    <w:rsid w:val="00FB70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nualNumPar1Char">
    <w:name w:val="Manual NumPar 1 Char"/>
    <w:link w:val="ManualNumPar1"/>
    <w:rsid w:val="00FB701A"/>
    <w:rPr>
      <w:rFonts w:ascii="Times New Roman" w:hAnsi="Times New Roman"/>
      <w:sz w:val="24"/>
      <w:szCs w:val="22"/>
      <w:lang w:eastAsia="en-US"/>
    </w:rPr>
  </w:style>
  <w:style w:type="character" w:styleId="PageNumber">
    <w:name w:val="page number"/>
    <w:rsid w:val="00FB701A"/>
  </w:style>
  <w:style w:type="paragraph" w:styleId="BalloonText">
    <w:name w:val="Balloon Text"/>
    <w:basedOn w:val="Normal"/>
    <w:link w:val="BalloonTextChar"/>
    <w:semiHidden/>
    <w:rsid w:val="00FB701A"/>
    <w:pPr>
      <w:spacing w:before="0" w:after="240"/>
    </w:pPr>
    <w:rPr>
      <w:rFonts w:ascii="Tahoma" w:eastAsia="Times New Roman" w:hAnsi="Tahoma" w:cs="Tahoma"/>
      <w:sz w:val="16"/>
      <w:szCs w:val="16"/>
    </w:rPr>
  </w:style>
  <w:style w:type="character" w:customStyle="1" w:styleId="BalloonTextChar">
    <w:name w:val="Balloon Text Char"/>
    <w:link w:val="BalloonText"/>
    <w:semiHidden/>
    <w:rsid w:val="00FB701A"/>
    <w:rPr>
      <w:rFonts w:ascii="Tahoma" w:eastAsia="Times New Roman" w:hAnsi="Tahoma" w:cs="Tahoma"/>
      <w:sz w:val="16"/>
      <w:szCs w:val="16"/>
      <w:lang w:eastAsia="en-US"/>
    </w:rPr>
  </w:style>
  <w:style w:type="paragraph" w:customStyle="1" w:styleId="StyleHeading3BoldNotItalic">
    <w:name w:val="Style Heading 3 + Bold Not Italic"/>
    <w:basedOn w:val="Heading3"/>
    <w:autoRedefine/>
    <w:rsid w:val="00FB701A"/>
    <w:pPr>
      <w:spacing w:before="0" w:after="240"/>
      <w:ind w:left="720" w:hanging="720"/>
    </w:pPr>
    <w:rPr>
      <w:rFonts w:ascii="Times New Roman Bold" w:hAnsi="Times New Roman Bold"/>
    </w:rPr>
  </w:style>
  <w:style w:type="character" w:styleId="CommentReference">
    <w:name w:val="annotation reference"/>
    <w:uiPriority w:val="99"/>
    <w:rsid w:val="00FB701A"/>
    <w:rPr>
      <w:sz w:val="16"/>
      <w:szCs w:val="16"/>
    </w:rPr>
  </w:style>
  <w:style w:type="paragraph" w:styleId="CommentSubject">
    <w:name w:val="annotation subject"/>
    <w:basedOn w:val="CommentText"/>
    <w:next w:val="CommentText"/>
    <w:link w:val="CommentSubjectChar"/>
    <w:semiHidden/>
    <w:rsid w:val="00FB701A"/>
    <w:rPr>
      <w:b/>
      <w:bCs/>
    </w:rPr>
  </w:style>
  <w:style w:type="character" w:customStyle="1" w:styleId="CommentSubjectChar">
    <w:name w:val="Comment Subject Char"/>
    <w:link w:val="CommentSubject"/>
    <w:semiHidden/>
    <w:rsid w:val="00FB701A"/>
    <w:rPr>
      <w:rFonts w:ascii="Times New Roman" w:eastAsia="Times New Roman" w:hAnsi="Times New Roman"/>
      <w:b/>
      <w:bCs/>
      <w:lang w:eastAsia="en-US"/>
    </w:rPr>
  </w:style>
  <w:style w:type="paragraph" w:customStyle="1" w:styleId="Annextitle">
    <w:name w:val="Annex title"/>
    <w:basedOn w:val="Normal"/>
    <w:autoRedefine/>
    <w:rsid w:val="00FB701A"/>
    <w:pPr>
      <w:spacing w:after="240"/>
      <w:jc w:val="left"/>
    </w:pPr>
    <w:rPr>
      <w:rFonts w:ascii="Times New Roman Bold" w:eastAsia="Times New Roman" w:hAnsi="Times New Roman Bold"/>
      <w:iCs/>
      <w:smallCaps/>
      <w:szCs w:val="24"/>
    </w:rPr>
  </w:style>
  <w:style w:type="paragraph" w:styleId="Revision">
    <w:name w:val="Revision"/>
    <w:hidden/>
    <w:uiPriority w:val="99"/>
    <w:semiHidden/>
    <w:rsid w:val="00FB701A"/>
    <w:rPr>
      <w:rFonts w:ascii="Times New Roman" w:eastAsia="Times New Roman" w:hAnsi="Times New Roman"/>
      <w:sz w:val="24"/>
      <w:lang w:eastAsia="en-US"/>
    </w:rPr>
  </w:style>
  <w:style w:type="character" w:styleId="EndnoteReference">
    <w:name w:val="endnote reference"/>
    <w:rsid w:val="00FB701A"/>
    <w:rPr>
      <w:vertAlign w:val="superscript"/>
    </w:rPr>
  </w:style>
  <w:style w:type="paragraph" w:styleId="ListParagraph">
    <w:name w:val="List Paragraph"/>
    <w:basedOn w:val="Normal"/>
    <w:link w:val="ListParagraphChar"/>
    <w:uiPriority w:val="34"/>
    <w:qFormat/>
    <w:rsid w:val="00FB701A"/>
    <w:pPr>
      <w:spacing w:before="0" w:after="240"/>
      <w:ind w:left="720"/>
    </w:pPr>
    <w:rPr>
      <w:rFonts w:eastAsia="Times New Roman"/>
    </w:rPr>
  </w:style>
  <w:style w:type="paragraph" w:customStyle="1" w:styleId="StyleHeading1Hanging085cm">
    <w:name w:val="Style Heading 1 + Hanging:  0.85 cm"/>
    <w:basedOn w:val="Heading1"/>
    <w:autoRedefine/>
    <w:rsid w:val="00FB701A"/>
    <w:pPr>
      <w:numPr>
        <w:numId w:val="0"/>
      </w:numPr>
      <w:spacing w:after="240"/>
    </w:pPr>
    <w:rPr>
      <w:bCs w:val="0"/>
      <w:szCs w:val="24"/>
    </w:rPr>
  </w:style>
  <w:style w:type="paragraph" w:customStyle="1" w:styleId="StyleHeading1Left0cm">
    <w:name w:val="Style Heading 1 + Left:  0 cm"/>
    <w:basedOn w:val="Heading1"/>
    <w:autoRedefine/>
    <w:rsid w:val="00FB701A"/>
    <w:pPr>
      <w:numPr>
        <w:numId w:val="18"/>
      </w:numPr>
      <w:spacing w:after="240"/>
    </w:pPr>
    <w:rPr>
      <w:rFonts w:ascii="Times New Roman Bold" w:hAnsi="Times New Roman Bold"/>
      <w:bCs w:val="0"/>
      <w:szCs w:val="24"/>
    </w:rPr>
  </w:style>
  <w:style w:type="character" w:customStyle="1" w:styleId="CharacterStyle2">
    <w:name w:val="Character Style 2"/>
    <w:uiPriority w:val="99"/>
    <w:rsid w:val="00FB701A"/>
    <w:rPr>
      <w:sz w:val="20"/>
      <w:szCs w:val="20"/>
    </w:rPr>
  </w:style>
  <w:style w:type="character" w:styleId="Hyperlink">
    <w:name w:val="Hyperlink"/>
    <w:uiPriority w:val="99"/>
    <w:unhideWhenUsed/>
    <w:rsid w:val="00481558"/>
    <w:rPr>
      <w:color w:val="0000FF"/>
      <w:u w:val="single"/>
    </w:rPr>
  </w:style>
  <w:style w:type="paragraph" w:styleId="Header">
    <w:name w:val="header"/>
    <w:basedOn w:val="Normal"/>
    <w:link w:val="HeaderChar"/>
    <w:uiPriority w:val="99"/>
    <w:unhideWhenUsed/>
    <w:rsid w:val="006A4BDD"/>
    <w:pPr>
      <w:tabs>
        <w:tab w:val="center" w:pos="4535"/>
        <w:tab w:val="right" w:pos="9071"/>
      </w:tabs>
      <w:spacing w:before="0"/>
    </w:pPr>
    <w:rPr>
      <w:rFonts w:eastAsiaTheme="minorHAnsi"/>
      <w:szCs w:val="22"/>
      <w:lang w:eastAsia="en-US"/>
    </w:rPr>
  </w:style>
  <w:style w:type="character" w:customStyle="1" w:styleId="HeaderChar">
    <w:name w:val="Header Char"/>
    <w:basedOn w:val="DefaultParagraphFont"/>
    <w:link w:val="Header"/>
    <w:uiPriority w:val="99"/>
    <w:rsid w:val="006A4BDD"/>
    <w:rPr>
      <w:rFonts w:ascii="Times New Roman" w:eastAsiaTheme="minorHAnsi" w:hAnsi="Times New Roman"/>
      <w:sz w:val="24"/>
      <w:szCs w:val="22"/>
      <w:lang w:eastAsia="en-US"/>
    </w:rPr>
  </w:style>
  <w:style w:type="paragraph" w:styleId="Footer">
    <w:name w:val="footer"/>
    <w:basedOn w:val="Normal"/>
    <w:link w:val="FooterChar"/>
    <w:uiPriority w:val="99"/>
    <w:unhideWhenUsed/>
    <w:rsid w:val="0075503A"/>
    <w:pPr>
      <w:tabs>
        <w:tab w:val="center" w:pos="4535"/>
        <w:tab w:val="right" w:pos="9071"/>
        <w:tab w:val="right" w:pos="9921"/>
      </w:tabs>
      <w:spacing w:before="360" w:after="0"/>
      <w:ind w:left="-850" w:right="-850"/>
      <w:jc w:val="left"/>
    </w:pPr>
  </w:style>
  <w:style w:type="character" w:customStyle="1" w:styleId="FooterChar">
    <w:name w:val="Footer Char"/>
    <w:link w:val="Footer"/>
    <w:uiPriority w:val="99"/>
    <w:rsid w:val="0075503A"/>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5503A"/>
    <w:pPr>
      <w:spacing w:before="0" w:after="0"/>
      <w:ind w:left="720" w:hanging="720"/>
    </w:pPr>
    <w:rPr>
      <w:sz w:val="20"/>
    </w:rPr>
  </w:style>
  <w:style w:type="character" w:customStyle="1" w:styleId="FootnoteTextChar">
    <w:name w:val="Footnote Text Char"/>
    <w:link w:val="FootnoteText"/>
    <w:uiPriority w:val="99"/>
    <w:semiHidden/>
    <w:rsid w:val="0075503A"/>
    <w:rPr>
      <w:rFonts w:ascii="Times New Roman" w:hAnsi="Times New Roman" w:cs="Times New Roman"/>
      <w:sz w:val="20"/>
      <w:szCs w:val="20"/>
      <w:shd w:val="clear" w:color="auto" w:fill="auto"/>
      <w:lang w:val="en-GB"/>
    </w:rPr>
  </w:style>
  <w:style w:type="character" w:customStyle="1" w:styleId="Heading1Char">
    <w:name w:val="Heading 1 Char"/>
    <w:link w:val="Heading1"/>
    <w:uiPriority w:val="9"/>
    <w:rsid w:val="0075503A"/>
    <w:rPr>
      <w:rFonts w:ascii="Times New Roman" w:eastAsia="Times New Roman" w:hAnsi="Times New Roman"/>
      <w:b/>
      <w:bCs/>
      <w:smallCaps/>
      <w:sz w:val="24"/>
      <w:szCs w:val="28"/>
    </w:rPr>
  </w:style>
  <w:style w:type="character" w:customStyle="1" w:styleId="Heading2Char">
    <w:name w:val="Heading 2 Char"/>
    <w:link w:val="Heading2"/>
    <w:uiPriority w:val="9"/>
    <w:rsid w:val="0075503A"/>
    <w:rPr>
      <w:rFonts w:ascii="Times New Roman" w:eastAsia="Times New Roman" w:hAnsi="Times New Roman"/>
      <w:b/>
      <w:bCs/>
      <w:sz w:val="24"/>
      <w:szCs w:val="26"/>
    </w:rPr>
  </w:style>
  <w:style w:type="character" w:customStyle="1" w:styleId="Heading3Char">
    <w:name w:val="Heading 3 Char"/>
    <w:link w:val="Heading3"/>
    <w:uiPriority w:val="9"/>
    <w:rsid w:val="0075503A"/>
    <w:rPr>
      <w:rFonts w:ascii="Times New Roman" w:eastAsia="Times New Roman" w:hAnsi="Times New Roman"/>
      <w:bCs/>
      <w:i/>
      <w:sz w:val="24"/>
    </w:rPr>
  </w:style>
  <w:style w:type="character" w:customStyle="1" w:styleId="Heading4Char">
    <w:name w:val="Heading 4 Char"/>
    <w:link w:val="Heading4"/>
    <w:uiPriority w:val="9"/>
    <w:rsid w:val="0075503A"/>
    <w:rPr>
      <w:rFonts w:ascii="Times New Roman" w:eastAsia="Times New Roman" w:hAnsi="Times New Roman"/>
      <w:bCs/>
      <w:iCs/>
      <w:sz w:val="24"/>
    </w:rPr>
  </w:style>
  <w:style w:type="paragraph" w:styleId="TOCHeading">
    <w:name w:val="TOC Heading"/>
    <w:basedOn w:val="Normal"/>
    <w:next w:val="Normal"/>
    <w:uiPriority w:val="39"/>
    <w:semiHidden/>
    <w:unhideWhenUsed/>
    <w:qFormat/>
    <w:rsid w:val="0075503A"/>
    <w:pPr>
      <w:spacing w:after="240"/>
      <w:jc w:val="center"/>
    </w:pPr>
    <w:rPr>
      <w:b/>
      <w:sz w:val="28"/>
    </w:rPr>
  </w:style>
  <w:style w:type="paragraph" w:styleId="TOC1">
    <w:name w:val="toc 1"/>
    <w:basedOn w:val="Normal"/>
    <w:next w:val="Normal"/>
    <w:uiPriority w:val="39"/>
    <w:unhideWhenUsed/>
    <w:rsid w:val="0075503A"/>
    <w:pPr>
      <w:tabs>
        <w:tab w:val="right" w:leader="dot" w:pos="9071"/>
      </w:tabs>
      <w:spacing w:before="60"/>
      <w:ind w:left="850" w:hanging="850"/>
      <w:jc w:val="left"/>
    </w:pPr>
  </w:style>
  <w:style w:type="paragraph" w:styleId="TOC2">
    <w:name w:val="toc 2"/>
    <w:basedOn w:val="Normal"/>
    <w:next w:val="Normal"/>
    <w:uiPriority w:val="39"/>
    <w:unhideWhenUsed/>
    <w:rsid w:val="0075503A"/>
    <w:pPr>
      <w:tabs>
        <w:tab w:val="right" w:leader="dot" w:pos="9071"/>
      </w:tabs>
      <w:spacing w:before="60"/>
      <w:ind w:left="850" w:hanging="850"/>
      <w:jc w:val="left"/>
    </w:pPr>
  </w:style>
  <w:style w:type="paragraph" w:styleId="TOC3">
    <w:name w:val="toc 3"/>
    <w:basedOn w:val="Normal"/>
    <w:next w:val="Normal"/>
    <w:uiPriority w:val="39"/>
    <w:unhideWhenUsed/>
    <w:rsid w:val="0075503A"/>
    <w:pPr>
      <w:tabs>
        <w:tab w:val="right" w:leader="dot" w:pos="9071"/>
      </w:tabs>
      <w:spacing w:before="60"/>
      <w:ind w:left="850" w:hanging="850"/>
      <w:jc w:val="left"/>
    </w:pPr>
  </w:style>
  <w:style w:type="paragraph" w:styleId="TOC4">
    <w:name w:val="toc 4"/>
    <w:basedOn w:val="Normal"/>
    <w:next w:val="Normal"/>
    <w:uiPriority w:val="39"/>
    <w:semiHidden/>
    <w:unhideWhenUsed/>
    <w:rsid w:val="0075503A"/>
    <w:pPr>
      <w:tabs>
        <w:tab w:val="right" w:leader="dot" w:pos="9071"/>
      </w:tabs>
      <w:spacing w:before="60"/>
      <w:ind w:left="850" w:hanging="850"/>
      <w:jc w:val="left"/>
    </w:pPr>
  </w:style>
  <w:style w:type="paragraph" w:styleId="TOC5">
    <w:name w:val="toc 5"/>
    <w:basedOn w:val="Normal"/>
    <w:next w:val="Normal"/>
    <w:uiPriority w:val="39"/>
    <w:semiHidden/>
    <w:unhideWhenUsed/>
    <w:rsid w:val="0075503A"/>
    <w:pPr>
      <w:tabs>
        <w:tab w:val="right" w:leader="dot" w:pos="9071"/>
      </w:tabs>
      <w:spacing w:before="300"/>
      <w:jc w:val="left"/>
    </w:pPr>
  </w:style>
  <w:style w:type="paragraph" w:styleId="TOC6">
    <w:name w:val="toc 6"/>
    <w:basedOn w:val="Normal"/>
    <w:next w:val="Normal"/>
    <w:uiPriority w:val="39"/>
    <w:semiHidden/>
    <w:unhideWhenUsed/>
    <w:rsid w:val="0075503A"/>
    <w:pPr>
      <w:tabs>
        <w:tab w:val="right" w:leader="dot" w:pos="9071"/>
      </w:tabs>
      <w:spacing w:before="240"/>
      <w:jc w:val="left"/>
    </w:pPr>
  </w:style>
  <w:style w:type="paragraph" w:styleId="TOC7">
    <w:name w:val="toc 7"/>
    <w:basedOn w:val="Normal"/>
    <w:next w:val="Normal"/>
    <w:uiPriority w:val="39"/>
    <w:semiHidden/>
    <w:unhideWhenUsed/>
    <w:rsid w:val="0075503A"/>
    <w:pPr>
      <w:tabs>
        <w:tab w:val="right" w:leader="dot" w:pos="9071"/>
      </w:tabs>
      <w:spacing w:before="180"/>
      <w:jc w:val="left"/>
    </w:pPr>
  </w:style>
  <w:style w:type="paragraph" w:styleId="TOC8">
    <w:name w:val="toc 8"/>
    <w:basedOn w:val="Normal"/>
    <w:next w:val="Normal"/>
    <w:uiPriority w:val="39"/>
    <w:semiHidden/>
    <w:unhideWhenUsed/>
    <w:rsid w:val="0075503A"/>
    <w:pPr>
      <w:tabs>
        <w:tab w:val="right" w:leader="dot" w:pos="9071"/>
      </w:tabs>
      <w:jc w:val="left"/>
    </w:pPr>
  </w:style>
  <w:style w:type="paragraph" w:styleId="TOC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6A4BDD"/>
    <w:pPr>
      <w:tabs>
        <w:tab w:val="center" w:pos="7285"/>
        <w:tab w:val="right" w:pos="14003"/>
      </w:tabs>
      <w:spacing w:before="0"/>
    </w:pPr>
    <w:rPr>
      <w:rFonts w:eastAsiaTheme="minorHAnsi"/>
      <w:szCs w:val="22"/>
      <w:lang w:eastAsia="en-US"/>
    </w:r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FootnoteReference">
    <w:name w:val="footnote reference"/>
    <w:uiPriority w:val="99"/>
    <w:semiHidden/>
    <w:unhideWhenUsed/>
    <w:rsid w:val="0075503A"/>
    <w:rPr>
      <w:shd w:val="clear" w:color="auto" w:fill="auto"/>
      <w:vertAlign w:val="superscript"/>
    </w:rPr>
  </w:style>
  <w:style w:type="paragraph" w:customStyle="1" w:styleId="Text1">
    <w:name w:val="Text 1"/>
    <w:basedOn w:val="Normal"/>
    <w:link w:val="Text1Char"/>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20"/>
      </w:numPr>
    </w:pPr>
  </w:style>
  <w:style w:type="paragraph" w:customStyle="1" w:styleId="Tiret1">
    <w:name w:val="Tiret 1"/>
    <w:basedOn w:val="Point1"/>
    <w:rsid w:val="0075503A"/>
    <w:pPr>
      <w:numPr>
        <w:numId w:val="21"/>
      </w:numPr>
    </w:pPr>
  </w:style>
  <w:style w:type="paragraph" w:customStyle="1" w:styleId="Tiret2">
    <w:name w:val="Tiret 2"/>
    <w:basedOn w:val="Point2"/>
    <w:rsid w:val="0075503A"/>
    <w:pPr>
      <w:numPr>
        <w:numId w:val="22"/>
      </w:numPr>
    </w:pPr>
  </w:style>
  <w:style w:type="paragraph" w:customStyle="1" w:styleId="Tiret3">
    <w:name w:val="Tiret 3"/>
    <w:basedOn w:val="Point3"/>
    <w:rsid w:val="0075503A"/>
    <w:pPr>
      <w:numPr>
        <w:numId w:val="23"/>
      </w:numPr>
    </w:pPr>
  </w:style>
  <w:style w:type="paragraph" w:customStyle="1" w:styleId="Tiret4">
    <w:name w:val="Tiret 4"/>
    <w:basedOn w:val="Point4"/>
    <w:rsid w:val="0075503A"/>
    <w:pPr>
      <w:numPr>
        <w:numId w:val="24"/>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25"/>
      </w:numPr>
    </w:pPr>
  </w:style>
  <w:style w:type="paragraph" w:customStyle="1" w:styleId="NumPar2">
    <w:name w:val="NumPar 2"/>
    <w:basedOn w:val="Normal"/>
    <w:next w:val="Text1"/>
    <w:rsid w:val="0075503A"/>
    <w:pPr>
      <w:numPr>
        <w:ilvl w:val="1"/>
        <w:numId w:val="25"/>
      </w:numPr>
    </w:pPr>
  </w:style>
  <w:style w:type="paragraph" w:customStyle="1" w:styleId="NumPar3">
    <w:name w:val="NumPar 3"/>
    <w:basedOn w:val="Normal"/>
    <w:next w:val="Text1"/>
    <w:rsid w:val="0075503A"/>
    <w:pPr>
      <w:numPr>
        <w:ilvl w:val="2"/>
        <w:numId w:val="25"/>
      </w:numPr>
    </w:pPr>
  </w:style>
  <w:style w:type="paragraph" w:customStyle="1" w:styleId="NumPar4">
    <w:name w:val="NumPar 4"/>
    <w:basedOn w:val="Normal"/>
    <w:next w:val="Text1"/>
    <w:rsid w:val="0075503A"/>
    <w:pPr>
      <w:numPr>
        <w:ilvl w:val="3"/>
        <w:numId w:val="25"/>
      </w:numPr>
    </w:pPr>
  </w:style>
  <w:style w:type="paragraph" w:customStyle="1" w:styleId="ManualNumPar1">
    <w:name w:val="Manual NumPar 1"/>
    <w:basedOn w:val="Normal"/>
    <w:next w:val="Text1"/>
    <w:link w:val="ManualNumPar1Char"/>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Heading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rsid w:val="0075503A"/>
    <w:rPr>
      <w:color w:val="0000FF"/>
      <w:shd w:val="clear" w:color="auto" w:fill="auto"/>
    </w:rPr>
  </w:style>
  <w:style w:type="character" w:customStyle="1" w:styleId="Marker1">
    <w:name w:val="Marker1"/>
    <w:rsid w:val="0075503A"/>
    <w:rPr>
      <w:color w:val="008000"/>
      <w:shd w:val="clear" w:color="auto" w:fill="auto"/>
    </w:rPr>
  </w:style>
  <w:style w:type="character" w:customStyle="1" w:styleId="Marker2">
    <w:name w:val="Marker2"/>
    <w:rsid w:val="0075503A"/>
    <w:rPr>
      <w:color w:val="FF0000"/>
      <w:shd w:val="clear" w:color="auto" w:fill="auto"/>
    </w:rPr>
  </w:style>
  <w:style w:type="paragraph" w:customStyle="1" w:styleId="Point0number">
    <w:name w:val="Point 0 (number)"/>
    <w:basedOn w:val="Normal"/>
    <w:rsid w:val="0075503A"/>
    <w:pPr>
      <w:numPr>
        <w:numId w:val="27"/>
      </w:numPr>
    </w:pPr>
  </w:style>
  <w:style w:type="paragraph" w:customStyle="1" w:styleId="Point1number">
    <w:name w:val="Point 1 (number)"/>
    <w:basedOn w:val="Normal"/>
    <w:rsid w:val="0075503A"/>
    <w:pPr>
      <w:numPr>
        <w:ilvl w:val="2"/>
        <w:numId w:val="27"/>
      </w:numPr>
    </w:pPr>
  </w:style>
  <w:style w:type="paragraph" w:customStyle="1" w:styleId="Point2number">
    <w:name w:val="Point 2 (number)"/>
    <w:basedOn w:val="Normal"/>
    <w:rsid w:val="0075503A"/>
    <w:pPr>
      <w:numPr>
        <w:ilvl w:val="4"/>
        <w:numId w:val="27"/>
      </w:numPr>
    </w:pPr>
  </w:style>
  <w:style w:type="paragraph" w:customStyle="1" w:styleId="Point3number">
    <w:name w:val="Point 3 (number)"/>
    <w:basedOn w:val="Normal"/>
    <w:rsid w:val="0075503A"/>
    <w:pPr>
      <w:numPr>
        <w:ilvl w:val="6"/>
        <w:numId w:val="27"/>
      </w:numPr>
    </w:pPr>
  </w:style>
  <w:style w:type="paragraph" w:customStyle="1" w:styleId="Point0letter">
    <w:name w:val="Point 0 (letter)"/>
    <w:basedOn w:val="Normal"/>
    <w:rsid w:val="0075503A"/>
    <w:pPr>
      <w:numPr>
        <w:ilvl w:val="1"/>
        <w:numId w:val="27"/>
      </w:numPr>
    </w:pPr>
  </w:style>
  <w:style w:type="paragraph" w:customStyle="1" w:styleId="Point1letter">
    <w:name w:val="Point 1 (letter)"/>
    <w:basedOn w:val="Normal"/>
    <w:rsid w:val="0075503A"/>
    <w:pPr>
      <w:numPr>
        <w:ilvl w:val="3"/>
        <w:numId w:val="27"/>
      </w:numPr>
    </w:pPr>
  </w:style>
  <w:style w:type="paragraph" w:customStyle="1" w:styleId="Point2letter">
    <w:name w:val="Point 2 (letter)"/>
    <w:basedOn w:val="Normal"/>
    <w:rsid w:val="0075503A"/>
    <w:pPr>
      <w:numPr>
        <w:ilvl w:val="5"/>
        <w:numId w:val="27"/>
      </w:numPr>
    </w:pPr>
  </w:style>
  <w:style w:type="paragraph" w:customStyle="1" w:styleId="Point3letter">
    <w:name w:val="Point 3 (letter)"/>
    <w:basedOn w:val="Normal"/>
    <w:rsid w:val="0075503A"/>
    <w:pPr>
      <w:numPr>
        <w:ilvl w:val="7"/>
        <w:numId w:val="27"/>
      </w:numPr>
    </w:pPr>
  </w:style>
  <w:style w:type="paragraph" w:customStyle="1" w:styleId="Point4letter">
    <w:name w:val="Point 4 (letter)"/>
    <w:basedOn w:val="Normal"/>
    <w:rsid w:val="0075503A"/>
    <w:pPr>
      <w:numPr>
        <w:ilvl w:val="8"/>
        <w:numId w:val="27"/>
      </w:numPr>
    </w:pPr>
  </w:style>
  <w:style w:type="paragraph" w:customStyle="1" w:styleId="Bullet0">
    <w:name w:val="Bullet 0"/>
    <w:basedOn w:val="Normal"/>
    <w:rsid w:val="0075503A"/>
    <w:pPr>
      <w:numPr>
        <w:numId w:val="28"/>
      </w:numPr>
    </w:pPr>
  </w:style>
  <w:style w:type="paragraph" w:customStyle="1" w:styleId="Bullet1">
    <w:name w:val="Bullet 1"/>
    <w:basedOn w:val="Normal"/>
    <w:rsid w:val="0075503A"/>
    <w:pPr>
      <w:numPr>
        <w:numId w:val="29"/>
      </w:numPr>
    </w:pPr>
  </w:style>
  <w:style w:type="paragraph" w:customStyle="1" w:styleId="Bullet2">
    <w:name w:val="Bullet 2"/>
    <w:basedOn w:val="Normal"/>
    <w:rsid w:val="0075503A"/>
    <w:pPr>
      <w:numPr>
        <w:numId w:val="30"/>
      </w:numPr>
    </w:pPr>
  </w:style>
  <w:style w:type="paragraph" w:customStyle="1" w:styleId="Bullet3">
    <w:name w:val="Bullet 3"/>
    <w:basedOn w:val="Normal"/>
    <w:rsid w:val="0075503A"/>
    <w:pPr>
      <w:numPr>
        <w:numId w:val="31"/>
      </w:numPr>
    </w:pPr>
  </w:style>
  <w:style w:type="paragraph" w:customStyle="1" w:styleId="Bullet4">
    <w:name w:val="Bullet 4"/>
    <w:basedOn w:val="Normal"/>
    <w:rsid w:val="0075503A"/>
    <w:pPr>
      <w:numPr>
        <w:numId w:val="32"/>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uiPriority w:val="99"/>
    <w:rsid w:val="0075503A"/>
    <w:pPr>
      <w:numPr>
        <w:numId w:val="33"/>
      </w:numPr>
    </w:pPr>
  </w:style>
  <w:style w:type="paragraph" w:customStyle="1" w:styleId="Corrigendum">
    <w:name w:val="Corrigendum"/>
    <w:basedOn w:val="Normal"/>
    <w:next w:val="Normal"/>
    <w:rsid w:val="0075503A"/>
    <w:pPr>
      <w:spacing w:before="0"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before="0"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before="0"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before="0" w:after="0"/>
      <w:jc w:val="left"/>
    </w:pPr>
    <w:rPr>
      <w:i/>
    </w:rPr>
  </w:style>
  <w:style w:type="paragraph" w:customStyle="1" w:styleId="Rfrenceinstitutionnelle">
    <w:name w:val="Référence institutionnelle"/>
    <w:basedOn w:val="Normal"/>
    <w:next w:val="Confidentialit"/>
    <w:rsid w:val="0075503A"/>
    <w:pPr>
      <w:spacing w:before="0" w:after="240"/>
      <w:ind w:left="5103"/>
      <w:jc w:val="left"/>
    </w:pPr>
  </w:style>
  <w:style w:type="paragraph" w:customStyle="1" w:styleId="Rfrenceinterinstitutionnelle">
    <w:name w:val="Référence interinstitutionnelle"/>
    <w:basedOn w:val="Normal"/>
    <w:next w:val="Statut"/>
    <w:rsid w:val="0075503A"/>
    <w:pPr>
      <w:spacing w:before="0" w:after="0"/>
      <w:ind w:left="5103"/>
      <w:jc w:val="left"/>
    </w:pPr>
  </w:style>
  <w:style w:type="paragraph" w:customStyle="1" w:styleId="Rfrenceinterne">
    <w:name w:val="Référence interne"/>
    <w:basedOn w:val="Normal"/>
    <w:next w:val="Rfrenceinterinstitutionnelle"/>
    <w:rsid w:val="0075503A"/>
    <w:pPr>
      <w:spacing w:before="0" w:after="0"/>
      <w:ind w:left="5103"/>
      <w:jc w:val="left"/>
    </w:pPr>
  </w:style>
  <w:style w:type="paragraph" w:customStyle="1" w:styleId="Sous-titreobjet">
    <w:name w:val="Sous-titre objet"/>
    <w:basedOn w:val="Normal"/>
    <w:rsid w:val="0075503A"/>
    <w:pPr>
      <w:spacing w:before="0"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rsid w:val="0075503A"/>
    <w:rPr>
      <w:b/>
      <w:u w:val="single"/>
      <w:shd w:val="clear" w:color="auto" w:fill="auto"/>
    </w:rPr>
  </w:style>
  <w:style w:type="character" w:customStyle="1" w:styleId="Deleted">
    <w:name w:val="Deleted"/>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before="0" w:after="0"/>
    </w:pPr>
  </w:style>
  <w:style w:type="paragraph" w:customStyle="1" w:styleId="Supertitre">
    <w:name w:val="Supertitre"/>
    <w:basedOn w:val="Normal"/>
    <w:next w:val="Normal"/>
    <w:rsid w:val="0075503A"/>
    <w:pPr>
      <w:spacing w:before="0"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before="0"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before="0"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before="0" w:after="240"/>
      <w:jc w:val="center"/>
    </w:pPr>
    <w:rPr>
      <w:b/>
    </w:rPr>
  </w:style>
  <w:style w:type="paragraph" w:customStyle="1" w:styleId="Objetacteprincipal">
    <w:name w:val="Objet acte principal"/>
    <w:basedOn w:val="Normal"/>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 w:type="paragraph" w:styleId="NoSpacing">
    <w:name w:val="No Spacing"/>
    <w:link w:val="NoSpacingChar"/>
    <w:uiPriority w:val="1"/>
    <w:qFormat/>
    <w:rsid w:val="00BA642B"/>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BA642B"/>
    <w:rPr>
      <w:rFonts w:asciiTheme="minorHAnsi" w:eastAsiaTheme="minorEastAsia" w:hAnsiTheme="minorHAnsi" w:cstheme="minorBidi"/>
      <w:sz w:val="22"/>
      <w:szCs w:val="22"/>
      <w:lang w:val="en-US" w:eastAsia="ja-JP"/>
    </w:rPr>
  </w:style>
  <w:style w:type="paragraph" w:customStyle="1" w:styleId="7C1ACB1844B645AE9187B20DABB10BEE">
    <w:name w:val="7C1ACB1844B645AE9187B20DABB10BEE"/>
    <w:rsid w:val="00BA642B"/>
    <w:pPr>
      <w:spacing w:after="200" w:line="276" w:lineRule="auto"/>
    </w:pPr>
    <w:rPr>
      <w:rFonts w:asciiTheme="minorHAnsi" w:eastAsiaTheme="minorEastAsia" w:hAnsiTheme="minorHAnsi" w:cstheme="minorBidi"/>
      <w:sz w:val="22"/>
      <w:szCs w:val="22"/>
      <w:lang w:val="en-US" w:eastAsia="ja-JP"/>
    </w:rPr>
  </w:style>
  <w:style w:type="paragraph" w:customStyle="1" w:styleId="Tekstkader">
    <w:name w:val="Tekstkader"/>
    <w:basedOn w:val="Normal"/>
    <w:rsid w:val="00381B5E"/>
    <w:pPr>
      <w:pBdr>
        <w:left w:val="single" w:sz="4" w:space="4" w:color="006487"/>
      </w:pBdr>
      <w:suppressAutoHyphens/>
      <w:overflowPunct w:val="0"/>
      <w:autoSpaceDE w:val="0"/>
      <w:autoSpaceDN w:val="0"/>
      <w:adjustRightInd w:val="0"/>
      <w:spacing w:before="0" w:after="0" w:line="280" w:lineRule="exact"/>
      <w:ind w:left="113"/>
      <w:textAlignment w:val="baseline"/>
    </w:pPr>
    <w:rPr>
      <w:rFonts w:ascii="Frutiger Roman" w:eastAsia="Times New Roman" w:hAnsi="Frutiger Roman"/>
      <w:color w:val="006487"/>
      <w:sz w:val="16"/>
      <w:lang w:eastAsia="nl-NL"/>
    </w:rPr>
  </w:style>
  <w:style w:type="character" w:customStyle="1" w:styleId="ListParagraphChar">
    <w:name w:val="List Paragraph Char"/>
    <w:link w:val="ListParagraph"/>
    <w:locked/>
    <w:rsid w:val="0071696D"/>
    <w:rPr>
      <w:rFonts w:ascii="Times New Roman" w:eastAsia="Times New Roman" w:hAnsi="Times New Roman"/>
      <w:sz w:val="24"/>
    </w:rPr>
  </w:style>
  <w:style w:type="paragraph" w:customStyle="1" w:styleId="Default">
    <w:name w:val="Default"/>
    <w:rsid w:val="008605D2"/>
    <w:pPr>
      <w:autoSpaceDE w:val="0"/>
      <w:autoSpaceDN w:val="0"/>
      <w:adjustRightInd w:val="0"/>
    </w:pPr>
    <w:rPr>
      <w:rFonts w:ascii="Times New Roman" w:hAnsi="Times New Roman"/>
      <w:color w:val="000000"/>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40774">
      <w:bodyDiv w:val="1"/>
      <w:marLeft w:val="0"/>
      <w:marRight w:val="0"/>
      <w:marTop w:val="0"/>
      <w:marBottom w:val="0"/>
      <w:divBdr>
        <w:top w:val="none" w:sz="0" w:space="0" w:color="auto"/>
        <w:left w:val="none" w:sz="0" w:space="0" w:color="auto"/>
        <w:bottom w:val="none" w:sz="0" w:space="0" w:color="auto"/>
        <w:right w:val="none" w:sz="0" w:space="0" w:color="auto"/>
      </w:divBdr>
    </w:div>
    <w:div w:id="188375660">
      <w:bodyDiv w:val="1"/>
      <w:marLeft w:val="0"/>
      <w:marRight w:val="0"/>
      <w:marTop w:val="0"/>
      <w:marBottom w:val="0"/>
      <w:divBdr>
        <w:top w:val="none" w:sz="0" w:space="0" w:color="auto"/>
        <w:left w:val="none" w:sz="0" w:space="0" w:color="auto"/>
        <w:bottom w:val="none" w:sz="0" w:space="0" w:color="auto"/>
        <w:right w:val="none" w:sz="0" w:space="0" w:color="auto"/>
      </w:divBdr>
    </w:div>
    <w:div w:id="465664763">
      <w:bodyDiv w:val="1"/>
      <w:marLeft w:val="0"/>
      <w:marRight w:val="0"/>
      <w:marTop w:val="0"/>
      <w:marBottom w:val="0"/>
      <w:divBdr>
        <w:top w:val="none" w:sz="0" w:space="0" w:color="auto"/>
        <w:left w:val="none" w:sz="0" w:space="0" w:color="auto"/>
        <w:bottom w:val="none" w:sz="0" w:space="0" w:color="auto"/>
        <w:right w:val="none" w:sz="0" w:space="0" w:color="auto"/>
      </w:divBdr>
    </w:div>
    <w:div w:id="858737323">
      <w:bodyDiv w:val="1"/>
      <w:marLeft w:val="0"/>
      <w:marRight w:val="0"/>
      <w:marTop w:val="0"/>
      <w:marBottom w:val="0"/>
      <w:divBdr>
        <w:top w:val="none" w:sz="0" w:space="0" w:color="auto"/>
        <w:left w:val="none" w:sz="0" w:space="0" w:color="auto"/>
        <w:bottom w:val="none" w:sz="0" w:space="0" w:color="auto"/>
        <w:right w:val="none" w:sz="0" w:space="0" w:color="auto"/>
      </w:divBdr>
    </w:div>
    <w:div w:id="1442340344">
      <w:bodyDiv w:val="1"/>
      <w:marLeft w:val="0"/>
      <w:marRight w:val="0"/>
      <w:marTop w:val="0"/>
      <w:marBottom w:val="0"/>
      <w:divBdr>
        <w:top w:val="none" w:sz="0" w:space="0" w:color="auto"/>
        <w:left w:val="none" w:sz="0" w:space="0" w:color="auto"/>
        <w:bottom w:val="none" w:sz="0" w:space="0" w:color="auto"/>
        <w:right w:val="none" w:sz="0" w:space="0" w:color="auto"/>
      </w:divBdr>
      <w:divsChild>
        <w:div w:id="1693532203">
          <w:marLeft w:val="0"/>
          <w:marRight w:val="0"/>
          <w:marTop w:val="0"/>
          <w:marBottom w:val="0"/>
          <w:divBdr>
            <w:top w:val="none" w:sz="0" w:space="0" w:color="auto"/>
            <w:left w:val="none" w:sz="0" w:space="0" w:color="auto"/>
            <w:bottom w:val="none" w:sz="0" w:space="0" w:color="auto"/>
            <w:right w:val="none" w:sz="0" w:space="0" w:color="auto"/>
          </w:divBdr>
          <w:divsChild>
            <w:div w:id="211701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4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Burgas" TargetMode="External"/><Relationship Id="rId18" Type="http://schemas.openxmlformats.org/officeDocument/2006/relationships/hyperlink" Target="http://en.wikipedia.org/wiki/Veleka" TargetMode="External"/><Relationship Id="rId26" Type="http://schemas.openxmlformats.org/officeDocument/2006/relationships/footer" Target="footer3.xml"/><Relationship Id="rId39" Type="http://schemas.openxmlformats.org/officeDocument/2006/relationships/header" Target="header9.xml"/><Relationship Id="rId21" Type="http://schemas.openxmlformats.org/officeDocument/2006/relationships/hyperlink" Target="http://en.wikipedia.org/wiki/Thracians" TargetMode="External"/><Relationship Id="rId34" Type="http://schemas.openxmlformats.org/officeDocument/2006/relationships/footer" Target="footer7.xml"/><Relationship Id="rId42" Type="http://schemas.openxmlformats.org/officeDocument/2006/relationships/footer" Target="footer11.xml"/><Relationship Id="rId47" Type="http://schemas.openxmlformats.org/officeDocument/2006/relationships/footer" Target="footer14.xml"/><Relationship Id="rId50" Type="http://schemas.openxmlformats.org/officeDocument/2006/relationships/header" Target="header14.xml"/><Relationship Id="rId55" Type="http://schemas.openxmlformats.org/officeDocument/2006/relationships/hyperlink" Target="mailto:" TargetMode="External"/><Relationship Id="rId63" Type="http://schemas.microsoft.com/office/2011/relationships/people" Target="peop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en.wikipedia.org/wiki/Humid_continental" TargetMode="External"/><Relationship Id="rId20" Type="http://schemas.openxmlformats.org/officeDocument/2006/relationships/hyperlink" Target="http://en.wikipedia.org/wiki/Protected_area" TargetMode="External"/><Relationship Id="rId29" Type="http://schemas.openxmlformats.org/officeDocument/2006/relationships/header" Target="header4.xml"/><Relationship Id="rId41" Type="http://schemas.openxmlformats.org/officeDocument/2006/relationships/header" Target="header10.xml"/><Relationship Id="rId54" Type="http://schemas.openxmlformats.org/officeDocument/2006/relationships/hyperlink" Target="tel:%2B90%C2%A0312%20218%2014%2089"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Balkans" TargetMode="External"/><Relationship Id="rId24" Type="http://schemas.openxmlformats.org/officeDocument/2006/relationships/footer" Target="footer2.xml"/><Relationship Id="rId32" Type="http://schemas.openxmlformats.org/officeDocument/2006/relationships/footer" Target="footer6.xml"/><Relationship Id="rId37" Type="http://schemas.openxmlformats.org/officeDocument/2006/relationships/header" Target="header8.xml"/><Relationship Id="rId40" Type="http://schemas.openxmlformats.org/officeDocument/2006/relationships/footer" Target="footer10.xml"/><Relationship Id="rId45" Type="http://schemas.openxmlformats.org/officeDocument/2006/relationships/header" Target="header12.xml"/><Relationship Id="rId53" Type="http://schemas.openxmlformats.org/officeDocument/2006/relationships/hyperlink" Target="tel:%2B90%C2%A0312%C2%A0218%201372" TargetMode="External"/><Relationship Id="rId58" Type="http://schemas.openxmlformats.org/officeDocument/2006/relationships/footer" Target="footer17.xml"/><Relationship Id="rId5" Type="http://schemas.openxmlformats.org/officeDocument/2006/relationships/settings" Target="settings.xml"/><Relationship Id="rId15" Type="http://schemas.openxmlformats.org/officeDocument/2006/relationships/hyperlink" Target="http://en.wikipedia.org/wiki/Mahya_Da%C4%9F%C4%B1" TargetMode="External"/><Relationship Id="rId23" Type="http://schemas.openxmlformats.org/officeDocument/2006/relationships/header" Target="header1.xml"/><Relationship Id="rId28" Type="http://schemas.openxmlformats.org/officeDocument/2006/relationships/footer" Target="footer4.xml"/><Relationship Id="rId36" Type="http://schemas.openxmlformats.org/officeDocument/2006/relationships/footer" Target="footer8.xml"/><Relationship Id="rId49" Type="http://schemas.openxmlformats.org/officeDocument/2006/relationships/footer" Target="footer15.xml"/><Relationship Id="rId57" Type="http://schemas.openxmlformats.org/officeDocument/2006/relationships/header" Target="header15.xml"/><Relationship Id="rId61" Type="http://schemas.openxmlformats.org/officeDocument/2006/relationships/fontTable" Target="fontTable.xml"/><Relationship Id="rId10" Type="http://schemas.openxmlformats.org/officeDocument/2006/relationships/hyperlink" Target="http://en.wikipedia.org/wiki/Turkey" TargetMode="External"/><Relationship Id="rId19" Type="http://schemas.openxmlformats.org/officeDocument/2006/relationships/hyperlink" Target="http://en.wikipedia.org/wiki/Rezovska" TargetMode="External"/><Relationship Id="rId31" Type="http://schemas.openxmlformats.org/officeDocument/2006/relationships/header" Target="header5.xml"/><Relationship Id="rId44" Type="http://schemas.openxmlformats.org/officeDocument/2006/relationships/footer" Target="footer12.xml"/><Relationship Id="rId52" Type="http://schemas.openxmlformats.org/officeDocument/2006/relationships/hyperlink" Target="http://www.mrrb.government.bg/" TargetMode="External"/><Relationship Id="rId60" Type="http://schemas.openxmlformats.org/officeDocument/2006/relationships/footer" Target="footer18.xml"/><Relationship Id="rId4" Type="http://schemas.microsoft.com/office/2007/relationships/stylesWithEffects" Target="stylesWithEffects.xml"/><Relationship Id="rId9" Type="http://schemas.openxmlformats.org/officeDocument/2006/relationships/hyperlink" Target="http://en.wikipedia.org/wiki/Bulgaria" TargetMode="External"/><Relationship Id="rId14" Type="http://schemas.openxmlformats.org/officeDocument/2006/relationships/hyperlink" Target="http://en.wikipedia.org/wiki/Black_Sea" TargetMode="External"/><Relationship Id="rId22" Type="http://schemas.openxmlformats.org/officeDocument/2006/relationships/footer" Target="footer1.xml"/><Relationship Id="rId27" Type="http://schemas.openxmlformats.org/officeDocument/2006/relationships/header" Target="header3.xml"/><Relationship Id="rId30" Type="http://schemas.openxmlformats.org/officeDocument/2006/relationships/footer" Target="footer5.xml"/><Relationship Id="rId35" Type="http://schemas.openxmlformats.org/officeDocument/2006/relationships/header" Target="header7.xml"/><Relationship Id="rId43" Type="http://schemas.openxmlformats.org/officeDocument/2006/relationships/header" Target="header11.xml"/><Relationship Id="rId48" Type="http://schemas.openxmlformats.org/officeDocument/2006/relationships/header" Target="header13.xml"/><Relationship Id="rId56" Type="http://schemas.openxmlformats.org/officeDocument/2006/relationships/hyperlink" Target="mailto:seozturk@ab.gov.tr" TargetMode="External"/><Relationship Id="rId8" Type="http://schemas.openxmlformats.org/officeDocument/2006/relationships/endnotes" Target="endnotes.xml"/><Relationship Id="rId51" Type="http://schemas.openxmlformats.org/officeDocument/2006/relationships/footer" Target="footer16.xml"/><Relationship Id="rId3" Type="http://schemas.openxmlformats.org/officeDocument/2006/relationships/styles" Target="styles.xml"/><Relationship Id="rId12" Type="http://schemas.openxmlformats.org/officeDocument/2006/relationships/hyperlink" Target="http://en.wikipedia.org/wiki/Thrace" TargetMode="External"/><Relationship Id="rId17" Type="http://schemas.openxmlformats.org/officeDocument/2006/relationships/hyperlink" Target="http://en.wikipedia.org/wiki/Humid_subtropical" TargetMode="External"/><Relationship Id="rId25" Type="http://schemas.openxmlformats.org/officeDocument/2006/relationships/header" Target="header2.xml"/><Relationship Id="rId33" Type="http://schemas.openxmlformats.org/officeDocument/2006/relationships/header" Target="header6.xml"/><Relationship Id="rId38" Type="http://schemas.openxmlformats.org/officeDocument/2006/relationships/footer" Target="footer9.xml"/><Relationship Id="rId46" Type="http://schemas.openxmlformats.org/officeDocument/2006/relationships/footer" Target="footer13.xml"/><Relationship Id="rId59" Type="http://schemas.openxmlformats.org/officeDocument/2006/relationships/header" Target="header16.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maritimeaffairs/policy/blue_growth/index_en.htm" TargetMode="External"/><Relationship Id="rId7" Type="http://schemas.openxmlformats.org/officeDocument/2006/relationships/hyperlink" Target="http://ec.europa.eu/social/home.jsplangId=en" TargetMode="External"/><Relationship Id="rId2" Type="http://schemas.openxmlformats.org/officeDocument/2006/relationships/hyperlink" Target="http://www.blacksea-commission.org/_bssap2009.asp" TargetMode="External"/><Relationship Id="rId1" Type="http://schemas.openxmlformats.org/officeDocument/2006/relationships/hyperlink" Target="http://ec.europa.eu/enlargement/instruments/funding-by-country/turkey/index_en.htm" TargetMode="External"/><Relationship Id="rId6" Type="http://schemas.openxmlformats.org/officeDocument/2006/relationships/hyperlink" Target="http://europa.eu/legislation_summaries/human_rights/fundamental_rights_within_european_union/c10313_en.htm" TargetMode="External"/><Relationship Id="rId5" Type="http://schemas.openxmlformats.org/officeDocument/2006/relationships/hyperlink" Target="http://ec.europa.eu/environment/nature/legislation/habitatsdirective/" TargetMode="External"/><Relationship Id="rId4" Type="http://schemas.openxmlformats.org/officeDocument/2006/relationships/hyperlink" Target="http://ec.europa.eu/maritimeaffairs/policy/coastal_tourism/index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8D662-893F-4377-B039-3268692C0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796</TotalTime>
  <Pages>103</Pages>
  <Words>33295</Words>
  <Characters>189787</Characters>
  <Application>Microsoft Office Word</Application>
  <DocSecurity>0</DocSecurity>
  <Lines>1581</Lines>
  <Paragraphs>445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222637</CharactersWithSpaces>
  <SharedDoc>false</SharedDoc>
  <HLinks>
    <vt:vector size="6" baseType="variant">
      <vt:variant>
        <vt:i4>3145831</vt:i4>
      </vt:variant>
      <vt:variant>
        <vt:i4>9</vt:i4>
      </vt:variant>
      <vt:variant>
        <vt:i4>0</vt:i4>
      </vt:variant>
      <vt:variant>
        <vt:i4>5</vt:i4>
      </vt:variant>
      <vt:variant>
        <vt:lpwstr>http://eur-lex.europa.eu/LexUriServ/LexUriServ.do?uri=CONSLEG:2006R1828:20091013:EN:HTML</vt:lpwstr>
      </vt:variant>
      <vt:variant>
        <vt:lpwstr>E0079#E0079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Esempca</dc:creator>
  <cp:lastModifiedBy>Maya Lashova</cp:lastModifiedBy>
  <cp:revision>68</cp:revision>
  <cp:lastPrinted>2015-01-09T09:18:00Z</cp:lastPrinted>
  <dcterms:created xsi:type="dcterms:W3CDTF">2015-01-05T10:56:00Z</dcterms:created>
  <dcterms:modified xsi:type="dcterms:W3CDTF">2015-01-16T12:26:00Z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5.8.3, Build 20130911</vt:lpwstr>
  </property>
  <property fmtid="{D5CDD505-2E9C-101B-9397-08002B2CF9AE}" pid="6" name="Created using">
    <vt:lpwstr>LW 5.8.3, Build 20130911</vt:lpwstr>
  </property>
  <property fmtid="{D5CDD505-2E9C-101B-9397-08002B2CF9AE}" pid="7" name="First annex">
    <vt:lpwstr>2</vt:lpwstr>
  </property>
  <property fmtid="{D5CDD505-2E9C-101B-9397-08002B2CF9AE}" pid="8" name="Last annex">
    <vt:lpwstr>2</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SG-068</vt:lpwstr>
  </property>
  <property fmtid="{D5CDD505-2E9C-101B-9397-08002B2CF9AE}" pid="12" name="DQCStatus">
    <vt:lpwstr>Yellow (DQC version 03)</vt:lpwstr>
  </property>
</Properties>
</file>