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4D9D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НАРЕДБА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2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2004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ПЛАНИРАНЕ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ПРОЕКТИРАНЕ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КОМУНИКАЦИОННО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ТРАНСПОРТНИТЕ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СИСТЕМИ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УРБАНИЗИРАНИТЕ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ТЕРИТОРИИ</w:t>
      </w:r>
    </w:p>
    <w:p w:rsidR="00000000" w:rsidRDefault="00F14D9D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сила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01.10.2004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F14D9D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Издадена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министъра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регионалното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развитие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благоустройството</w:t>
      </w:r>
    </w:p>
    <w:p w:rsidR="00000000" w:rsidRDefault="00F14D9D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попр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.33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25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F14D9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ИЗИСКВАНИЯ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бензиностанции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електрозарядни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електробуси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автогари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извънселищните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наднормен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използваемостта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400 - 450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65 - 70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300 - 350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55 - 60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- 350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200 - 3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50 - 55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- 250 - 300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200 - 250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35 - 40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- 100 - 150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50 - 100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10 - 20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електромобилността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приравняване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разчетната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09"/>
        <w:gridCol w:w="3270"/>
        <w:gridCol w:w="3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</w:p>
        </w:tc>
        <w:tc>
          <w:tcPr>
            <w:tcW w:w="32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МПС</w:t>
            </w:r>
          </w:p>
        </w:tc>
        <w:tc>
          <w:tcPr>
            <w:tcW w:w="32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Коефициент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иравня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МПС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ред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автомобил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1.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автомобил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линейка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лекотоварен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автомобил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полезен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товар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800 kg,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12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2.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мотопед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3.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Мотоциклет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4.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Мотоциклет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кош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ремарке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5.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Товарен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автомобил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полезен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товар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5 t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6.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Товарен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автомобил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полезен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товар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5 t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7.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Автобус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тролейбус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8.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Седлови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влекач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ремар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автобус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ремарке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влекач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ече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ремаркета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9.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Съчленен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автобус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тролейбус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ежедневните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80 - 90 %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довоактивното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- 45 min;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- 35 min;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- 30 min;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- 20 min.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транзитно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КОМУНИКАЦИОННО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СИСТЕМА</w:t>
      </w:r>
    </w:p>
    <w:p w:rsidR="00000000" w:rsidRDefault="00F14D9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мрежа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артерии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непрекъснат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изключва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артерии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1.1 - 1.3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I, III, 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подразделят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йерархична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конфигурация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ориентират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km/km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m;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km/km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m.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2,5 km/km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 m.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хомогенност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мокра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несвойствено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транзитно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обхождат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концентрация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нзитно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несвойствени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извънгабаритни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взривоопасни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токсични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пожароопасни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пътници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поетапното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пътническият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удобство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метрополитен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тролейбус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автобус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например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тролейбус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сравняват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нискоетажно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m.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метрополитен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автобусните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тролейбусните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релсовите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метрополитена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автобусен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тролейбусен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автобусни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тролейбусни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маршрути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m.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експресните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автобусни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маршрути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прекачване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маршрутите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маршрути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метрополитена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метрополитена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1200 m.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Пешеходно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движение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вечерта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маршрути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km/h.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 m;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маршрутите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m;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обезопасени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маршрути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маршрути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посредством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неравности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Велосипедно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движение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сценарии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традициите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нагласите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непрекъснатост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привлекателност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удобство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приоритизират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маршрутите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ежедневни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отдих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приоритет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2: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16"/>
        <w:gridCol w:w="676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6" w:lineRule="atLeast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планове</w:t>
            </w:r>
          </w:p>
        </w:tc>
        <w:tc>
          <w:tcPr>
            <w:tcW w:w="6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6" w:lineRule="atLeast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Насоки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интегриране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20"/>
        </w:trPr>
        <w:tc>
          <w:tcPr>
            <w:tcW w:w="3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6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Общ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устройствен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ОУП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селищно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образувание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национално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значение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ОУП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използва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инструмент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реализация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политиката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градско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пространствено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развитие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устройство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терито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нарастване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индивидуалното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автомобилно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създаване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благоприятни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условия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целево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увеличаване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2.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Транспортният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макромодел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включва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както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изяснява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взаимовръзката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устройс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твени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например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обезопасяване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придвижването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образователната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инфраструктура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цялата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урбанизирана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територия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схемата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комуникационно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транспортната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система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специализираните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схеми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ОУП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планира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мрежата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спорт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урбанизираната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територия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както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връзките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територии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регионален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обхват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4.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правилата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нормативите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специфичните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правила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нормативи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ОУП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изисквания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устройствените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зони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терени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паркиране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отчитане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публичната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собственост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функционалните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особености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отделните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територии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6" w:lineRule="atLeast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Подробен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устройствен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ПУП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ПУП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използва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инструмент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конкретизиране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политиката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градско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пространствено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развитие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устройство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територията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създаване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благоприятни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условия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конкретния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обхват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структурно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обособени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2.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Транспортните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микросимулации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включват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пешеходното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както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изясняват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взаимовръзката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устройствени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например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развитие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отдиха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туризма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обезопасяване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придвижването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образователната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инфраструктура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конкретния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обхват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подробния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комуникационно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транспортен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планират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техническите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раметри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трасетата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мрежата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транспорт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4.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правилата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нормативите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специфичните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правила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нормативи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ПУП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изисквания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устройствените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зони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отделни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поземлени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имоти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паркиране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отчитане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собствеността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функционалните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особености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отделните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територии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6" w:lineRule="atLeast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Подробен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комуникационно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транспортен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ПКТП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ПКТП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осигурява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площта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изпълнение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инфраструктура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трасета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паркинги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станции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обществени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.;</w:t>
            </w:r>
          </w:p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2.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достъпност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спирки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обществения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транспорт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непрекъснатост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безопасни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преминавания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велосипедисти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кръстовища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4.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непрекъснато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преминаване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край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спирки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обществения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транспорт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6" w:lineRule="atLeast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План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устойчива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мобилност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ПУГМ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ПУГМ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потвърждава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заложените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планови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2.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ПУГМ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мерките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осигуряване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безопасни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пресич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автомобилния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трафик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ПУГМ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мерките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осъществяване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синергия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пешеходното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придвижването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обществен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транспорт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както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подобряване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интермодалните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връзки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4.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ПУГМ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предвиждат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действия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осигуряване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съоръжения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системи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обществени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5.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ПУГМ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предвиждат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действия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организиране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система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отчитане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регулиране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пешеходните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потоци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6.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ПУГМ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предвиждат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действия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оборудване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превозни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средства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обществения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пътнически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транспорт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превоз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7.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ПУГМ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предвиждат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действия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реализация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непрекъснати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обвързани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безопасни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разбираеми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мрежи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както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оборудване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инфрастр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уктура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паркиране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наемане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съвместно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8.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ПУГМ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мерките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мониторинг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безопасността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комфорта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пешеходната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мрежа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както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изискванията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междинното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окончателното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оценяване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изпълнението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въздействие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мерките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действията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</w:tbl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Непрекъснатост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развлечения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рекреационни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осипедните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1"/>
        <w:gridCol w:w="731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Функционален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</w:p>
        </w:tc>
        <w:tc>
          <w:tcPr>
            <w:tcW w:w="7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Функция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Транзитен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Главни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транспортни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връзки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формиращи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основата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мрежа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положени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предимно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радиално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осигуряват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бърза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директна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връзка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центъра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районите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Довеждащ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Образуват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мрежа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висока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плътност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районите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които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обслужват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Създават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връзка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транзитните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велотрасета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трасетата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отдих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развлечение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покрият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всички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начални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крайни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рамките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района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отмора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развлечение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Формират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специфична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мрежа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базирана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парковете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зоните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отдих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свободно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време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Създават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връзки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атрактивните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околности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населеното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място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</w:tbl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непрекъснато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светлинните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светофарите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mm.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4,50 m.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гариране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9"/>
        <w:gridCol w:w="3192"/>
        <w:gridCol w:w="2179"/>
        <w:gridCol w:w="1520"/>
        <w:gridCol w:w="107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85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Необходим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паркиране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гариране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паркиране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гариране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Допълнителен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посетители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Дял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ЕПС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Жилищни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жилищни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смесено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предназначение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жилища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апартаменти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жилище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ателиета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индивидуална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творческа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дейност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ателие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офиси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80 - 100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РЗП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обслужващи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дейности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битови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80 - 100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РЗП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стопански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обслужващи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дейности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норматива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съотве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които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няма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80 - 100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РЗП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Общежития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студенти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Общежития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5 - 10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социални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.: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специализирани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институции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предоставяне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социални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домове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хора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приюти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звена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подобни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легла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дневен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център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център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социална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рехабилитация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интеграция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подобни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5 - 10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потребители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услуги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Административни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.: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централната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администрация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60 - 80 m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РЗП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администрация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80 - 100 m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РЗП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Търговски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центрове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40 - 60 m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РЗП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Магазини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централни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зони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80 - 100 m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РЗП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магазини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100 - 150 m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РЗП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Пазари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50 - 60 m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perscript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Крайпътни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магазини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30 - 50 m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perscript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Театри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концертни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спортни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5 - 10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Открити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спортни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дейности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зрители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вкл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басейни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250 m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perscript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13.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Открити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спортни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дейности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стадиони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10 - 15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Покрити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басейни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5 - 10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гардероба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Покрити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басейни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5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гардероба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+ 1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10 - 15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зрителски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Тенискортове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4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Тенискортове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зрители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4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+ 1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10 - 15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зрителски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Спортни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50 m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+ 1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10 - 15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19.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Заведения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хранене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6 - 10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Крайпътни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заведения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обществено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хранене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4 - 6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Хотели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4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5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звезди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5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легла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Хотели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1, 2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3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звезди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легла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Лечебни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заведения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легла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Групова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практика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първична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специализирана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медицинска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помощ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медицински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център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дентален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център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диагностично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консултативен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център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лекарски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кабинет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Домове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медико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социални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грижи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5 - 10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легла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26.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Детски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градини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20 - 30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деца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Училища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25 - 30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ученици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28.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Висши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училища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10 - 15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студенти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преподаватели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Производствени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предприятия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складове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тях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8 - 10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работещи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Складове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120 - 150 m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perscript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31.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Автосервизи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3 - 5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Бензиностанции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газостанции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обслужване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5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дейност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33.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Автомивки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34.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Гробищни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паркове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2000 m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perscript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Железопътни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автогари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15 - 20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36.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Летища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8 - 12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</w:t>
            </w:r>
          </w:p>
        </w:tc>
      </w:tr>
    </w:tbl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Забележки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972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89"/>
        <w:gridCol w:w="3401"/>
        <w:gridCol w:w="30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паркоместа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паркинги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Складове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товарни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терминали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950 m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РЗП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**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1* - 80 %;</w:t>
            </w:r>
          </w:p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2 - 20 %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Търговски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центрове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100 m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брутна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отдаваема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търговска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площ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1 - 30 %;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2 - 70 %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Бизнес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търговия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едро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процента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автомобилни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1 - 30 %;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2 - 70 %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продажба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консумация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напитки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всеки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7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хранене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1 - 30 %;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2 - 70 %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доставка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продажба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сервиз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автомобили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отопление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вентилация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строителни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материали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Повече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процента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автомобилни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1 - 80 %;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2 - 20 %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Хотели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1 - 60 %;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2 - 40 %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МБАЛ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университетски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болници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ДКЦ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500 m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РЗП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**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1 - 75 %;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2 - 25 %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театри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посетители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броя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1 - 20 %;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2 - 80 %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Молитвени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обредни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домове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100 m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perscript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2 - 100 %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Стадиони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спортни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арени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подобни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100 m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***,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броя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1 - 20 %;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2 - 80 %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Административни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бизнес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офиси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100 m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РЗП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**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1 - 50 %;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2 - 50 %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Магазини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централни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части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35 m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perscript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1 - 30 %;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2 - 70 %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Библиотеки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музеи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галерии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100 m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РЗП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**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1 - 20 %;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2 - 80 %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Училища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колежи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университети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5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студенти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;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служители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1 - 10 %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служители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;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2 - 90 %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Детски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заведения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служители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;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деца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1 - 10 %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служители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;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2 - 90 %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Многофами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жилищни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сгради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1, 5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жилище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няма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гараж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разположение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6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паркоместа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1 - 100 %</w:t>
            </w:r>
          </w:p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6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стойки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Общежития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легла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6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паркоместа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1 - 60 %;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2 - 40 %</w:t>
            </w:r>
          </w:p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6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стойки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ториуми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почивни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домове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домове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възрастни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хора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4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служители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1 - 75 %;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2 - 25 %</w:t>
            </w:r>
          </w:p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Железопътни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автогари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аерогари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всеки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30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;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служители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1 - 30 %;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2 - 70 %</w:t>
            </w:r>
          </w:p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Спирки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прекачване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интермода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центрове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спирки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Метрополитен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спирки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- 6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паркоместа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;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спирки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повече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- 12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броя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2 - 100 %</w:t>
            </w:r>
          </w:p>
          <w:p w:rsidR="00000000" w:rsidRDefault="00F14D9D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Забележки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*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**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разгъната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***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денонощието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неедновременното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автобуси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автобуси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Таксиметрови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равномерно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паркоместа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зарядна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 kW),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 kW,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3,7 kW).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зарядни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колонки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паркомес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+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("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пътувай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транспорта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междуселищния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автогари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истанища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елищната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извънселищната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Автогарите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междуселищния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автобусен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междуселищния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автобусен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автобусен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тролейбусен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автобази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Автобазите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бензиностанция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бензиновите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колонки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бензиностанцията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газостанцията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конфигурация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автосервиз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конфигурацията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полигони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кормуване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разчетите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автоградчета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0,65 h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- 1,7 h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КОМУНИКАЦИОННО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СИСТЕМА</w:t>
      </w:r>
    </w:p>
    <w:p w:rsidR="00000000" w:rsidRDefault="00F14D9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изисквания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общовалидни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обстановка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хомогенност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приравнени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0,8.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спокойни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взаимообвързано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захранване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сметоизвозването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еднопосочно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паралелно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еднопосочно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еднопосочно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еднопосочно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спокойни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Ситуация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праволинейни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избягва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(g).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еднопосочни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640"/>
        <w:gridCol w:w="555"/>
        <w:gridCol w:w="555"/>
        <w:gridCol w:w="555"/>
        <w:gridCol w:w="555"/>
        <w:gridCol w:w="555"/>
        <w:gridCol w:w="555"/>
        <w:gridCol w:w="5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), km/h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Препоръчителна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инимална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дължи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еднопосочни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m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150</w:t>
            </w:r>
          </w:p>
        </w:tc>
      </w:tr>
    </w:tbl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еднопосочни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разнопосочни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преоформя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двустранния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разнопосочните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еднопосочните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пресечните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пътнодинамичните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меродавни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пътногеометричните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клотоида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(L)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70"/>
        <w:gridCol w:w="870"/>
        <w:gridCol w:w="11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perscript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 =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(1),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R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циркулярната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m;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1/3 R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40"/>
        <w:gridCol w:w="855"/>
        <w:gridCol w:w="855"/>
        <w:gridCol w:w="855"/>
        <w:gridCol w:w="8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km/h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150</w:t>
            </w:r>
          </w:p>
        </w:tc>
      </w:tr>
    </w:tbl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въртене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min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въртене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min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1,5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min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1,5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застройка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особености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1/40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+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m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m)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m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m)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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&lt; 10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g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2,5 %: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двустранен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двупосочни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едностранен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еднопосочни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асфалтова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2 %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бетонна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3 %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едностранен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max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6 %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min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2,5 %).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какъвто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пътнодинамично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(-q)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избягва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6 %.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понижаването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Въртенето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преоформя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циркулярната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преоформя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1/3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2/3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q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-2,5 %.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a (q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--------------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------ (2),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max </w:t>
      </w: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i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a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въртене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m;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%;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%;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i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5, %.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 "+"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плюс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разнопосочни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"-"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еднопосочни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562350" cy="1647825"/>
            <wp:effectExtent l="0" t="0" r="0" b="9525"/>
            <wp:docPr id="1" name="Picture 1" descr="C:\Users\GeorgievaDa\AppData\Local\Ciela Norma AD\Ciela51\Cache\599490eb24bc02fdfd117ad1aa98c365a1eac30f30f9504cee031bd43ff30093_normi2135492666\55_34086263_tabl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ievaDa\AppData\Local\Ciela Norma AD\Ciela51\Cache\599490eb24bc02fdfd117ad1aa98c365a1eac30f30f9504cee031bd43ff30093_normi2135492666\55_34086263_table5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D9D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H =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i (3),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min</w:t>
      </w: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i = 0,1a (4),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въртене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m;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i,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Чупките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40"/>
        <w:gridCol w:w="855"/>
        <w:gridCol w:w="855"/>
        <w:gridCol w:w="855"/>
        <w:gridCol w:w="855"/>
        <w:gridCol w:w="855"/>
        <w:gridCol w:w="8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km/h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3000</w:t>
            </w:r>
          </w:p>
        </w:tc>
      </w:tr>
    </w:tbl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тангентите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опосочни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преоформянето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(2).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max)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dm)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двулентови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двупосочно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ремаркета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съчленени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автобуса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770"/>
        <w:gridCol w:w="690"/>
        <w:gridCol w:w="14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930" w:type="dxa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000000" w:rsidRDefault="00F14D9D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000000" w:rsidRDefault="00F14D9D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000000" w:rsidRDefault="00F14D9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000000" w:rsidRDefault="00F14D9D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000000" w:rsidRDefault="00F14D9D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 =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000000" w:rsidRDefault="00F14D9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-----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+ 2 D        (5),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000000" w:rsidRDefault="00F14D9D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000000" w:rsidRDefault="00F14D9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000000" w:rsidRDefault="00F14D9D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</w:tbl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m;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D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ремаркета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D = 10,00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съчленени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автобуси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D = 9,00 m.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09"/>
        <w:gridCol w:w="1985"/>
        <w:gridCol w:w="2126"/>
        <w:gridCol w:w="22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разминаване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max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m)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</w:p>
          <w:p w:rsidR="00000000" w:rsidRDefault="00F14D9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n = 2</w:t>
            </w:r>
          </w:p>
        </w:tc>
        <w:tc>
          <w:tcPr>
            <w:tcW w:w="4393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който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необходимо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уширение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left w:w="15" w:type="dxa"/>
              <w:right w:w="15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left w:w="15" w:type="dxa"/>
              <w:right w:w="15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≤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6,00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&gt; 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автомобила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ремаркета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50n</w:t>
            </w:r>
          </w:p>
          <w:p w:rsidR="00000000" w:rsidRDefault="00F14D9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-</w:t>
            </w:r>
          </w:p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              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 &lt; R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≤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400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30 &lt; R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≤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съчленени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автобуса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40n</w:t>
            </w:r>
          </w:p>
          <w:p w:rsidR="00000000" w:rsidRDefault="00F14D9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-</w:t>
            </w:r>
          </w:p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             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 &lt; R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≤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320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 &lt; R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≤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160</w:t>
            </w:r>
          </w:p>
        </w:tc>
      </w:tr>
    </w:tbl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Забележка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n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max &lt; 0,25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≤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6,00 m;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max &lt; 0,50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&gt; 6,00 m.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max </w:t>
      </w: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чупките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1170"/>
        <w:gridCol w:w="11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000000" w:rsidRDefault="00F14D9D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000000" w:rsidRDefault="00F14D9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max 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000000" w:rsidRDefault="00F14D9D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000000" w:rsidRDefault="00F14D9D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Ех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000000" w:rsidRDefault="00F14D9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000000" w:rsidRDefault="00F14D9D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  (6).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000000" w:rsidRDefault="00F14D9D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000000" w:rsidRDefault="00F14D9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:rsidR="00000000" w:rsidRDefault="00F14D9D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</w:tbl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max L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/30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 </w:t>
      </w: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≤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max (L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- 7,5)/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&lt; L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&lt; (L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- 15);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max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max (L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L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)/30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(L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- 15) &lt; L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неподвижно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40"/>
        <w:gridCol w:w="555"/>
        <w:gridCol w:w="555"/>
        <w:gridCol w:w="555"/>
        <w:gridCol w:w="555"/>
        <w:gridCol w:w="555"/>
        <w:gridCol w:w="555"/>
        <w:gridCol w:w="5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Проектна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km/h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Разстояние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видимост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повърхността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настилката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m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70"/>
        <w:gridCol w:w="1470"/>
        <w:gridCol w:w="14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x 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-----------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(7),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8R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бисектрисата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R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m;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9, m.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профил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характеризиращи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характеризиращи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изпъкналите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вдлъбнатите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m;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0,5 %.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0,3 %,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чупки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бисектрисата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m.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съчетаване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избягване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еднопосочни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избягване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еднопосочни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вдлъбнатата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 R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изпъкнала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съвпадане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1/4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вдлъбнатата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вдлъ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бнатата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вдлъбнатата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съвпадане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изпъкнала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нулев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изпъкналит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вдлъбнатите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ракордираните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дъждооттоци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вдлъбнатите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разнопосочни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нулев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изразите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70"/>
        <w:gridCol w:w="570"/>
        <w:gridCol w:w="870"/>
        <w:gridCol w:w="570"/>
        <w:gridCol w:w="870"/>
        <w:gridCol w:w="570"/>
        <w:gridCol w:w="270"/>
        <w:gridCol w:w="870"/>
        <w:gridCol w:w="11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R.i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R.i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1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. i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0,1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----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0,2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----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); Y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0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----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--------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(8),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10 000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0,1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0,2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нулевата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m;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Y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ординатата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ракордираната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нулевата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ангентите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i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тангентите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%;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R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m.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Ракордираните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70"/>
        <w:gridCol w:w="870"/>
        <w:gridCol w:w="23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perscript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Y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i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-------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(9),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2R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Y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i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нулевата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m;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i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m;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R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m.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m)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70"/>
        <w:gridCol w:w="870"/>
        <w:gridCol w:w="23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100h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 =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-------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(10),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h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m;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i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%.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70"/>
        <w:gridCol w:w="870"/>
        <w:gridCol w:w="23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Bq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t =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------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(11),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2i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m;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q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%;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i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%.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разместването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2438400" cy="409575"/>
            <wp:effectExtent l="0" t="0" r="0" b="9525"/>
            <wp:docPr id="2" name="Picture 2" descr="C:\Users\GeorgievaDa\AppData\Local\Ciela Norma AD\Ciela51\Cache\599490eb24bc02fdfd117ad1aa98c365a1eac30f30f9504cee031bd43ff30093_normi2135492666\1694307_46_formula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rgievaDa\AppData\Local\Ciela Norma AD\Ciela51\Cache\599490eb24bc02fdfd117ad1aa98c365a1eac30f30f9504cee031bd43ff30093_normi2135492666\1694307_46_formula12.gif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h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m;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i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%.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профил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релсовия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релсовия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ксималната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S = 0,5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габарит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Габаритите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тролейбусния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разграничават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III, IV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2,0 m.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2,5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 m.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 m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m).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m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m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m.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габарит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1,00 m.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габарит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стълбове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стълбове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0,5 - 1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0,30 m.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предизвикват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нерелсов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m (3 m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джобове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m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m.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m.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стеблата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изисквания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разклоняване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сигнализирано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светлинни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подразделят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Елементи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изчакване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гърловини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III, IV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m.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стеснени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преобладаващо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2,75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повдигнат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заобикаляне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стеснени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4,5 m.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незначително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незначителната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пренебрегне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g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кошови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очертанията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траекториите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= 15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IV - VI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m.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наляво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/h,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/h.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ляв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изчакване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разклоняване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наляво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разклоняват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 i,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чупките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: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2 : 1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разклонението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(b)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разклоняването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наляво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1:7,5.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1: i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b (m)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R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1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(m)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R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(m)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T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1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(m)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T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(m)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ск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(m)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улицата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1:10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III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III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IV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1:7,5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22,50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1:5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30,00</w:t>
            </w:r>
          </w:p>
        </w:tc>
      </w:tr>
    </w:tbl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Разклоняването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срещуположни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разклонението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пренебрегне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разклоняване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40"/>
        <w:gridCol w:w="855"/>
        <w:gridCol w:w="855"/>
        <w:gridCol w:w="855"/>
        <w:gridCol w:w="8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km/h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</w:t>
            </w:r>
          </w:p>
        </w:tc>
      </w:tr>
    </w:tbl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изчакване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(L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перспективно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25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20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15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изчакване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3 %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4 %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17).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N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изх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= max Ni (13).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изх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избегнат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задръствания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меродавен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меродавното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стеснението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стеснението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1:20.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Чупките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= 400 m.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големогабаритни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g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несиметрична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кошова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: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: R2 = 2 : 1 : 3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g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ордюрните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срещуположните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направляващите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капковидни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триъгълни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елипсовидно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правоъгълни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Капковидните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Капковидните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капковиден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Триъгълните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например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широкоплощни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триклонни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наляво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чупките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окръгляват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снижават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Видимост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приближаване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тръгване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(L),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триъгълникът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приближаване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m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тръгване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приближаване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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g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g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g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коригира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форми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триклонни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наляво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приблизително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приблизително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/h;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наляво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благоприятни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разтеглен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преплитане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170"/>
        <w:gridCol w:w="11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Проектна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min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R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кръг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подхода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към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кръга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кръга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кръг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km/h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40 - 50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60 - 80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90 - 120</w:t>
            </w:r>
          </w:p>
        </w:tc>
      </w:tr>
    </w:tbl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преплитане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преплитане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изх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изх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преплитане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изчакване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разтеглените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четириклонни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раздалечаване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еднопосочните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изчакване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25.1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25.2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IX.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Вертикална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планировка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прецизна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ртикална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хомогенно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например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m,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m).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Дъждоприемните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шахти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X.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изисквания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обстановка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очакваното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конфигурация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преплитане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ускоряване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ускоряване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шлюзове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преплитане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XI.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Връзки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полудиректни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индиректни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(0,5 - 0,6)V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полудиректни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(0,4 - 0,5)V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индиректни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(0,3 - 0,4)V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km/h.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240"/>
        <w:gridCol w:w="1155"/>
        <w:gridCol w:w="11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Напречен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наклон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q, %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вр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km/h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R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вр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индиректни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връзки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директни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връзки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250</w:t>
            </w:r>
          </w:p>
        </w:tc>
      </w:tr>
    </w:tbl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шлюзове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m.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km/h,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еднопосочни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двупосочни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изпреварване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двулентови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двупосочно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1,3 m.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0,25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асфалтобетонна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очертава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0,75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970"/>
        <w:gridCol w:w="29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връзката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Надлъжен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наклон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(i),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еднолентова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еднопо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връзка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двулентова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еднопо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връзка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слизане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еднолентова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еднопо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връзка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двулентова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еднопо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връзка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Двупосочни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връзки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посока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Двупосочни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връ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посока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940"/>
        <w:gridCol w:w="1155"/>
        <w:gridCol w:w="855"/>
        <w:gridCol w:w="855"/>
        <w:gridCol w:w="8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вр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km/h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≤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30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Изпъкнали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Rmin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Вдлъбнати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Rmin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1000</w:t>
            </w:r>
          </w:p>
        </w:tc>
      </w:tr>
    </w:tbl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XII.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Шлюзове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Шлюзове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шлюзовете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ускорителни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забавителни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3,5 m.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0,9-1,0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Забавителните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шлюзове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= 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70"/>
        <w:gridCol w:w="3570"/>
        <w:gridCol w:w="3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вр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3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-------------------------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(14),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26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3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± 2,6i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km/h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29);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km/h;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 m/s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закъснително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ускорение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i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% (+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40"/>
        <w:gridCol w:w="30"/>
        <w:gridCol w:w="1725"/>
        <w:gridCol w:w="45"/>
        <w:gridCol w:w="810"/>
        <w:gridCol w:w="60"/>
        <w:gridCol w:w="570"/>
        <w:gridCol w:w="570"/>
        <w:gridCol w:w="570"/>
        <w:gridCol w:w="570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Проектна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Действителна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.,</w:t>
            </w:r>
          </w:p>
        </w:tc>
        <w:tc>
          <w:tcPr>
            <w:tcW w:w="2355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3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зависимост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вр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km/h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директното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направление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km/h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km/h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</w:tr>
    </w:tbl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Ускорителните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шлюзове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ускоряване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ускоряване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= 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70"/>
        <w:gridCol w:w="3570"/>
        <w:gridCol w:w="3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вр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perscript"/>
              </w:rPr>
              <w:t>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=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-------------------------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(15),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26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± 2,6i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иректното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km/h;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km/h;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y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ускорението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1,0 m/s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i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%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+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40"/>
        <w:gridCol w:w="30"/>
        <w:gridCol w:w="1725"/>
        <w:gridCol w:w="45"/>
        <w:gridCol w:w="810"/>
        <w:gridCol w:w="60"/>
        <w:gridCol w:w="570"/>
        <w:gridCol w:w="570"/>
        <w:gridCol w:w="570"/>
        <w:gridCol w:w="570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Проектна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Действителна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</w:p>
        </w:tc>
        <w:tc>
          <w:tcPr>
            <w:tcW w:w="2355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зависимост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скорост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вр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km/h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директното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направление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km/h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km/h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</w:tr>
    </w:tbl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Чупките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шлюзовете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= 400 m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= 200 m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XIII.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Улични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преплитане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преплитане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070"/>
        <w:gridCol w:w="2070"/>
        <w:gridCol w:w="2955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МПС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извърш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29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Дължина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зоната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1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преплитане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преплитане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1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(N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1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+ N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/h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 = 40 km/h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 = 60 km/h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350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430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520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600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650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1130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700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750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800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1330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850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900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1050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1200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1400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240</w:t>
            </w:r>
          </w:p>
        </w:tc>
      </w:tr>
    </w:tbl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преплитане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70"/>
        <w:gridCol w:w="2670"/>
        <w:gridCol w:w="29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N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1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+ 3N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+ F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1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+ F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n =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------------------------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(16),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N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преплитаща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/h;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N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слабо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преплитаща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/h;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F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F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непреплитащи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/h;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преплитане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470"/>
        <w:gridCol w:w="1470"/>
        <w:gridCol w:w="1470"/>
        <w:gridCol w:w="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</w:tc>
        <w:tc>
          <w:tcPr>
            <w:tcW w:w="445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Пропускателна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способност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транспортните</w:t>
            </w:r>
          </w:p>
        </w:tc>
        <w:tc>
          <w:tcPr>
            <w:tcW w:w="445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условия</w:t>
            </w:r>
          </w:p>
        </w:tc>
        <w:tc>
          <w:tcPr>
            <w:tcW w:w="445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еднопосочни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преплитане</w:t>
            </w:r>
          </w:p>
        </w:tc>
        <w:tc>
          <w:tcPr>
            <w:tcW w:w="44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преплитане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улични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кръсто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двуленто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триленто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четири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възли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вища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платно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платно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повече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лентово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I-II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II-III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II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III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II-III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III-IV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III-IV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IV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IV-V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IV-V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1600-2000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преплитане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слабо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преплитането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 km/h -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преплитането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70 - 80 km/h -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смущения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преплитането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50 - 55 km/h -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50 - 55 km/h - IV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задръствания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35 - 50 km/h - 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XIV.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Бензиностанции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газостанции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проек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зарядни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ЕПС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26.05.2017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бензиностанциите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газостанциите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забавителни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ускорителни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габаритни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бензиностанциите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газостанциите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гърловини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изчакване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гърловини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бензиностанциите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газостанциите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бензиностанцията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автобуси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бензиностанцията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газостанцията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97. (1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Колонките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бензиностанциите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колонките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бензиностанцията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колонката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бензиностанция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заобикаляне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- 5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m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30).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Зарядните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колонки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равномерно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Зарядните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променлив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(AC)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конектори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ІІ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2014/94/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например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конекторите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Зарядните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променлив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(AC)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конектори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ІІ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2014/94/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Зарядните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(DC)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зарядни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"Combo 2"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ІІ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2014/94/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зарядните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конектори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хибридни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конектори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ІІ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2014/94/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зарядни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зарядни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зарядни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зарядни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XV.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Гаражни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рампи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многоетажните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шлюзове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заустване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смущения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10 %.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15 %,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набраздяване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удобство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20 %,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31).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полурампи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паркрампи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15 %,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паркрампите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6 %.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20 %.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8 %,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чупките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31):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изпъкнали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R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m;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вдлъбнати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R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Symbol" w:eastAsia="Times New Roman" w:hAnsi="Symbol" w:cs="Symbol"/>
          <w:sz w:val="24"/>
          <w:szCs w:val="24"/>
          <w:highlight w:val="white"/>
          <w:shd w:val="clear" w:color="auto" w:fill="FEFEFE"/>
        </w:rPr>
        <w:t>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m.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изпъкналите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чупки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2,50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вдлъбнатите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чупки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симетрично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еднопосочни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3,00 m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2,75 m).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двупосочно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x 3,00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0,50 m.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5,00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40"/>
        <w:gridCol w:w="855"/>
        <w:gridCol w:w="855"/>
        <w:gridCol w:w="855"/>
        <w:gridCol w:w="855"/>
        <w:gridCol w:w="855"/>
        <w:gridCol w:w="8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Вътрешен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(R), 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Широчина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проходната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(b), 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</w:tr>
    </w:tbl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Забележка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b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интерполация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0,75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0,25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0,50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1,00 m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cm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скосена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плоскост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XVI.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Автомобилни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обръщачи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задънени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улици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обръщачи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маневри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обръщачи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периферията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обръщачи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32),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маневри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маневри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8,00 m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двуосни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сметосъби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маневри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m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триосни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сметосъбирачни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маневри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маневри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8,00 m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двуосни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сметосъбирачни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лекотоварен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6,00 m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32);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маневри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ремарке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съчленен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автобус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маневрирането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32.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XVII.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Автобусен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тролейбусен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транспорт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автобуси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тролейбуси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("BUS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автобусите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тролейбусите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"BUS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3,25 m.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"BUS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3,0 m.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пътници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Автобусните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тролейбусните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"BUS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джобове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чакащите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1.1 - 1.3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Автобусните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тролейбусните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джоб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3 %.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4 %;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хълмис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5 %;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6 %.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Автобусните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тролейбусните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2,5 %.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джобове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ориентиран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автобусна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тролейбусна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33.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автобусна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тролейбусна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33.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XVIII.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Трамваен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транс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порт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едностранно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релсовата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релсовата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15 - 20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нерелсовия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5 %,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глухи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коловози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- 0,25 %.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адлъжния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(0 - 5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- 18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5 %,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m.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m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m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m.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Габаритите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междурелсие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1435 mm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34.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междурелсие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1009 mm: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- 6,4 m;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стълб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- 7 m;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стълбове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- 7,8 m;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междурел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1435 mm: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- 7 m;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стълб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- 7,6 m;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стълбове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- 8,4 m.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3,5 m.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изпъкналите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- 20 m;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m;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стълбове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стълбове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мачти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стълбове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парапети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- 2,75 m;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стълбове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светофари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пояси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стволове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- 2,50 m;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издигнатия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1,80 m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междурелсие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1009 mm,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2,00 m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междурелсие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1435 mm;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бензиностанции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нафтораздавателни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резервоари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колонките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- 10 m;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резервоари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- 20 m;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колонки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бутилки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газостанциите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- 10 m;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бутилки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втечнен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l,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негорими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- 10 m.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успоредно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габарит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s = 0,50 m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стълб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0,60 (0,65)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междурелсието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").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удобството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35).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слабо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наляво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наляво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очертан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задръствания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").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прекачващо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наляво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паралелно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чифтно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маршрути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").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композиции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мотриси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мотриси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- 20 m;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композиции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- 30 m.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композиции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 m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например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0,75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1,30 m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междурелсие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1,45 m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междурелсие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3 %.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Спирките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обръщателни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m.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XIX.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Таксиметров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транспорт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таксиметрови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джобове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слабо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таксиметровите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таксиметровите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таксиметровите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чакащите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таксиметровите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таксиметров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 m.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таксиметровата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джоб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40"/>
        <w:gridCol w:w="855"/>
        <w:gridCol w:w="855"/>
        <w:gridCol w:w="855"/>
        <w:gridCol w:w="855"/>
        <w:gridCol w:w="855"/>
        <w:gridCol w:w="855"/>
        <w:gridCol w:w="8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b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сп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т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R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t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R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t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(m)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(m)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(m)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(m)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(m)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(m)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(m)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6n*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2,46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6n*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1,92</w:t>
            </w:r>
          </w:p>
        </w:tc>
      </w:tr>
    </w:tbl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*n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XX.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трасета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вътрешноквартални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0,75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- 4,5 m;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- 4,5 m;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- 3 m;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- 2,25 m;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- 1,50 m.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театри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0,25 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очакваната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0,75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2,5 %.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5 %,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косият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6 %.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ешеходци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произшествия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произшествия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пасарелки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пасарелки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преодолявана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пасарелки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пасарелки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притегателни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пасарелки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перспективната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4,5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2,3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пешеходните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пасарелки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2,25 m.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асансьори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XXI.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трасета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транзитни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km/h,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- 20 km/h;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7 %;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двустранно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0,25 m;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1,5 %;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65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транзитни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транзитни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транзитни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изпъкнали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транзитни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90"/>
        <w:gridCol w:w="226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Надлъжен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наклон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[%]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Максимална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дължина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участъка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[m]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≤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4 %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няма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ограничение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</w:t>
            </w:r>
          </w:p>
        </w:tc>
      </w:tr>
    </w:tbl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велосипедистите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56"/>
        <w:gridCol w:w="302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(km/h)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хоризонтална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R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min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</w:tr>
    </w:tbl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37.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1,50 m.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≤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km/h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средноденонощна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ГСДИ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≤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37;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≤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km/h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ГСДИ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&gt;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37;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≤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km/h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ГСДИ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37.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0,75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37.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еднопосочно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2,50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двупосочно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Еднопосочните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непрекъснат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7,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Еднопосочни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еходното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тактилни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еднопосочно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пунктирна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0,10 m.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лосипедното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37.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стеснени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велосипедистите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1,8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37).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ПУГМ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38;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съблюдава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ПУГМ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ПУГМ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автобусен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ПУГМ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изкачване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асиметрично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39.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39.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39.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светлинни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разбираем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изчакване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светлинни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ПУГМ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времетраенето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заградена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гардероби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леснодостъпни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магазини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ресторанти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пикник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2"/>
        <w:gridCol w:w="2126"/>
        <w:gridCol w:w="212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2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Параметри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паркинги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кратковременно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дълговременно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паркиране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Критерий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паркинг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кратковременно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паркиране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паркинг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дълговременно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паркиране</w:t>
            </w:r>
          </w:p>
          <w:p w:rsidR="00000000" w:rsidRDefault="00F14D9D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Продължителност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паркиране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Повече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Типове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съоръжения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гардероби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стойки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защитени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пространства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Защита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атмосферни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влияния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Непокрит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покрити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Покрити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заградени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Охрана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Неохранявани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Охранявани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Място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ползване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Магазини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търговски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центрове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болници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паркове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зони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отдих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културни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центрове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F14D9D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Жилищни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райони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офиси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станции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обществен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транспорт</w:t>
            </w:r>
          </w:p>
        </w:tc>
      </w:tr>
    </w:tbl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асансьори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стръмни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гардероби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висококачествени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закрепени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оживено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удобство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маршрути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едностранно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двустранно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велосипедистите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37.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XXII.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железопътни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линии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индустриални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стръмни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абразионни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автобусен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тролейбусен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метрополитен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Шлюзове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ускоряване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транзитния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светофари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маршрут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непрекъснати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непрекъснати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опосочно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задвижване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непериферен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електроуред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еобразувател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презаредима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акумулиране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зареждана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Зарядна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зарядна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зарядн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термините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2014/94/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разгръщането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алтернативни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2014/94/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разгръщането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алтернативни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-02-14-306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15.I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.1989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§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КОМУНИКАЦИОННО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ТЕРИТОРИИ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4.07.2015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14D9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КОМУНИКАЦИОННО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ТЕРИТОРИИ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14D9D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КОМУНИКАЦИОННО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ТЕРИТОРИИ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26.05.2017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71"/>
        <w:gridCol w:w="394"/>
        <w:gridCol w:w="14"/>
        <w:gridCol w:w="115"/>
        <w:gridCol w:w="912"/>
        <w:gridCol w:w="492"/>
        <w:gridCol w:w="85"/>
        <w:gridCol w:w="1231"/>
        <w:gridCol w:w="191"/>
        <w:gridCol w:w="1328"/>
        <w:gridCol w:w="289"/>
        <w:gridCol w:w="112"/>
        <w:gridCol w:w="672"/>
        <w:gridCol w:w="490"/>
        <w:gridCol w:w="325"/>
        <w:gridCol w:w="893"/>
        <w:gridCol w:w="530"/>
        <w:gridCol w:w="180"/>
        <w:gridCol w:w="855"/>
        <w:gridCol w:w="84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49" w:type="dxa"/>
        </w:trPr>
        <w:tc>
          <w:tcPr>
            <w:tcW w:w="100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49" w:type="dxa"/>
        </w:trPr>
        <w:tc>
          <w:tcPr>
            <w:tcW w:w="100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Класификация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характеристики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улиците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49" w:type="dxa"/>
        </w:trPr>
        <w:tc>
          <w:tcPr>
            <w:tcW w:w="100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49" w:type="dxa"/>
        </w:trPr>
        <w:tc>
          <w:tcPr>
            <w:tcW w:w="100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блица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1.1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12,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13,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4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104,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49" w:type="dxa"/>
        </w:trPr>
        <w:tc>
          <w:tcPr>
            <w:tcW w:w="100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49" w:type="dxa"/>
        </w:trPr>
        <w:tc>
          <w:tcPr>
            <w:tcW w:w="100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Функционална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класификация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49" w:type="dxa"/>
        </w:trPr>
        <w:tc>
          <w:tcPr>
            <w:tcW w:w="10079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49" w:type="dxa"/>
        </w:trPr>
        <w:tc>
          <w:tcPr>
            <w:tcW w:w="136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Класове</w:t>
            </w:r>
          </w:p>
        </w:tc>
        <w:tc>
          <w:tcPr>
            <w:tcW w:w="1618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Функционално</w:t>
            </w:r>
          </w:p>
        </w:tc>
        <w:tc>
          <w:tcPr>
            <w:tcW w:w="275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Обслужване</w:t>
            </w: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Режим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Начин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Паркиране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49" w:type="dxa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</w:tc>
        <w:tc>
          <w:tcPr>
            <w:tcW w:w="161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определение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обслужване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49" w:type="dxa"/>
        </w:trPr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улиците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населено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място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населено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прилежащите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49" w:type="dxa"/>
        </w:trPr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елищно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място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селищно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територии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49" w:type="dxa"/>
        </w:trPr>
        <w:tc>
          <w:tcPr>
            <w:tcW w:w="137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образувание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образувание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Скоростни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Много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големи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Големи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градски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Скоростен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локал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допуска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градски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големи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градове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отдалече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непрекъснат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платна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магистрали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територии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II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Градски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Много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големи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Прекъснат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локални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допуска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магистрали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големи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градове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отдалечени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много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тории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главни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ограничено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улич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вторични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ректно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обслу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центрове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ване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III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Районни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Много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големи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Жилищни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произ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Прекъснат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Ограничено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Допуска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мре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III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артерии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големи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средни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водствени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терито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ректно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обслуж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обособени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жа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курорт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главни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уши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производст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центрове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комплекси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IV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Главни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улици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курорт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Жилищни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курорт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Прекъснат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ограничения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Допуска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производст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производстве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целесъобразно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комплекси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територии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обособени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уширения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Второ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Събирателни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Всички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урбанизи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Жилищни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курорт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Прекъснат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ограничения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Допуска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улици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територии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производстве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целесъоб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пенна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територии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обособени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улич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уширения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VI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Обслужващи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Всички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урбанизи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Жилищни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курорт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Прекъснат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ограничения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ограни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VI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улици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територии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производстве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мре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територии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жа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отделни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24.07.2015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71"/>
        <w:gridCol w:w="235"/>
        <w:gridCol w:w="11"/>
        <w:gridCol w:w="277"/>
        <w:gridCol w:w="1012"/>
        <w:gridCol w:w="227"/>
        <w:gridCol w:w="484"/>
        <w:gridCol w:w="298"/>
        <w:gridCol w:w="555"/>
        <w:gridCol w:w="454"/>
        <w:gridCol w:w="408"/>
        <w:gridCol w:w="660"/>
        <w:gridCol w:w="109"/>
        <w:gridCol w:w="960"/>
        <w:gridCol w:w="385"/>
        <w:gridCol w:w="850"/>
        <w:gridCol w:w="752"/>
        <w:gridCol w:w="95"/>
        <w:gridCol w:w="475"/>
        <w:gridCol w:w="861"/>
        <w:gridCol w:w="357"/>
        <w:gridCol w:w="144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797" w:type="dxa"/>
        </w:trPr>
        <w:tc>
          <w:tcPr>
            <w:tcW w:w="100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797" w:type="dxa"/>
        </w:trPr>
        <w:tc>
          <w:tcPr>
            <w:tcW w:w="100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Транспортни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характеристики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797" w:type="dxa"/>
        </w:trPr>
        <w:tc>
          <w:tcPr>
            <w:tcW w:w="10079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797" w:type="dxa"/>
        </w:trPr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Класове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Режим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разде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Пешеходно</w:t>
            </w:r>
          </w:p>
        </w:tc>
        <w:tc>
          <w:tcPr>
            <w:tcW w:w="304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Обществен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транспорт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797" w:type="dxa"/>
        </w:trPr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кръстовища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лителна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ивица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преминаване</w:t>
            </w:r>
          </w:p>
        </w:tc>
        <w:tc>
          <w:tcPr>
            <w:tcW w:w="304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превоз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пътници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педно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797" w:type="dxa"/>
        </w:trPr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улиците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възли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релсов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нерелсов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спирки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797" w:type="dxa"/>
        </w:trPr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наземен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нерелсовия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797" w:type="dxa"/>
        </w:trPr>
        <w:tc>
          <w:tcPr>
            <w:tcW w:w="12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транспорт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Задължител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Задължителна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Задължително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Допуска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Задължител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допуска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всички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широчина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различни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пуска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(5)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еобходи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извън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нива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малко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нива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3,00 m,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вижда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пазна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ограда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лизирана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лента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"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джобове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II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Светлинно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Задължителна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различни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Допуска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Допуска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Задължител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регулирани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широчина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свет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необходи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извън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собена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алея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допускат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малко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линно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собено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улич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различни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нива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3,00 m,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лирано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платно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вижда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пазна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ограда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лизирана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(3)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лента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"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джобове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мре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III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Предимно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Целесъобразно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Светлинно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Допуска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Допуска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джобове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обособена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жа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III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светлинно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предвиж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гулирано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целе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гулирани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широчина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регулирано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съобраз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алея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пуска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малко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знаци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(4)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2,00 m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обособено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знаци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платно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IV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Предимно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Регулирано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Допуска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Допуска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Целесъоб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обособена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гулирани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вижда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знаци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знаци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допуска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"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джобове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алея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допуска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светл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инно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светлинно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регулиране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Допуска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регулиране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Второ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Регулиране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Регулирано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Допуска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Допуска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по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Целесъоб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Допуска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сте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знаци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вижда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изклю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изключение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пенна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отделни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"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джобове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улич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отделни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тъци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участъци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мре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VI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Нерегулирани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Нерегулирано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допуска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Допуска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жа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VI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вижда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пуска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пуска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08"/>
        <w:gridCol w:w="33"/>
        <w:gridCol w:w="232"/>
        <w:gridCol w:w="348"/>
        <w:gridCol w:w="6"/>
        <w:gridCol w:w="668"/>
        <w:gridCol w:w="45"/>
        <w:gridCol w:w="115"/>
        <w:gridCol w:w="504"/>
        <w:gridCol w:w="197"/>
        <w:gridCol w:w="663"/>
        <w:gridCol w:w="103"/>
        <w:gridCol w:w="20"/>
        <w:gridCol w:w="605"/>
        <w:gridCol w:w="94"/>
        <w:gridCol w:w="319"/>
        <w:gridCol w:w="212"/>
        <w:gridCol w:w="291"/>
        <w:gridCol w:w="709"/>
        <w:gridCol w:w="161"/>
        <w:gridCol w:w="85"/>
        <w:gridCol w:w="471"/>
        <w:gridCol w:w="314"/>
        <w:gridCol w:w="377"/>
        <w:gridCol w:w="26"/>
        <w:gridCol w:w="663"/>
        <w:gridCol w:w="29"/>
        <w:gridCol w:w="422"/>
        <w:gridCol w:w="75"/>
        <w:gridCol w:w="145"/>
        <w:gridCol w:w="457"/>
        <w:gridCol w:w="88"/>
        <w:gridCol w:w="126"/>
        <w:gridCol w:w="642"/>
        <w:gridCol w:w="126"/>
        <w:gridCol w:w="94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44" w:type="dxa"/>
        </w:trPr>
        <w:tc>
          <w:tcPr>
            <w:tcW w:w="1007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Технически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характеристики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44" w:type="dxa"/>
        </w:trPr>
        <w:tc>
          <w:tcPr>
            <w:tcW w:w="1007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Класове</w:t>
            </w:r>
          </w:p>
        </w:tc>
        <w:tc>
          <w:tcPr>
            <w:tcW w:w="1182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Проектна</w:t>
            </w:r>
          </w:p>
        </w:tc>
        <w:tc>
          <w:tcPr>
            <w:tcW w:w="1487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Минимално</w:t>
            </w:r>
          </w:p>
        </w:tc>
        <w:tc>
          <w:tcPr>
            <w:tcW w:w="1018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Макси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58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радиус</w:t>
            </w: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Минимални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76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Широ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Прибли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разстояние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мален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(R)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хоризонтал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радиуси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(R)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мален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чина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зителна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улиците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),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надлъжен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вертикал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радиус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ните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пропус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km/h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възли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наклон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напречен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наклон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(R)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ленти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една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кателна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кръсто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%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 (1)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 (1)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бордюр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пътна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способ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вищата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m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крива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жение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44" w:type="dxa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1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изпък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вдлъб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44" w:type="dxa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1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qmax =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qmin =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qmin =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нали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нати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товища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44" w:type="dxa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1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6 %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2,5 %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-2,5 %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m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 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44" w:type="dxa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1000 (8)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450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8300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 x 2 (10)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3,75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44" w:type="dxa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800 (8)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250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допуска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4400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 x 3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44" w:type="dxa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II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400 (8)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180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700 (9)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 (16)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 x 2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3,75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44" w:type="dxa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 x 3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3,50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44" w:type="dxa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 x 4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44" w:type="dxa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улич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III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300 (8)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7,0 (7)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450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 (16)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 x 2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44" w:type="dxa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III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250 (8)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7,5 (7)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 (16)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 x 3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3,50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44" w:type="dxa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мре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(13)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44" w:type="dxa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 (11)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44" w:type="dxa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IV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200 (8)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 (7)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 (16)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 (12)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3,50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44" w:type="dxa"/>
        </w:trPr>
        <w:tc>
          <w:tcPr>
            <w:tcW w:w="74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(13)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44" w:type="dxa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 (8)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9,0 (7)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125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450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 (16)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 (12)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3,50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44" w:type="dxa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 (8)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10,0 (7)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 (16)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 (12)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(14)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44" w:type="dxa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VI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10,0 (7)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 (16)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44" w:type="dxa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VI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12,0 (7)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 (16)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(15)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44" w:type="dxa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на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(17)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44" w:type="dxa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улич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44" w:type="dxa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44" w:type="dxa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мре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44" w:type="dxa"/>
        </w:trPr>
        <w:tc>
          <w:tcPr>
            <w:tcW w:w="74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Забележка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1.1 - 1.3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релсовият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нерелсовия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първоетапно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1%,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2%.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двустранен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3,00 m.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преобладаващо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(11).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нискоетажно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3,00 m.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преобладава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3,50 m.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шахти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6,00 m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4,50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4,00 m.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</w:t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095750" cy="3905250"/>
            <wp:effectExtent l="0" t="0" r="0" b="0"/>
            <wp:docPr id="3" name="Picture 3" descr="C:\Users\GeorgievaDa\AppData\Local\Ciela Norma AD\Ciela51\Cache\599490eb24bc02fdfd117ad1aa98c365a1eac30f30f9504cee031bd43ff30093_normi2135492666\1694118_61_p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orgievaDa\AppData\Local\Ciela Norma AD\Ciela51\Cache\599490eb24bc02fdfd117ad1aa98c365a1eac30f30f9504cee031bd43ff30093_normi2135492666\1694118_61_pr2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276725" cy="2876550"/>
            <wp:effectExtent l="0" t="0" r="9525" b="0"/>
            <wp:docPr id="4" name="Picture 4" descr="C:\Users\GeorgievaDa\AppData\Local\Ciela Norma AD\Ciela51\Cache\599490eb24bc02fdfd117ad1aa98c365a1eac30f30f9504cee031bd43ff30093_normi2135492666\1694120_61_p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orgievaDa\AppData\Local\Ciela Norma AD\Ciela51\Cache\599490eb24bc02fdfd117ad1aa98c365a1eac30f30f9504cee031bd43ff30093_normi2135492666\1694120_61_pr3.gif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Номограма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(V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(R)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(q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1676400" cy="2638425"/>
            <wp:effectExtent l="0" t="0" r="0" b="9525"/>
            <wp:docPr id="5" name="Picture 5" descr="C:\Users\GeorgievaDa\AppData\Local\Ciela Norma AD\Ciela51\Cache\599490eb24bc02fdfd117ad1aa98c365a1eac30f30f9504cee031bd43ff30093_normi2135492666\1694122_61_pr4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orgievaDa\AppData\Local\Ciela Norma AD\Ciela51\Cache\599490eb24bc02fdfd117ad1aa98c365a1eac30f30f9504cee031bd43ff30093_normi2135492666\1694122_61_pr4_1.gif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въртене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333875" cy="5095875"/>
            <wp:effectExtent l="0" t="0" r="9525" b="9525"/>
            <wp:docPr id="6" name="Picture 6" descr="C:\Users\GeorgievaDa\AppData\Local\Ciela Norma AD\Ciela51\Cache\599490eb24bc02fdfd117ad1aa98c365a1eac30f30f9504cee031bd43ff30093_normi2135492666\1694125_61_pr4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orgievaDa\AppData\Local\Ciela Norma AD\Ciela51\Cache\599490eb24bc02fdfd117ad1aa98c365a1eac30f30f9504cee031bd43ff30093_normi2135492666\1694125_61_pr4_2.gif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въртене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133850" cy="3162300"/>
            <wp:effectExtent l="0" t="0" r="0" b="0"/>
            <wp:docPr id="7" name="Picture 7" descr="C:\Users\GeorgievaDa\AppData\Local\Ciela Norma AD\Ciela51\Cache\599490eb24bc02fdfd117ad1aa98c365a1eac30f30f9504cee031bd43ff30093_normi2135492666\1694127_61_pr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orgievaDa\AppData\Local\Ciela Norma AD\Ciela51\Cache\599490eb24bc02fdfd117ad1aa98c365a1eac30f30f9504cee031bd43ff30093_normi2135492666\1694127_61_pr5.gif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790950" cy="1981200"/>
            <wp:effectExtent l="0" t="0" r="0" b="0"/>
            <wp:docPr id="8" name="Picture 8" descr="C:\Users\GeorgievaDa\AppData\Local\Ciela Norma AD\Ciela51\Cache\599490eb24bc02fdfd117ad1aa98c365a1eac30f30f9504cee031bd43ff30093_normi2135492666\1694129_61_pr6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eorgievaDa\AppData\Local\Ciela Norma AD\Ciela51\Cache\599490eb24bc02fdfd117ad1aa98c365a1eac30f30f9504cee031bd43ff30093_normi2135492666\1694129_61_pr6_1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нулевата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648075" cy="1123950"/>
            <wp:effectExtent l="0" t="0" r="9525" b="0"/>
            <wp:docPr id="9" name="Picture 9" descr="C:\Users\GeorgievaDa\AppData\Local\Ciela Norma AD\Ciela51\Cache\599490eb24bc02fdfd117ad1aa98c365a1eac30f30f9504cee031bd43ff30093_normi2135492666\1694132_61_pr6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eorgievaDa\AppData\Local\Ciela Norma AD\Ciela51\Cache\599490eb24bc02fdfd117ad1aa98c365a1eac30f30f9504cee031bd43ff30093_normi2135492666\1694132_61_pr6_2.gif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114800" cy="5886450"/>
            <wp:effectExtent l="0" t="0" r="0" b="0"/>
            <wp:docPr id="10" name="Picture 10" descr="C:\Users\GeorgievaDa\AppData\Local\Ciela Norma AD\Ciela51\Cache\599490eb24bc02fdfd117ad1aa98c365a1eac30f30f9504cee031bd43ff30093_normi2135492666\1694134_62_pr7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eorgievaDa\AppData\Local\Ciela Norma AD\Ciela51\Cache\599490eb24bc02fdfd117ad1aa98c365a1eac30f30f9504cee031bd43ff30093_normi2135492666\1694134_62_pr7_1.gif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019550" cy="6115050"/>
            <wp:effectExtent l="0" t="0" r="0" b="0"/>
            <wp:docPr id="11" name="Picture 11" descr="C:\Users\GeorgievaDa\AppData\Local\Ciela Norma AD\Ciela51\Cache\599490eb24bc02fdfd117ad1aa98c365a1eac30f30f9504cee031bd43ff30093_normi2135492666\1694137_62_pr7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eorgievaDa\AppData\Local\Ciela Norma AD\Ciela51\Cache\599490eb24bc02fdfd117ad1aa98c365a1eac30f30f9504cee031bd43ff30093_normi2135492666\1694137_62_pr7_2.gif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076700" cy="6486525"/>
            <wp:effectExtent l="0" t="0" r="0" b="9525"/>
            <wp:docPr id="12" name="Picture 12" descr="C:\Users\GeorgievaDa\AppData\Local\Ciela Norma AD\Ciela51\Cache\599490eb24bc02fdfd117ad1aa98c365a1eac30f30f9504cee031bd43ff30093_normi2135492666\1694139_62_pr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eorgievaDa\AppData\Local\Ciela Norma AD\Ciela51\Cache\599490eb24bc02fdfd117ad1aa98c365a1eac30f30f9504cee031bd43ff30093_normi2135492666\1694139_62_pr8.gif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Стоманени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предпазни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огради</w:t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790950" cy="4467225"/>
            <wp:effectExtent l="0" t="0" r="0" b="9525"/>
            <wp:docPr id="13" name="Picture 13" descr="C:\Users\GeorgievaDa\AppData\Local\Ciela Norma AD\Ciela51\Cache\599490eb24bc02fdfd117ad1aa98c365a1eac30f30f9504cee031bd43ff30093_normi2135492666\169_512424_pr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eorgievaDa\AppData\Local\Ciela Norma AD\Ciela51\Cache\599490eb24bc02fdfd117ad1aa98c365a1eac30f30f9504cee031bd43ff30093_normi2135492666\169_512424_pr9_1.gif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D9D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Бетони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предпазни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огради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Ню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Джърси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391150" cy="2238375"/>
            <wp:effectExtent l="0" t="0" r="0" b="9525"/>
            <wp:docPr id="14" name="Picture 14" descr="C:\Users\GeorgievaDa\AppData\Local\Ciela Norma AD\Ciela51\Cache\599490eb24bc02fdfd117ad1aa98c365a1eac30f30f9504cee031bd43ff30093_normi2135492666\169_10353128_pr9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eorgievaDa\AppData\Local\Ciela Norma AD\Ciela51\Cache\599490eb24bc02fdfd117ad1aa98c365a1eac30f30f9504cee031bd43ff30093_normi2135492666\169_10353128_pr9_2.gif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D9D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63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219700" cy="6515100"/>
            <wp:effectExtent l="0" t="0" r="0" b="0"/>
            <wp:docPr id="15" name="Picture 15" descr="C:\Users\GeorgievaDa\AppData\Local\Ciela Norma AD\Ciela51\Cache\599490eb24bc02fdfd117ad1aa98c365a1eac30f30f9504cee031bd43ff30093_normi2135492666\1694297_63_pr10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eorgievaDa\AppData\Local\Ciela Norma AD\Ciela51\Cache\599490eb24bc02fdfd117ad1aa98c365a1eac30f30f9504cee031bd43ff30093_normi2135492666\1694297_63_pr10_1.gif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191125" cy="3209925"/>
            <wp:effectExtent l="0" t="0" r="9525" b="9525"/>
            <wp:docPr id="16" name="Picture 16" descr="C:\Users\GeorgievaDa\AppData\Local\Ciela Norma AD\Ciela51\Cache\599490eb24bc02fdfd117ad1aa98c365a1eac30f30f9504cee031bd43ff30093_normi2135492666\1694300_63_pr10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eorgievaDa\AppData\Local\Ciela Norma AD\Ciela51\Cache\599490eb24bc02fdfd117ad1aa98c365a1eac30f30f9504cee031bd43ff30093_normi2135492666\1694300_63_pr10_2.gif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46"/>
        <w:gridCol w:w="393"/>
        <w:gridCol w:w="681"/>
        <w:gridCol w:w="237"/>
        <w:gridCol w:w="809"/>
        <w:gridCol w:w="344"/>
        <w:gridCol w:w="1103"/>
        <w:gridCol w:w="419"/>
        <w:gridCol w:w="542"/>
        <w:gridCol w:w="516"/>
        <w:gridCol w:w="476"/>
        <w:gridCol w:w="589"/>
        <w:gridCol w:w="403"/>
        <w:gridCol w:w="16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превозни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Дължи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8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Надвес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m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Широ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Висо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Външен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габаритен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средства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m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преден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заден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m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завой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1,90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Мотопед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1,80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Мотоциклет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автомобил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4,70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0,83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Товарни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автомобили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.: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транспортьор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";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2,00*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фургон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";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0,72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2,20*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полезен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товар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7,5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полезен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товар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16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полезен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вар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22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9,50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1,30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≤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4,00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автовлак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влекач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9,50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1,30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прицеп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1,10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седлови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влекач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15,39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влекач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1,28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полуприцеп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12,47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2,16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пожарни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автомобили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9,45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2,80*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Symbol" w:eastAsia="Times New Roman" w:hAnsi="Symbol" w:cs="Symbol"/>
                <w:highlight w:val="white"/>
                <w:shd w:val="clear" w:color="auto" w:fill="FEFEFE"/>
              </w:rPr>
              <w:t>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10,50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снегопочистващи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автомобили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двуосни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7,64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1,36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3,30*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триосни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9,45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4,89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1,55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3,30*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Автобуси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.: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междуградски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2,55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≤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3,40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11,48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5,88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2,56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съчленени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17,26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5,60/6,15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2,45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≤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12,00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Тролейбуси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5,60/6,55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2,50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F14D9D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12,00</w:t>
            </w:r>
          </w:p>
        </w:tc>
      </w:tr>
    </w:tbl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Забележка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(*)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200525" cy="5848350"/>
            <wp:effectExtent l="0" t="0" r="9525" b="0"/>
            <wp:docPr id="17" name="Picture 17" descr="C:\Users\GeorgievaDa\AppData\Local\Ciela Norma AD\Ciela51\Cache\599490eb24bc02fdfd117ad1aa98c365a1eac30f30f9504cee031bd43ff30093_normi2135492666\1694146_64_pr12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GeorgievaDa\AppData\Local\Ciela Norma AD\Ciela51\Cache\599490eb24bc02fdfd117ad1aa98c365a1eac30f30f9504cee031bd43ff30093_normi2135492666\1694146_64_pr12_1.gif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g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g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53100" cy="3371850"/>
            <wp:effectExtent l="0" t="0" r="0" b="0"/>
            <wp:docPr id="18" name="Picture 18" descr="C:\Users\GeorgievaDa\AppData\Local\Ciela Norma AD\Ciela51\Cache\599490eb24bc02fdfd117ad1aa98c365a1eac30f30f9504cee031bd43ff30093_normi2135492666\1696693_68_pr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GeorgievaDa\AppData\Local\Ciela Norma AD\Ciela51\Cache\599490eb24bc02fdfd117ad1aa98c365a1eac30f30f9504cee031bd43ff30093_normi2135492666\1696693_68_pr13.gif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Траектории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траектории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сърповидна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траектории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непрекъснато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завъртането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траектория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приблизително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тежкотоварни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автобуси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изобразени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1:250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траекториите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g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Посредством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траектории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шаблони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маневри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Траекториите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62625" cy="4381500"/>
            <wp:effectExtent l="0" t="0" r="9525" b="0"/>
            <wp:docPr id="19" name="Picture 19" descr="C:\Users\GeorgievaDa\AppData\Local\Ciela Norma AD\Ciela51\Cache\599490eb24bc02fdfd117ad1aa98c365a1eac30f30f9504cee031bd43ff30093_normi2135492666\1694149_65_pr12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GeorgievaDa\AppData\Local\Ciela Norma AD\Ciela51\Cache\599490eb24bc02fdfd117ad1aa98c365a1eac30f30f9504cee031bd43ff30093_normi2135492666\1694149_65_pr12_2.gif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62625" cy="4076700"/>
            <wp:effectExtent l="0" t="0" r="9525" b="0"/>
            <wp:docPr id="20" name="Picture 20" descr="C:\Users\GeorgievaDa\AppData\Local\Ciela Norma AD\Ciela51\Cache\599490eb24bc02fdfd117ad1aa98c365a1eac30f30f9504cee031bd43ff30093_normi2135492666\1694153_65_pr12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GeorgievaDa\AppData\Local\Ciela Norma AD\Ciela51\Cache\599490eb24bc02fdfd117ad1aa98c365a1eac30f30f9504cee031bd43ff30093_normi2135492666\1694153_65_pr12_3.gif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62625" cy="4162425"/>
            <wp:effectExtent l="0" t="0" r="9525" b="9525"/>
            <wp:docPr id="21" name="Picture 21" descr="C:\Users\GeorgievaDa\AppData\Local\Ciela Norma AD\Ciela51\Cache\599490eb24bc02fdfd117ad1aa98c365a1eac30f30f9504cee031bd43ff30093_normi2135492666\1694158_65_pr12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GeorgievaDa\AppData\Local\Ciela Norma AD\Ciela51\Cache\599490eb24bc02fdfd117ad1aa98c365a1eac30f30f9504cee031bd43ff30093_normi2135492666\1694158_65_pr12_4.gif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53100" cy="4152900"/>
            <wp:effectExtent l="0" t="0" r="0" b="0"/>
            <wp:docPr id="22" name="Picture 22" descr="C:\Users\GeorgievaDa\AppData\Local\Ciela Norma AD\Ciela51\Cache\599490eb24bc02fdfd117ad1aa98c365a1eac30f30f9504cee031bd43ff30093_normi2135492666\1694164_65_pr12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GeorgievaDa\AppData\Local\Ciela Norma AD\Ciela51\Cache\599490eb24bc02fdfd117ad1aa98c365a1eac30f30f9504cee031bd43ff30093_normi2135492666\1694164_65_pr12_5.gif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62625" cy="4038600"/>
            <wp:effectExtent l="0" t="0" r="9525" b="0"/>
            <wp:docPr id="23" name="Picture 23" descr="C:\Users\GeorgievaDa\AppData\Local\Ciela Norma AD\Ciela51\Cache\599490eb24bc02fdfd117ad1aa98c365a1eac30f30f9504cee031bd43ff30093_normi2135492666\1694171_65_pr12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GeorgievaDa\AppData\Local\Ciela Norma AD\Ciela51\Cache\599490eb24bc02fdfd117ad1aa98c365a1eac30f30f9504cee031bd43ff30093_normi2135492666\1694171_65_pr12_6.gif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53100" cy="4476750"/>
            <wp:effectExtent l="0" t="0" r="0" b="0"/>
            <wp:docPr id="24" name="Picture 24" descr="C:\Users\GeorgievaDa\AppData\Local\Ciela Norma AD\Ciela51\Cache\599490eb24bc02fdfd117ad1aa98c365a1eac30f30f9504cee031bd43ff30093_normi2135492666\1694179_65_pr12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GeorgievaDa\AppData\Local\Ciela Norma AD\Ciela51\Cache\599490eb24bc02fdfd117ad1aa98c365a1eac30f30f9504cee031bd43ff30093_normi2135492666\1694179_65_pr12_7.gif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53100" cy="4191000"/>
            <wp:effectExtent l="0" t="0" r="0" b="0"/>
            <wp:docPr id="25" name="Picture 25" descr="C:\Users\GeorgievaDa\AppData\Local\Ciela Norma AD\Ciela51\Cache\599490eb24bc02fdfd117ad1aa98c365a1eac30f30f9504cee031bd43ff30093_normi2135492666\1694188_65_pr12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GeorgievaDa\AppData\Local\Ciela Norma AD\Ciela51\Cache\599490eb24bc02fdfd117ad1aa98c365a1eac30f30f9504cee031bd43ff30093_normi2135492666\1694188_65_pr12_8.gif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62625" cy="4267200"/>
            <wp:effectExtent l="0" t="0" r="9525" b="0"/>
            <wp:docPr id="26" name="Picture 26" descr="C:\Users\GeorgievaDa\AppData\Local\Ciela Norma AD\Ciela51\Cache\599490eb24bc02fdfd117ad1aa98c365a1eac30f30f9504cee031bd43ff30093_normi2135492666\1694198_65_pr12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GeorgievaDa\AppData\Local\Ciela Norma AD\Ciela51\Cache\599490eb24bc02fdfd117ad1aa98c365a1eac30f30f9504cee031bd43ff30093_normi2135492666\1694198_65_pr12_9.gif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</w:t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486275" cy="1743075"/>
            <wp:effectExtent l="0" t="0" r="9525" b="9525"/>
            <wp:docPr id="27" name="Picture 27" descr="C:\Users\GeorgievaDa\AppData\Local\Ciela Norma AD\Ciela51\Cache\599490eb24bc02fdfd117ad1aa98c365a1eac30f30f9504cee031bd43ff30093_normi2135492666\1694200_69_pr1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GeorgievaDa\AppData\Local\Ciela Norma AD\Ciela51\Cache\599490eb24bc02fdfd117ad1aa98c365a1eac30f30f9504cee031bd43ff30093_normi2135492666\1694200_69_pr15_1.gif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467225" cy="1504950"/>
            <wp:effectExtent l="0" t="0" r="9525" b="0"/>
            <wp:docPr id="28" name="Picture 28" descr="C:\Users\GeorgievaDa\AppData\Local\Ciela Norma AD\Ciela51\Cache\599490eb24bc02fdfd117ad1aa98c365a1eac30f30f9504cee031bd43ff30093_normi2135492666\1694203_69_pr15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GeorgievaDa\AppData\Local\Ciela Norma AD\Ciela51\Cache\599490eb24bc02fdfd117ad1aa98c365a1eac30f30f9504cee031bd43ff30093_normi2135492666\1694203_69_pr15_2.gif"/>
                    <pic:cNvPicPr>
                      <a:picLocks noChangeAspect="1" noChangeArrowheads="1"/>
                    </pic:cNvPicPr>
                  </pic:nvPicPr>
                  <pic:blipFill>
                    <a:blip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</w:t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819525" cy="5362575"/>
            <wp:effectExtent l="0" t="0" r="9525" b="9525"/>
            <wp:docPr id="29" name="Picture 29" descr="C:\Users\GeorgievaDa\AppData\Local\Ciela Norma AD\Ciela51\Cache\599490eb24bc02fdfd117ad1aa98c365a1eac30f30f9504cee031bd43ff30093_normi2135492666\1694205_69_pr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GeorgievaDa\AppData\Local\Ciela Norma AD\Ciela51\Cache\599490eb24bc02fdfd117ad1aa98c365a1eac30f30f9504cee031bd43ff30093_normi2135492666\1694205_69_pr16.gif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</w:t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391025" cy="5248275"/>
            <wp:effectExtent l="0" t="0" r="9525" b="9525"/>
            <wp:docPr id="30" name="Picture 30" descr="C:\Users\GeorgievaDa\AppData\Local\Ciela Norma AD\Ciela51\Cache\599490eb24bc02fdfd117ad1aa98c365a1eac30f30f9504cee031bd43ff30093_normi2135492666\1694207_69_pr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GeorgievaDa\AppData\Local\Ciela Norma AD\Ciela51\Cache\599490eb24bc02fdfd117ad1aa98c365a1eac30f30f9504cee031bd43ff30093_normi2135492666\1694207_69_pr17.gif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410075" cy="5438775"/>
            <wp:effectExtent l="0" t="0" r="9525" b="9525"/>
            <wp:docPr id="31" name="Picture 31" descr="C:\Users\GeorgievaDa\AppData\Local\Ciela Norma AD\Ciela51\Cache\599490eb24bc02fdfd117ad1aa98c365a1eac30f30f9504cee031bd43ff30093_normi2135492666\1694209_70_pr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GeorgievaDa\AppData\Local\Ciela Norma AD\Ciela51\Cache\599490eb24bc02fdfd117ad1aa98c365a1eac30f30f9504cee031bd43ff30093_normi2135492666\1694209_70_pr18.gif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71</w:t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676650" cy="5638800"/>
            <wp:effectExtent l="0" t="0" r="0" b="0"/>
            <wp:docPr id="32" name="Picture 32" descr="C:\Users\GeorgievaDa\AppData\Local\Ciela Norma AD\Ciela51\Cache\599490eb24bc02fdfd117ad1aa98c365a1eac30f30f9504cee031bd43ff30093_normi2135492666\1694211_70_pr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GeorgievaDa\AppData\Local\Ciela Norma AD\Ciela51\Cache\599490eb24bc02fdfd117ad1aa98c365a1eac30f30f9504cee031bd43ff30093_normi2135492666\1694211_70_pr19.gif"/>
                    <pic:cNvPicPr>
                      <a:picLocks noChangeAspect="1" noChangeArrowheads="1"/>
                    </pic:cNvPicPr>
                  </pic:nvPicPr>
                  <pic:blipFill>
                    <a:blip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</w:t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010025" cy="5619750"/>
            <wp:effectExtent l="0" t="0" r="9525" b="0"/>
            <wp:docPr id="33" name="Picture 33" descr="C:\Users\GeorgievaDa\AppData\Local\Ciela Norma AD\Ciela51\Cache\599490eb24bc02fdfd117ad1aa98c365a1eac30f30f9504cee031bd43ff30093_normi2135492666\1694213_70_pr20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GeorgievaDa\AppData\Local\Ciela Norma AD\Ciela51\Cache\599490eb24bc02fdfd117ad1aa98c365a1eac30f30f9504cee031bd43ff30093_normi2135492666\1694213_70_pr20_1.gif"/>
                    <pic:cNvPicPr>
                      <a:picLocks noChangeAspect="1" noChangeArrowheads="1"/>
                    </pic:cNvPicPr>
                  </pic:nvPicPr>
                  <pic:blipFill>
                    <a:blip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352925" cy="6172200"/>
            <wp:effectExtent l="0" t="0" r="9525" b="0"/>
            <wp:docPr id="34" name="Picture 34" descr="C:\Users\GeorgievaDa\AppData\Local\Ciela Norma AD\Ciela51\Cache\599490eb24bc02fdfd117ad1aa98c365a1eac30f30f9504cee031bd43ff30093_normi2135492666\1694216_70_pr20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GeorgievaDa\AppData\Local\Ciela Norma AD\Ciela51\Cache\599490eb24bc02fdfd117ad1aa98c365a1eac30f30f9504cee031bd43ff30093_normi2135492666\1694216_70_pr20_2.gif"/>
                    <pic:cNvPicPr>
                      <a:picLocks noChangeAspect="1" noChangeArrowheads="1"/>
                    </pic:cNvPicPr>
                  </pic:nvPicPr>
                  <pic:blipFill>
                    <a:blip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124325" cy="5924550"/>
            <wp:effectExtent l="0" t="0" r="9525" b="0"/>
            <wp:docPr id="35" name="Picture 35" descr="C:\Users\GeorgievaDa\AppData\Local\Ciela Norma AD\Ciela51\Cache\599490eb24bc02fdfd117ad1aa98c365a1eac30f30f9504cee031bd43ff30093_normi2135492666\1694220_70_pr20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GeorgievaDa\AppData\Local\Ciela Norma AD\Ciela51\Cache\599490eb24bc02fdfd117ad1aa98c365a1eac30f30f9504cee031bd43ff30093_normi2135492666\1694220_70_pr20_3.gif"/>
                    <pic:cNvPicPr>
                      <a:picLocks noChangeAspect="1" noChangeArrowheads="1"/>
                    </pic:cNvPicPr>
                  </pic:nvPicPr>
                  <pic:blipFill>
                    <a:blip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74</w:t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371850" cy="5334000"/>
            <wp:effectExtent l="0" t="0" r="0" b="0"/>
            <wp:docPr id="36" name="Picture 36" descr="C:\Users\GeorgievaDa\AppData\Local\Ciela Norma AD\Ciela51\Cache\599490eb24bc02fdfd117ad1aa98c365a1eac30f30f9504cee031bd43ff30093_normi2135492666\1694222_71_pr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GeorgievaDa\AppData\Local\Ciela Norma AD\Ciela51\Cache\599490eb24bc02fdfd117ad1aa98c365a1eac30f30f9504cee031bd43ff30093_normi2135492666\1694222_71_pr21.gif"/>
                    <pic:cNvPicPr>
                      <a:picLocks noChangeAspect="1" noChangeArrowheads="1"/>
                    </pic:cNvPicPr>
                  </pic:nvPicPr>
                  <pic:blipFill>
                    <a:blip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74</w:t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2819400" cy="5391150"/>
            <wp:effectExtent l="0" t="0" r="0" b="0"/>
            <wp:docPr id="37" name="Picture 37" descr="C:\Users\GeorgievaDa\AppData\Local\Ciela Norma AD\Ciela51\Cache\599490eb24bc02fdfd117ad1aa98c365a1eac30f30f9504cee031bd43ff30093_normi2135492666\1694224_71_pr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GeorgievaDa\AppData\Local\Ciela Norma AD\Ciela51\Cache\599490eb24bc02fdfd117ad1aa98c365a1eac30f30f9504cee031bd43ff30093_normi2135492666\1694224_71_pr22.gif"/>
                    <pic:cNvPicPr>
                      <a:picLocks noChangeAspect="1" noChangeArrowheads="1"/>
                    </pic:cNvPicPr>
                  </pic:nvPicPr>
                  <pic:blipFill>
                    <a:blip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</w:t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695700" cy="5619750"/>
            <wp:effectExtent l="0" t="0" r="0" b="0"/>
            <wp:docPr id="38" name="Picture 38" descr="C:\Users\GeorgievaDa\AppData\Local\Ciela Norma AD\Ciela51\Cache\599490eb24bc02fdfd117ad1aa98c365a1eac30f30f9504cee031bd43ff30093_normi2135492666\1694226_71_pr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GeorgievaDa\AppData\Local\Ciela Norma AD\Ciela51\Cache\599490eb24bc02fdfd117ad1aa98c365a1eac30f30f9504cee031bd43ff30093_normi2135492666\1694226_71_pr23.gif"/>
                    <pic:cNvPicPr>
                      <a:picLocks noChangeAspect="1" noChangeArrowheads="1"/>
                    </pic:cNvPicPr>
                  </pic:nvPicPr>
                  <pic:blipFill>
                    <a:blip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76</w:t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048125" cy="5162550"/>
            <wp:effectExtent l="0" t="0" r="9525" b="0"/>
            <wp:docPr id="39" name="Picture 39" descr="C:\Users\GeorgievaDa\AppData\Local\Ciela Norma AD\Ciela51\Cache\599490eb24bc02fdfd117ad1aa98c365a1eac30f30f9504cee031bd43ff30093_normi2135492666\1694228_72_pr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GeorgievaDa\AppData\Local\Ciela Norma AD\Ciela51\Cache\599490eb24bc02fdfd117ad1aa98c365a1eac30f30f9504cee031bd43ff30093_normi2135492666\1694228_72_pr24.gif"/>
                    <pic:cNvPicPr>
                      <a:picLocks noChangeAspect="1" noChangeArrowheads="1"/>
                    </pic:cNvPicPr>
                  </pic:nvPicPr>
                  <pic:blipFill>
                    <a:blip r:link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79</w:t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038600" cy="4076700"/>
            <wp:effectExtent l="0" t="0" r="0" b="0"/>
            <wp:docPr id="40" name="Picture 40" descr="C:\Users\GeorgievaDa\AppData\Local\Ciela Norma AD\Ciela51\Cache\599490eb24bc02fdfd117ad1aa98c365a1eac30f30f9504cee031bd43ff30093_normi2135492666\1694230_72_pr2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GeorgievaDa\AppData\Local\Ciela Norma AD\Ciela51\Cache\599490eb24bc02fdfd117ad1aa98c365a1eac30f30f9504cee031bd43ff30093_normi2135492666\1694230_72_pr25_1.gif"/>
                    <pic:cNvPicPr>
                      <a:picLocks noChangeAspect="1" noChangeArrowheads="1"/>
                    </pic:cNvPicPr>
                  </pic:nvPicPr>
                  <pic:blipFill>
                    <a:blip r:link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819525" cy="4333875"/>
            <wp:effectExtent l="0" t="0" r="9525" b="9525"/>
            <wp:docPr id="41" name="Picture 41" descr="C:\Users\GeorgievaDa\AppData\Local\Ciela Norma AD\Ciela51\Cache\599490eb24bc02fdfd117ad1aa98c365a1eac30f30f9504cee031bd43ff30093_normi2135492666\1694233_72_pr25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GeorgievaDa\AppData\Local\Ciela Norma AD\Ciela51\Cache\599490eb24bc02fdfd117ad1aa98c365a1eac30f30f9504cee031bd43ff30093_normi2135492666\1694233_72_pr25_2.gif"/>
                    <pic:cNvPicPr>
                      <a:picLocks noChangeAspect="1" noChangeArrowheads="1"/>
                    </pic:cNvPicPr>
                  </pic:nvPicPr>
                  <pic:blipFill>
                    <a:blip r:link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524375" cy="3248025"/>
            <wp:effectExtent l="0" t="0" r="9525" b="9525"/>
            <wp:docPr id="42" name="Picture 42" descr="C:\Users\GeorgievaDa\AppData\Local\Ciela Norma AD\Ciela51\Cache\599490eb24bc02fdfd117ad1aa98c365a1eac30f30f9504cee031bd43ff30093_normi2135492666\1694237_72_pr25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GeorgievaDa\AppData\Local\Ciela Norma AD\Ciela51\Cache\599490eb24bc02fdfd117ad1aa98c365a1eac30f30f9504cee031bd43ff30093_normi2135492666\1694237_72_pr25_3.gif"/>
                    <pic:cNvPicPr>
                      <a:picLocks noChangeAspect="1" noChangeArrowheads="1"/>
                    </pic:cNvPicPr>
                  </pic:nvPicPr>
                  <pic:blipFill>
                    <a:blip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495800" cy="2933700"/>
            <wp:effectExtent l="0" t="0" r="0" b="0"/>
            <wp:docPr id="43" name="Picture 43" descr="C:\Users\GeorgievaDa\AppData\Local\Ciela Norma AD\Ciela51\Cache\599490eb24bc02fdfd117ad1aa98c365a1eac30f30f9504cee031bd43ff30093_normi2135492666\1694242_72_pr25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GeorgievaDa\AppData\Local\Ciela Norma AD\Ciela51\Cache\599490eb24bc02fdfd117ad1aa98c365a1eac30f30f9504cee031bd43ff30093_normi2135492666\1694242_72_pr25_4.gif"/>
                    <pic:cNvPicPr>
                      <a:picLocks noChangeAspect="1" noChangeArrowheads="1"/>
                    </pic:cNvPicPr>
                  </pic:nvPicPr>
                  <pic:blipFill>
                    <a:blip r:link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</w:t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905250" cy="5772150"/>
            <wp:effectExtent l="0" t="0" r="0" b="0"/>
            <wp:docPr id="44" name="Picture 44" descr="C:\Users\GeorgievaDa\AppData\Local\Ciela Norma AD\Ciela51\Cache\599490eb24bc02fdfd117ad1aa98c365a1eac30f30f9504cee031bd43ff30093_normi2135492666\1694244_73_pr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GeorgievaDa\AppData\Local\Ciela Norma AD\Ciela51\Cache\599490eb24bc02fdfd117ad1aa98c365a1eac30f30f9504cee031bd43ff30093_normi2135492666\1694244_73_pr26.gif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2190750" cy="5676900"/>
            <wp:effectExtent l="0" t="0" r="0" b="0"/>
            <wp:docPr id="45" name="Picture 45" descr="C:\Users\GeorgievaDa\AppData\Local\Ciela Norma AD\Ciela51\Cache\599490eb24bc02fdfd117ad1aa98c365a1eac30f30f9504cee031bd43ff30093_normi2135492666\1694246_73_pr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GeorgievaDa\AppData\Local\Ciela Norma AD\Ciela51\Cache\599490eb24bc02fdfd117ad1aa98c365a1eac30f30f9504cee031bd43ff30093_normi2135492666\1694246_73_pr27.gif"/>
                    <pic:cNvPicPr>
                      <a:picLocks noChangeAspect="1" noChangeArrowheads="1"/>
                    </pic:cNvPicPr>
                  </pic:nvPicPr>
                  <pic:blipFill>
                    <a:blip r:link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943350" cy="6115050"/>
            <wp:effectExtent l="0" t="0" r="0" b="0"/>
            <wp:docPr id="46" name="Picture 46" descr="C:\Users\GeorgievaDa\AppData\Local\Ciela Norma AD\Ciela51\Cache\599490eb24bc02fdfd117ad1aa98c365a1eac30f30f9504cee031bd43ff30093_normi2135492666\1694248_73_pr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GeorgievaDa\AppData\Local\Ciela Norma AD\Ciela51\Cache\599490eb24bc02fdfd117ad1aa98c365a1eac30f30f9504cee031bd43ff30093_normi2135492666\1694248_73_pr28.gif"/>
                    <pic:cNvPicPr>
                      <a:picLocks noChangeAspect="1" noChangeArrowheads="1"/>
                    </pic:cNvPicPr>
                  </pic:nvPicPr>
                  <pic:blipFill>
                    <a:blip r:link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90,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810000" cy="5429250"/>
            <wp:effectExtent l="0" t="0" r="0" b="0"/>
            <wp:docPr id="47" name="Picture 47" descr="C:\Users\GeorgievaDa\AppData\Local\Ciela Norma AD\Ciela51\Cache\599490eb24bc02fdfd117ad1aa98c365a1eac30f30f9504cee031bd43ff30093_normi2135492666\1694250_73_pr2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GeorgievaDa\AppData\Local\Ciela Norma AD\Ciela51\Cache\599490eb24bc02fdfd117ad1aa98c365a1eac30f30f9504cee031bd43ff30093_normi2135492666\1694250_73_pr29_1.gif"/>
                    <pic:cNvPicPr>
                      <a:picLocks noChangeAspect="1" noChangeArrowheads="1"/>
                    </pic:cNvPicPr>
                  </pic:nvPicPr>
                  <pic:blipFill>
                    <a:blip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295775" cy="6400800"/>
            <wp:effectExtent l="0" t="0" r="9525" b="0"/>
            <wp:docPr id="48" name="Picture 48" descr="C:\Users\GeorgievaDa\AppData\Local\Ciela Norma AD\Ciela51\Cache\599490eb24bc02fdfd117ad1aa98c365a1eac30f30f9504cee031bd43ff30093_normi2135492666\1694253_73_pr29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GeorgievaDa\AppData\Local\Ciela Norma AD\Ciela51\Cache\599490eb24bc02fdfd117ad1aa98c365a1eac30f30f9504cee031bd43ff30093_normi2135492666\1694253_73_pr29_2.gif"/>
                    <pic:cNvPicPr>
                      <a:picLocks noChangeAspect="1" noChangeArrowheads="1"/>
                    </pic:cNvPicPr>
                  </pic:nvPicPr>
                  <pic:blipFill>
                    <a:blip r:link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324350" cy="6067425"/>
            <wp:effectExtent l="0" t="0" r="0" b="9525"/>
            <wp:docPr id="49" name="Picture 49" descr="C:\Users\GeorgievaDa\AppData\Local\Ciela Norma AD\Ciela51\Cache\599490eb24bc02fdfd117ad1aa98c365a1eac30f30f9504cee031bd43ff30093_normi2135492666\1694257_73_pr29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GeorgievaDa\AppData\Local\Ciela Norma AD\Ciela51\Cache\599490eb24bc02fdfd117ad1aa98c365a1eac30f30f9504cee031bd43ff30093_normi2135492666\1694257_73_pr29_3.gif"/>
                    <pic:cNvPicPr>
                      <a:picLocks noChangeAspect="1" noChangeArrowheads="1"/>
                    </pic:cNvPicPr>
                  </pic:nvPicPr>
                  <pic:blipFill>
                    <a:blip r:link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</w:t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562475" cy="4419600"/>
            <wp:effectExtent l="0" t="0" r="9525" b="0"/>
            <wp:docPr id="50" name="Picture 50" descr="C:\Users\GeorgievaDa\AppData\Local\Ciela Norma AD\Ciela51\Cache\599490eb24bc02fdfd117ad1aa98c365a1eac30f30f9504cee031bd43ff30093_normi2135492666\1694259_74_pr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GeorgievaDa\AppData\Local\Ciela Norma AD\Ciela51\Cache\599490eb24bc02fdfd117ad1aa98c365a1eac30f30f9504cee031bd43ff30093_normi2135492666\1694259_74_pr30.gif"/>
                    <pic:cNvPicPr>
                      <a:picLocks noChangeAspect="1" noChangeArrowheads="1"/>
                    </pic:cNvPicPr>
                  </pic:nvPicPr>
                  <pic:blipFill>
                    <a:blip r:link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100</w:t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409950" cy="7343775"/>
            <wp:effectExtent l="0" t="0" r="0" b="9525"/>
            <wp:docPr id="51" name="Picture 51" descr="C:\Users\GeorgievaDa\AppData\Local\Ciela Norma AD\Ciela51\Cache\599490eb24bc02fdfd117ad1aa98c365a1eac30f30f9504cee031bd43ff30093_normi2135492666\1694261_74_pr3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GeorgievaDa\AppData\Local\Ciela Norma AD\Ciela51\Cache\599490eb24bc02fdfd117ad1aa98c365a1eac30f30f9504cee031bd43ff30093_normi2135492666\1694261_74_pr31_1.gif"/>
                    <pic:cNvPicPr>
                      <a:picLocks noChangeAspect="1" noChangeArrowheads="1"/>
                    </pic:cNvPicPr>
                  </pic:nvPicPr>
                  <pic:blipFill>
                    <a:blip r:link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324350" cy="6448425"/>
            <wp:effectExtent l="0" t="0" r="0" b="9525"/>
            <wp:docPr id="52" name="Picture 52" descr="C:\Users\GeorgievaDa\AppData\Local\Ciela Norma AD\Ciela51\Cache\599490eb24bc02fdfd117ad1aa98c365a1eac30f30f9504cee031bd43ff30093_normi2135492666\1694264_74_pr31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GeorgievaDa\AppData\Local\Ciela Norma AD\Ciela51\Cache\599490eb24bc02fdfd117ad1aa98c365a1eac30f30f9504cee031bd43ff30093_normi2135492666\1694264_74_pr31_2.gif"/>
                    <pic:cNvPicPr>
                      <a:picLocks noChangeAspect="1" noChangeArrowheads="1"/>
                    </pic:cNvPicPr>
                  </pic:nvPicPr>
                  <pic:blipFill>
                    <a:blip r:link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295775" cy="6410325"/>
            <wp:effectExtent l="0" t="0" r="9525" b="9525"/>
            <wp:docPr id="53" name="Picture 53" descr="C:\Users\GeorgievaDa\AppData\Local\Ciela Norma AD\Ciela51\Cache\599490eb24bc02fdfd117ad1aa98c365a1eac30f30f9504cee031bd43ff30093_normi2135492666\1694268_74_pr31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GeorgievaDa\AppData\Local\Ciela Norma AD\Ciela51\Cache\599490eb24bc02fdfd117ad1aa98c365a1eac30f30f9504cee031bd43ff30093_normi2135492666\1694268_74_pr31_3.gif"/>
                    <pic:cNvPicPr>
                      <a:picLocks noChangeAspect="1" noChangeArrowheads="1"/>
                    </pic:cNvPicPr>
                  </pic:nvPicPr>
                  <pic:blipFill>
                    <a:blip r:link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276600" cy="7600950"/>
            <wp:effectExtent l="0" t="0" r="0" b="0"/>
            <wp:docPr id="54" name="Picture 54" descr="C:\Users\GeorgievaDa\AppData\Local\Ciela Norma AD\Ciela51\Cache\599490eb24bc02fdfd117ad1aa98c365a1eac30f30f9504cee031bd43ff30093_normi2135492666\1694273_74_pr31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GeorgievaDa\AppData\Local\Ciela Norma AD\Ciela51\Cache\599490eb24bc02fdfd117ad1aa98c365a1eac30f30f9504cee031bd43ff30093_normi2135492666\1694273_74_pr31_4.gif"/>
                    <pic:cNvPicPr>
                      <a:picLocks noChangeAspect="1" noChangeArrowheads="1"/>
                    </pic:cNvPicPr>
                  </pic:nvPicPr>
                  <pic:blipFill>
                    <a:blip r:link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</w:t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467225" cy="6391275"/>
            <wp:effectExtent l="0" t="0" r="9525" b="9525"/>
            <wp:docPr id="55" name="Picture 55" descr="C:\Users\GeorgievaDa\AppData\Local\Ciela Norma AD\Ciela51\Cache\599490eb24bc02fdfd117ad1aa98c365a1eac30f30f9504cee031bd43ff30093_normi2135492666\1694275_75_pr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GeorgievaDa\AppData\Local\Ciela Norma AD\Ciela51\Cache\599490eb24bc02fdfd117ad1aa98c365a1eac30f30f9504cee031bd43ff30093_normi2135492666\1694275_75_pr32.gif"/>
                    <pic:cNvPicPr>
                      <a:picLocks noChangeAspect="1" noChangeArrowheads="1"/>
                    </pic:cNvPicPr>
                  </pic:nvPicPr>
                  <pic:blipFill>
                    <a:blip r:link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автобусна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572000" cy="6229350"/>
            <wp:effectExtent l="0" t="0" r="0" b="0"/>
            <wp:docPr id="56" name="Picture 56" descr="C:\Users\GeorgievaDa\AppData\Local\Ciela Norma AD\Ciela51\Cache\599490eb24bc02fdfd117ad1aa98c365a1eac30f30f9504cee031bd43ff30093_normi2135492666\1694277_76_pr3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GeorgievaDa\AppData\Local\Ciela Norma AD\Ciela51\Cache\599490eb24bc02fdfd117ad1aa98c365a1eac30f30f9504cee031bd43ff30093_normi2135492666\1694277_76_pr33_1.gif"/>
                    <pic:cNvPicPr>
                      <a:picLocks noChangeAspect="1" noChangeArrowheads="1"/>
                    </pic:cNvPicPr>
                  </pic:nvPicPr>
                  <pic:blipFill>
                    <a:blip r:link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514850" cy="4400550"/>
            <wp:effectExtent l="0" t="0" r="0" b="0"/>
            <wp:docPr id="57" name="Picture 57" descr="C:\Users\GeorgievaDa\AppData\Local\Ciela Norma AD\Ciela51\Cache\599490eb24bc02fdfd117ad1aa98c365a1eac30f30f9504cee031bd43ff30093_normi2135492666\1694280_76_pr3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GeorgievaDa\AppData\Local\Ciela Norma AD\Ciela51\Cache\599490eb24bc02fdfd117ad1aa98c365a1eac30f30f9504cee031bd43ff30093_normi2135492666\1694280_76_pr33_2.gif"/>
                    <pic:cNvPicPr>
                      <a:picLocks noChangeAspect="1" noChangeArrowheads="1"/>
                    </pic:cNvPicPr>
                  </pic:nvPicPr>
                  <pic:blipFill>
                    <a:blip r:link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638550" cy="5924550"/>
            <wp:effectExtent l="0" t="0" r="0" b="0"/>
            <wp:docPr id="58" name="Picture 58" descr="C:\Users\GeorgievaDa\AppData\Local\Ciela Norma AD\Ciela51\Cache\599490eb24bc02fdfd117ad1aa98c365a1eac30f30f9504cee031bd43ff30093_normi2135492666\1694282_76_pr34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GeorgievaDa\AppData\Local\Ciela Norma AD\Ciela51\Cache\599490eb24bc02fdfd117ad1aa98c365a1eac30f30f9504cee031bd43ff30093_normi2135492666\1694282_76_pr34_1.gif"/>
                    <pic:cNvPicPr>
                      <a:picLocks noChangeAspect="1" noChangeArrowheads="1"/>
                    </pic:cNvPicPr>
                  </pic:nvPicPr>
                  <pic:blipFill>
                    <a:blip r:link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581400" cy="5867400"/>
            <wp:effectExtent l="0" t="0" r="0" b="0"/>
            <wp:docPr id="59" name="Picture 59" descr="C:\Users\GeorgievaDa\AppData\Local\Ciela Norma AD\Ciela51\Cache\599490eb24bc02fdfd117ad1aa98c365a1eac30f30f9504cee031bd43ff30093_normi2135492666\1694285_76_pr34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GeorgievaDa\AppData\Local\Ciela Norma AD\Ciela51\Cache\599490eb24bc02fdfd117ad1aa98c365a1eac30f30f9504cee031bd43ff30093_normi2135492666\1694285_76_pr34_2.gif"/>
                    <pic:cNvPicPr>
                      <a:picLocks noChangeAspect="1" noChangeArrowheads="1"/>
                    </pic:cNvPicPr>
                  </pic:nvPicPr>
                  <pic:blipFill>
                    <a:blip r:link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371850" cy="4762500"/>
            <wp:effectExtent l="0" t="0" r="0" b="0"/>
            <wp:docPr id="60" name="Picture 60" descr="C:\Users\GeorgievaDa\AppData\Local\Ciela Norma AD\Ciela51\Cache\599490eb24bc02fdfd117ad1aa98c365a1eac30f30f9504cee031bd43ff30093_normi2135492666\1694289_76_pr34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GeorgievaDa\AppData\Local\Ciela Norma AD\Ciela51\Cache\599490eb24bc02fdfd117ad1aa98c365a1eac30f30f9504cee031bd43ff30093_normi2135492666\1694289_76_pr34_3.gif"/>
                    <pic:cNvPicPr>
                      <a:picLocks noChangeAspect="1" noChangeArrowheads="1"/>
                    </pic:cNvPicPr>
                  </pic:nvPicPr>
                  <pic:blipFill>
                    <a:blip r:link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</w:t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686300" cy="5943600"/>
            <wp:effectExtent l="0" t="0" r="0" b="0"/>
            <wp:docPr id="61" name="Picture 61" descr="C:\Users\GeorgievaDa\AppData\Local\Ciela Norma AD\Ciela51\Cache\599490eb24bc02fdfd117ad1aa98c365a1eac30f30f9504cee031bd43ff30093_normi2135492666\1694291_77_pr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GeorgievaDa\AppData\Local\Ciela Norma AD\Ciela51\Cache\599490eb24bc02fdfd117ad1aa98c365a1eac30f30f9504cee031bd43ff30093_normi2135492666\1694291_77_pr35.gif"/>
                    <pic:cNvPicPr>
                      <a:picLocks noChangeAspect="1" noChangeArrowheads="1"/>
                    </pic:cNvPicPr>
                  </pic:nvPicPr>
                  <pic:blipFill>
                    <a:blip r:link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981450" cy="6705600"/>
            <wp:effectExtent l="0" t="0" r="0" b="0"/>
            <wp:docPr id="62" name="Picture 62" descr="C:\Users\GeorgievaDa\AppData\Local\Ciela Norma AD\Ciela51\Cache\599490eb24bc02fdfd117ad1aa98c365a1eac30f30f9504cee031bd43ff30093_normi2135492666\1694293_77_pr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GeorgievaDa\AppData\Local\Ciela Norma AD\Ciela51\Cache\599490eb24bc02fdfd117ad1aa98c365a1eac30f30f9504cee031bd43ff30093_normi2135492666\1694293_77_pr36.gif"/>
                    <pic:cNvPicPr>
                      <a:picLocks noChangeAspect="1" noChangeArrowheads="1"/>
                    </pic:cNvPicPr>
                  </pic:nvPicPr>
                  <pic:blipFill>
                    <a:blip r:link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048125" cy="3676650"/>
            <wp:effectExtent l="0" t="0" r="9525" b="0"/>
            <wp:docPr id="63" name="Picture 63" descr="C:\Users\GeorgievaDa\AppData\Local\Ciela Norma AD\Ciela51\Cache\599490eb24bc02fdfd117ad1aa98c365a1eac30f30f9504cee031bd43ff30093_normi2135492666\197_8311011_dv2016_br70_str36_f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GeorgievaDa\AppData\Local\Ciela Norma AD\Ciela51\Cache\599490eb24bc02fdfd117ad1aa98c365a1eac30f30f9504cee031bd43ff30093_normi2135492666\197_8311011_dv2016_br70_str36_f1_.gif"/>
                    <pic:cNvPicPr>
                      <a:picLocks noChangeAspect="1" noChangeArrowheads="1"/>
                    </pic:cNvPicPr>
                  </pic:nvPicPr>
                  <pic:blipFill>
                    <a:blip r:link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D9D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габарити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велосипедист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962400" cy="3686175"/>
            <wp:effectExtent l="0" t="0" r="0" b="9525"/>
            <wp:docPr id="64" name="Picture 64" descr="C:\Users\GeorgievaDa\AppData\Local\Ciela Norma AD\Ciela51\Cache\599490eb24bc02fdfd117ad1aa98c365a1eac30f30f9504cee031bd43ff30093_normi2135492666\197_32906121_dv2016_br70_str37_f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GeorgievaDa\AppData\Local\Ciela Norma AD\Ciela51\Cache\599490eb24bc02fdfd117ad1aa98c365a1eac30f30f9504cee031bd43ff30093_normi2135492666\197_32906121_dv2016_br70_str37_f2_.gif"/>
                    <pic:cNvPicPr>
                      <a:picLocks noChangeAspect="1" noChangeArrowheads="1"/>
                    </pic:cNvPicPr>
                  </pic:nvPicPr>
                  <pic:blipFill>
                    <a:blip r:link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D9D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≤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km/h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ГСДИ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≤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cm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971925" cy="3524250"/>
            <wp:effectExtent l="0" t="0" r="9525" b="0"/>
            <wp:docPr id="65" name="Picture 65" descr="C:\Users\GeorgievaDa\AppData\Local\Ciela Norma AD\Ciela51\Cache\599490eb24bc02fdfd117ad1aa98c365a1eac30f30f9504cee031bd43ff30093_normi2135492666\197_3884135_dv2016_br70_str37_f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GeorgievaDa\AppData\Local\Ciela Norma AD\Ciela51\Cache\599490eb24bc02fdfd117ad1aa98c365a1eac30f30f9504cee031bd43ff30093_normi2135492666\197_3884135_dv2016_br70_str37_f3_.gif"/>
                    <pic:cNvPicPr>
                      <a:picLocks noChangeAspect="1" noChangeArrowheads="1"/>
                    </pic:cNvPicPr>
                  </pic:nvPicPr>
                  <pic:blipFill>
                    <a:blip r:link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D9D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≤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km/h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ГСДИ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&gt;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m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048125" cy="3200400"/>
            <wp:effectExtent l="0" t="0" r="9525" b="0"/>
            <wp:docPr id="66" name="Picture 66" descr="C:\Users\GeorgievaDa\AppData\Local\Ciela Norma AD\Ciela51\Cache\599490eb24bc02fdfd117ad1aa98c365a1eac30f30f9504cee031bd43ff30093_normi2135492666\197_14500095_dv2016_br70_str37_f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GeorgievaDa\AppData\Local\Ciela Norma AD\Ciela51\Cache\599490eb24bc02fdfd117ad1aa98c365a1eac30f30f9504cee031bd43ff30093_normi2135492666\197_14500095_dv2016_br70_str37_f4_.gif"/>
                    <pic:cNvPicPr>
                      <a:picLocks noChangeAspect="1" noChangeArrowheads="1"/>
                    </pic:cNvPicPr>
                  </pic:nvPicPr>
                  <pic:blipFill>
                    <a:blip r:link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D9D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≤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km/h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ГСДИ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автомобила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429125" cy="2771775"/>
            <wp:effectExtent l="0" t="0" r="9525" b="9525"/>
            <wp:docPr id="67" name="Picture 67" descr="C:\Users\GeorgievaDa\AppData\Local\Ciela Norma AD\Ciela51\Cache\599490eb24bc02fdfd117ad1aa98c365a1eac30f30f9504cee031bd43ff30093_normi2135492666\197_34609739_dv2016_br70_str37_f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GeorgievaDa\AppData\Local\Ciela Norma AD\Ciela51\Cache\599490eb24bc02fdfd117ad1aa98c365a1eac30f30f9504cee031bd43ff30093_normi2135492666\197_34609739_dv2016_br70_str37_f5_.gif"/>
                    <pic:cNvPicPr>
                      <a:picLocks noChangeAspect="1" noChangeArrowheads="1"/>
                    </pic:cNvPicPr>
                  </pic:nvPicPr>
                  <pic:blipFill>
                    <a:blip r:link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D9D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219575" cy="3448050"/>
            <wp:effectExtent l="0" t="0" r="9525" b="0"/>
            <wp:docPr id="68" name="Picture 68" descr="C:\Users\GeorgievaDa\AppData\Local\Ciela Norma AD\Ciela51\Cache\599490eb24bc02fdfd117ad1aa98c365a1eac30f30f9504cee031bd43ff30093_normi2135492666\197_30080777_dv2016_br70_str37_f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GeorgievaDa\AppData\Local\Ciela Norma AD\Ciela51\Cache\599490eb24bc02fdfd117ad1aa98c365a1eac30f30f9504cee031bd43ff30093_normi2135492666\197_30080777_dv2016_br70_str37_f6_.gif"/>
                    <pic:cNvPicPr>
                      <a:picLocks noChangeAspect="1" noChangeArrowheads="1"/>
                    </pic:cNvPicPr>
                  </pic:nvPicPr>
                  <pic:blipFill>
                    <a:blip r:link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D9D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Еднопосочна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непрекъснат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зделители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≤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m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324350" cy="3686175"/>
            <wp:effectExtent l="0" t="0" r="0" b="9525"/>
            <wp:docPr id="69" name="Picture 69" descr="C:\Users\GeorgievaDa\AppData\Local\Ciela Norma AD\Ciela51\Cache\599490eb24bc02fdfd117ad1aa98c365a1eac30f30f9504cee031bd43ff30093_normi2135492666\197_38363403_dv2016_br70_str37_f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GeorgievaDa\AppData\Local\Ciela Norma AD\Ciela51\Cache\599490eb24bc02fdfd117ad1aa98c365a1eac30f30f9504cee031bd43ff30093_normi2135492666\197_38363403_dv2016_br70_str37_f7_.gif"/>
                    <pic:cNvPicPr>
                      <a:picLocks noChangeAspect="1" noChangeArrowheads="1"/>
                    </pic:cNvPicPr>
                  </pic:nvPicPr>
                  <pic:blipFill>
                    <a:blip r:link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D9D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Еднопосочна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непрекъснат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0,10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&gt;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m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152900" cy="3419475"/>
            <wp:effectExtent l="0" t="0" r="0" b="9525"/>
            <wp:docPr id="70" name="Picture 70" descr="C:\Users\GeorgievaDa\AppData\Local\Ciela Norma AD\Ciela51\Cache\599490eb24bc02fdfd117ad1aa98c365a1eac30f30f9504cee031bd43ff30093_normi2135492666\197_17105588_dv2016_br70_str38_f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GeorgievaDa\AppData\Local\Ciela Norma AD\Ciela51\Cache\599490eb24bc02fdfd117ad1aa98c365a1eac30f30f9504cee031bd43ff30093_normi2135492666\197_17105588_dv2016_br70_str38_f8_.gif"/>
                    <pic:cNvPicPr>
                      <a:picLocks noChangeAspect="1" noChangeArrowheads="1"/>
                    </pic:cNvPicPr>
                  </pic:nvPicPr>
                  <pic:blipFill>
                    <a:blip r:link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D9D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191000" cy="3467100"/>
            <wp:effectExtent l="0" t="0" r="0" b="0"/>
            <wp:docPr id="71" name="Picture 71" descr="C:\Users\GeorgievaDa\AppData\Local\Ciela Norma AD\Ciela51\Cache\599490eb24bc02fdfd117ad1aa98c365a1eac30f30f9504cee031bd43ff30093_normi2135492666\197_19600217_dv2016_br70_str38_f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GeorgievaDa\AppData\Local\Ciela Norma AD\Ciela51\Cache\599490eb24bc02fdfd117ad1aa98c365a1eac30f30f9504cee031bd43ff30093_normi2135492666\197_19600217_dv2016_br70_str38_f9_.gif"/>
                    <pic:cNvPicPr>
                      <a:picLocks noChangeAspect="1" noChangeArrowheads="1"/>
                    </pic:cNvPicPr>
                  </pic:nvPicPr>
                  <pic:blipFill>
                    <a:blip r:link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D9D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Еднопосочна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143375" cy="3457575"/>
            <wp:effectExtent l="0" t="0" r="9525" b="9525"/>
            <wp:docPr id="72" name="Picture 72" descr="C:\Users\GeorgievaDa\AppData\Local\Ciela Norma AD\Ciela51\Cache\599490eb24bc02fdfd117ad1aa98c365a1eac30f30f9504cee031bd43ff30093_normi2135492666\197_28111296_dv2016_br70_str38_f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GeorgievaDa\AppData\Local\Ciela Norma AD\Ciela51\Cache\599490eb24bc02fdfd117ad1aa98c365a1eac30f30f9504cee031bd43ff30093_normi2135492666\197_28111296_dv2016_br70_str38_f10_.gif"/>
                    <pic:cNvPicPr>
                      <a:picLocks noChangeAspect="1" noChangeArrowheads="1"/>
                    </pic:cNvPicPr>
                  </pic:nvPicPr>
                  <pic:blipFill>
                    <a:blip r:link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D9D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Еднопосочна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тактилни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плочи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133850" cy="3829050"/>
            <wp:effectExtent l="0" t="0" r="0" b="0"/>
            <wp:docPr id="73" name="Picture 73" descr="C:\Users\GeorgievaDa\AppData\Local\Ciela Norma AD\Ciela51\Cache\599490eb24bc02fdfd117ad1aa98c365a1eac30f30f9504cee031bd43ff30093_normi2135492666\197_1380465_dv2016_br70_str38_f1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GeorgievaDa\AppData\Local\Ciela Norma AD\Ciela51\Cache\599490eb24bc02fdfd117ad1aa98c365a1eac30f30f9504cee031bd43ff30093_normi2135492666\197_1380465_dv2016_br70_str38_f11_.gif"/>
                    <pic:cNvPicPr>
                      <a:picLocks noChangeAspect="1" noChangeArrowheads="1"/>
                    </pic:cNvPicPr>
                  </pic:nvPicPr>
                  <pic:blipFill>
                    <a:blip r:link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D9D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еднопосочно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171950" cy="3381375"/>
            <wp:effectExtent l="0" t="0" r="0" b="9525"/>
            <wp:docPr id="74" name="Picture 74" descr="C:\Users\GeorgievaDa\AppData\Local\Ciela Norma AD\Ciela51\Cache\599490eb24bc02fdfd117ad1aa98c365a1eac30f30f9504cee031bd43ff30093_normi2135492666\197_40944494_dv2016_br70_str38_f1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GeorgievaDa\AppData\Local\Ciela Norma AD\Ciela51\Cache\599490eb24bc02fdfd117ad1aa98c365a1eac30f30f9504cee031bd43ff30093_normi2135492666\197_40944494_dv2016_br70_str38_f12_.gif"/>
                    <pic:cNvPicPr>
                      <a:picLocks noChangeAspect="1" noChangeArrowheads="1"/>
                    </pic:cNvPicPr>
                  </pic:nvPicPr>
                  <pic:blipFill>
                    <a:blip r:link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D9D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152900" cy="3457575"/>
            <wp:effectExtent l="0" t="0" r="0" b="9525"/>
            <wp:docPr id="75" name="Picture 75" descr="C:\Users\GeorgievaDa\AppData\Local\Ciela Norma AD\Ciela51\Cache\599490eb24bc02fdfd117ad1aa98c365a1eac30f30f9504cee031bd43ff30093_normi2135492666\197_18935467_dv2016_br70_str38_f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GeorgievaDa\AppData\Local\Ciela Norma AD\Ciela51\Cache\599490eb24bc02fdfd117ad1aa98c365a1eac30f30f9504cee031bd43ff30093_normi2135492666\197_18935467_dv2016_br70_str38_f13_.gif"/>
                    <pic:cNvPicPr>
                      <a:picLocks noChangeAspect="1" noChangeArrowheads="1"/>
                    </pic:cNvPicPr>
                  </pic:nvPicPr>
                  <pic:blipFill>
                    <a:blip r:link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D9D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181475" cy="3171825"/>
            <wp:effectExtent l="0" t="0" r="9525" b="9525"/>
            <wp:docPr id="76" name="Picture 76" descr="C:\Users\GeorgievaDa\AppData\Local\Ciela Norma AD\Ciela51\Cache\599490eb24bc02fdfd117ad1aa98c365a1eac30f30f9504cee031bd43ff30093_normi2135492666\197_40616838_dv2016_br70_str39_f1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GeorgievaDa\AppData\Local\Ciela Norma AD\Ciela51\Cache\599490eb24bc02fdfd117ad1aa98c365a1eac30f30f9504cee031bd43ff30093_normi2135492666\197_40616838_dv2016_br70_str39_f14_.gif"/>
                    <pic:cNvPicPr>
                      <a:picLocks noChangeAspect="1" noChangeArrowheads="1"/>
                    </pic:cNvPicPr>
                  </pic:nvPicPr>
                  <pic:blipFill>
                    <a:blip r:link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D9D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467225" cy="2771775"/>
            <wp:effectExtent l="0" t="0" r="9525" b="9525"/>
            <wp:docPr id="77" name="Picture 77" descr="C:\Users\GeorgievaDa\AppData\Local\Ciela Norma AD\Ciela51\Cache\599490eb24bc02fdfd117ad1aa98c365a1eac30f30f9504cee031bd43ff30093_normi2135492666\197_32188812_dv2016_br70_str39_f1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GeorgievaDa\AppData\Local\Ciela Norma AD\Ciela51\Cache\599490eb24bc02fdfd117ad1aa98c365a1eac30f30f9504cee031bd43ff30093_normi2135492666\197_32188812_dv2016_br70_str39_f15_.gif"/>
                    <pic:cNvPicPr>
                      <a:picLocks noChangeAspect="1" noChangeArrowheads="1"/>
                    </pic:cNvPicPr>
                  </pic:nvPicPr>
                  <pic:blipFill>
                    <a:blip r:link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D9D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тактилни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павиран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релефна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53100" cy="4448175"/>
            <wp:effectExtent l="0" t="0" r="0" b="9525"/>
            <wp:docPr id="78" name="Picture 78" descr="C:\Users\GeorgievaDa\AppData\Local\Ciela Norma AD\Ciela51\Cache\599490eb24bc02fdfd117ad1aa98c365a1eac30f30f9504cee031bd43ff30093_normi2135492666\408_13684704_dv2016_br70_str39_pril3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GeorgievaDa\AppData\Local\Ciela Norma AD\Ciela51\Cache\599490eb24bc02fdfd117ad1aa98c365a1eac30f30f9504cee031bd43ff30093_normi2135492666\408_13684704_dv2016_br70_str39_pril38_.gif"/>
                    <pic:cNvPicPr>
                      <a:picLocks noChangeAspect="1" noChangeArrowheads="1"/>
                    </pic:cNvPicPr>
                  </pic:nvPicPr>
                  <pic:blipFill>
                    <a:blip r:link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D9D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62625" cy="1419225"/>
            <wp:effectExtent l="0" t="0" r="9525" b="9525"/>
            <wp:docPr id="79" name="Picture 79" descr="C:\Users\GeorgievaDa\AppData\Local\Ciela Norma AD\Ciela51\Cache\599490eb24bc02fdfd117ad1aa98c365a1eac30f30f9504cee031bd43ff30093_normi2135492666\410_20093199_dv2016_br70_str39_f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GeorgievaDa\AppData\Local\Ciela Norma AD\Ciela51\Cache\599490eb24bc02fdfd117ad1aa98c365a1eac30f30f9504cee031bd43ff30093_normi2135492666\410_20093199_dv2016_br70_str39_f1_.gif"/>
                    <pic:cNvPicPr>
                      <a:picLocks noChangeAspect="1" noChangeArrowheads="1"/>
                    </pic:cNvPicPr>
                  </pic:nvPicPr>
                  <pic:blipFill>
                    <a:blip r:link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D9D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53100" cy="1038225"/>
            <wp:effectExtent l="0" t="0" r="0" b="9525"/>
            <wp:docPr id="80" name="Picture 80" descr="C:\Users\GeorgievaDa\AppData\Local\Ciela Norma AD\Ciela51\Cache\599490eb24bc02fdfd117ad1aa98c365a1eac30f30f9504cee031bd43ff30093_normi2135492666\410_16598162_dv2016_br70_str40_f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GeorgievaDa\AppData\Local\Ciela Norma AD\Ciela51\Cache\599490eb24bc02fdfd117ad1aa98c365a1eac30f30f9504cee031bd43ff30093_normi2135492666\410_16598162_dv2016_br70_str40_f2_.gif"/>
                    <pic:cNvPicPr>
                      <a:picLocks noChangeAspect="1" noChangeArrowheads="1"/>
                    </pic:cNvPicPr>
                  </pic:nvPicPr>
                  <pic:blipFill>
                    <a:blip r:link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D9D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джоб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53100" cy="2486025"/>
            <wp:effectExtent l="0" t="0" r="0" b="9525"/>
            <wp:docPr id="81" name="Picture 81" descr="C:\Users\GeorgievaDa\AppData\Local\Ciela Norma AD\Ciela51\Cache\599490eb24bc02fdfd117ad1aa98c365a1eac30f30f9504cee031bd43ff30093_normi2135492666\410_13074324_dv2016_br70_str40_f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GeorgievaDa\AppData\Local\Ciela Norma AD\Ciela51\Cache\599490eb24bc02fdfd117ad1aa98c365a1eac30f30f9504cee031bd43ff30093_normi2135492666\410_13074324_dv2016_br70_str40_f3_.gif"/>
                    <pic:cNvPicPr>
                      <a:picLocks noChangeAspect="1" noChangeArrowheads="1"/>
                    </pic:cNvPicPr>
                  </pic:nvPicPr>
                  <pic:blipFill>
                    <a:blip r:link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D9D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53100" cy="2562225"/>
            <wp:effectExtent l="0" t="0" r="0" b="9525"/>
            <wp:docPr id="82" name="Picture 82" descr="C:\Users\GeorgievaDa\AppData\Local\Ciela Norma AD\Ciela51\Cache\599490eb24bc02fdfd117ad1aa98c365a1eac30f30f9504cee031bd43ff30093_normi2135492666\410_6073091_dv2016_br70_str40_f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GeorgievaDa\AppData\Local\Ciela Norma AD\Ciela51\Cache\599490eb24bc02fdfd117ad1aa98c365a1eac30f30f9504cee031bd43ff30093_normi2135492666\410_6073091_dv2016_br70_str40_f4_.gif"/>
                    <pic:cNvPicPr>
                      <a:picLocks noChangeAspect="1" noChangeArrowheads="1"/>
                    </pic:cNvPicPr>
                  </pic:nvPicPr>
                  <pic:blipFill>
                    <a:blip r:link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D9D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  <w:r w:rsidR="006235BD">
        <w:rPr>
          <w:rFonts w:eastAsia="Times New Roman"/>
          <w:noProof/>
          <w:shd w:val="clear" w:color="auto" w:fill="FFFFFF"/>
        </w:rPr>
        <w:lastRenderedPageBreak/>
        <w:drawing>
          <wp:inline distT="0" distB="0" distL="0" distR="0">
            <wp:extent cx="5762625" cy="5153025"/>
            <wp:effectExtent l="0" t="0" r="9525" b="9525"/>
            <wp:docPr id="83" name="Picture 83" descr="C:\Users\GeorgievaDa\AppData\Local\Ciela Norma AD\Ciela51\Cache\599490eb24bc02fdfd117ad1aa98c365a1eac30f30f9504cee031bd43ff30093_normi2135492666\411_26448971_dv2016_br70_str40_pril40_f1_f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GeorgievaDa\AppData\Local\Ciela Norma AD\Ciela51\Cache\599490eb24bc02fdfd117ad1aa98c365a1eac30f30f9504cee031bd43ff30093_normi2135492666\411_26448971_dv2016_br70_str40_pril40_f1_f2_.gif"/>
                    <pic:cNvPicPr>
                      <a:picLocks noChangeAspect="1" noChangeArrowheads="1"/>
                    </pic:cNvPicPr>
                  </pic:nvPicPr>
                  <pic:blipFill>
                    <a:blip r:link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248275" cy="6486525"/>
            <wp:effectExtent l="0" t="0" r="9525" b="9525"/>
            <wp:docPr id="84" name="Picture 84" descr="C:\Users\GeorgievaDa\AppData\Local\Ciela Norma AD\Ciela51\Cache\599490eb24bc02fdfd117ad1aa98c365a1eac30f30f9504cee031bd43ff30093_normi2135492666\411_26722429_dv2016_br70_str40_pril40_f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GeorgievaDa\AppData\Local\Ciela Norma AD\Ciela51\Cache\599490eb24bc02fdfd117ad1aa98c365a1eac30f30f9504cee031bd43ff30093_normi2135492666\411_26722429_dv2016_br70_str40_pril40_f3_.gif"/>
                    <pic:cNvPicPr>
                      <a:picLocks noChangeAspect="1" noChangeArrowheads="1"/>
                    </pic:cNvPicPr>
                  </pic:nvPicPr>
                  <pic:blipFill>
                    <a:blip r:link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D9D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светлинносигнално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53100" cy="4572000"/>
            <wp:effectExtent l="0" t="0" r="0" b="0"/>
            <wp:docPr id="85" name="Picture 85" descr="C:\Users\GeorgievaDa\AppData\Local\Ciela Norma AD\Ciela51\Cache\599490eb24bc02fdfd117ad1aa98c365a1eac30f30f9504cee031bd43ff30093_normi2135492666\411_30604694_dv2016_br70_str42_f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GeorgievaDa\AppData\Local\Ciela Norma AD\Ciela51\Cache\599490eb24bc02fdfd117ad1aa98c365a1eac30f30f9504cee031bd43ff30093_normi2135492666\411_30604694_dv2016_br70_str42_f4_.gif"/>
                    <pic:cNvPicPr>
                      <a:picLocks noChangeAspect="1" noChangeArrowheads="1"/>
                    </pic:cNvPicPr>
                  </pic:nvPicPr>
                  <pic:blipFill>
                    <a:blip r:link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D9D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53100" cy="5343525"/>
            <wp:effectExtent l="0" t="0" r="0" b="9525"/>
            <wp:docPr id="86" name="Picture 86" descr="C:\Users\GeorgievaDa\AppData\Local\Ciela Norma AD\Ciela51\Cache\599490eb24bc02fdfd117ad1aa98c365a1eac30f30f9504cee031bd43ff30093_normi2135492666\411_30341962_dv2016_br70_str42_f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GeorgievaDa\AppData\Local\Ciela Norma AD\Ciela51\Cache\599490eb24bc02fdfd117ad1aa98c365a1eac30f30f9504cee031bd43ff30093_normi2135492666\411_30341962_dv2016_br70_str42_f5_.gif"/>
                    <pic:cNvPicPr>
                      <a:picLocks noChangeAspect="1" noChangeArrowheads="1"/>
                    </pic:cNvPicPr>
                  </pic:nvPicPr>
                  <pic:blipFill>
                    <a:blip r:link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D9D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53100" cy="3343275"/>
            <wp:effectExtent l="0" t="0" r="0" b="9525"/>
            <wp:docPr id="87" name="Picture 87" descr="C:\Users\GeorgievaDa\AppData\Local\Ciela Norma AD\Ciela51\Cache\599490eb24bc02fdfd117ad1aa98c365a1eac30f30f9504cee031bd43ff30093_normi2135492666\412_16574408_dv2016_br70_str43_f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GeorgievaDa\AppData\Local\Ciela Norma AD\Ciela51\Cache\599490eb24bc02fdfd117ad1aa98c365a1eac30f30f9504cee031bd43ff30093_normi2135492666\412_16574408_dv2016_br70_str43_f1_.gif"/>
                    <pic:cNvPicPr>
                      <a:picLocks noChangeAspect="1" noChangeArrowheads="1"/>
                    </pic:cNvPicPr>
                  </pic:nvPicPr>
                  <pic:blipFill>
                    <a:blip r:link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D9D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стена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6235B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381500" cy="3314700"/>
            <wp:effectExtent l="0" t="0" r="0" b="0"/>
            <wp:docPr id="88" name="Picture 88" descr="C:\Users\GeorgievaDa\AppData\Local\Ciela Norma AD\Ciela51\Cache\599490eb24bc02fdfd117ad1aa98c365a1eac30f30f9504cee031bd43ff30093_normi2135492666\412_37906747_dv2016_br70_str43_f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GeorgievaDa\AppData\Local\Ciela Norma AD\Ciela51\Cache\599490eb24bc02fdfd117ad1aa98c365a1eac30f30f9504cee031bd43ff30093_normi2135492666\412_37906747_dv2016_br70_str43_f2_.gif"/>
                    <pic:cNvPicPr>
                      <a:picLocks noChangeAspect="1" noChangeArrowheads="1"/>
                    </pic:cNvPicPr>
                  </pic:nvPicPr>
                  <pic:blipFill>
                    <a:blip r:link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D9D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14D9D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45°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стена</w:t>
      </w:r>
    </w:p>
    <w:p w:rsidR="00F14D9D" w:rsidRDefault="00F14D9D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sectPr w:rsidR="00F14D9D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BD"/>
    <w:rsid w:val="006235BD"/>
    <w:rsid w:val="00F1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file:///C:\Users\GeorgievaDa\AppData\Local\Ciela%20Norma%20AD\Ciela51\Cache\599490eb24bc02fdfd117ad1aa98c365a1eac30f30f9504cee031bd43ff30093_normi2135492666\1694132_61_pr6_2.gif" TargetMode="External"/><Relationship Id="rId18" Type="http://schemas.openxmlformats.org/officeDocument/2006/relationships/image" Target="file:///C:\Users\GeorgievaDa\AppData\Local\Ciela%20Norma%20AD\Ciela51\Cache\599490eb24bc02fdfd117ad1aa98c365a1eac30f30f9504cee031bd43ff30093_normi2135492666\169_10353128_pr9_2.gif" TargetMode="External"/><Relationship Id="rId26" Type="http://schemas.openxmlformats.org/officeDocument/2006/relationships/image" Target="file:///C:\Users\GeorgievaDa\AppData\Local\Ciela%20Norma%20AD\Ciela51\Cache\599490eb24bc02fdfd117ad1aa98c365a1eac30f30f9504cee031bd43ff30093_normi2135492666\1694164_65_pr12_5.gif" TargetMode="External"/><Relationship Id="rId39" Type="http://schemas.openxmlformats.org/officeDocument/2006/relationships/image" Target="file:///C:\Users\GeorgievaDa\AppData\Local\Ciela%20Norma%20AD\Ciela51\Cache\599490eb24bc02fdfd117ad1aa98c365a1eac30f30f9504cee031bd43ff30093_normi2135492666\1694220_70_pr20_3.gif" TargetMode="External"/><Relationship Id="rId21" Type="http://schemas.openxmlformats.org/officeDocument/2006/relationships/image" Target="file:///C:\Users\GeorgievaDa\AppData\Local\Ciela%20Norma%20AD\Ciela51\Cache\599490eb24bc02fdfd117ad1aa98c365a1eac30f30f9504cee031bd43ff30093_normi2135492666\1694146_64_pr12_1.gif" TargetMode="External"/><Relationship Id="rId34" Type="http://schemas.openxmlformats.org/officeDocument/2006/relationships/image" Target="file:///C:\Users\GeorgievaDa\AppData\Local\Ciela%20Norma%20AD\Ciela51\Cache\599490eb24bc02fdfd117ad1aa98c365a1eac30f30f9504cee031bd43ff30093_normi2135492666\1694207_69_pr17.gif" TargetMode="External"/><Relationship Id="rId42" Type="http://schemas.openxmlformats.org/officeDocument/2006/relationships/image" Target="file:///C:\Users\GeorgievaDa\AppData\Local\Ciela%20Norma%20AD\Ciela51\Cache\599490eb24bc02fdfd117ad1aa98c365a1eac30f30f9504cee031bd43ff30093_normi2135492666\1694226_71_pr23.gif" TargetMode="External"/><Relationship Id="rId47" Type="http://schemas.openxmlformats.org/officeDocument/2006/relationships/image" Target="file:///C:\Users\GeorgievaDa\AppData\Local\Ciela%20Norma%20AD\Ciela51\Cache\599490eb24bc02fdfd117ad1aa98c365a1eac30f30f9504cee031bd43ff30093_normi2135492666\1694242_72_pr25_4.gif" TargetMode="External"/><Relationship Id="rId50" Type="http://schemas.openxmlformats.org/officeDocument/2006/relationships/image" Target="file:///C:\Users\GeorgievaDa\AppData\Local\Ciela%20Norma%20AD\Ciela51\Cache\599490eb24bc02fdfd117ad1aa98c365a1eac30f30f9504cee031bd43ff30093_normi2135492666\1694248_73_pr28.gif" TargetMode="External"/><Relationship Id="rId55" Type="http://schemas.openxmlformats.org/officeDocument/2006/relationships/image" Target="file:///C:\Users\GeorgievaDa\AppData\Local\Ciela%20Norma%20AD\Ciela51\Cache\599490eb24bc02fdfd117ad1aa98c365a1eac30f30f9504cee031bd43ff30093_normi2135492666\1694261_74_pr31_1.gif" TargetMode="External"/><Relationship Id="rId63" Type="http://schemas.openxmlformats.org/officeDocument/2006/relationships/image" Target="file:///C:\Users\GeorgievaDa\AppData\Local\Ciela%20Norma%20AD\Ciela51\Cache\599490eb24bc02fdfd117ad1aa98c365a1eac30f30f9504cee031bd43ff30093_normi2135492666\1694285_76_pr34_2.gif" TargetMode="External"/><Relationship Id="rId68" Type="http://schemas.openxmlformats.org/officeDocument/2006/relationships/image" Target="file:///C:\Users\GeorgievaDa\AppData\Local\Ciela%20Norma%20AD\Ciela51\Cache\599490eb24bc02fdfd117ad1aa98c365a1eac30f30f9504cee031bd43ff30093_normi2135492666\197_32906121_dv2016_br70_str37_f2_.gif" TargetMode="External"/><Relationship Id="rId76" Type="http://schemas.openxmlformats.org/officeDocument/2006/relationships/image" Target="file:///C:\Users\GeorgievaDa\AppData\Local\Ciela%20Norma%20AD\Ciela51\Cache\599490eb24bc02fdfd117ad1aa98c365a1eac30f30f9504cee031bd43ff30093_normi2135492666\197_28111296_dv2016_br70_str38_f10_.gif" TargetMode="External"/><Relationship Id="rId84" Type="http://schemas.openxmlformats.org/officeDocument/2006/relationships/image" Target="file:///C:\Users\GeorgievaDa\AppData\Local\Ciela%20Norma%20AD\Ciela51\Cache\599490eb24bc02fdfd117ad1aa98c365a1eac30f30f9504cee031bd43ff30093_normi2135492666\410_16598162_dv2016_br70_str40_f2_.gif" TargetMode="External"/><Relationship Id="rId89" Type="http://schemas.openxmlformats.org/officeDocument/2006/relationships/image" Target="file:///C:\Users\GeorgievaDa\AppData\Local\Ciela%20Norma%20AD\Ciela51\Cache\599490eb24bc02fdfd117ad1aa98c365a1eac30f30f9504cee031bd43ff30093_normi2135492666\411_30604694_dv2016_br70_str42_f4_.gif" TargetMode="External"/><Relationship Id="rId7" Type="http://schemas.openxmlformats.org/officeDocument/2006/relationships/image" Target="file:///C:\Users\GeorgievaDa\AppData\Local\Ciela%20Norma%20AD\Ciela51\Cache\599490eb24bc02fdfd117ad1aa98c365a1eac30f30f9504cee031bd43ff30093_normi2135492666\1694118_61_pr2.gif" TargetMode="External"/><Relationship Id="rId71" Type="http://schemas.openxmlformats.org/officeDocument/2006/relationships/image" Target="file:///C:\Users\GeorgievaDa\AppData\Local\Ciela%20Norma%20AD\Ciela51\Cache\599490eb24bc02fdfd117ad1aa98c365a1eac30f30f9504cee031bd43ff30093_normi2135492666\197_34609739_dv2016_br70_str37_f5_.gif" TargetMode="External"/><Relationship Id="rId92" Type="http://schemas.openxmlformats.org/officeDocument/2006/relationships/image" Target="file:///C:\Users\GeorgievaDa\AppData\Local\Ciela%20Norma%20AD\Ciela51\Cache\599490eb24bc02fdfd117ad1aa98c365a1eac30f30f9504cee031bd43ff30093_normi2135492666\412_37906747_dv2016_br70_str43_f2_.gif" TargetMode="External"/><Relationship Id="rId2" Type="http://schemas.microsoft.com/office/2007/relationships/stylesWithEffects" Target="stylesWithEffects.xml"/><Relationship Id="rId16" Type="http://schemas.openxmlformats.org/officeDocument/2006/relationships/image" Target="file:///C:\Users\GeorgievaDa\AppData\Local\Ciela%20Norma%20AD\Ciela51\Cache\599490eb24bc02fdfd117ad1aa98c365a1eac30f30f9504cee031bd43ff30093_normi2135492666\1694139_62_pr8.gif" TargetMode="External"/><Relationship Id="rId29" Type="http://schemas.openxmlformats.org/officeDocument/2006/relationships/image" Target="file:///C:\Users\GeorgievaDa\AppData\Local\Ciela%20Norma%20AD\Ciela51\Cache\599490eb24bc02fdfd117ad1aa98c365a1eac30f30f9504cee031bd43ff30093_normi2135492666\1694188_65_pr12_8.gif" TargetMode="External"/><Relationship Id="rId11" Type="http://schemas.openxmlformats.org/officeDocument/2006/relationships/image" Target="file:///C:\Users\GeorgievaDa\AppData\Local\Ciela%20Norma%20AD\Ciela51\Cache\599490eb24bc02fdfd117ad1aa98c365a1eac30f30f9504cee031bd43ff30093_normi2135492666\1694127_61_pr5.gif" TargetMode="External"/><Relationship Id="rId24" Type="http://schemas.openxmlformats.org/officeDocument/2006/relationships/image" Target="file:///C:\Users\GeorgievaDa\AppData\Local\Ciela%20Norma%20AD\Ciela51\Cache\599490eb24bc02fdfd117ad1aa98c365a1eac30f30f9504cee031bd43ff30093_normi2135492666\1694153_65_pr12_3.gif" TargetMode="External"/><Relationship Id="rId32" Type="http://schemas.openxmlformats.org/officeDocument/2006/relationships/image" Target="file:///C:\Users\GeorgievaDa\AppData\Local\Ciela%20Norma%20AD\Ciela51\Cache\599490eb24bc02fdfd117ad1aa98c365a1eac30f30f9504cee031bd43ff30093_normi2135492666\1694203_69_pr15_2.gif" TargetMode="External"/><Relationship Id="rId37" Type="http://schemas.openxmlformats.org/officeDocument/2006/relationships/image" Target="file:///C:\Users\GeorgievaDa\AppData\Local\Ciela%20Norma%20AD\Ciela51\Cache\599490eb24bc02fdfd117ad1aa98c365a1eac30f30f9504cee031bd43ff30093_normi2135492666\1694213_70_pr20_1.gif" TargetMode="External"/><Relationship Id="rId40" Type="http://schemas.openxmlformats.org/officeDocument/2006/relationships/image" Target="file:///C:\Users\GeorgievaDa\AppData\Local\Ciela%20Norma%20AD\Ciela51\Cache\599490eb24bc02fdfd117ad1aa98c365a1eac30f30f9504cee031bd43ff30093_normi2135492666\1694222_71_pr21.gif" TargetMode="External"/><Relationship Id="rId45" Type="http://schemas.openxmlformats.org/officeDocument/2006/relationships/image" Target="file:///C:\Users\GeorgievaDa\AppData\Local\Ciela%20Norma%20AD\Ciela51\Cache\599490eb24bc02fdfd117ad1aa98c365a1eac30f30f9504cee031bd43ff30093_normi2135492666\1694233_72_pr25_2.gif" TargetMode="External"/><Relationship Id="rId53" Type="http://schemas.openxmlformats.org/officeDocument/2006/relationships/image" Target="file:///C:\Users\GeorgievaDa\AppData\Local\Ciela%20Norma%20AD\Ciela51\Cache\599490eb24bc02fdfd117ad1aa98c365a1eac30f30f9504cee031bd43ff30093_normi2135492666\1694257_73_pr29_3.gif" TargetMode="External"/><Relationship Id="rId58" Type="http://schemas.openxmlformats.org/officeDocument/2006/relationships/image" Target="file:///C:\Users\GeorgievaDa\AppData\Local\Ciela%20Norma%20AD\Ciela51\Cache\599490eb24bc02fdfd117ad1aa98c365a1eac30f30f9504cee031bd43ff30093_normi2135492666\1694273_74_pr31_4.gif" TargetMode="External"/><Relationship Id="rId66" Type="http://schemas.openxmlformats.org/officeDocument/2006/relationships/image" Target="file:///C:\Users\GeorgievaDa\AppData\Local\Ciela%20Norma%20AD\Ciela51\Cache\599490eb24bc02fdfd117ad1aa98c365a1eac30f30f9504cee031bd43ff30093_normi2135492666\1694293_77_pr36.gif" TargetMode="External"/><Relationship Id="rId74" Type="http://schemas.openxmlformats.org/officeDocument/2006/relationships/image" Target="file:///C:\Users\GeorgievaDa\AppData\Local\Ciela%20Norma%20AD\Ciela51\Cache\599490eb24bc02fdfd117ad1aa98c365a1eac30f30f9504cee031bd43ff30093_normi2135492666\197_17105588_dv2016_br70_str38_f8_.gif" TargetMode="External"/><Relationship Id="rId79" Type="http://schemas.openxmlformats.org/officeDocument/2006/relationships/image" Target="file:///C:\Users\GeorgievaDa\AppData\Local\Ciela%20Norma%20AD\Ciela51\Cache\599490eb24bc02fdfd117ad1aa98c365a1eac30f30f9504cee031bd43ff30093_normi2135492666\197_18935467_dv2016_br70_str38_f13_.gif" TargetMode="External"/><Relationship Id="rId87" Type="http://schemas.openxmlformats.org/officeDocument/2006/relationships/image" Target="file:///C:\Users\GeorgievaDa\AppData\Local\Ciela%20Norma%20AD\Ciela51\Cache\599490eb24bc02fdfd117ad1aa98c365a1eac30f30f9504cee031bd43ff30093_normi2135492666\411_26448971_dv2016_br70_str40_pril40_f1_f2_.gif" TargetMode="External"/><Relationship Id="rId5" Type="http://schemas.openxmlformats.org/officeDocument/2006/relationships/image" Target="file:///C:\Users\GeorgievaDa\AppData\Local\Ciela%20Norma%20AD\Ciela51\Cache\599490eb24bc02fdfd117ad1aa98c365a1eac30f30f9504cee031bd43ff30093_normi2135492666\55_34086263_table5.gif" TargetMode="External"/><Relationship Id="rId61" Type="http://schemas.openxmlformats.org/officeDocument/2006/relationships/image" Target="file:///C:\Users\GeorgievaDa\AppData\Local\Ciela%20Norma%20AD\Ciela51\Cache\599490eb24bc02fdfd117ad1aa98c365a1eac30f30f9504cee031bd43ff30093_normi2135492666\1694280_76_pr33_2.gif" TargetMode="External"/><Relationship Id="rId82" Type="http://schemas.openxmlformats.org/officeDocument/2006/relationships/image" Target="file:///C:\Users\GeorgievaDa\AppData\Local\Ciela%20Norma%20AD\Ciela51\Cache\599490eb24bc02fdfd117ad1aa98c365a1eac30f30f9504cee031bd43ff30093_normi2135492666\408_13684704_dv2016_br70_str39_pril38_.gif" TargetMode="External"/><Relationship Id="rId90" Type="http://schemas.openxmlformats.org/officeDocument/2006/relationships/image" Target="file:///C:\Users\GeorgievaDa\AppData\Local\Ciela%20Norma%20AD\Ciela51\Cache\599490eb24bc02fdfd117ad1aa98c365a1eac30f30f9504cee031bd43ff30093_normi2135492666\411_30341962_dv2016_br70_str42_f5_.gif" TargetMode="External"/><Relationship Id="rId19" Type="http://schemas.openxmlformats.org/officeDocument/2006/relationships/image" Target="file:///C:\Users\GeorgievaDa\AppData\Local\Ciela%20Norma%20AD\Ciela51\Cache\599490eb24bc02fdfd117ad1aa98c365a1eac30f30f9504cee031bd43ff30093_normi2135492666\1694297_63_pr10_1.gif" TargetMode="External"/><Relationship Id="rId14" Type="http://schemas.openxmlformats.org/officeDocument/2006/relationships/image" Target="file:///C:\Users\GeorgievaDa\AppData\Local\Ciela%20Norma%20AD\Ciela51\Cache\599490eb24bc02fdfd117ad1aa98c365a1eac30f30f9504cee031bd43ff30093_normi2135492666\1694134_62_pr7_1.gif" TargetMode="External"/><Relationship Id="rId22" Type="http://schemas.openxmlformats.org/officeDocument/2006/relationships/image" Target="file:///C:\Users\GeorgievaDa\AppData\Local\Ciela%20Norma%20AD\Ciela51\Cache\599490eb24bc02fdfd117ad1aa98c365a1eac30f30f9504cee031bd43ff30093_normi2135492666\1696693_68_pr13.gif" TargetMode="External"/><Relationship Id="rId27" Type="http://schemas.openxmlformats.org/officeDocument/2006/relationships/image" Target="file:///C:\Users\GeorgievaDa\AppData\Local\Ciela%20Norma%20AD\Ciela51\Cache\599490eb24bc02fdfd117ad1aa98c365a1eac30f30f9504cee031bd43ff30093_normi2135492666\1694171_65_pr12_6.gif" TargetMode="External"/><Relationship Id="rId30" Type="http://schemas.openxmlformats.org/officeDocument/2006/relationships/image" Target="file:///C:\Users\GeorgievaDa\AppData\Local\Ciela%20Norma%20AD\Ciela51\Cache\599490eb24bc02fdfd117ad1aa98c365a1eac30f30f9504cee031bd43ff30093_normi2135492666\1694198_65_pr12_9.gif" TargetMode="External"/><Relationship Id="rId35" Type="http://schemas.openxmlformats.org/officeDocument/2006/relationships/image" Target="file:///C:\Users\GeorgievaDa\AppData\Local\Ciela%20Norma%20AD\Ciela51\Cache\599490eb24bc02fdfd117ad1aa98c365a1eac30f30f9504cee031bd43ff30093_normi2135492666\1694209_70_pr18.gif" TargetMode="External"/><Relationship Id="rId43" Type="http://schemas.openxmlformats.org/officeDocument/2006/relationships/image" Target="file:///C:\Users\GeorgievaDa\AppData\Local\Ciela%20Norma%20AD\Ciela51\Cache\599490eb24bc02fdfd117ad1aa98c365a1eac30f30f9504cee031bd43ff30093_normi2135492666\1694228_72_pr24.gif" TargetMode="External"/><Relationship Id="rId48" Type="http://schemas.openxmlformats.org/officeDocument/2006/relationships/image" Target="file:///C:\Users\GeorgievaDa\AppData\Local\Ciela%20Norma%20AD\Ciela51\Cache\599490eb24bc02fdfd117ad1aa98c365a1eac30f30f9504cee031bd43ff30093_normi2135492666\1694244_73_pr26.gif" TargetMode="External"/><Relationship Id="rId56" Type="http://schemas.openxmlformats.org/officeDocument/2006/relationships/image" Target="file:///C:\Users\GeorgievaDa\AppData\Local\Ciela%20Norma%20AD\Ciela51\Cache\599490eb24bc02fdfd117ad1aa98c365a1eac30f30f9504cee031bd43ff30093_normi2135492666\1694264_74_pr31_2.gif" TargetMode="External"/><Relationship Id="rId64" Type="http://schemas.openxmlformats.org/officeDocument/2006/relationships/image" Target="file:///C:\Users\GeorgievaDa\AppData\Local\Ciela%20Norma%20AD\Ciela51\Cache\599490eb24bc02fdfd117ad1aa98c365a1eac30f30f9504cee031bd43ff30093_normi2135492666\1694289_76_pr34_3.gif" TargetMode="External"/><Relationship Id="rId69" Type="http://schemas.openxmlformats.org/officeDocument/2006/relationships/image" Target="file:///C:\Users\GeorgievaDa\AppData\Local\Ciela%20Norma%20AD\Ciela51\Cache\599490eb24bc02fdfd117ad1aa98c365a1eac30f30f9504cee031bd43ff30093_normi2135492666\197_3884135_dv2016_br70_str37_f3_.gif" TargetMode="External"/><Relationship Id="rId77" Type="http://schemas.openxmlformats.org/officeDocument/2006/relationships/image" Target="file:///C:\Users\GeorgievaDa\AppData\Local\Ciela%20Norma%20AD\Ciela51\Cache\599490eb24bc02fdfd117ad1aa98c365a1eac30f30f9504cee031bd43ff30093_normi2135492666\197_1380465_dv2016_br70_str38_f11_.gif" TargetMode="External"/><Relationship Id="rId8" Type="http://schemas.openxmlformats.org/officeDocument/2006/relationships/image" Target="file:///C:\Users\GeorgievaDa\AppData\Local\Ciela%20Norma%20AD\Ciela51\Cache\599490eb24bc02fdfd117ad1aa98c365a1eac30f30f9504cee031bd43ff30093_normi2135492666\1694120_61_pr3.gif" TargetMode="External"/><Relationship Id="rId51" Type="http://schemas.openxmlformats.org/officeDocument/2006/relationships/image" Target="file:///C:\Users\GeorgievaDa\AppData\Local\Ciela%20Norma%20AD\Ciela51\Cache\599490eb24bc02fdfd117ad1aa98c365a1eac30f30f9504cee031bd43ff30093_normi2135492666\1694250_73_pr29_1.gif" TargetMode="External"/><Relationship Id="rId72" Type="http://schemas.openxmlformats.org/officeDocument/2006/relationships/image" Target="file:///C:\Users\GeorgievaDa\AppData\Local\Ciela%20Norma%20AD\Ciela51\Cache\599490eb24bc02fdfd117ad1aa98c365a1eac30f30f9504cee031bd43ff30093_normi2135492666\197_30080777_dv2016_br70_str37_f6_.gif" TargetMode="External"/><Relationship Id="rId80" Type="http://schemas.openxmlformats.org/officeDocument/2006/relationships/image" Target="file:///C:\Users\GeorgievaDa\AppData\Local\Ciela%20Norma%20AD\Ciela51\Cache\599490eb24bc02fdfd117ad1aa98c365a1eac30f30f9504cee031bd43ff30093_normi2135492666\197_40616838_dv2016_br70_str39_f14_.gif" TargetMode="External"/><Relationship Id="rId85" Type="http://schemas.openxmlformats.org/officeDocument/2006/relationships/image" Target="file:///C:\Users\GeorgievaDa\AppData\Local\Ciela%20Norma%20AD\Ciela51\Cache\599490eb24bc02fdfd117ad1aa98c365a1eac30f30f9504cee031bd43ff30093_normi2135492666\410_13074324_dv2016_br70_str40_f3_.gif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file:///C:\Users\GeorgievaDa\AppData\Local\Ciela%20Norma%20AD\Ciela51\Cache\599490eb24bc02fdfd117ad1aa98c365a1eac30f30f9504cee031bd43ff30093_normi2135492666\1694129_61_pr6_1.gif" TargetMode="External"/><Relationship Id="rId17" Type="http://schemas.openxmlformats.org/officeDocument/2006/relationships/image" Target="file:///C:\Users\GeorgievaDa\AppData\Local\Ciela%20Norma%20AD\Ciela51\Cache\599490eb24bc02fdfd117ad1aa98c365a1eac30f30f9504cee031bd43ff30093_normi2135492666\169_512424_pr9_1.gif" TargetMode="External"/><Relationship Id="rId25" Type="http://schemas.openxmlformats.org/officeDocument/2006/relationships/image" Target="file:///C:\Users\GeorgievaDa\AppData\Local\Ciela%20Norma%20AD\Ciela51\Cache\599490eb24bc02fdfd117ad1aa98c365a1eac30f30f9504cee031bd43ff30093_normi2135492666\1694158_65_pr12_4.gif" TargetMode="External"/><Relationship Id="rId33" Type="http://schemas.openxmlformats.org/officeDocument/2006/relationships/image" Target="file:///C:\Users\GeorgievaDa\AppData\Local\Ciela%20Norma%20AD\Ciela51\Cache\599490eb24bc02fdfd117ad1aa98c365a1eac30f30f9504cee031bd43ff30093_normi2135492666\1694205_69_pr16.gif" TargetMode="External"/><Relationship Id="rId38" Type="http://schemas.openxmlformats.org/officeDocument/2006/relationships/image" Target="file:///C:\Users\GeorgievaDa\AppData\Local\Ciela%20Norma%20AD\Ciela51\Cache\599490eb24bc02fdfd117ad1aa98c365a1eac30f30f9504cee031bd43ff30093_normi2135492666\1694216_70_pr20_2.gif" TargetMode="External"/><Relationship Id="rId46" Type="http://schemas.openxmlformats.org/officeDocument/2006/relationships/image" Target="file:///C:\Users\GeorgievaDa\AppData\Local\Ciela%20Norma%20AD\Ciela51\Cache\599490eb24bc02fdfd117ad1aa98c365a1eac30f30f9504cee031bd43ff30093_normi2135492666\1694237_72_pr25_3.gif" TargetMode="External"/><Relationship Id="rId59" Type="http://schemas.openxmlformats.org/officeDocument/2006/relationships/image" Target="file:///C:\Users\GeorgievaDa\AppData\Local\Ciela%20Norma%20AD\Ciela51\Cache\599490eb24bc02fdfd117ad1aa98c365a1eac30f30f9504cee031bd43ff30093_normi2135492666\1694275_75_pr32.gif" TargetMode="External"/><Relationship Id="rId67" Type="http://schemas.openxmlformats.org/officeDocument/2006/relationships/image" Target="file:///C:\Users\GeorgievaDa\AppData\Local\Ciela%20Norma%20AD\Ciela51\Cache\599490eb24bc02fdfd117ad1aa98c365a1eac30f30f9504cee031bd43ff30093_normi2135492666\197_8311011_dv2016_br70_str36_f1_.gif" TargetMode="External"/><Relationship Id="rId20" Type="http://schemas.openxmlformats.org/officeDocument/2006/relationships/image" Target="file:///C:\Users\GeorgievaDa\AppData\Local\Ciela%20Norma%20AD\Ciela51\Cache\599490eb24bc02fdfd117ad1aa98c365a1eac30f30f9504cee031bd43ff30093_normi2135492666\1694300_63_pr10_2.gif" TargetMode="External"/><Relationship Id="rId41" Type="http://schemas.openxmlformats.org/officeDocument/2006/relationships/image" Target="file:///C:\Users\GeorgievaDa\AppData\Local\Ciela%20Norma%20AD\Ciela51\Cache\599490eb24bc02fdfd117ad1aa98c365a1eac30f30f9504cee031bd43ff30093_normi2135492666\1694224_71_pr22.gif" TargetMode="External"/><Relationship Id="rId54" Type="http://schemas.openxmlformats.org/officeDocument/2006/relationships/image" Target="file:///C:\Users\GeorgievaDa\AppData\Local\Ciela%20Norma%20AD\Ciela51\Cache\599490eb24bc02fdfd117ad1aa98c365a1eac30f30f9504cee031bd43ff30093_normi2135492666\1694259_74_pr30.gif" TargetMode="External"/><Relationship Id="rId62" Type="http://schemas.openxmlformats.org/officeDocument/2006/relationships/image" Target="file:///C:\Users\GeorgievaDa\AppData\Local\Ciela%20Norma%20AD\Ciela51\Cache\599490eb24bc02fdfd117ad1aa98c365a1eac30f30f9504cee031bd43ff30093_normi2135492666\1694282_76_pr34_1.gif" TargetMode="External"/><Relationship Id="rId70" Type="http://schemas.openxmlformats.org/officeDocument/2006/relationships/image" Target="file:///C:\Users\GeorgievaDa\AppData\Local\Ciela%20Norma%20AD\Ciela51\Cache\599490eb24bc02fdfd117ad1aa98c365a1eac30f30f9504cee031bd43ff30093_normi2135492666\197_14500095_dv2016_br70_str37_f4_.gif" TargetMode="External"/><Relationship Id="rId75" Type="http://schemas.openxmlformats.org/officeDocument/2006/relationships/image" Target="file:///C:\Users\GeorgievaDa\AppData\Local\Ciela%20Norma%20AD\Ciela51\Cache\599490eb24bc02fdfd117ad1aa98c365a1eac30f30f9504cee031bd43ff30093_normi2135492666\197_19600217_dv2016_br70_str38_f9_.gif" TargetMode="External"/><Relationship Id="rId83" Type="http://schemas.openxmlformats.org/officeDocument/2006/relationships/image" Target="file:///C:\Users\GeorgievaDa\AppData\Local\Ciela%20Norma%20AD\Ciela51\Cache\599490eb24bc02fdfd117ad1aa98c365a1eac30f30f9504cee031bd43ff30093_normi2135492666\410_20093199_dv2016_br70_str39_f1_.gif" TargetMode="External"/><Relationship Id="rId88" Type="http://schemas.openxmlformats.org/officeDocument/2006/relationships/image" Target="file:///C:\Users\GeorgievaDa\AppData\Local\Ciela%20Norma%20AD\Ciela51\Cache\599490eb24bc02fdfd117ad1aa98c365a1eac30f30f9504cee031bd43ff30093_normi2135492666\411_26722429_dv2016_br70_str40_pril40_f3_.gif" TargetMode="External"/><Relationship Id="rId91" Type="http://schemas.openxmlformats.org/officeDocument/2006/relationships/image" Target="file:///C:\Users\GeorgievaDa\AppData\Local\Ciela%20Norma%20AD\Ciela51\Cache\599490eb24bc02fdfd117ad1aa98c365a1eac30f30f9504cee031bd43ff30093_normi2135492666\412_16574408_dv2016_br70_str43_f1_.gif" TargetMode="External"/><Relationship Id="rId1" Type="http://schemas.openxmlformats.org/officeDocument/2006/relationships/styles" Target="styles.xml"/><Relationship Id="rId6" Type="http://schemas.openxmlformats.org/officeDocument/2006/relationships/image" Target="file:///C:\Users\GeorgievaDa\AppData\Local\Ciela%20Norma%20AD\Ciela51\Cache\599490eb24bc02fdfd117ad1aa98c365a1eac30f30f9504cee031bd43ff30093_normi2135492666\1694307_46_formula12.gif" TargetMode="External"/><Relationship Id="rId15" Type="http://schemas.openxmlformats.org/officeDocument/2006/relationships/image" Target="file:///C:\Users\GeorgievaDa\AppData\Local\Ciela%20Norma%20AD\Ciela51\Cache\599490eb24bc02fdfd117ad1aa98c365a1eac30f30f9504cee031bd43ff30093_normi2135492666\1694137_62_pr7_2.gif" TargetMode="External"/><Relationship Id="rId23" Type="http://schemas.openxmlformats.org/officeDocument/2006/relationships/image" Target="file:///C:\Users\GeorgievaDa\AppData\Local\Ciela%20Norma%20AD\Ciela51\Cache\599490eb24bc02fdfd117ad1aa98c365a1eac30f30f9504cee031bd43ff30093_normi2135492666\1694149_65_pr12_2.gif" TargetMode="External"/><Relationship Id="rId28" Type="http://schemas.openxmlformats.org/officeDocument/2006/relationships/image" Target="file:///C:\Users\GeorgievaDa\AppData\Local\Ciela%20Norma%20AD\Ciela51\Cache\599490eb24bc02fdfd117ad1aa98c365a1eac30f30f9504cee031bd43ff30093_normi2135492666\1694179_65_pr12_7.gif" TargetMode="External"/><Relationship Id="rId36" Type="http://schemas.openxmlformats.org/officeDocument/2006/relationships/image" Target="file:///C:\Users\GeorgievaDa\AppData\Local\Ciela%20Norma%20AD\Ciela51\Cache\599490eb24bc02fdfd117ad1aa98c365a1eac30f30f9504cee031bd43ff30093_normi2135492666\1694211_70_pr19.gif" TargetMode="External"/><Relationship Id="rId49" Type="http://schemas.openxmlformats.org/officeDocument/2006/relationships/image" Target="file:///C:\Users\GeorgievaDa\AppData\Local\Ciela%20Norma%20AD\Ciela51\Cache\599490eb24bc02fdfd117ad1aa98c365a1eac30f30f9504cee031bd43ff30093_normi2135492666\1694246_73_pr27.gif" TargetMode="External"/><Relationship Id="rId57" Type="http://schemas.openxmlformats.org/officeDocument/2006/relationships/image" Target="file:///C:\Users\GeorgievaDa\AppData\Local\Ciela%20Norma%20AD\Ciela51\Cache\599490eb24bc02fdfd117ad1aa98c365a1eac30f30f9504cee031bd43ff30093_normi2135492666\1694268_74_pr31_3.gif" TargetMode="External"/><Relationship Id="rId10" Type="http://schemas.openxmlformats.org/officeDocument/2006/relationships/image" Target="file:///C:\Users\GeorgievaDa\AppData\Local\Ciela%20Norma%20AD\Ciela51\Cache\599490eb24bc02fdfd117ad1aa98c365a1eac30f30f9504cee031bd43ff30093_normi2135492666\1694125_61_pr4_2.gif" TargetMode="External"/><Relationship Id="rId31" Type="http://schemas.openxmlformats.org/officeDocument/2006/relationships/image" Target="file:///C:\Users\GeorgievaDa\AppData\Local\Ciela%20Norma%20AD\Ciela51\Cache\599490eb24bc02fdfd117ad1aa98c365a1eac30f30f9504cee031bd43ff30093_normi2135492666\1694200_69_pr15_1.gif" TargetMode="External"/><Relationship Id="rId44" Type="http://schemas.openxmlformats.org/officeDocument/2006/relationships/image" Target="file:///C:\Users\GeorgievaDa\AppData\Local\Ciela%20Norma%20AD\Ciela51\Cache\599490eb24bc02fdfd117ad1aa98c365a1eac30f30f9504cee031bd43ff30093_normi2135492666\1694230_72_pr25_1.gif" TargetMode="External"/><Relationship Id="rId52" Type="http://schemas.openxmlformats.org/officeDocument/2006/relationships/image" Target="file:///C:\Users\GeorgievaDa\AppData\Local\Ciela%20Norma%20AD\Ciela51\Cache\599490eb24bc02fdfd117ad1aa98c365a1eac30f30f9504cee031bd43ff30093_normi2135492666\1694253_73_pr29_2.gif" TargetMode="External"/><Relationship Id="rId60" Type="http://schemas.openxmlformats.org/officeDocument/2006/relationships/image" Target="file:///C:\Users\GeorgievaDa\AppData\Local\Ciela%20Norma%20AD\Ciela51\Cache\599490eb24bc02fdfd117ad1aa98c365a1eac30f30f9504cee031bd43ff30093_normi2135492666\1694277_76_pr33_1.gif" TargetMode="External"/><Relationship Id="rId65" Type="http://schemas.openxmlformats.org/officeDocument/2006/relationships/image" Target="file:///C:\Users\GeorgievaDa\AppData\Local\Ciela%20Norma%20AD\Ciela51\Cache\599490eb24bc02fdfd117ad1aa98c365a1eac30f30f9504cee031bd43ff30093_normi2135492666\1694291_77_pr35.gif" TargetMode="External"/><Relationship Id="rId73" Type="http://schemas.openxmlformats.org/officeDocument/2006/relationships/image" Target="file:///C:\Users\GeorgievaDa\AppData\Local\Ciela%20Norma%20AD\Ciela51\Cache\599490eb24bc02fdfd117ad1aa98c365a1eac30f30f9504cee031bd43ff30093_normi2135492666\197_38363403_dv2016_br70_str37_f7_.gif" TargetMode="External"/><Relationship Id="rId78" Type="http://schemas.openxmlformats.org/officeDocument/2006/relationships/image" Target="file:///C:\Users\GeorgievaDa\AppData\Local\Ciela%20Norma%20AD\Ciela51\Cache\599490eb24bc02fdfd117ad1aa98c365a1eac30f30f9504cee031bd43ff30093_normi2135492666\197_40944494_dv2016_br70_str38_f12_.gif" TargetMode="External"/><Relationship Id="rId81" Type="http://schemas.openxmlformats.org/officeDocument/2006/relationships/image" Target="file:///C:\Users\GeorgievaDa\AppData\Local\Ciela%20Norma%20AD\Ciela51\Cache\599490eb24bc02fdfd117ad1aa98c365a1eac30f30f9504cee031bd43ff30093_normi2135492666\197_32188812_dv2016_br70_str39_f15_.gif" TargetMode="External"/><Relationship Id="rId86" Type="http://schemas.openxmlformats.org/officeDocument/2006/relationships/image" Target="file:///C:\Users\GeorgievaDa\AppData\Local\Ciela%20Norma%20AD\Ciela51\Cache\599490eb24bc02fdfd117ad1aa98c365a1eac30f30f9504cee031bd43ff30093_normi2135492666\410_6073091_dv2016_br70_str40_f4_.gif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file:///C:\Users\GeorgievaDa\AppData\Local\Ciela%20Norma%20AD\Ciela51\Cache\599490eb24bc02fdfd117ad1aa98c365a1eac30f30f9504cee031bd43ff30093_normi2135492666\1694122_61_pr4_1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122</Pages>
  <Words>22843</Words>
  <Characters>130210</Characters>
  <Application>Microsoft Office Word</Application>
  <DocSecurity>0</DocSecurity>
  <Lines>1085</Lines>
  <Paragraphs>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Georgieva</dc:creator>
  <cp:lastModifiedBy>Daniela Georgieva</cp:lastModifiedBy>
  <cp:revision>2</cp:revision>
  <dcterms:created xsi:type="dcterms:W3CDTF">2017-08-22T13:20:00Z</dcterms:created>
  <dcterms:modified xsi:type="dcterms:W3CDTF">2017-08-22T13:20:00Z</dcterms:modified>
</cp:coreProperties>
</file>