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540DE5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540DE5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540DE5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540DE5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540DE5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540DE5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540DE5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540DE5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540DE5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540DE5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540DE5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40DE5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540DE5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540DE5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540DE5" w:rsidRDefault="00DC47E2" w:rsidP="00C56E4D">
            <w:pPr>
              <w:spacing w:line="240" w:lineRule="auto"/>
              <w:jc w:val="left"/>
            </w:pPr>
            <w:r w:rsidRPr="00540DE5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540DE5">
              <w:rPr>
                <w:shd w:val="clear" w:color="auto" w:fill="FFFFFF" w:themeFill="background1"/>
              </w:rPr>
              <w:instrText xml:space="preserve"> FORMDROPDOWN </w:instrText>
            </w:r>
            <w:r w:rsidR="000D5E46">
              <w:rPr>
                <w:shd w:val="clear" w:color="auto" w:fill="FFFFFF" w:themeFill="background1"/>
              </w:rPr>
            </w:r>
            <w:r w:rsidR="000D5E46">
              <w:rPr>
                <w:shd w:val="clear" w:color="auto" w:fill="FFFFFF" w:themeFill="background1"/>
              </w:rPr>
              <w:fldChar w:fldCharType="separate"/>
            </w:r>
            <w:r w:rsidRPr="00540DE5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540DE5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399AD98" w:rsidR="00DC47E2" w:rsidRPr="00540DE5" w:rsidRDefault="00540DE5" w:rsidP="0096288D">
            <w:pPr>
              <w:spacing w:line="240" w:lineRule="auto"/>
            </w:pPr>
            <w:r w:rsidRPr="00540DE5">
              <w:t>Закон за изменение и допълнение на Закона за гражданската регистрация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540DE5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40DE5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540DE5" w:rsidRDefault="00DC47E2" w:rsidP="00C56E4D">
            <w:pPr>
              <w:jc w:val="left"/>
            </w:pPr>
            <w:r w:rsidRPr="00540DE5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540DE5">
              <w:instrText xml:space="preserve"> FORMDROPDOWN </w:instrText>
            </w:r>
            <w:r w:rsidR="000D5E46">
              <w:fldChar w:fldCharType="separate"/>
            </w:r>
            <w:r w:rsidRPr="00540DE5">
              <w:fldChar w:fldCharType="end"/>
            </w:r>
          </w:p>
        </w:tc>
      </w:tr>
      <w:tr w:rsidR="00DC47E2" w:rsidRPr="00540DE5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540DE5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540DE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40DE5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540DE5" w:rsidRDefault="00AD3842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6.2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540DE5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540DE5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540DE5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540DE5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71E2EAE" w:rsidR="00DC47E2" w:rsidRPr="00540DE5" w:rsidRDefault="00540DE5" w:rsidP="001178C4">
            <w:pPr>
              <w:jc w:val="left"/>
            </w:pPr>
            <w:r w:rsidRPr="00540DE5">
              <w:t>03-04-294/12.09.2025 г.</w:t>
            </w:r>
          </w:p>
        </w:tc>
      </w:tr>
      <w:tr w:rsidR="00DC47E2" w:rsidRPr="00540DE5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540DE5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540DE5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40DE5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794BA7" w14:textId="2C86B34E" w:rsidR="00DC47E2" w:rsidRPr="00540DE5" w:rsidRDefault="000D5E46" w:rsidP="00794915">
            <w:sdt>
              <w:sdtPr>
                <w:id w:val="1180695904"/>
                <w:placeholder>
                  <w:docPart w:val="A802ABFEC9B443F8BA16A302C9B1E2A3"/>
                </w:placeholder>
              </w:sdtPr>
              <w:sdtEndPr/>
              <w:sdtContent>
                <w:sdt>
                  <w:sdtPr>
                    <w:id w:val="-1240795781"/>
                    <w:placeholder>
                      <w:docPart w:val="D9E0FC634B9645048294735CE00713A4"/>
                    </w:placeholder>
                  </w:sdtPr>
                  <w:sdtEndPr/>
                  <w:sdtContent>
                    <w:r w:rsidR="00540DE5" w:rsidRPr="00540DE5">
                      <w:t>Министерство</w:t>
                    </w:r>
                  </w:sdtContent>
                </w:sdt>
              </w:sdtContent>
            </w:sdt>
            <w:r w:rsidR="00540DE5" w:rsidRPr="00540DE5">
              <w:rPr>
                <w:rFonts w:eastAsia="Times New Roman"/>
              </w:rPr>
              <w:t xml:space="preserve"> </w:t>
            </w:r>
            <w:r w:rsidR="00540DE5" w:rsidRPr="00540DE5">
              <w:t>на регионалното развитие и благоустройството</w:t>
            </w:r>
          </w:p>
        </w:tc>
      </w:tr>
      <w:tr w:rsidR="00DC47E2" w:rsidRPr="00540DE5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540DE5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540DE5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08A39D62" w:rsidR="00DC47E2" w:rsidRPr="00540DE5" w:rsidRDefault="00FC29FE" w:rsidP="00C56E4D">
            <w:pPr>
              <w:spacing w:line="240" w:lineRule="auto"/>
              <w:jc w:val="left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>
              <w:instrText xml:space="preserve"> FORMDROPDOWN </w:instrText>
            </w:r>
            <w:r w:rsidR="000D5E46">
              <w:fldChar w:fldCharType="separate"/>
            </w:r>
            <w:r>
              <w:fldChar w:fldCharType="end"/>
            </w:r>
            <w:bookmarkEnd w:id="1"/>
          </w:p>
        </w:tc>
      </w:tr>
      <w:tr w:rsidR="00DC47E2" w:rsidRPr="00540DE5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540DE5" w:rsidRDefault="00DC47E2" w:rsidP="00C56E4D">
            <w:pPr>
              <w:spacing w:line="240" w:lineRule="auto"/>
              <w:jc w:val="left"/>
            </w:pPr>
            <w:r w:rsidRPr="00540DE5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DEDAE4C" w:rsidR="00DC47E2" w:rsidRPr="00540DE5" w:rsidRDefault="00FC29FE" w:rsidP="00C56E4D">
            <w:pPr>
              <w:spacing w:line="240" w:lineRule="auto"/>
              <w:jc w:val="left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>
              <w:instrText xml:space="preserve"> FORMDROPDOWN </w:instrText>
            </w:r>
            <w:r w:rsidR="000D5E46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540DE5" w:rsidRDefault="00DC47E2" w:rsidP="00C56E4D">
            <w:pPr>
              <w:spacing w:line="240" w:lineRule="auto"/>
              <w:jc w:val="left"/>
            </w:pPr>
            <w:r w:rsidRPr="00540DE5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540DE5" w:rsidRDefault="00C56E4D" w:rsidP="00B22AAD"/>
    <w:p w14:paraId="3E1B25E2" w14:textId="77777777" w:rsidR="00DC47E2" w:rsidRPr="00540DE5" w:rsidRDefault="00DC47E2" w:rsidP="00B22AAD">
      <w:pPr>
        <w:sectPr w:rsidR="00DC47E2" w:rsidRPr="00540DE5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540DE5" w14:paraId="54E3E36B" w14:textId="77777777" w:rsidTr="00940824">
        <w:tc>
          <w:tcPr>
            <w:tcW w:w="10207" w:type="dxa"/>
            <w:shd w:val="clear" w:color="auto" w:fill="FFFFFF" w:themeFill="background1"/>
          </w:tcPr>
          <w:p w14:paraId="370F54D9" w14:textId="568292C3" w:rsidR="002555C1" w:rsidRPr="00540DE5" w:rsidRDefault="002555C1" w:rsidP="0096288D">
            <w:pPr>
              <w:pStyle w:val="Heading1"/>
              <w:outlineLvl w:val="0"/>
            </w:pPr>
            <w:r w:rsidRPr="00540DE5">
              <w:t>Относно Раздел 1 „Проблем/проблеми за решаване“</w:t>
            </w:r>
            <w:r w:rsidR="00F32EB5" w:rsidRPr="00540DE5">
              <w:t>:</w:t>
            </w:r>
          </w:p>
          <w:p w14:paraId="4FA12EB3" w14:textId="77777777" w:rsidR="00F625D8" w:rsidRDefault="004B539F" w:rsidP="0082621D">
            <w:pPr>
              <w:pStyle w:val="02"/>
            </w:pPr>
            <w:r>
              <w:t xml:space="preserve">Точка 58 от </w:t>
            </w:r>
            <w:r w:rsidRPr="004B539F">
              <w:t>Законодателна</w:t>
            </w:r>
            <w:r>
              <w:t>та</w:t>
            </w:r>
            <w:r w:rsidRPr="004B539F">
              <w:t xml:space="preserve"> програма на Министерския съвет за периода юли – декември 2025 г.</w:t>
            </w:r>
            <w:r>
              <w:t>, приета с РМС № 541 от 11 август 2025 г.</w:t>
            </w:r>
            <w:r>
              <w:rPr>
                <w:rStyle w:val="FootnoteReference"/>
              </w:rPr>
              <w:footnoteReference w:id="1"/>
            </w:r>
            <w:r>
              <w:t xml:space="preserve">, се отнася до изменение и допълнение на </w:t>
            </w:r>
            <w:r w:rsidRPr="004B539F">
              <w:t>Закона за гражданската регистрация</w:t>
            </w:r>
            <w:r w:rsidR="0082621D">
              <w:t xml:space="preserve"> (ЗИД ЗГР)</w:t>
            </w:r>
            <w:r>
              <w:t xml:space="preserve">. </w:t>
            </w:r>
            <w:r w:rsidR="00FC29FE">
              <w:t>Съгласно Програмата, о</w:t>
            </w:r>
            <w:r w:rsidRPr="004B539F">
              <w:t>чакван резултат</w:t>
            </w:r>
            <w:r>
              <w:t xml:space="preserve"> от изменението следва да бъде изпълнението </w:t>
            </w:r>
            <w:r w:rsidRPr="004B539F">
              <w:t>на мерки 2.1.1, 2.2.1, 2.3.1 от Плана за действие за внедряване на административни услуги на принципа „Епизоди от живота“, приет с Решение № 176 на Министерския съвет от 2025 г.</w:t>
            </w:r>
            <w:r>
              <w:rPr>
                <w:rStyle w:val="FootnoteReference"/>
              </w:rPr>
              <w:footnoteReference w:id="2"/>
            </w:r>
            <w:r w:rsidR="0082621D">
              <w:rPr>
                <w:lang w:val="en-US"/>
              </w:rPr>
              <w:t xml:space="preserve"> </w:t>
            </w:r>
          </w:p>
          <w:p w14:paraId="70DDBE06" w14:textId="0EB84E51" w:rsidR="0082621D" w:rsidRDefault="0082621D" w:rsidP="0082621D">
            <w:pPr>
              <w:pStyle w:val="02"/>
            </w:pPr>
            <w:r>
              <w:t xml:space="preserve">Също така, в посочения План за действие се съдържат и още мерки, отнасящи се до </w:t>
            </w:r>
            <w:r w:rsidR="00FC29FE">
              <w:t>ЗГР</w:t>
            </w:r>
            <w:r>
              <w:t>, а именно:</w:t>
            </w:r>
          </w:p>
          <w:p w14:paraId="35E46A9F" w14:textId="76F9BAAA" w:rsidR="0082621D" w:rsidRDefault="00DE2EC1" w:rsidP="00DD1216">
            <w:pPr>
              <w:pStyle w:val="02"/>
              <w:numPr>
                <w:ilvl w:val="0"/>
                <w:numId w:val="17"/>
              </w:numPr>
            </w:pPr>
            <w:r>
              <w:t xml:space="preserve">Мярка </w:t>
            </w:r>
            <w:r w:rsidR="0082621D">
              <w:t>1.3.1 – отнасяща се до п</w:t>
            </w:r>
            <w:r w:rsidR="0082621D" w:rsidRPr="0082621D">
              <w:t xml:space="preserve">ромяна в чл. 42 и чл. 43 от </w:t>
            </w:r>
            <w:r w:rsidR="0082621D">
              <w:t>ЗГР</w:t>
            </w:r>
            <w:r w:rsidR="0082621D" w:rsidRPr="0082621D">
              <w:t xml:space="preserve"> </w:t>
            </w:r>
            <w:r w:rsidR="00B05B9B">
              <w:t>(</w:t>
            </w:r>
            <w:r w:rsidR="0082621D" w:rsidRPr="0082621D">
              <w:t xml:space="preserve">съобщението за раждане </w:t>
            </w:r>
            <w:r>
              <w:t>да бъде</w:t>
            </w:r>
            <w:r w:rsidR="0082621D" w:rsidRPr="0082621D">
              <w:t xml:space="preserve"> в електронна форма</w:t>
            </w:r>
            <w:r w:rsidR="00B05B9B">
              <w:t>);</w:t>
            </w:r>
          </w:p>
          <w:p w14:paraId="7F9A0440" w14:textId="2BF4B26E" w:rsidR="0082621D" w:rsidRDefault="00DE2EC1" w:rsidP="00DD1216">
            <w:pPr>
              <w:pStyle w:val="02"/>
              <w:numPr>
                <w:ilvl w:val="0"/>
                <w:numId w:val="17"/>
              </w:numPr>
            </w:pPr>
            <w:r>
              <w:lastRenderedPageBreak/>
              <w:t xml:space="preserve">Мярка </w:t>
            </w:r>
            <w:r w:rsidR="0082621D">
              <w:t xml:space="preserve">1.4.1 – отнасяща се до промяна с </w:t>
            </w:r>
            <w:r w:rsidR="0082621D" w:rsidRPr="0082621D">
              <w:t>преходни разпоредби</w:t>
            </w:r>
            <w:r w:rsidR="0082621D">
              <w:t xml:space="preserve"> на ЗИД ЗГР</w:t>
            </w:r>
            <w:r w:rsidR="0082621D" w:rsidRPr="0082621D">
              <w:t>, в които се предлага изменение в специалните закони, с оглед вместо предоставяне на удостоверение за раждане от потребителите на услуги</w:t>
            </w:r>
            <w:r w:rsidR="00B96911">
              <w:t>,</w:t>
            </w:r>
            <w:r w:rsidR="0082621D" w:rsidRPr="0082621D">
              <w:t xml:space="preserve"> информацията да се получава по служебен път</w:t>
            </w:r>
            <w:r w:rsidR="00751683">
              <w:t>;</w:t>
            </w:r>
          </w:p>
          <w:p w14:paraId="068D649A" w14:textId="30EA1E71" w:rsidR="0082621D" w:rsidRDefault="00DE2EC1" w:rsidP="00DD1216">
            <w:pPr>
              <w:pStyle w:val="02"/>
              <w:numPr>
                <w:ilvl w:val="0"/>
                <w:numId w:val="17"/>
              </w:numPr>
            </w:pPr>
            <w:r>
              <w:t xml:space="preserve">Мярка </w:t>
            </w:r>
            <w:r w:rsidR="0082621D">
              <w:t>10.3.1 – отнасяща се и</w:t>
            </w:r>
            <w:r w:rsidR="0082621D" w:rsidRPr="0082621D">
              <w:t>дентифициране на всички закони и подзаконови нормативни актове, които съдържат изискване за представяне на удостоверение за сключване на граждански брак</w:t>
            </w:r>
            <w:r w:rsidR="0082621D">
              <w:t xml:space="preserve">; както и </w:t>
            </w:r>
            <w:r w:rsidR="009D275F">
              <w:t>п</w:t>
            </w:r>
            <w:r w:rsidR="0082621D" w:rsidRPr="0082621D">
              <w:t xml:space="preserve">ромени в </w:t>
            </w:r>
            <w:r w:rsidR="0082621D">
              <w:t>ЗГР</w:t>
            </w:r>
            <w:r w:rsidR="0082621D" w:rsidRPr="0082621D">
              <w:t xml:space="preserve"> и със заключителни разпоредби да се променят специалните закони с оглед вместо предоставяне на удостоверение за сключен граждански брак от потребителите на услуги информацията да се получи по служебен път</w:t>
            </w:r>
            <w:r w:rsidR="009D275F">
              <w:t>;</w:t>
            </w:r>
          </w:p>
          <w:p w14:paraId="671C1F51" w14:textId="668DB702" w:rsidR="0082621D" w:rsidRDefault="00DE2EC1" w:rsidP="00DD1216">
            <w:pPr>
              <w:pStyle w:val="02"/>
              <w:numPr>
                <w:ilvl w:val="0"/>
                <w:numId w:val="17"/>
              </w:numPr>
            </w:pPr>
            <w:r>
              <w:t xml:space="preserve">Мярка </w:t>
            </w:r>
            <w:r w:rsidR="0082621D" w:rsidRPr="0082621D">
              <w:t>11.1.3</w:t>
            </w:r>
            <w:r w:rsidR="0082621D">
              <w:t xml:space="preserve"> – отнасяща се до прецизиране на нормативната уредба относно процеса по съставяне на съобщение за смърт; както и ясно регламентиране на изключения за </w:t>
            </w:r>
            <w:r w:rsidR="0082621D" w:rsidRPr="0082621D">
              <w:t>предоставяне на „Съобщение за смърт“ на хартиен носител</w:t>
            </w:r>
            <w:r w:rsidR="003E4D6A">
              <w:t>;</w:t>
            </w:r>
          </w:p>
          <w:p w14:paraId="5377A17E" w14:textId="2E8E11FA" w:rsidR="00DE2EC1" w:rsidRDefault="00DE2EC1" w:rsidP="00DD1216">
            <w:pPr>
              <w:pStyle w:val="02"/>
              <w:numPr>
                <w:ilvl w:val="0"/>
                <w:numId w:val="17"/>
              </w:numPr>
            </w:pPr>
            <w:r>
              <w:t xml:space="preserve">Мярка </w:t>
            </w:r>
            <w:r w:rsidR="0082621D" w:rsidRPr="0082621D">
              <w:t>11.3.1</w:t>
            </w:r>
            <w:r w:rsidR="0082621D">
              <w:t xml:space="preserve"> – отнасяща се до </w:t>
            </w:r>
            <w:r>
              <w:t>и</w:t>
            </w:r>
            <w:r w:rsidRPr="00DE2EC1">
              <w:t>дентифициране на всички закони и подзаконови нормативни актове, които съдържат изискване за представяне на удостоверение за наследници</w:t>
            </w:r>
            <w:r>
              <w:t xml:space="preserve">; както и </w:t>
            </w:r>
            <w:r w:rsidR="00DD1216">
              <w:t>п</w:t>
            </w:r>
            <w:r w:rsidRPr="00DE2EC1">
              <w:t xml:space="preserve">ромени в </w:t>
            </w:r>
            <w:r>
              <w:t>ЗГР</w:t>
            </w:r>
            <w:r w:rsidRPr="00DE2EC1">
              <w:t xml:space="preserve"> и със заключителни разпоредби да се изменят специалните закони с оглед вместо предоставяне на удостоверение за наследници от потребителите на услуги информацията да се получи по служебен път</w:t>
            </w:r>
            <w:r>
              <w:t>.</w:t>
            </w:r>
          </w:p>
          <w:p w14:paraId="094167E5" w14:textId="4312D790" w:rsidR="00DE2EC1" w:rsidRPr="0082621D" w:rsidRDefault="00DE2EC1" w:rsidP="00DE2EC1">
            <w:pPr>
              <w:pStyle w:val="02"/>
            </w:pPr>
            <w:r>
              <w:t xml:space="preserve">Във връзка с описаното дотук, предлагаме изложението на раздела да се допълни с цел включване на информация относно всички маркирани проблеми (мерки </w:t>
            </w:r>
            <w:r w:rsidRPr="00DE2EC1">
              <w:t>2.1.1, 2.2.1, 2.3.1</w:t>
            </w:r>
            <w:r>
              <w:t>, 1.3.1, 1.4.1, 10.3.1, 11.1.3, 11.3.1</w:t>
            </w:r>
            <w:r w:rsidR="0031560A">
              <w:t xml:space="preserve"> от приетия с РМС № 17</w:t>
            </w:r>
            <w:r w:rsidR="00DD1216">
              <w:t>6</w:t>
            </w:r>
            <w:r w:rsidR="0031560A">
              <w:t xml:space="preserve"> от 2025 г. План за </w:t>
            </w:r>
            <w:r w:rsidR="0031560A" w:rsidRPr="0031560A">
              <w:t>действие за внедряване на административни услуги на принципа „Епизоди от живота“</w:t>
            </w:r>
            <w:r w:rsidR="0031560A">
              <w:t>)</w:t>
            </w:r>
            <w:r w:rsidR="00F625D8">
              <w:t>, като се посочи дали се осигурява изпълнение на мерките</w:t>
            </w:r>
            <w:r w:rsidR="0031560A">
              <w:t>.</w:t>
            </w:r>
          </w:p>
          <w:p w14:paraId="5F017CE0" w14:textId="77777777" w:rsidR="00C62C3C" w:rsidRPr="00540DE5" w:rsidRDefault="00C62C3C" w:rsidP="0096288D">
            <w:pPr>
              <w:pStyle w:val="Heading1"/>
              <w:outlineLvl w:val="0"/>
            </w:pPr>
            <w:r w:rsidRPr="00540DE5">
              <w:t>Относно раздел 3 „Заинтересовани страни“:</w:t>
            </w:r>
          </w:p>
          <w:p w14:paraId="7A58CBE9" w14:textId="3B60787F" w:rsidR="004C5228" w:rsidRDefault="004C5228" w:rsidP="0096288D">
            <w:pPr>
              <w:pStyle w:val="02"/>
            </w:pPr>
            <w:r>
              <w:t>С цел по-пълно картиране на заинтересованите страни, предлагаме изложението на раздела да се допълни</w:t>
            </w:r>
            <w:r w:rsidR="00DD1216">
              <w:t xml:space="preserve"> чрез включване на </w:t>
            </w:r>
            <w:r>
              <w:t>информация за: централни и териториални администрации; организации, предоставящи обществени услуги; лица, осъществяващи публични функции.</w:t>
            </w:r>
          </w:p>
          <w:p w14:paraId="4C66B06B" w14:textId="7E4A38AA" w:rsidR="00680D75" w:rsidRPr="00540DE5" w:rsidRDefault="00CC6DE0" w:rsidP="0096288D">
            <w:pPr>
              <w:pStyle w:val="Heading1"/>
              <w:outlineLvl w:val="0"/>
            </w:pPr>
            <w:r w:rsidRPr="00540DE5">
              <w:t>Относно раздел 4 „Варианти на де</w:t>
            </w:r>
            <w:r w:rsidR="00F32EB5" w:rsidRPr="00540DE5">
              <w:t>йствие. Анализ на въздействията</w:t>
            </w:r>
            <w:r w:rsidRPr="00540DE5">
              <w:t>”</w:t>
            </w:r>
            <w:r w:rsidR="00F32EB5" w:rsidRPr="00540DE5">
              <w:t>:</w:t>
            </w:r>
          </w:p>
          <w:p w14:paraId="4AEF45B0" w14:textId="54580273" w:rsidR="00876D7D" w:rsidRDefault="00876D7D" w:rsidP="0096288D">
            <w:pPr>
              <w:pStyle w:val="02"/>
            </w:pPr>
            <w:r>
              <w:t>Предлагаме изложението на вариант 1 „Без действие“ да се допълни в следните посоки:</w:t>
            </w:r>
          </w:p>
          <w:p w14:paraId="546FECC8" w14:textId="498397A9" w:rsidR="00876D7D" w:rsidRDefault="00876D7D" w:rsidP="00923EC6">
            <w:pPr>
              <w:pStyle w:val="02"/>
              <w:numPr>
                <w:ilvl w:val="0"/>
                <w:numId w:val="15"/>
              </w:numPr>
            </w:pPr>
            <w:r>
              <w:lastRenderedPageBreak/>
              <w:t xml:space="preserve">В частта за „отрицателни въздействия“ да се включи информация </w:t>
            </w:r>
            <w:r w:rsidR="00923EC6">
              <w:t>за централни и териториални администрации (различни от общинските администрации);</w:t>
            </w:r>
          </w:p>
          <w:p w14:paraId="32A35AF7" w14:textId="2D1AEC3A" w:rsidR="00923EC6" w:rsidRDefault="00923EC6" w:rsidP="00923EC6">
            <w:pPr>
              <w:pStyle w:val="02"/>
              <w:numPr>
                <w:ilvl w:val="0"/>
                <w:numId w:val="15"/>
              </w:numPr>
            </w:pPr>
            <w:r>
              <w:t xml:space="preserve">В частта за „административна тежест“ да се включи информация за идентифицираната тежест спрямо гражданите и администрацията. Информация за това може да бъде намерена в съответните мерки от </w:t>
            </w:r>
            <w:r w:rsidRPr="00923EC6">
              <w:t>План</w:t>
            </w:r>
            <w:r w:rsidR="005B3540">
              <w:t>а</w:t>
            </w:r>
            <w:r w:rsidRPr="00923EC6">
              <w:t xml:space="preserve"> за действие за внедряване на административни услуги на принципа „Епизоди от живота“</w:t>
            </w:r>
            <w:r>
              <w:t>.</w:t>
            </w:r>
          </w:p>
          <w:p w14:paraId="2ED767CC" w14:textId="4C47DD48" w:rsidR="00923EC6" w:rsidRDefault="00923EC6" w:rsidP="0096288D">
            <w:pPr>
              <w:pStyle w:val="02"/>
            </w:pPr>
            <w:r>
              <w:t>Предлагаме изложението на вариант 2 „Приемане на Закон…“ да се допълни следните посоки:</w:t>
            </w:r>
          </w:p>
          <w:p w14:paraId="59102DC2" w14:textId="6474DD33" w:rsidR="00923EC6" w:rsidRDefault="00923EC6" w:rsidP="00923EC6">
            <w:pPr>
              <w:pStyle w:val="02"/>
              <w:numPr>
                <w:ilvl w:val="0"/>
                <w:numId w:val="16"/>
              </w:numPr>
            </w:pPr>
            <w:r>
              <w:t>Включване на информация относно очакван ефект от изпълнението на формулираните в раздел 2 „Цели“;</w:t>
            </w:r>
          </w:p>
          <w:p w14:paraId="4E0C635B" w14:textId="6236043E" w:rsidR="00923EC6" w:rsidRDefault="00F625D8" w:rsidP="00923EC6">
            <w:pPr>
              <w:pStyle w:val="02"/>
              <w:numPr>
                <w:ilvl w:val="0"/>
                <w:numId w:val="16"/>
              </w:numPr>
            </w:pPr>
            <w:r>
              <w:t xml:space="preserve">Постигането на целите изисква </w:t>
            </w:r>
            <w:r w:rsidR="00923EC6">
              <w:t xml:space="preserve"> с предложения проект </w:t>
            </w:r>
            <w:r>
              <w:t>да</w:t>
            </w:r>
            <w:r w:rsidR="00923EC6">
              <w:t xml:space="preserve"> се осигури съответствие на подзаконовата нормативна уредба </w:t>
            </w:r>
            <w:r>
              <w:t xml:space="preserve">с измененията в Закона за гражданската регистрация. Това би следвало да стане с преходна разпоредба, с която </w:t>
            </w:r>
            <w:r w:rsidR="00923EC6">
              <w:t xml:space="preserve">в </w:t>
            </w:r>
            <w:r>
              <w:t>определен срок</w:t>
            </w:r>
            <w:r w:rsidR="00AE1A37">
              <w:t xml:space="preserve"> </w:t>
            </w:r>
            <w:r>
              <w:t>да се предвиди</w:t>
            </w:r>
            <w:r w:rsidR="00AE1A37">
              <w:t xml:space="preserve"> </w:t>
            </w:r>
            <w:r>
              <w:t>изменение в подзаконовата нормативна уредба с цел</w:t>
            </w:r>
            <w:r w:rsidR="00923EC6">
              <w:t xml:space="preserve"> снабдяване с документи по гражданско състояние и гражданска регистрация по служебен път</w:t>
            </w:r>
            <w:r w:rsidR="005725B1">
              <w:t>;</w:t>
            </w:r>
          </w:p>
          <w:p w14:paraId="6E99AEFC" w14:textId="45737799" w:rsidR="00D53444" w:rsidRDefault="00D53444" w:rsidP="00923EC6">
            <w:pPr>
              <w:pStyle w:val="02"/>
              <w:numPr>
                <w:ilvl w:val="0"/>
                <w:numId w:val="16"/>
              </w:numPr>
            </w:pPr>
            <w:r>
              <w:t xml:space="preserve">Включване на информация за законите, които следва да бъдат изменени с преходни разпоредби, както и очаквания ефект от промените. В допълнение към включените в законопроекта закони за изменение, следва да бъдат добавени и: </w:t>
            </w:r>
            <w:r w:rsidRPr="00D53444">
              <w:t>Закон за нотариусите и нотариалната дейност</w:t>
            </w:r>
            <w:r>
              <w:t xml:space="preserve"> (чл. 11, ал. 2); </w:t>
            </w:r>
            <w:r w:rsidRPr="00D53444">
              <w:t>Закон за физическото възпитание и спорта</w:t>
            </w:r>
            <w:r>
              <w:t xml:space="preserve"> (чл. 71, ал. 2); </w:t>
            </w:r>
            <w:r w:rsidRPr="00D53444">
              <w:t>Закон за частните съдебни изпълнители</w:t>
            </w:r>
            <w:r>
              <w:t xml:space="preserve"> (чл. 7, ал. 2); </w:t>
            </w:r>
            <w:r w:rsidRPr="00D53444">
              <w:t>Граждански процесуален кодекс</w:t>
            </w:r>
            <w:r>
              <w:t xml:space="preserve"> (чл. 341, ал. 1, т. 1)</w:t>
            </w:r>
            <w:r w:rsidR="00F40C55">
              <w:t>.</w:t>
            </w:r>
          </w:p>
          <w:p w14:paraId="7777016E" w14:textId="4E621769" w:rsidR="00A82ED4" w:rsidRPr="00540DE5" w:rsidRDefault="00F32EB5" w:rsidP="00A82ED4">
            <w:pPr>
              <w:pStyle w:val="Heading1"/>
              <w:outlineLvl w:val="0"/>
            </w:pPr>
            <w:r w:rsidRPr="00540DE5">
              <w:t>Относно раздел 6 „Избор на препоръчителен вариант“</w:t>
            </w:r>
            <w:r w:rsidR="00A82ED4" w:rsidRPr="00540DE5">
              <w:t>:</w:t>
            </w:r>
          </w:p>
          <w:p w14:paraId="1BEC5775" w14:textId="7115B8E0" w:rsidR="00765799" w:rsidRPr="00540DE5" w:rsidRDefault="00D54A01" w:rsidP="00617FBD">
            <w:pPr>
              <w:pStyle w:val="02"/>
              <w:ind w:firstLine="0"/>
            </w:pPr>
            <w:r>
              <w:tab/>
            </w:r>
            <w:r w:rsidR="00D53444">
              <w:t>В изложението на раздела следва да бъде описано подробно какъв е очакваният ефект при осъществяване на предложените промени (напр. намаляване на административната тежест)</w:t>
            </w:r>
            <w:r>
              <w:t>.</w:t>
            </w:r>
          </w:p>
        </w:tc>
      </w:tr>
    </w:tbl>
    <w:p w14:paraId="538EF889" w14:textId="1EC4E6F0" w:rsidR="009D62F6" w:rsidRPr="00540DE5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540DE5" w:rsidRDefault="00852493" w:rsidP="004332F8">
      <w:pPr>
        <w:spacing w:before="120" w:after="120"/>
        <w:sectPr w:rsidR="00852493" w:rsidRPr="00540DE5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540DE5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540DE5" w:rsidRDefault="002D3CB0" w:rsidP="0096288D">
            <w:pPr>
              <w:pStyle w:val="03"/>
            </w:pPr>
            <w:r w:rsidRPr="00540DE5">
              <w:t>*</w:t>
            </w:r>
            <w:r w:rsidR="00B0732D" w:rsidRPr="00540DE5">
              <w:t>   </w:t>
            </w:r>
            <w:r w:rsidRPr="00540DE5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540DE5">
              <w:t>ет и на неговата администрация.</w:t>
            </w:r>
          </w:p>
        </w:tc>
      </w:tr>
      <w:tr w:rsidR="000D667F" w:rsidRPr="00540DE5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540DE5" w:rsidRDefault="000D667F" w:rsidP="0096288D">
            <w:pPr>
              <w:pStyle w:val="03"/>
            </w:pPr>
            <w:r w:rsidRPr="00540DE5">
              <w:lastRenderedPageBreak/>
              <w:t>**</w:t>
            </w:r>
            <w:r w:rsidR="00B0732D" w:rsidRPr="00540DE5">
              <w:t>   </w:t>
            </w:r>
            <w:r w:rsidR="002C0D1B" w:rsidRPr="00540DE5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540DE5">
              <w:t>.</w:t>
            </w:r>
          </w:p>
        </w:tc>
      </w:tr>
      <w:tr w:rsidR="00602DA4" w:rsidRPr="00540DE5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540DE5" w:rsidRDefault="002D3CB0" w:rsidP="0096288D">
            <w:pPr>
              <w:pStyle w:val="03"/>
            </w:pPr>
            <w:r w:rsidRPr="00540DE5">
              <w:t>**</w:t>
            </w:r>
            <w:r w:rsidR="000A68D9" w:rsidRPr="00540DE5">
              <w:t>*</w:t>
            </w:r>
            <w:r w:rsidR="00B0732D" w:rsidRPr="00540DE5">
              <w:t>   </w:t>
            </w:r>
            <w:r w:rsidRPr="00540DE5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540DE5" w:rsidRDefault="007F2E32" w:rsidP="0096288D">
            <w:pPr>
              <w:pStyle w:val="03"/>
            </w:pPr>
            <w:r w:rsidRPr="00540DE5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540DE5" w:rsidRDefault="00E77E8A" w:rsidP="00325252">
            <w:pPr>
              <w:pStyle w:val="04"/>
            </w:pPr>
          </w:p>
          <w:p w14:paraId="210130C8" w14:textId="076CFB68" w:rsidR="00BA3467" w:rsidRPr="00540DE5" w:rsidRDefault="00E84574" w:rsidP="00325252">
            <w:pPr>
              <w:pStyle w:val="04"/>
            </w:pPr>
            <w:r>
              <w:t xml:space="preserve">И.Ф. </w:t>
            </w:r>
            <w:r w:rsidR="00BA3467" w:rsidRPr="00540DE5">
              <w:t xml:space="preserve">ДИРЕКТОР НА ДИРЕКЦИЯ </w:t>
            </w:r>
          </w:p>
          <w:p w14:paraId="45B92D84" w14:textId="2AB5F9D5" w:rsidR="00BA3467" w:rsidRPr="00540DE5" w:rsidRDefault="00BA3467" w:rsidP="00325252">
            <w:pPr>
              <w:pStyle w:val="04"/>
            </w:pPr>
            <w:r w:rsidRPr="00540DE5">
              <w:t>„</w:t>
            </w:r>
            <w:r w:rsidR="005E705E" w:rsidRPr="00540DE5">
              <w:t xml:space="preserve">КООРДИНАЦИЯ И </w:t>
            </w:r>
            <w:r w:rsidRPr="00540DE5">
              <w:t>МОДЕРНИЗАЦИЯ НА АДМИНИСТРАЦИЯТА“ В</w:t>
            </w:r>
          </w:p>
          <w:p w14:paraId="6C13F804" w14:textId="77777777" w:rsidR="00BA3467" w:rsidRDefault="00BA3467" w:rsidP="00325252">
            <w:pPr>
              <w:pStyle w:val="04"/>
            </w:pPr>
            <w:r w:rsidRPr="00540DE5">
              <w:t>АДМИНИСТРАЦИЯТА НА МИНИСТЕРСКИЯ СЪВЕТ</w:t>
            </w:r>
          </w:p>
          <w:p w14:paraId="60729706" w14:textId="7ADAA6F2" w:rsidR="000A59A4" w:rsidRPr="000A59A4" w:rsidRDefault="000A59A4" w:rsidP="000A59A4">
            <w:pPr>
              <w:pStyle w:val="04"/>
              <w:rPr>
                <w:b w:val="0"/>
                <w:sz w:val="20"/>
                <w:szCs w:val="20"/>
              </w:rPr>
            </w:pPr>
            <w:r w:rsidRPr="000A59A4">
              <w:rPr>
                <w:b w:val="0"/>
                <w:sz w:val="20"/>
                <w:szCs w:val="20"/>
              </w:rPr>
              <w:t>(Съгласно Заповед № Н-1389 от 17.09.2025 г.)</w:t>
            </w:r>
          </w:p>
          <w:p w14:paraId="15F40762" w14:textId="5D618C63" w:rsidR="00BA3467" w:rsidRPr="00540DE5" w:rsidRDefault="00AD3842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75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0A637D92" w:rsidR="00B70BF4" w:rsidRPr="00D72DE3" w:rsidRDefault="00E84574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>
              <w:rPr>
                <w:b/>
              </w:rPr>
              <w:t>АЛЕКО ДЖИЛДЖ</w:t>
            </w:r>
            <w:r w:rsidR="007F2E32" w:rsidRPr="00540DE5">
              <w:rPr>
                <w:b/>
              </w:rPr>
              <w:t>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0DB1" w14:textId="77777777" w:rsidR="000D5E46" w:rsidRDefault="000D5E46" w:rsidP="00C20834">
      <w:r>
        <w:separator/>
      </w:r>
    </w:p>
    <w:p w14:paraId="4778F46D" w14:textId="77777777" w:rsidR="000D5E46" w:rsidRDefault="000D5E46" w:rsidP="00C20834"/>
    <w:p w14:paraId="0645CB20" w14:textId="77777777" w:rsidR="000D5E46" w:rsidRDefault="000D5E46"/>
  </w:endnote>
  <w:endnote w:type="continuationSeparator" w:id="0">
    <w:p w14:paraId="6FC955F2" w14:textId="77777777" w:rsidR="000D5E46" w:rsidRDefault="000D5E46" w:rsidP="00C20834">
      <w:r>
        <w:continuationSeparator/>
      </w:r>
    </w:p>
    <w:p w14:paraId="19F31649" w14:textId="77777777" w:rsidR="000D5E46" w:rsidRDefault="000D5E46" w:rsidP="00C20834"/>
    <w:p w14:paraId="1DAA9B41" w14:textId="77777777" w:rsidR="000D5E46" w:rsidRDefault="000D5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1D1A2BA4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540DE5" w:rsidRPr="00540DE5">
          <w:rPr>
            <w:rFonts w:eastAsia="Times New Roman"/>
            <w:i/>
            <w:sz w:val="20"/>
            <w:szCs w:val="20"/>
          </w:rPr>
          <w:t>Закон за изменение и допълнение на Закона за гражданската регистрация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D751C" w14:textId="77777777" w:rsidR="000D5E46" w:rsidRDefault="000D5E46" w:rsidP="00C20834">
      <w:r>
        <w:separator/>
      </w:r>
    </w:p>
    <w:p w14:paraId="4BE2A969" w14:textId="77777777" w:rsidR="000D5E46" w:rsidRDefault="000D5E46" w:rsidP="00C20834"/>
    <w:p w14:paraId="5189ECE5" w14:textId="77777777" w:rsidR="000D5E46" w:rsidRDefault="000D5E46"/>
  </w:footnote>
  <w:footnote w:type="continuationSeparator" w:id="0">
    <w:p w14:paraId="6BC4E549" w14:textId="77777777" w:rsidR="000D5E46" w:rsidRDefault="000D5E46" w:rsidP="00C20834">
      <w:r>
        <w:continuationSeparator/>
      </w:r>
    </w:p>
    <w:p w14:paraId="7B9D1C66" w14:textId="77777777" w:rsidR="000D5E46" w:rsidRDefault="000D5E46" w:rsidP="00C20834"/>
    <w:p w14:paraId="5557710F" w14:textId="77777777" w:rsidR="000D5E46" w:rsidRDefault="000D5E46"/>
  </w:footnote>
  <w:footnote w:id="1">
    <w:p w14:paraId="258E36EF" w14:textId="56F13A3B" w:rsidR="004B539F" w:rsidRDefault="004B53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E7A16">
          <w:rPr>
            <w:rStyle w:val="Hyperlink"/>
          </w:rPr>
          <w:t>https://strategy.bg/Publications/View.aspx?lang=bg-BG&amp;categoryId=&amp;Id=400</w:t>
        </w:r>
      </w:hyperlink>
    </w:p>
  </w:footnote>
  <w:footnote w:id="2">
    <w:p w14:paraId="2A6D5D54" w14:textId="33AB6358" w:rsidR="004B539F" w:rsidRDefault="004B53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4E7A16">
          <w:rPr>
            <w:rStyle w:val="Hyperlink"/>
          </w:rPr>
          <w:t>https://strategy.bg/News/View.aspx?lang=bg-BG&amp;Id=10702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2F64326"/>
    <w:multiLevelType w:val="hybridMultilevel"/>
    <w:tmpl w:val="7A940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4D126632"/>
    <w:multiLevelType w:val="hybridMultilevel"/>
    <w:tmpl w:val="C90A2A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5774C"/>
    <w:multiLevelType w:val="hybridMultilevel"/>
    <w:tmpl w:val="62CEFFD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40F2D"/>
    <w:multiLevelType w:val="hybridMultilevel"/>
    <w:tmpl w:val="DE96B1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2"/>
  </w:num>
  <w:num w:numId="5">
    <w:abstractNumId w:val="13"/>
  </w:num>
  <w:num w:numId="6">
    <w:abstractNumId w:val="5"/>
  </w:num>
  <w:num w:numId="7">
    <w:abstractNumId w:val="11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59A4"/>
    <w:rsid w:val="000A68D9"/>
    <w:rsid w:val="000B1B75"/>
    <w:rsid w:val="000B1C3B"/>
    <w:rsid w:val="000B5093"/>
    <w:rsid w:val="000C0A9E"/>
    <w:rsid w:val="000D206E"/>
    <w:rsid w:val="000D5E46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0DB4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1560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18E2"/>
    <w:rsid w:val="003E2B6F"/>
    <w:rsid w:val="003E4D6A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27931"/>
    <w:rsid w:val="00431CC4"/>
    <w:rsid w:val="004332F8"/>
    <w:rsid w:val="004352AE"/>
    <w:rsid w:val="0043548B"/>
    <w:rsid w:val="00435A44"/>
    <w:rsid w:val="004439BE"/>
    <w:rsid w:val="00445CE4"/>
    <w:rsid w:val="00452EB1"/>
    <w:rsid w:val="004568A7"/>
    <w:rsid w:val="0046157D"/>
    <w:rsid w:val="00461AF3"/>
    <w:rsid w:val="00461D4B"/>
    <w:rsid w:val="00465CF9"/>
    <w:rsid w:val="004663A4"/>
    <w:rsid w:val="00466FA7"/>
    <w:rsid w:val="00472347"/>
    <w:rsid w:val="004924AB"/>
    <w:rsid w:val="004B06D8"/>
    <w:rsid w:val="004B1758"/>
    <w:rsid w:val="004B431B"/>
    <w:rsid w:val="004B539F"/>
    <w:rsid w:val="004B5F66"/>
    <w:rsid w:val="004B70D4"/>
    <w:rsid w:val="004C1253"/>
    <w:rsid w:val="004C5228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0DE5"/>
    <w:rsid w:val="00541402"/>
    <w:rsid w:val="0055005B"/>
    <w:rsid w:val="00551C3A"/>
    <w:rsid w:val="00560E9D"/>
    <w:rsid w:val="00562FF2"/>
    <w:rsid w:val="005717CC"/>
    <w:rsid w:val="00571839"/>
    <w:rsid w:val="005725B1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3540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16C56"/>
    <w:rsid w:val="00617FBD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77DBE"/>
    <w:rsid w:val="00680D75"/>
    <w:rsid w:val="0069295F"/>
    <w:rsid w:val="00693C7D"/>
    <w:rsid w:val="00695D80"/>
    <w:rsid w:val="006A248F"/>
    <w:rsid w:val="006B1131"/>
    <w:rsid w:val="006B49B5"/>
    <w:rsid w:val="006B5443"/>
    <w:rsid w:val="006B5D0C"/>
    <w:rsid w:val="006B6BAF"/>
    <w:rsid w:val="006C05A6"/>
    <w:rsid w:val="006C1E5E"/>
    <w:rsid w:val="006C4A16"/>
    <w:rsid w:val="006C5A7E"/>
    <w:rsid w:val="006D4637"/>
    <w:rsid w:val="006D604D"/>
    <w:rsid w:val="0070040A"/>
    <w:rsid w:val="00704506"/>
    <w:rsid w:val="0070623B"/>
    <w:rsid w:val="00707B5A"/>
    <w:rsid w:val="0071466A"/>
    <w:rsid w:val="00725CD1"/>
    <w:rsid w:val="00726182"/>
    <w:rsid w:val="00726812"/>
    <w:rsid w:val="007339EF"/>
    <w:rsid w:val="007438BC"/>
    <w:rsid w:val="007478F6"/>
    <w:rsid w:val="00751683"/>
    <w:rsid w:val="0075498E"/>
    <w:rsid w:val="00762871"/>
    <w:rsid w:val="00762959"/>
    <w:rsid w:val="00765799"/>
    <w:rsid w:val="00770533"/>
    <w:rsid w:val="0077243F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21D"/>
    <w:rsid w:val="00826731"/>
    <w:rsid w:val="0083361E"/>
    <w:rsid w:val="00834B55"/>
    <w:rsid w:val="00840B3A"/>
    <w:rsid w:val="0084280D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76D7D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3EC6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C7D47"/>
    <w:rsid w:val="009D275F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3304"/>
    <w:rsid w:val="00A568AA"/>
    <w:rsid w:val="00A73632"/>
    <w:rsid w:val="00A73CDC"/>
    <w:rsid w:val="00A75F5C"/>
    <w:rsid w:val="00A76AA8"/>
    <w:rsid w:val="00A82ED4"/>
    <w:rsid w:val="00A847DE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3842"/>
    <w:rsid w:val="00AD4774"/>
    <w:rsid w:val="00AE1A37"/>
    <w:rsid w:val="00AE72FE"/>
    <w:rsid w:val="00AF2D1F"/>
    <w:rsid w:val="00AF4FAD"/>
    <w:rsid w:val="00B02272"/>
    <w:rsid w:val="00B026C0"/>
    <w:rsid w:val="00B05B9B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3EB0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96911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7346C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53444"/>
    <w:rsid w:val="00D54A01"/>
    <w:rsid w:val="00D71609"/>
    <w:rsid w:val="00D72DE3"/>
    <w:rsid w:val="00D82CBF"/>
    <w:rsid w:val="00D90DE3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D1216"/>
    <w:rsid w:val="00DE00B0"/>
    <w:rsid w:val="00DE1358"/>
    <w:rsid w:val="00DE2694"/>
    <w:rsid w:val="00DE2EC1"/>
    <w:rsid w:val="00DE33AD"/>
    <w:rsid w:val="00DE67E5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4574"/>
    <w:rsid w:val="00E86AAE"/>
    <w:rsid w:val="00E87992"/>
    <w:rsid w:val="00E94B74"/>
    <w:rsid w:val="00EA6D4B"/>
    <w:rsid w:val="00EB0AD0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EE7859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0C5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25D8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C15AA"/>
    <w:rsid w:val="00FC29FE"/>
    <w:rsid w:val="00FC356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99"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rategy.bg/News/View.aspx?lang=bg-BG&amp;Id=10702" TargetMode="External"/><Relationship Id="rId1" Type="http://schemas.openxmlformats.org/officeDocument/2006/relationships/hyperlink" Target="https://strategy.bg/Publications/View.aspx?lang=bg-BG&amp;categoryId=&amp;Id=4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18E2"/>
    <w:rsid w:val="003E70FC"/>
    <w:rsid w:val="003F4474"/>
    <w:rsid w:val="00414F91"/>
    <w:rsid w:val="00435A44"/>
    <w:rsid w:val="00457552"/>
    <w:rsid w:val="00472347"/>
    <w:rsid w:val="00476E9F"/>
    <w:rsid w:val="00493010"/>
    <w:rsid w:val="004A5DBA"/>
    <w:rsid w:val="00540A34"/>
    <w:rsid w:val="0054676C"/>
    <w:rsid w:val="00571C39"/>
    <w:rsid w:val="00596EEF"/>
    <w:rsid w:val="00597C2F"/>
    <w:rsid w:val="00627929"/>
    <w:rsid w:val="006475E7"/>
    <w:rsid w:val="00672054"/>
    <w:rsid w:val="00677F50"/>
    <w:rsid w:val="006B0DC9"/>
    <w:rsid w:val="006C4A16"/>
    <w:rsid w:val="006F330C"/>
    <w:rsid w:val="00725B05"/>
    <w:rsid w:val="0075498E"/>
    <w:rsid w:val="00792215"/>
    <w:rsid w:val="007C77EF"/>
    <w:rsid w:val="007D644C"/>
    <w:rsid w:val="007E7BC8"/>
    <w:rsid w:val="00835903"/>
    <w:rsid w:val="0084280D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33EB0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E67E5"/>
    <w:rsid w:val="00DF6F0D"/>
    <w:rsid w:val="00E404A1"/>
    <w:rsid w:val="00E6096A"/>
    <w:rsid w:val="00E84714"/>
    <w:rsid w:val="00EA7CC0"/>
    <w:rsid w:val="00EB3993"/>
    <w:rsid w:val="00ED5AEF"/>
    <w:rsid w:val="00EE4BFD"/>
    <w:rsid w:val="00EE7859"/>
    <w:rsid w:val="00F0172C"/>
    <w:rsid w:val="00F5751A"/>
    <w:rsid w:val="00FB7843"/>
    <w:rsid w:val="00FC3564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A785-9141-447F-870C-A2ED1B35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Nina Simeonova</cp:lastModifiedBy>
  <cp:revision>2</cp:revision>
  <cp:lastPrinted>2019-05-16T09:20:00Z</cp:lastPrinted>
  <dcterms:created xsi:type="dcterms:W3CDTF">2025-09-19T06:33:00Z</dcterms:created>
  <dcterms:modified xsi:type="dcterms:W3CDTF">2025-09-19T06:33:00Z</dcterms:modified>
</cp:coreProperties>
</file>