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31812538"/>
        <w:docPartObj>
          <w:docPartGallery w:val="Cover Pages"/>
          <w:docPartUnique/>
        </w:docPartObj>
      </w:sdtPr>
      <w:sdtEndPr/>
      <w:sdtContent>
        <w:p w:rsidR="00F22826" w:rsidRPr="00B9759D" w:rsidRDefault="000B2257">
          <w:r w:rsidRPr="00CD53E6">
            <w:rPr>
              <w:noProof/>
              <w:color w:val="FFFFFF" w:themeColor="background1"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61824" behindDoc="1" locked="0" layoutInCell="1" allowOverlap="1" wp14:anchorId="0C7F0D98" wp14:editId="0139363F">
                    <wp:simplePos x="0" y="0"/>
                    <wp:positionH relativeFrom="column">
                      <wp:posOffset>-696685</wp:posOffset>
                    </wp:positionH>
                    <wp:positionV relativeFrom="paragraph">
                      <wp:posOffset>-883467</wp:posOffset>
                    </wp:positionV>
                    <wp:extent cx="7184396" cy="10224135"/>
                    <wp:effectExtent l="19050" t="19050" r="16510" b="24765"/>
                    <wp:wrapNone/>
                    <wp:docPr id="2" name="Group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84396" cy="10224135"/>
                              <a:chOff x="305" y="406"/>
                              <a:chExt cx="11307" cy="15025"/>
                            </a:xfrm>
                          </wpg:grpSpPr>
                          <wps:wsp>
                            <wps:cNvPr id="4" name="Rectangle 4" descr="Zig zag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5" y="406"/>
                                <a:ext cx="3134" cy="15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8" y="3423"/>
                                <a:ext cx="3063" cy="6068"/>
                                <a:chOff x="679" y="3599"/>
                                <a:chExt cx="2822" cy="5760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094" y="6479"/>
                                  <a:ext cx="1407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  <a:alpha val="79999"/>
                                  </a:schemeClr>
                                </a:solidFill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094" y="5039"/>
                                  <a:ext cx="1407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  <a:alpha val="50195"/>
                                  </a:schemeClr>
                                </a:solidFill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9" y="5039"/>
                                  <a:ext cx="1415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  <a:alpha val="79999"/>
                                  </a:schemeClr>
                                </a:solidFill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9" y="3599"/>
                                  <a:ext cx="1414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  <a:alpha val="50195"/>
                                  </a:schemeClr>
                                </a:solidFill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9" y="6479"/>
                                  <a:ext cx="1415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  <a:alpha val="50195"/>
                                  </a:schemeClr>
                                </a:solidFill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094" y="7919"/>
                                  <a:ext cx="1407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  <a:alpha val="50195"/>
                                  </a:schemeClr>
                                </a:solidFill>
                                <a:ln w="1270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2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6" y="406"/>
                                <a:ext cx="8166" cy="15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667EE" w:rsidRPr="00B667EE" w:rsidRDefault="00B667EE" w:rsidP="000B2257">
                                  <w:pPr>
                                    <w:pStyle w:val="NoSpacing"/>
                                    <w:suppressAutoHyphens/>
                                    <w:spacing w:before="3480"/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632423" w:themeColor="accent2" w:themeShade="80"/>
                                      <w:sz w:val="56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632423" w:themeColor="accent2" w:themeShade="80"/>
                                      <w:sz w:val="56"/>
                                      <w:szCs w:val="60"/>
                                      <w:lang w:val="bg-BG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ДОКЛАД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632423" w:themeColor="accent2" w:themeShade="80"/>
                                      <w:sz w:val="56"/>
                                      <w:szCs w:val="60"/>
                                      <w:lang w:val="bg-BG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br/>
                                    <w:t xml:space="preserve">за резултатите от </w:t>
                                  </w:r>
                                  <w:r w:rsidRPr="00B667EE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632423" w:themeColor="accent2" w:themeShade="80"/>
                                      <w:sz w:val="56"/>
                                      <w:szCs w:val="60"/>
                                      <w:lang w:val="bg-BG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Междинна</w:t>
                                  </w:r>
                                  <w:r w:rsidR="007A7EA3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632423" w:themeColor="accent2" w:themeShade="80"/>
                                      <w:sz w:val="56"/>
                                      <w:szCs w:val="60"/>
                                      <w:lang w:val="bg-BG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та</w:t>
                                  </w:r>
                                  <w:r w:rsidRPr="00B667EE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632423" w:themeColor="accent2" w:themeShade="80"/>
                                      <w:sz w:val="56"/>
                                      <w:szCs w:val="60"/>
                                      <w:lang w:val="bg-BG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оценка за изпълнението на Регионалния план за развитие 2014-2020 г. на </w:t>
                                  </w:r>
                                  <w:r w:rsidRPr="00B667EE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noProof/>
                                      <w:color w:val="632423" w:themeColor="accent2" w:themeShade="80"/>
                                      <w:sz w:val="56"/>
                                      <w:szCs w:val="60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Север</w:t>
                                  </w:r>
                                  <w:r w:rsidRPr="00B667EE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noProof/>
                                      <w:color w:val="632423" w:themeColor="accent2" w:themeShade="80"/>
                                      <w:sz w:val="56"/>
                                      <w:szCs w:val="60"/>
                                      <w:lang w:val="bg-BG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озападен </w:t>
                                  </w:r>
                                  <w:r w:rsidRPr="00B667EE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noProof/>
                                      <w:color w:val="632423" w:themeColor="accent2" w:themeShade="80"/>
                                      <w:sz w:val="56"/>
                                      <w:szCs w:val="60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район от ниво 2</w:t>
                                  </w:r>
                                </w:p>
                              </w:txbxContent>
                            </wps:txbx>
                            <wps:bodyPr rot="0" vert="horz" wrap="square" lIns="228600" tIns="1371600" rIns="457200" bIns="45720" anchor="t" anchorCtr="0" upright="1">
                              <a:noAutofit/>
                            </wps:bodyPr>
                          </wps:wsp>
                          <wps:wsp>
                            <wps:cNvPr id="13" name="Rectangle 1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90" y="430"/>
                                <a:ext cx="1563" cy="15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alias w:val="Year"/>
                                    <w:id w:val="101573144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B667EE" w:rsidRPr="003D3B76" w:rsidRDefault="00B667EE" w:rsidP="000B2257">
                                      <w:pPr>
                                        <w:ind w:firstLine="0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  <w:sz w:val="48"/>
                                          <w:szCs w:val="52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  <w:sz w:val="52"/>
                                          <w:szCs w:val="52"/>
                                          <w:lang w:val="en-US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23" o:spid="_x0000_s1026" style="position:absolute;left:0;text-align:left;margin-left:-54.85pt;margin-top:-69.55pt;width:565.7pt;height:805.05pt;z-index:-251654656;mso-width-relative:margin;mso-height-relative:margin" coordorigin="305,406" coordsize="11307,1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">
                    <v:rect id="Rectangle 4" o:spid="_x0000_s1027" alt="Zig zag" style="position:absolute;left:305;top:406;width:3134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U2sIA&#10;AADaAAAADwAAAGRycy9kb3ducmV2LnhtbESPQWvCQBSE7wX/w/KE3nSjtFKiq0ShIELRarw/s88k&#10;mH0bdrca++u7gtDjMDPfMLNFZxpxJedrywpGwwQEcWF1zaWC/PA5+ADhA7LGxjIpuJOHxbz3MsNU&#10;2xt/03UfShEh7FNUUIXQplL6oiKDfmhb4uidrTMYonSl1A5vEW4aOU6SiTRYc1yosKVVRcVl/2MU&#10;bOmU5Un+tTk6d37HZb1brX8zpV77XTYFEagL/+Fne60VvMHjSr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FTawgAAANoAAAAPAAAAAAAAAAAAAAAAAJgCAABkcnMvZG93&#10;bnJldi54bWxQSwUGAAAAAAQABAD1AAAAhwMAAAAA&#10;" fillcolor="#943634 [2405]" strokecolor="#622423 [1605]" strokeweight="2.25pt"/>
                    <v:group id="Group 6" o:spid="_x0000_s1028" style="position:absolute;left:348;top:3423;width:3063;height:6068" coordorigin="679,3599" coordsize="2822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7" o:spid="_x0000_s1029" style="position:absolute;left:2094;top:647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Yd8IA&#10;AADaAAAADwAAAGRycy9kb3ducmV2LnhtbESPT4vCMBTE7wt+h/AEL4umqyBSjSKuBUUv/jl4fDTP&#10;pti8lCZq99tvBMHjMDO/YWaL1lbiQY0vHSv4GSQgiHOnSy4UnE9ZfwLCB2SNlWNS8EceFvPO1wxT&#10;7Z58oMcxFCJC2KeowIRQp1L63JBFP3A1cfSurrEYomwKqRt8Rrit5DBJxtJiyXHBYE0rQ/nteLcK&#10;LpP8ez/6NZRtL2W2a4d6d10HpXrddjkFEagNn/C7vdEKxvC6Em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th3wgAAANoAAAAPAAAAAAAAAAAAAAAAAJgCAABkcnMvZG93&#10;bnJldi54bWxQSwUGAAAAAAQABAD1AAAAhwMAAAAA&#10;" fillcolor="#c2d69b [1942]" strokecolor="#622423 [1605]" strokeweight="1pt">
                        <v:fill opacity="52428f"/>
                        <v:shadow color="#d8d8d8" offset="3pt,3pt"/>
                      </v:rect>
                      <v:rect id="Rectangle 8" o:spid="_x0000_s1030" style="position:absolute;left:2094;top:503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3zsIA&#10;AADaAAAADwAAAGRycy9kb3ducmV2LnhtbESPT4vCMBTE74LfITxhb5qqrEptFBFdPC1YBT0+mtc/&#10;2LyUJtb67TcLC3scZuY3TLLtTS06al1lWcF0EoEgzqyuuFBwvRzHKxDOI2usLZOCNznYboaDBGNt&#10;X3ymLvWFCBB2MSoovW9iKV1WkkE3sQ1x8HLbGvRBtoXULb4C3NRyFkULabDisFBiQ/uSskf6NAqi&#10;rp6nX+k35qfD1Oj3fX+7fVZKfYz63RqEp97/h//aJ61gCb9Xwg2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bfOwgAAANoAAAAPAAAAAAAAAAAAAAAAAJgCAABkcnMvZG93&#10;bnJldi54bWxQSwUGAAAAAAQABAD1AAAAhwMAAAAA&#10;" fillcolor="#b8cce4 [1300]" strokecolor="#622423 [1605]" strokeweight="1pt">
                        <v:fill opacity="32896f"/>
                        <v:shadow color="#d8d8d8" offset="3pt,3pt"/>
                      </v:rect>
                      <v:rect id="Rectangle 9" o:spid="_x0000_s1031" style="position:absolute;left:679;top:503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3pnsAA&#10;AADaAAAADwAAAGRycy9kb3ducmV2LnhtbERPTYvCMBC9C/6HMAteZE1XQaQ2yuJaUPSi7sHj0Eyb&#10;YjMpTdT6781hYY+P952te9uIB3W+dqzga5KAIC6crrlS8HvJPxcgfEDW2DgmBS/ysF4NBxmm2j35&#10;RI9zqEQMYZ+iAhNCm0rpC0MW/cS1xJErXWcxRNhVUnf4jOG2kdMkmUuLNccGgy1tDBW3890quC6K&#10;8XH2YyjfX+v80E/1odwGpUYf/fcSRKA+/Iv/3DutIG6NV+IN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3pnsAAAADaAAAADwAAAAAAAAAAAAAAAACYAgAAZHJzL2Rvd25y&#10;ZXYueG1sUEsFBgAAAAAEAAQA9QAAAIUDAAAAAA==&#10;" fillcolor="#c2d69b [1942]" strokecolor="#622423 [1605]" strokeweight="1pt">
                        <v:fill opacity="52428f"/>
                        <v:shadow color="#d8d8d8" offset="3pt,3pt"/>
                      </v:rect>
                      <v:rect id="Rectangle 10" o:spid="_x0000_s1032" style="position:absolute;left:679;top:3599;width:1414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GJ8IA&#10;AADaAAAADwAAAGRycy9kb3ducmV2LnhtbESPT4vCMBTE74LfITxhb5qqrGhtFBFdPC1YBT0+mtc/&#10;2LyUJtb67TcLC3scZuY3TLLtTS06al1lWcF0EoEgzqyuuFBwvRzHSxDOI2usLZOCNznYboaDBGNt&#10;X3ymLvWFCBB2MSoovW9iKV1WkkE3sQ1x8HLbGvRBtoXULb4C3NRyFkULabDisFBiQ/uSskf6NAqi&#10;rp6nX+k35qfD1Oj3fX+7fVZKfYz63RqEp97/h//aJ61gBb9Xwg2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YnwgAAANoAAAAPAAAAAAAAAAAAAAAAAJgCAABkcnMvZG93&#10;bnJldi54bWxQSwUGAAAAAAQABAD1AAAAhwMAAAAA&#10;" fillcolor="#b8cce4 [1300]" strokecolor="#622423 [1605]" strokeweight="1pt">
                        <v:fill opacity="32896f"/>
                        <v:shadow color="#d8d8d8" offset="3pt,3pt"/>
                      </v:rect>
                      <v:rect id="Rectangle 11" o:spid="_x0000_s1033" style="position:absolute;left:679;top:647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r+cQA&#10;AADbAAAADwAAAGRycy9kb3ducmV2LnhtbESPzWrDQAyE74W8w6JAb83aCS3BzSYUk4acCnUC6VF4&#10;FdvUqzXerX/evjoUepOY0cyn3WFyrRqoD41nA+kqAUVcettwZeB6eX/aggoR2WLrmQzMFOCwXzzs&#10;MLN+5E8ailgpCeGQoYE6xi7TOpQ1OQwr3xGLdve9wyhrX2nb4yjhrtXrJHnRDhuWhho7ymsqv4sf&#10;ZyAZ2k1xKj7wfj6mzs5f+e323BjzuJzeXkFFmuK/+e/6bAVf6OUXGUD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5q/nEAAAA2wAAAA8AAAAAAAAAAAAAAAAAmAIAAGRycy9k&#10;b3ducmV2LnhtbFBLBQYAAAAABAAEAPUAAACJAwAAAAA=&#10;" fillcolor="#b8cce4 [1300]" strokecolor="#622423 [1605]" strokeweight="1pt">
                        <v:fill opacity="32896f"/>
                        <v:shadow color="#d8d8d8" offset="3pt,3pt"/>
                      </v:rect>
                      <v:rect id="Rectangle 12" o:spid="_x0000_s1034" style="position:absolute;left:2094;top:791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OYsEA&#10;AADbAAAADwAAAGRycy9kb3ducmV2LnhtbERPS2vCQBC+F/wPywje6iaVFolZRUQlJ6FpQY9DdvLA&#10;7GzIbmPy791Cobf5+J6T7kbTioF611hWEC8jEMSF1Q1XCr6/Tq9rEM4ja2wtk4KJHOy2s5cUE20f&#10;/ElD7isRQtglqKD2vkukdEVNBt3SdsSBK21v0AfYV1L3+AjhppVvUfQhDTYcGmrs6FBTcc9/jIJo&#10;aFf5Ob9gmR1jo6fb4Xp9b5RazMf9BoSn0f+L/9yZDvNj+P0lHC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1DmLBAAAA2wAAAA8AAAAAAAAAAAAAAAAAmAIAAGRycy9kb3du&#10;cmV2LnhtbFBLBQYAAAAABAAEAPUAAACGAwAAAAA=&#10;" fillcolor="#b8cce4 [1300]" strokecolor="#622423 [1605]" strokeweight="1pt">
                        <v:fill opacity="32896f"/>
                        <v:shadow color="#d8d8d8" offset="3pt,3pt"/>
                      </v:rect>
                    </v:group>
                    <v:rect id="Rectangle 5" o:spid="_x0000_s1035" style="position:absolute;left:3446;top:406;width:8166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Y38EA&#10;AADbAAAADwAAAGRycy9kb3ducmV2LnhtbERPTYvCMBC9C/6HMMJeZE0VEekaRZYVvKxgLfQ6NGNb&#10;bCalSWt3f70RBG/zeJ+z2Q2mFj21rrKsYD6LQBDnVldcKEgvh881COeRNdaWScEfOdhtx6MNxtre&#10;+Ux94gsRQtjFqKD0vomldHlJBt3MNsSBu9rWoA+wLaRu8R7CTS0XUbSSBisODSU29F1Sfks6o2Cf&#10;pdPTb5/+/6wdLutDlXVdkin1MRn2XyA8Df4tfrmPOsxfwPOXcI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rmN/BAAAA2wAAAA8AAAAAAAAAAAAAAAAAmAIAAGRycy9kb3du&#10;cmV2LnhtbFBLBQYAAAAABAAEAPUAAACGAwAAAAA=&#10;" filled="f" strokecolor="#622423 [1605]" strokeweight="2.25pt">
                      <v:shadow color="#d8d8d8" offset="3pt,3pt"/>
                      <v:textbox inset="18pt,108pt,36pt">
                        <w:txbxContent>
                          <w:p w:rsidR="00B667EE" w:rsidRPr="00B667EE" w:rsidRDefault="00B667EE" w:rsidP="000B2257">
                            <w:pPr>
                              <w:pStyle w:val="NoSpacing"/>
                              <w:suppressAutoHyphens/>
                              <w:spacing w:before="3480"/>
                              <w:rPr>
                                <w:rFonts w:asciiTheme="majorHAnsi" w:hAnsiTheme="majorHAnsi"/>
                                <w:b/>
                                <w:smallCaps/>
                                <w:color w:val="632423" w:themeColor="accent2" w:themeShade="80"/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color w:val="632423" w:themeColor="accent2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ДОКЛАД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color w:val="632423" w:themeColor="accent2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за резултатите от </w:t>
                            </w:r>
                            <w:r w:rsidRPr="00B667EE">
                              <w:rPr>
                                <w:rFonts w:asciiTheme="majorHAnsi" w:hAnsiTheme="majorHAnsi"/>
                                <w:b/>
                                <w:smallCaps/>
                                <w:color w:val="632423" w:themeColor="accent2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Междинна</w:t>
                            </w:r>
                            <w:r w:rsidR="007A7EA3">
                              <w:rPr>
                                <w:rFonts w:asciiTheme="majorHAnsi" w:hAnsiTheme="majorHAnsi"/>
                                <w:b/>
                                <w:smallCaps/>
                                <w:color w:val="632423" w:themeColor="accent2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та</w:t>
                            </w:r>
                            <w:r w:rsidRPr="00B667EE">
                              <w:rPr>
                                <w:rFonts w:asciiTheme="majorHAnsi" w:hAnsiTheme="majorHAnsi"/>
                                <w:b/>
                                <w:smallCaps/>
                                <w:color w:val="632423" w:themeColor="accent2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оценка за изпълнението на Регионалния план за развитие 2014-2020 г. на </w:t>
                            </w:r>
                            <w:r w:rsidRPr="00B667EE"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color w:val="632423" w:themeColor="accent2" w:themeShade="80"/>
                                <w:sz w:val="56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Север</w:t>
                            </w:r>
                            <w:r w:rsidRPr="00B667EE"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color w:val="632423" w:themeColor="accent2" w:themeShade="80"/>
                                <w:sz w:val="56"/>
                                <w:szCs w:val="60"/>
                                <w:lang w:val="bg-B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озападен </w:t>
                            </w:r>
                            <w:r w:rsidRPr="00B667EE"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color w:val="632423" w:themeColor="accent2" w:themeShade="80"/>
                                <w:sz w:val="56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район от ниво 2</w:t>
                            </w:r>
                          </w:p>
                        </w:txbxContent>
                      </v:textbox>
                    </v:rect>
                    <v:rect id="Rectangle 13" o:spid="_x0000_s1036" style="position:absolute;left:2690;top:430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v268AA&#10;AADbAAAADwAAAGRycy9kb3ducmV2LnhtbERPzYrCMBC+L/gOYYS9rakKi1SjiCB68LKtDzA0Y1tt&#10;JrWJbdyn3ywI3ubj+53VJphG9NS52rKC6SQBQVxYXXOp4JzvvxYgnEfW2FgmBU9ysFmPPlaYajvw&#10;D/WZL0UMYZeigsr7NpXSFRUZdBPbEkfuYjuDPsKulLrDIYabRs6S5FsarDk2VNjSrqLilj2MAjOY&#10;PLvMT03eXw/39rcI9zALSn2Ow3YJwlPwb/HLfdRx/hz+f4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v268AAAADbAAAADwAAAAAAAAAAAAAAAACYAgAAZHJzL2Rvd25y&#10;ZXYueG1sUEsFBgAAAAAEAAQA9QAAAIUDAAAAAA==&#10;" fillcolor="#622423 [1605]" strokecolor="white [3212]" strokeweight="1pt">
                      <v:shadow on="t" color="black" opacity="26214f" origin=",-.5" offset="0,3pt"/>
                      <v:textbo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alias w:val="Year"/>
                              <w:id w:val="101573144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667EE" w:rsidRPr="003D3B76" w:rsidRDefault="00B667EE" w:rsidP="000B2257">
                                <w:pPr>
                                  <w:ind w:firstLine="0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8"/>
                                    <w:szCs w:val="52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:lang w:val="en-US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v:group>
                </w:pict>
              </mc:Fallback>
            </mc:AlternateContent>
          </w:r>
        </w:p>
        <w:p w:rsidR="00F22826" w:rsidRPr="00B9759D" w:rsidRDefault="00F22826"/>
        <w:p w:rsidR="00F22826" w:rsidRPr="00B9759D" w:rsidRDefault="000B2257">
          <w:pPr>
            <w:spacing w:before="0" w:after="0" w:line="240" w:lineRule="auto"/>
            <w:ind w:firstLine="0"/>
            <w:jc w:val="left"/>
          </w:pPr>
          <w:r w:rsidRPr="00CD53E6">
            <w:rPr>
              <w:noProof/>
              <w:color w:val="FFFFFF" w:themeColor="background1"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62848" behindDoc="1" locked="0" layoutInCell="1" allowOverlap="1" wp14:anchorId="3FB988D1" wp14:editId="4BC29C4E">
                    <wp:simplePos x="0" y="0"/>
                    <wp:positionH relativeFrom="column">
                      <wp:posOffset>5794466</wp:posOffset>
                    </wp:positionH>
                    <wp:positionV relativeFrom="paragraph">
                      <wp:posOffset>7897495</wp:posOffset>
                    </wp:positionV>
                    <wp:extent cx="514350" cy="514350"/>
                    <wp:effectExtent l="0" t="0" r="19050" b="19050"/>
                    <wp:wrapNone/>
                    <wp:docPr id="357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514350" cy="514350"/>
                              <a:chOff x="8646" y="11756"/>
                              <a:chExt cx="2988" cy="3048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71" y="11756"/>
                                <a:ext cx="1463" cy="1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00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71" y="13311"/>
                                <a:ext cx="1463" cy="14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646" y="13311"/>
                                <a:ext cx="1463" cy="1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14C6A28" id="Group 15" o:spid="_x0000_s1026" style="position:absolute;margin-left:456.25pt;margin-top:621.85pt;width:40.5pt;height:40.5pt;flip:x y;z-index:-251653632" coordorigin="8646,11756" coordsize="29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">
                    <v:rect id="Rectangle 16" o:spid="_x0000_s1027" style="position:absolute;left:10171;top:11756;width:1463;height:149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" fillcolor="#bfbfbf [2412]" strokecolor="#009696" strokeweight="1pt">
                      <v:fill opacity="32896f"/>
                      <v:shadow color="#d8d8d8" offset="3pt,3pt"/>
                    </v:rect>
                    <v:rect id="Rectangle 17" o:spid="_x0000_s1028" style="position:absolute;left:10171;top:13311;width:1463;height:149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" fillcolor="#c0504d" strokecolor="#bfbfbf [2412]" strokeweight="1pt">
                      <v:shadow color="#d8d8d8" offset="3pt,3pt"/>
                    </v:rect>
                    <v:rect id="Rectangle 18" o:spid="_x0000_s1029" style="position:absolute;left:8646;top:13311;width:1463;height:149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" fillcolor="#bfbfbf [2412]" strokecolor="#c0504d" strokeweight="1pt">
                      <v:fill opacity="32896f"/>
                      <v:shadow color="#d8d8d8" offset="3pt,3pt"/>
                    </v:rect>
                  </v:group>
                </w:pict>
              </mc:Fallback>
            </mc:AlternateContent>
          </w:r>
          <w:r w:rsidRPr="00CD53E6">
            <w:rPr>
              <w:noProof/>
              <w:lang w:eastAsia="bg-BG"/>
            </w:rPr>
            <w:drawing>
              <wp:anchor distT="0" distB="0" distL="114300" distR="114300" simplePos="0" relativeHeight="251657728" behindDoc="0" locked="0" layoutInCell="1" allowOverlap="1" wp14:anchorId="0B4D2627" wp14:editId="29BD614A">
                <wp:simplePos x="0" y="0"/>
                <wp:positionH relativeFrom="column">
                  <wp:posOffset>-693098</wp:posOffset>
                </wp:positionH>
                <wp:positionV relativeFrom="paragraph">
                  <wp:posOffset>1964781</wp:posOffset>
                </wp:positionV>
                <wp:extent cx="1905000" cy="1327150"/>
                <wp:effectExtent l="0" t="0" r="0" b="6350"/>
                <wp:wrapNone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22826" w:rsidRPr="00B9759D">
            <w:br w:type="page"/>
          </w:r>
        </w:p>
      </w:sdtContent>
    </w:sdt>
    <w:bookmarkStart w:id="0" w:name="_GoBack" w:displacedByCustomXml="next"/>
    <w:bookmarkEnd w:id="0" w:displacedByCustomXml="next"/>
    <w:sdt>
      <w:sdtPr>
        <w:rPr>
          <w:rFonts w:eastAsia="Times New Roman"/>
          <w:b w:val="0"/>
          <w:bCs w:val="0"/>
          <w:smallCaps w:val="0"/>
          <w:color w:val="000000"/>
          <w:sz w:val="24"/>
          <w:szCs w:val="24"/>
          <w:lang w:eastAsia="en-US"/>
          <w14:shadow w14:blurRad="0" w14:dist="0" w14:dir="0" w14:sx="0" w14:sy="0" w14:kx="0" w14:ky="0" w14:algn="none">
            <w14:srgbClr w14:val="000000"/>
          </w14:shadow>
          <w14:textFill>
            <w14:solidFill>
              <w14:srgbClr w14:val="000000">
                <w14:lumMod w14:val="75000"/>
              </w14:srgbClr>
            </w14:solidFill>
          </w14:textFill>
        </w:rPr>
        <w:id w:val="608472449"/>
        <w:docPartObj>
          <w:docPartGallery w:val="Table of Contents"/>
          <w:docPartUnique/>
        </w:docPartObj>
      </w:sdtPr>
      <w:sdtEndPr/>
      <w:sdtContent>
        <w:p w:rsidR="00B17847" w:rsidRPr="00416C31" w:rsidRDefault="00B17847" w:rsidP="00416C31">
          <w:pPr>
            <w:pStyle w:val="TOCHeading"/>
          </w:pPr>
          <w:r w:rsidRPr="00416C31">
            <w:t>Съдържание</w:t>
          </w:r>
        </w:p>
        <w:p w:rsidR="00BA3ACC" w:rsidRDefault="007A2071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r>
            <w:rPr>
              <w:b w:val="0"/>
              <w:color w:val="006600"/>
              <w14:textFill>
                <w14:solidFill>
                  <w14:srgbClr w14:val="006600">
                    <w14:lumMod w14:val="75000"/>
                  </w14:srgbClr>
                </w14:solidFill>
              </w14:textFill>
            </w:rPr>
            <w:fldChar w:fldCharType="begin"/>
          </w:r>
          <w:r>
            <w:rPr>
              <w:b w:val="0"/>
              <w:color w:val="006600"/>
              <w14:textFill>
                <w14:solidFill>
                  <w14:srgbClr w14:val="006600">
                    <w14:lumMod w14:val="75000"/>
                  </w14:srgbClr>
                </w14:solidFill>
              </w14:textFill>
            </w:rPr>
            <w:instrText xml:space="preserve"> TOC \o "1-3" \h \z \t "Подзаглавие;1" </w:instrText>
          </w:r>
          <w:r>
            <w:rPr>
              <w:b w:val="0"/>
              <w:color w:val="006600"/>
              <w14:textFill>
                <w14:solidFill>
                  <w14:srgbClr w14:val="006600">
                    <w14:lumMod w14:val="75000"/>
                  </w14:srgbClr>
                </w14:solidFill>
              </w14:textFill>
            </w:rPr>
            <w:fldChar w:fldCharType="separate"/>
          </w:r>
          <w:hyperlink w:anchor="_Toc500325553" w:history="1">
            <w:r w:rsidR="00BA3ACC" w:rsidRPr="00352BCE">
              <w:rPr>
                <w:rStyle w:val="Hyperlink"/>
              </w:rPr>
              <w:t>Списък на графиките и таблиците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_Toc500325553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iv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5554" w:history="1">
            <w:r w:rsidR="00BA3ACC" w:rsidRPr="00352BCE">
              <w:rPr>
                <w:rStyle w:val="Hyperlink"/>
              </w:rPr>
              <w:t>Списък на използваните съкращения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_Toc500325554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vi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5555" w:history="1">
            <w:r w:rsidR="00BA3ACC" w:rsidRPr="00352BCE">
              <w:rPr>
                <w:rStyle w:val="Hyperlink"/>
              </w:rPr>
              <w:t>I.</w:t>
            </w:r>
            <w:r w:rsidR="00BA3ACC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ВЪВЕДЕНИЕ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_Toc500325555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1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5556" w:history="1">
            <w:r w:rsidR="00BA3ACC" w:rsidRPr="00352BCE">
              <w:rPr>
                <w:rStyle w:val="Hyperlink"/>
              </w:rPr>
              <w:t>1.</w:t>
            </w:r>
            <w:r w:rsidR="00BA3AC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Общи положения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_Toc500325556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1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5557" w:history="1">
            <w:r w:rsidR="00BA3ACC" w:rsidRPr="00352BCE">
              <w:rPr>
                <w:rStyle w:val="Hyperlink"/>
              </w:rPr>
              <w:t>2.</w:t>
            </w:r>
            <w:r w:rsidR="00BA3AC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Методика за оценка напредъка на изпълнението на РПР на СЗР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_Toc500325557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2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5558" w:history="1">
            <w:r w:rsidR="00BA3ACC" w:rsidRPr="00352BCE">
              <w:rPr>
                <w:rStyle w:val="Hyperlink"/>
              </w:rPr>
              <w:t>II.</w:t>
            </w:r>
            <w:r w:rsidR="00BA3ACC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ПЪРВОНАЧАЛНИ РЕЗУЛТАТИ ОТ ИЗПЪЛНЕНИЕТО НА РПР НА СЗР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_Toc500325558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4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5559" w:history="1">
            <w:r w:rsidR="00BA3ACC" w:rsidRPr="00352BCE">
              <w:rPr>
                <w:rStyle w:val="Hyperlink"/>
              </w:rPr>
              <w:t>1.</w:t>
            </w:r>
            <w:r w:rsidR="00BA3AC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Рамка за изпълнение на целите и приоритетите за регионално развитие в СЗР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_Toc500325559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4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5560" w:history="1">
            <w:r w:rsidR="00BA3ACC" w:rsidRPr="00352BCE">
              <w:rPr>
                <w:rStyle w:val="Hyperlink"/>
              </w:rPr>
              <w:t>2.</w:t>
            </w:r>
            <w:r w:rsidR="00BA3AC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Промени в социалното и икономическото развитие на СЗР и съответствие на РПР с тях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_Toc500325560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7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5561" w:history="1">
            <w:r w:rsidR="00BA3ACC" w:rsidRPr="00352BCE">
              <w:rPr>
                <w:rStyle w:val="Hyperlink"/>
              </w:rPr>
              <w:t>3.</w:t>
            </w:r>
            <w:r w:rsidR="00BA3AC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Степен на постигане на целите на РПР на СЗР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_Toc500325561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9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5562" w:history="1">
            <w:r w:rsidR="00BA3ACC" w:rsidRPr="00352BCE">
              <w:rPr>
                <w:rStyle w:val="Hyperlink"/>
              </w:rPr>
              <w:t>4.</w:t>
            </w:r>
            <w:r w:rsidR="00BA3AC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Принос към постигане целите на Стратегия "Европа 2020"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_Toc500325562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10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5563" w:history="1">
            <w:r w:rsidR="00BA3ACC" w:rsidRPr="00352BCE">
              <w:rPr>
                <w:rStyle w:val="Hyperlink"/>
              </w:rPr>
              <w:t>5.</w:t>
            </w:r>
            <w:r w:rsidR="00BA3AC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Ефективност и ефикасност на финансовите инструменти и използваните ресурси за изпълнение на РПР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_Toc500325563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13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5564" w:history="1">
            <w:r w:rsidR="00BA3ACC" w:rsidRPr="00352BCE">
              <w:rPr>
                <w:rStyle w:val="Hyperlink"/>
              </w:rPr>
              <w:t>III.</w:t>
            </w:r>
            <w:r w:rsidR="00BA3ACC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ИЗВОДИ И ПРЕПОРЪКИ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_Toc500325564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17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5565" w:history="1">
            <w:r w:rsidR="00BA3ACC" w:rsidRPr="00352BCE">
              <w:rPr>
                <w:rStyle w:val="Hyperlink"/>
              </w:rPr>
              <w:t>1.</w:t>
            </w:r>
            <w:r w:rsidR="00BA3AC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Обобщена оценка за изпълнението на РПР на СЗР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_Toc500325565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17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5566" w:history="1">
            <w:r w:rsidR="00BA3ACC" w:rsidRPr="00352BCE">
              <w:rPr>
                <w:rStyle w:val="Hyperlink"/>
              </w:rPr>
              <w:t>2.</w:t>
            </w:r>
            <w:r w:rsidR="00BA3AC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Актуализация на РПР на СЗР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_Toc500325566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20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5567" w:history="1">
            <w:r w:rsidR="00BA3ACC" w:rsidRPr="00352BCE">
              <w:rPr>
                <w:rStyle w:val="Hyperlink"/>
              </w:rPr>
              <w:t>3.</w:t>
            </w:r>
            <w:r w:rsidR="00BA3ACC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BA3ACC" w:rsidRPr="00352BCE">
              <w:rPr>
                <w:rStyle w:val="Hyperlink"/>
              </w:rPr>
              <w:t>Препоръки за подготовка за следващия програмен период след 2020 г.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_Toc500325567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21</w:t>
            </w:r>
            <w:r w:rsidR="00BA3ACC">
              <w:rPr>
                <w:webHidden/>
              </w:rPr>
              <w:fldChar w:fldCharType="end"/>
            </w:r>
          </w:hyperlink>
        </w:p>
        <w:p w:rsidR="00BA3ACC" w:rsidRDefault="00862A4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5568" w:history="1">
            <w:r w:rsidR="00BA3ACC" w:rsidRPr="00352BCE">
              <w:rPr>
                <w:rStyle w:val="Hyperlink"/>
              </w:rPr>
              <w:t>Източници и референтни документи</w:t>
            </w:r>
            <w:r w:rsidR="00BA3ACC">
              <w:rPr>
                <w:webHidden/>
              </w:rPr>
              <w:tab/>
            </w:r>
            <w:r w:rsidR="00BA3ACC">
              <w:rPr>
                <w:webHidden/>
              </w:rPr>
              <w:fldChar w:fldCharType="begin"/>
            </w:r>
            <w:r w:rsidR="00BA3ACC">
              <w:rPr>
                <w:webHidden/>
              </w:rPr>
              <w:instrText xml:space="preserve"> PAGEREF _Toc500325568 \h </w:instrText>
            </w:r>
            <w:r w:rsidR="00BA3ACC">
              <w:rPr>
                <w:webHidden/>
              </w:rPr>
            </w:r>
            <w:r w:rsidR="00BA3ACC">
              <w:rPr>
                <w:webHidden/>
              </w:rPr>
              <w:fldChar w:fldCharType="separate"/>
            </w:r>
            <w:r w:rsidR="00BA3ACC">
              <w:rPr>
                <w:webHidden/>
              </w:rPr>
              <w:t>23</w:t>
            </w:r>
            <w:r w:rsidR="00BA3ACC">
              <w:rPr>
                <w:webHidden/>
              </w:rPr>
              <w:fldChar w:fldCharType="end"/>
            </w:r>
          </w:hyperlink>
        </w:p>
        <w:p w:rsidR="00B17847" w:rsidRPr="00B9759D" w:rsidRDefault="007A2071">
          <w:r>
            <w:rPr>
              <w:b/>
              <w:color w:val="006600"/>
              <w:sz w:val="22"/>
              <w14:textFill>
                <w14:solidFill>
                  <w14:srgbClr w14:val="006600">
                    <w14:lumMod w14:val="75000"/>
                  </w14:srgbClr>
                </w14:solidFill>
              </w14:textFill>
            </w:rPr>
            <w:fldChar w:fldCharType="end"/>
          </w:r>
        </w:p>
      </w:sdtContent>
    </w:sdt>
    <w:p w:rsidR="00511623" w:rsidRPr="00416C31" w:rsidRDefault="00511623" w:rsidP="00416C31">
      <w:pPr>
        <w:pStyle w:val="Subtitle"/>
      </w:pPr>
      <w:bookmarkStart w:id="1" w:name="_Toc500325553"/>
      <w:r w:rsidRPr="00416C31">
        <w:lastRenderedPageBreak/>
        <w:t>Списък на графиките и таблиците</w:t>
      </w:r>
      <w:bookmarkEnd w:id="1"/>
    </w:p>
    <w:p w:rsidR="00216FBA" w:rsidRDefault="00B6710A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B9759D">
        <w:rPr>
          <w:noProof w:val="0"/>
        </w:rPr>
        <w:fldChar w:fldCharType="begin"/>
      </w:r>
      <w:r w:rsidR="00B17847" w:rsidRPr="00B9759D">
        <w:rPr>
          <w:noProof w:val="0"/>
        </w:rPr>
        <w:instrText xml:space="preserve"> TOC \h \z \c "графика" </w:instrText>
      </w:r>
      <w:r w:rsidRPr="00B9759D">
        <w:rPr>
          <w:noProof w:val="0"/>
        </w:rPr>
        <w:fldChar w:fldCharType="separate"/>
      </w:r>
      <w:hyperlink w:anchor="_Toc500329880" w:history="1">
        <w:r w:rsidR="00216FBA" w:rsidRPr="00DF5D21">
          <w:rPr>
            <w:rStyle w:val="Hyperlink"/>
          </w:rPr>
          <w:t>графика 1.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Взаимовръзки между целите и приоритетите на РПР на СЗР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_Toc500329880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9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81" w:history="1">
        <w:r w:rsidR="00216FBA" w:rsidRPr="00DF5D21">
          <w:rPr>
            <w:rStyle w:val="Hyperlink"/>
          </w:rPr>
          <w:t>графика 2.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Динамика на растежа на БВП за периода 2005-2016 г. и прогнозни данни за 2017-2020 г.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_Toc500329881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12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82" w:history="1">
        <w:r w:rsidR="00216FBA" w:rsidRPr="00DF5D21">
          <w:rPr>
            <w:rStyle w:val="Hyperlink"/>
          </w:rPr>
          <w:t>графика 3.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Ръст на БВП за периода 2000-2015 г. на национално ниво, (млн. лв.) и принос на районите от ниво 2, %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_Toc500329882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12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83" w:history="1">
        <w:r w:rsidR="00216FBA" w:rsidRPr="00DF5D21">
          <w:rPr>
            <w:rStyle w:val="Hyperlink"/>
          </w:rPr>
          <w:t>графика 4.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Коефициент на заетост на населението на възраст 20-64 г., %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_Toc500329883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15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84" w:history="1">
        <w:r w:rsidR="00216FBA" w:rsidRPr="00DF5D21">
          <w:rPr>
            <w:rStyle w:val="Hyperlink"/>
          </w:rPr>
          <w:t>графика 5.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Коефициент на заетост на населението на възраст 55-64 г., %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_Toc500329884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15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85" w:history="1">
        <w:r w:rsidR="00216FBA" w:rsidRPr="00DF5D21">
          <w:rPr>
            <w:rStyle w:val="Hyperlink"/>
          </w:rPr>
          <w:t>графика 6.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Инвестиции в научноизследователска и развойна дейност, % от БВП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_Toc500329885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15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86" w:history="1">
        <w:r w:rsidR="00216FBA" w:rsidRPr="00DF5D21">
          <w:rPr>
            <w:rStyle w:val="Hyperlink"/>
          </w:rPr>
          <w:t>графика 7.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Дял на преждевременно напусналите образователната система (на възраст 18-24 г.), %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_Toc500329886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15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87" w:history="1">
        <w:r w:rsidR="00216FBA" w:rsidRPr="00DF5D21">
          <w:rPr>
            <w:rStyle w:val="Hyperlink"/>
          </w:rPr>
          <w:t>графика 8.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Дял на 30-34 годишните със завършено висше образование, %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_Toc500329887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16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88" w:history="1">
        <w:r w:rsidR="00216FBA" w:rsidRPr="00DF5D21">
          <w:rPr>
            <w:rStyle w:val="Hyperlink"/>
          </w:rPr>
          <w:t>графика 9.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Население в риск от бедност или социално изключване, хил. души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_Toc500329888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16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89" w:history="1">
        <w:r w:rsidR="00216FBA" w:rsidRPr="00DF5D21">
          <w:rPr>
            <w:rStyle w:val="Hyperlink"/>
          </w:rPr>
          <w:t>графика 10.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Договорени и изплатените средства (ОП и ПРСР) общо и по области и сравнение с предвижданията на РПР на СЗР, октомври 2017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_Toc500329889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18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90" w:history="1">
        <w:r w:rsidR="00216FBA" w:rsidRPr="00DF5D21">
          <w:rPr>
            <w:rStyle w:val="Hyperlink"/>
          </w:rPr>
          <w:t>графика 11.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DF5D21">
          <w:rPr>
            <w:rStyle w:val="Hyperlink"/>
          </w:rPr>
          <w:t>Концентрация на ресурси в СЗР – по програми, млн. лв., октомври 2017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_Toc500329890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19</w:t>
        </w:r>
        <w:r w:rsidR="00216FBA">
          <w:rPr>
            <w:webHidden/>
          </w:rPr>
          <w:fldChar w:fldCharType="end"/>
        </w:r>
      </w:hyperlink>
    </w:p>
    <w:p w:rsidR="00511623" w:rsidRPr="00B9759D" w:rsidRDefault="00B6710A" w:rsidP="00CE7850">
      <w:r w:rsidRPr="00B9759D">
        <w:fldChar w:fldCharType="end"/>
      </w:r>
    </w:p>
    <w:p w:rsidR="00216FBA" w:rsidRDefault="00B6710A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B9759D">
        <w:rPr>
          <w:noProof w:val="0"/>
        </w:rPr>
        <w:fldChar w:fldCharType="begin"/>
      </w:r>
      <w:r w:rsidR="00B17847" w:rsidRPr="00B9759D">
        <w:rPr>
          <w:noProof w:val="0"/>
        </w:rPr>
        <w:instrText xml:space="preserve"> TOC \h \z \c "таблица" </w:instrText>
      </w:r>
      <w:r w:rsidRPr="00B9759D">
        <w:rPr>
          <w:noProof w:val="0"/>
        </w:rPr>
        <w:fldChar w:fldCharType="separate"/>
      </w:r>
      <w:hyperlink w:anchor="_Toc500329891" w:history="1">
        <w:r w:rsidR="00216FBA" w:rsidRPr="00364A90">
          <w:rPr>
            <w:rStyle w:val="Hyperlink"/>
          </w:rPr>
          <w:t>таблица 1.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364A90">
          <w:rPr>
            <w:rStyle w:val="Hyperlink"/>
          </w:rPr>
  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_Toc500329891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8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92" w:history="1">
        <w:r w:rsidR="00216FBA" w:rsidRPr="00364A90">
          <w:rPr>
            <w:rStyle w:val="Hyperlink"/>
          </w:rPr>
          <w:t>таблица 2.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364A90">
          <w:rPr>
            <w:rStyle w:val="Hyperlink"/>
          </w:rPr>
          <w:t>Степен на постигане на целите (СПЦ), въз основа на степента на изпълнение на приоритетите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_Toc500329892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8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93" w:history="1">
        <w:r w:rsidR="00216FBA" w:rsidRPr="00364A90">
          <w:rPr>
            <w:rStyle w:val="Hyperlink"/>
          </w:rPr>
          <w:t>таблица 3.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364A90">
          <w:rPr>
            <w:rStyle w:val="Hyperlink"/>
          </w:rPr>
          <w:t>Степен на постигане на целите на ключовите индикатори, съответно принос към националните цели на Стратегията на ЕС "ЕВРОПА 2020"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_Toc500329893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8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94" w:history="1">
        <w:r w:rsidR="00216FBA" w:rsidRPr="00364A90">
          <w:rPr>
            <w:rStyle w:val="Hyperlink"/>
          </w:rPr>
          <w:t>таблица 4.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364A90">
          <w:rPr>
            <w:rStyle w:val="Hyperlink"/>
          </w:rPr>
          <w:t>Степен на постигане на целите на ключовите индикатори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_Toc500329894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13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95" w:history="1">
        <w:r w:rsidR="00216FBA" w:rsidRPr="00364A90">
          <w:rPr>
            <w:rStyle w:val="Hyperlink"/>
          </w:rPr>
          <w:t>таблица 5.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364A90">
          <w:rPr>
            <w:rStyle w:val="Hyperlink"/>
          </w:rPr>
          <w:t>Степен на изпълнение на Стратегическите цели и техните приоритети, въз основа на постигнатото изменение на специфичните индикатори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_Toc500329895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14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96" w:history="1">
        <w:r w:rsidR="00216FBA" w:rsidRPr="00364A90">
          <w:rPr>
            <w:rStyle w:val="Hyperlink"/>
          </w:rPr>
          <w:t>таблица 6.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364A90">
          <w:rPr>
            <w:rStyle w:val="Hyperlink"/>
          </w:rPr>
          <w:t>Принос на РПР към постигането на националните цели на Стратегията на ЕС "ЕВРОПА 2020"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_Toc500329896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16</w:t>
        </w:r>
        <w:r w:rsidR="00216FBA">
          <w:rPr>
            <w:webHidden/>
          </w:rPr>
          <w:fldChar w:fldCharType="end"/>
        </w:r>
      </w:hyperlink>
    </w:p>
    <w:p w:rsidR="00216FBA" w:rsidRDefault="00862A4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897" w:history="1">
        <w:r w:rsidR="00216FBA" w:rsidRPr="00364A90">
          <w:rPr>
            <w:rStyle w:val="Hyperlink"/>
          </w:rPr>
          <w:t>таблица 7.</w:t>
        </w:r>
        <w:r w:rsidR="00216FBA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16FBA" w:rsidRPr="00364A90">
          <w:rPr>
            <w:rStyle w:val="Hyperlink"/>
          </w:rPr>
          <w:t>Степен на постигане на целите на РПР на СЗР към 2015 г.</w:t>
        </w:r>
        <w:r w:rsidR="00216FBA">
          <w:rPr>
            <w:webHidden/>
          </w:rPr>
          <w:tab/>
        </w:r>
        <w:r w:rsidR="00216FBA">
          <w:rPr>
            <w:webHidden/>
          </w:rPr>
          <w:fldChar w:fldCharType="begin"/>
        </w:r>
        <w:r w:rsidR="00216FBA">
          <w:rPr>
            <w:webHidden/>
          </w:rPr>
          <w:instrText xml:space="preserve"> PAGEREF _Toc500329897 \h </w:instrText>
        </w:r>
        <w:r w:rsidR="00216FBA">
          <w:rPr>
            <w:webHidden/>
          </w:rPr>
        </w:r>
        <w:r w:rsidR="00216FBA">
          <w:rPr>
            <w:webHidden/>
          </w:rPr>
          <w:fldChar w:fldCharType="separate"/>
        </w:r>
        <w:r w:rsidR="00216FBA">
          <w:rPr>
            <w:webHidden/>
          </w:rPr>
          <w:t>22</w:t>
        </w:r>
        <w:r w:rsidR="00216FBA">
          <w:rPr>
            <w:webHidden/>
          </w:rPr>
          <w:fldChar w:fldCharType="end"/>
        </w:r>
      </w:hyperlink>
    </w:p>
    <w:p w:rsidR="00511623" w:rsidRPr="00B9759D" w:rsidRDefault="00B6710A" w:rsidP="00AE054D">
      <w:pPr>
        <w:pStyle w:val="TableofFigures"/>
        <w:rPr>
          <w:noProof w:val="0"/>
        </w:rPr>
      </w:pPr>
      <w:r w:rsidRPr="00B9759D">
        <w:rPr>
          <w:noProof w:val="0"/>
        </w:rPr>
        <w:fldChar w:fldCharType="end"/>
      </w:r>
    </w:p>
    <w:p w:rsidR="00511623" w:rsidRPr="000B2257" w:rsidRDefault="00511623" w:rsidP="00416C31">
      <w:pPr>
        <w:pStyle w:val="Subtitle"/>
      </w:pPr>
      <w:bookmarkStart w:id="2" w:name="_Toc500325554"/>
      <w:r w:rsidRPr="000B2257">
        <w:lastRenderedPageBreak/>
        <w:t>Списък на използваните съкращения</w:t>
      </w:r>
      <w:bookmarkEnd w:id="2"/>
    </w:p>
    <w:tbl>
      <w:tblPr>
        <w:tblW w:w="0" w:type="auto"/>
        <w:tblLook w:val="0000" w:firstRow="0" w:lastRow="0" w:firstColumn="0" w:lastColumn="0" w:noHBand="0" w:noVBand="0"/>
      </w:tblPr>
      <w:tblGrid>
        <w:gridCol w:w="1376"/>
        <w:gridCol w:w="7695"/>
      </w:tblGrid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БВП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Брутен вътрешен продукт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БДС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Брутна добавена стойност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ЕК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Европейска комисия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ЕЗФРСР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Европейски земеделски фонд за развитие на селските райони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ЕСФ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Европейски социален фонд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ЕС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Европейски съюз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CC21F1">
            <w:pPr>
              <w:suppressAutoHyphens/>
              <w:spacing w:before="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ИСУН 2020</w:t>
            </w:r>
          </w:p>
        </w:tc>
        <w:tc>
          <w:tcPr>
            <w:tcW w:w="7695" w:type="dxa"/>
          </w:tcPr>
          <w:p w:rsidR="00BD205F" w:rsidRPr="00933864" w:rsidRDefault="00BD205F" w:rsidP="00CC21F1">
            <w:pPr>
              <w:suppressAutoHyphens/>
              <w:spacing w:before="0" w:after="60" w:line="240" w:lineRule="auto"/>
              <w:ind w:firstLine="0"/>
              <w:jc w:val="left"/>
              <w:rPr>
                <w:sz w:val="22"/>
              </w:rPr>
            </w:pPr>
            <w:r w:rsidRPr="00AE35A2">
              <w:rPr>
                <w:sz w:val="22"/>
              </w:rPr>
              <w:t>Информационна</w:t>
            </w:r>
            <w:r>
              <w:rPr>
                <w:sz w:val="22"/>
              </w:rPr>
              <w:t xml:space="preserve"> </w:t>
            </w:r>
            <w:r w:rsidRPr="00AE35A2">
              <w:rPr>
                <w:sz w:val="22"/>
              </w:rPr>
              <w:t>система</w:t>
            </w:r>
            <w:r>
              <w:rPr>
                <w:sz w:val="22"/>
              </w:rPr>
              <w:t xml:space="preserve"> </w:t>
            </w:r>
            <w:r w:rsidRPr="00AE35A2">
              <w:rPr>
                <w:sz w:val="22"/>
              </w:rPr>
              <w:t>за управление и наблюдение на средствата от ЕС в България 2020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ЕФР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 xml:space="preserve">Европейски фонд за рибарство 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ЕФРР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 xml:space="preserve">Европейския фонд за регионално развитие 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sz w:val="22"/>
              </w:rPr>
              <w:t>ЕИСУРР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 xml:space="preserve">Единна информационна система за управление на регионалното развитие 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CC21F1">
            <w:pPr>
              <w:suppressAutoHyphens/>
              <w:spacing w:before="0" w:after="60"/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ЗРР</w:t>
            </w:r>
          </w:p>
        </w:tc>
        <w:tc>
          <w:tcPr>
            <w:tcW w:w="7695" w:type="dxa"/>
          </w:tcPr>
          <w:p w:rsidR="00BD205F" w:rsidRPr="00933864" w:rsidRDefault="00BD205F" w:rsidP="00CC21F1">
            <w:pPr>
              <w:suppressAutoHyphens/>
              <w:spacing w:before="0" w:after="60" w:line="240" w:lineRule="auto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Закон за регионалното развитие, приет 2008 г.</w:t>
            </w:r>
            <w:r>
              <w:rPr>
                <w:sz w:val="22"/>
              </w:rPr>
              <w:t xml:space="preserve">, последни изменения и допълнения, </w:t>
            </w:r>
            <w:r w:rsidRPr="00F05452">
              <w:rPr>
                <w:sz w:val="22"/>
              </w:rPr>
              <w:t>ДВ. бр.13 от 2017</w:t>
            </w:r>
            <w:r>
              <w:rPr>
                <w:sz w:val="22"/>
              </w:rPr>
              <w:t xml:space="preserve"> </w:t>
            </w:r>
            <w:r w:rsidRPr="00F05452">
              <w:rPr>
                <w:sz w:val="22"/>
              </w:rPr>
              <w:t>г.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КФ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  <w:lang w:eastAsia="ja-JP"/>
              </w:rPr>
            </w:pPr>
            <w:r w:rsidRPr="00933864">
              <w:rPr>
                <w:sz w:val="22"/>
                <w:lang w:eastAsia="ja-JP"/>
              </w:rPr>
              <w:t>Кохезионен фонд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НСРР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Национална стратегия за регионално развитие</w:t>
            </w:r>
            <w:r>
              <w:rPr>
                <w:sz w:val="22"/>
              </w:rPr>
              <w:t xml:space="preserve"> </w:t>
            </w:r>
            <w:r w:rsidRPr="0017074D">
              <w:rPr>
                <w:sz w:val="22"/>
              </w:rPr>
              <w:t>2012-2022 г.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ОСР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Областна стратегия за развитие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ОПР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Общински план за развитие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ОПАК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ОП </w:t>
            </w:r>
            <w:r w:rsidR="00416C31">
              <w:rPr>
                <w:sz w:val="22"/>
                <w:lang w:val="en-US"/>
              </w:rPr>
              <w:t>"</w:t>
            </w:r>
            <w:r>
              <w:rPr>
                <w:sz w:val="22"/>
              </w:rPr>
              <w:t>Добро управление</w:t>
            </w:r>
            <w:r w:rsidR="00416C31">
              <w:rPr>
                <w:sz w:val="22"/>
              </w:rPr>
              <w:t>"</w:t>
            </w:r>
            <w:r w:rsidRPr="00933864">
              <w:rPr>
                <w:sz w:val="22"/>
              </w:rPr>
              <w:t xml:space="preserve"> 20</w:t>
            </w:r>
            <w:r>
              <w:rPr>
                <w:sz w:val="22"/>
              </w:rPr>
              <w:t>14-2020 г.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ОПРКБИ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ОП </w:t>
            </w:r>
            <w:r w:rsidR="00416C31">
              <w:rPr>
                <w:sz w:val="22"/>
              </w:rPr>
              <w:t>"</w:t>
            </w:r>
            <w:r w:rsidRPr="00145388">
              <w:rPr>
                <w:sz w:val="22"/>
              </w:rPr>
              <w:t>Иновации и конкурентоспособност</w:t>
            </w:r>
            <w:r w:rsidR="00416C31">
              <w:rPr>
                <w:sz w:val="22"/>
              </w:rPr>
              <w:t>"</w:t>
            </w:r>
            <w:r w:rsidRPr="00933864">
              <w:rPr>
                <w:sz w:val="22"/>
              </w:rPr>
              <w:t xml:space="preserve"> 20</w:t>
            </w:r>
            <w:r>
              <w:rPr>
                <w:sz w:val="22"/>
              </w:rPr>
              <w:t>14-2020 г.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ОПОС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ОП </w:t>
            </w:r>
            <w:r w:rsidR="00416C31">
              <w:rPr>
                <w:sz w:val="22"/>
              </w:rPr>
              <w:t>"</w:t>
            </w:r>
            <w:r w:rsidRPr="00933864">
              <w:rPr>
                <w:sz w:val="22"/>
              </w:rPr>
              <w:t>Околна среда</w:t>
            </w:r>
            <w:r w:rsidR="00416C31">
              <w:rPr>
                <w:sz w:val="22"/>
              </w:rPr>
              <w:t>"</w:t>
            </w:r>
            <w:r w:rsidRPr="00933864">
              <w:rPr>
                <w:sz w:val="22"/>
              </w:rPr>
              <w:t xml:space="preserve"> 20</w:t>
            </w:r>
            <w:r>
              <w:rPr>
                <w:sz w:val="22"/>
              </w:rPr>
              <w:t>14-2020 г.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ОПРЧР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ОП </w:t>
            </w:r>
            <w:r w:rsidR="00416C31">
              <w:rPr>
                <w:sz w:val="22"/>
              </w:rPr>
              <w:t>"</w:t>
            </w:r>
            <w:r w:rsidRPr="00933864">
              <w:rPr>
                <w:sz w:val="22"/>
              </w:rPr>
              <w:t>Развитие на човешките ресурси</w:t>
            </w:r>
            <w:r w:rsidR="00416C31">
              <w:rPr>
                <w:sz w:val="22"/>
              </w:rPr>
              <w:t>"</w:t>
            </w:r>
            <w:r w:rsidRPr="00933864">
              <w:rPr>
                <w:sz w:val="22"/>
              </w:rPr>
              <w:t xml:space="preserve"> 20</w:t>
            </w:r>
            <w:r>
              <w:rPr>
                <w:sz w:val="22"/>
              </w:rPr>
              <w:t>14-2020 г.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ОПРР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ОП </w:t>
            </w:r>
            <w:r w:rsidR="00416C31">
              <w:rPr>
                <w:sz w:val="22"/>
              </w:rPr>
              <w:t>"</w:t>
            </w:r>
            <w:r w:rsidRPr="00145388">
              <w:rPr>
                <w:sz w:val="22"/>
              </w:rPr>
              <w:t>Региони в растеж</w:t>
            </w:r>
            <w:r w:rsidR="00416C31">
              <w:rPr>
                <w:sz w:val="22"/>
              </w:rPr>
              <w:t>"</w:t>
            </w:r>
            <w:r w:rsidRPr="00933864">
              <w:rPr>
                <w:sz w:val="22"/>
              </w:rPr>
              <w:t xml:space="preserve"> 20</w:t>
            </w:r>
            <w:r>
              <w:rPr>
                <w:sz w:val="22"/>
              </w:rPr>
              <w:t>14-2020 г.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ОПТ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ОП </w:t>
            </w:r>
            <w:r w:rsidR="00416C31">
              <w:rPr>
                <w:sz w:val="22"/>
              </w:rPr>
              <w:t>"</w:t>
            </w:r>
            <w:r w:rsidRPr="00145388">
              <w:rPr>
                <w:sz w:val="22"/>
              </w:rPr>
              <w:t>Транспорт и транспортна инфраструктура</w:t>
            </w:r>
            <w:r w:rsidR="00416C31">
              <w:rPr>
                <w:sz w:val="22"/>
              </w:rPr>
              <w:t>"</w:t>
            </w:r>
            <w:r w:rsidRPr="00933864">
              <w:rPr>
                <w:sz w:val="22"/>
              </w:rPr>
              <w:t xml:space="preserve"> 20</w:t>
            </w:r>
            <w:r>
              <w:rPr>
                <w:sz w:val="22"/>
              </w:rPr>
              <w:t>14-2020 г.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ПРСР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Програма за развитие на селските райони 20</w:t>
            </w:r>
            <w:r>
              <w:rPr>
                <w:sz w:val="22"/>
              </w:rPr>
              <w:t>14-2020 г.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П</w:t>
            </w:r>
            <w:r>
              <w:rPr>
                <w:b/>
                <w:bCs/>
                <w:sz w:val="22"/>
              </w:rPr>
              <w:t>МД</w:t>
            </w:r>
            <w:r w:rsidRPr="00933864">
              <w:rPr>
                <w:b/>
                <w:bCs/>
                <w:sz w:val="22"/>
              </w:rPr>
              <w:t>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145388">
              <w:rPr>
                <w:sz w:val="22"/>
              </w:rPr>
              <w:t>Програма за морс</w:t>
            </w:r>
            <w:r>
              <w:rPr>
                <w:sz w:val="22"/>
              </w:rPr>
              <w:t>ко дело и рибарство 2014-2020 г.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3339D0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3339D0">
              <w:rPr>
                <w:b/>
                <w:bCs/>
                <w:sz w:val="22"/>
              </w:rPr>
              <w:t>РЦП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  <w:lang w:eastAsia="ja-JP"/>
              </w:rPr>
            </w:pPr>
            <w:r w:rsidRPr="003339D0">
              <w:rPr>
                <w:sz w:val="22"/>
                <w:lang w:eastAsia="ja-JP"/>
              </w:rPr>
              <w:t>Райони за целенасочена подкрепа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РПР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>Регионален план за развитие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СЦР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  <w:lang w:eastAsia="ja-JP"/>
              </w:rPr>
              <w:t>Северен централен район от ниво 2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СЗР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  <w:lang w:eastAsia="ja-JP"/>
              </w:rPr>
              <w:t>Северозападен район от ниво 2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СИР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  <w:lang w:eastAsia="ja-JP"/>
              </w:rPr>
              <w:t>Североизточен район от ниво 2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СР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</w:rPr>
              <w:t xml:space="preserve">Съвет за развитие при Министерския съвет 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ЮЗР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  <w:lang w:eastAsia="ja-JP"/>
              </w:rPr>
              <w:t>Югозападен район от ниво 2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ЮИР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  <w:lang w:eastAsia="ja-JP"/>
              </w:rPr>
              <w:t>Югоизточен район от ниво 2</w:t>
            </w:r>
          </w:p>
        </w:tc>
      </w:tr>
      <w:tr w:rsidR="00BD205F" w:rsidRPr="00B9759D" w:rsidTr="00CC21F1">
        <w:tc>
          <w:tcPr>
            <w:tcW w:w="1376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b/>
                <w:bCs/>
                <w:sz w:val="22"/>
              </w:rPr>
            </w:pPr>
            <w:r w:rsidRPr="00933864">
              <w:rPr>
                <w:b/>
                <w:bCs/>
                <w:sz w:val="22"/>
              </w:rPr>
              <w:t>ЮЦР</w:t>
            </w:r>
          </w:p>
        </w:tc>
        <w:tc>
          <w:tcPr>
            <w:tcW w:w="7695" w:type="dxa"/>
          </w:tcPr>
          <w:p w:rsidR="00BD205F" w:rsidRPr="00933864" w:rsidRDefault="00BD205F" w:rsidP="00BD205F">
            <w:pPr>
              <w:suppressAutoHyphens/>
              <w:spacing w:before="0" w:after="0"/>
              <w:ind w:firstLine="0"/>
              <w:jc w:val="left"/>
              <w:rPr>
                <w:sz w:val="22"/>
              </w:rPr>
            </w:pPr>
            <w:r w:rsidRPr="00933864">
              <w:rPr>
                <w:sz w:val="22"/>
                <w:lang w:eastAsia="ja-JP"/>
              </w:rPr>
              <w:t>Южен централен район от ниво 2</w:t>
            </w:r>
          </w:p>
        </w:tc>
      </w:tr>
    </w:tbl>
    <w:p w:rsidR="00511623" w:rsidRPr="00B9759D" w:rsidRDefault="00511623">
      <w:pPr>
        <w:sectPr w:rsidR="00511623" w:rsidRPr="00B9759D" w:rsidSect="00BE7F71"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701" w:right="1418" w:bottom="1418" w:left="1418" w:header="709" w:footer="709" w:gutter="0"/>
          <w:pgNumType w:fmt="lowerRoman" w:start="0"/>
          <w:cols w:space="708"/>
          <w:titlePg/>
          <w:docGrid w:linePitch="360"/>
        </w:sectPr>
      </w:pPr>
    </w:p>
    <w:p w:rsidR="00511623" w:rsidRPr="00427DD4" w:rsidRDefault="00511623" w:rsidP="00427DD4">
      <w:pPr>
        <w:pStyle w:val="Heading1"/>
      </w:pPr>
      <w:bookmarkStart w:id="3" w:name="_Toc500325555"/>
      <w:r w:rsidRPr="00427DD4">
        <w:lastRenderedPageBreak/>
        <w:t>ВЪВЕДЕНИЕ</w:t>
      </w:r>
      <w:bookmarkEnd w:id="3"/>
    </w:p>
    <w:p w:rsidR="00511623" w:rsidRPr="00B9759D" w:rsidRDefault="00511623" w:rsidP="005666E2">
      <w:pPr>
        <w:pStyle w:val="Heading3"/>
      </w:pPr>
      <w:bookmarkStart w:id="4" w:name="_Toc500325556"/>
      <w:r w:rsidRPr="00B9759D">
        <w:t>Общи положения</w:t>
      </w:r>
      <w:bookmarkEnd w:id="4"/>
      <w:r w:rsidRPr="00B9759D">
        <w:t xml:space="preserve"> </w:t>
      </w:r>
    </w:p>
    <w:p w:rsidR="00765E7F" w:rsidRPr="00377105" w:rsidRDefault="00765E7F" w:rsidP="00B667EE">
      <w:pPr>
        <w:spacing w:before="240"/>
        <w:rPr>
          <w:b/>
        </w:rPr>
      </w:pPr>
      <w:r w:rsidRPr="00427DD4">
        <w:rPr>
          <w:b/>
          <w:color w:val="943634" w:themeColor="accent2" w:themeShade="BF"/>
        </w:rPr>
        <w:t>Регионалният план за развитие на Северозападен район от ниво 2 за периода 2014-2020 г.</w:t>
      </w:r>
      <w:r w:rsidR="004D37B7" w:rsidRPr="00427DD4">
        <w:rPr>
          <w:color w:val="943634" w:themeColor="accent2" w:themeShade="BF"/>
        </w:rPr>
        <w:t xml:space="preserve"> </w:t>
      </w:r>
      <w:r w:rsidR="004D37B7">
        <w:t>[РПР на СЗ</w:t>
      </w:r>
      <w:r w:rsidRPr="00377105">
        <w:t xml:space="preserve">Р] е </w:t>
      </w:r>
      <w:r>
        <w:t>приет с Решение № 459</w:t>
      </w:r>
      <w:r w:rsidRPr="00377105">
        <w:t xml:space="preserve"> на Министерския съвет от 01.08.2013 г.</w:t>
      </w:r>
      <w:r>
        <w:t xml:space="preserve"> Териториалният обхват на </w:t>
      </w:r>
      <w:r w:rsidRPr="00427DD4">
        <w:rPr>
          <w:color w:val="943634" w:themeColor="accent2" w:themeShade="BF"/>
        </w:rPr>
        <w:t xml:space="preserve">Северозападния район от ниво 2 </w:t>
      </w:r>
      <w:r>
        <w:t>[СЗ</w:t>
      </w:r>
      <w:r w:rsidRPr="00F24AE2">
        <w:t>Р]</w:t>
      </w:r>
      <w:r>
        <w:t xml:space="preserve"> включва областите Видин, Враца, Ловеч, Монтана и Плевен.</w:t>
      </w:r>
    </w:p>
    <w:p w:rsidR="00765E7F" w:rsidRPr="00377105" w:rsidRDefault="00765E7F" w:rsidP="00765E7F">
      <w:r w:rsidRPr="00377105">
        <w:rPr>
          <w:b/>
        </w:rPr>
        <w:t xml:space="preserve">Междинната оценка </w:t>
      </w:r>
      <w:r w:rsidRPr="00377105">
        <w:t xml:space="preserve">за изпълнението на РПР на </w:t>
      </w:r>
      <w:r>
        <w:t>СЗ</w:t>
      </w:r>
      <w:r w:rsidRPr="00F24AE2">
        <w:t>Р</w:t>
      </w:r>
      <w:r w:rsidRPr="00377105">
        <w:t xml:space="preserve"> е изготвена във връзка с разпоредбата на чл. 33, ал. 1 от </w:t>
      </w:r>
      <w:r w:rsidRPr="00427DD4">
        <w:rPr>
          <w:i/>
          <w:color w:val="943634" w:themeColor="accent2" w:themeShade="BF"/>
        </w:rPr>
        <w:t>Закона за регионалното развитие</w:t>
      </w:r>
      <w:r w:rsidRPr="00427DD4">
        <w:rPr>
          <w:rStyle w:val="FootnoteReference"/>
          <w:i/>
          <w:color w:val="943634" w:themeColor="accent2" w:themeShade="BF"/>
        </w:rPr>
        <w:footnoteReference w:id="1"/>
      </w:r>
      <w:r w:rsidRPr="00427DD4">
        <w:rPr>
          <w:color w:val="943634" w:themeColor="accent2" w:themeShade="BF"/>
        </w:rPr>
        <w:t xml:space="preserve"> </w:t>
      </w:r>
      <w:r w:rsidRPr="00377105">
        <w:t>[ЗРР]. Съгласно ал. 2 на чл. 33 от ЗРР междинната оценка на РПР на районите от ниво 2 включва:</w:t>
      </w:r>
    </w:p>
    <w:p w:rsidR="00765E7F" w:rsidRPr="00377105" w:rsidRDefault="00765E7F" w:rsidP="00427DD4">
      <w:pPr>
        <w:pStyle w:val="Style1"/>
        <w:spacing w:before="60" w:after="60"/>
      </w:pPr>
      <w:r w:rsidRPr="00377105">
        <w:t>оценка на първоначалните резултати от изпълнението;</w:t>
      </w:r>
    </w:p>
    <w:p w:rsidR="00765E7F" w:rsidRPr="00377105" w:rsidRDefault="00765E7F" w:rsidP="00427DD4">
      <w:pPr>
        <w:pStyle w:val="Style1"/>
        <w:spacing w:before="60" w:after="60"/>
      </w:pPr>
      <w:r w:rsidRPr="00377105">
        <w:t>оценка на степента на постигане на съответните цели;</w:t>
      </w:r>
    </w:p>
    <w:p w:rsidR="00765E7F" w:rsidRPr="00377105" w:rsidRDefault="00765E7F" w:rsidP="00427DD4">
      <w:pPr>
        <w:pStyle w:val="Style1"/>
        <w:spacing w:before="60" w:after="60"/>
      </w:pPr>
      <w:r w:rsidRPr="00377105">
        <w:t>оценка на ефективността и ефикасността на използваните ресурси;</w:t>
      </w:r>
    </w:p>
    <w:p w:rsidR="00765E7F" w:rsidRPr="00377105" w:rsidRDefault="00765E7F" w:rsidP="00427DD4">
      <w:pPr>
        <w:pStyle w:val="Style1"/>
        <w:spacing w:before="60" w:after="60"/>
      </w:pPr>
      <w:r w:rsidRPr="00377105">
        <w:t>изводи и препоръки за изпълнението на РПР за периода до 2020 г.</w:t>
      </w:r>
    </w:p>
    <w:p w:rsidR="00765E7F" w:rsidRPr="00377105" w:rsidRDefault="00765E7F" w:rsidP="004A3033">
      <w:pPr>
        <w:spacing w:before="360"/>
      </w:pPr>
      <w:r w:rsidRPr="00377105">
        <w:t xml:space="preserve">Законът дефинира </w:t>
      </w:r>
      <w:r w:rsidRPr="00427DD4">
        <w:rPr>
          <w:i/>
          <w:color w:val="943634" w:themeColor="accent2" w:themeShade="BF"/>
        </w:rPr>
        <w:t>държавната политика за регионално развитие</w:t>
      </w:r>
      <w:r w:rsidRPr="00427DD4">
        <w:rPr>
          <w:rStyle w:val="FootnoteReference"/>
          <w:i/>
          <w:color w:val="943634" w:themeColor="accent2" w:themeShade="BF"/>
        </w:rPr>
        <w:footnoteReference w:id="2"/>
      </w:r>
      <w:r w:rsidRPr="00377105">
        <w:t>, като създав</w:t>
      </w:r>
      <w:r w:rsidRPr="00377105">
        <w:t>а</w:t>
      </w:r>
      <w:r w:rsidRPr="00377105">
        <w:t>ща условия за балансирано и устойчиво интегрирано развитие на районите и общините и обхващаща система от нормативно регламентирани документи, ресурси и действия на компетентните органи, насочени към:</w:t>
      </w:r>
    </w:p>
    <w:p w:rsidR="00765E7F" w:rsidRPr="00377105" w:rsidRDefault="00765E7F" w:rsidP="00427DD4">
      <w:pPr>
        <w:pStyle w:val="Style1"/>
        <w:numPr>
          <w:ilvl w:val="0"/>
          <w:numId w:val="18"/>
        </w:numPr>
        <w:ind w:left="1134" w:hanging="567"/>
      </w:pPr>
      <w:r w:rsidRPr="00377105">
        <w:t xml:space="preserve">намаляване на </w:t>
      </w:r>
      <w:r w:rsidRPr="00427DD4">
        <w:rPr>
          <w:b/>
          <w:color w:val="943634" w:themeColor="accent2" w:themeShade="BF"/>
        </w:rPr>
        <w:t>междурегионалните</w:t>
      </w:r>
      <w:r w:rsidRPr="00427DD4">
        <w:rPr>
          <w:b/>
        </w:rPr>
        <w:t xml:space="preserve"> </w:t>
      </w:r>
      <w:r w:rsidRPr="00377105">
        <w:t xml:space="preserve">и </w:t>
      </w:r>
      <w:r w:rsidRPr="00427DD4">
        <w:rPr>
          <w:b/>
          <w:color w:val="943634" w:themeColor="accent2" w:themeShade="BF"/>
        </w:rPr>
        <w:t>вътрешнорегионалните различия</w:t>
      </w:r>
      <w:r w:rsidRPr="00427DD4">
        <w:rPr>
          <w:color w:val="943634" w:themeColor="accent2" w:themeShade="BF"/>
        </w:rPr>
        <w:t xml:space="preserve"> </w:t>
      </w:r>
      <w:r w:rsidRPr="00377105">
        <w:t xml:space="preserve">в </w:t>
      </w:r>
      <w:r w:rsidRPr="00427DD4">
        <w:t>степента</w:t>
      </w:r>
      <w:r w:rsidRPr="00377105">
        <w:t xml:space="preserve"> на </w:t>
      </w:r>
      <w:r w:rsidRPr="00427DD4">
        <w:t>икономическото</w:t>
      </w:r>
      <w:r w:rsidRPr="00377105">
        <w:t>, социалното и териториалното развитие;</w:t>
      </w:r>
    </w:p>
    <w:p w:rsidR="00765E7F" w:rsidRPr="00377105" w:rsidRDefault="00765E7F" w:rsidP="00427DD4">
      <w:pPr>
        <w:pStyle w:val="Style1"/>
      </w:pPr>
      <w:r w:rsidRPr="00427DD4">
        <w:t>осигуряване</w:t>
      </w:r>
      <w:r w:rsidRPr="00377105">
        <w:t xml:space="preserve"> на условия за </w:t>
      </w:r>
      <w:r w:rsidRPr="00427DD4">
        <w:rPr>
          <w:b/>
          <w:color w:val="943634" w:themeColor="accent2" w:themeShade="BF"/>
        </w:rPr>
        <w:t>ускорен икономически растеж</w:t>
      </w:r>
      <w:r w:rsidRPr="00427DD4">
        <w:rPr>
          <w:color w:val="943634" w:themeColor="accent2" w:themeShade="BF"/>
        </w:rPr>
        <w:t xml:space="preserve"> </w:t>
      </w:r>
      <w:r w:rsidRPr="00377105">
        <w:t xml:space="preserve">и </w:t>
      </w:r>
      <w:r w:rsidRPr="00427DD4">
        <w:rPr>
          <w:b/>
          <w:color w:val="943634" w:themeColor="accent2" w:themeShade="BF"/>
        </w:rPr>
        <w:t>високо ниво на заетост</w:t>
      </w:r>
      <w:r w:rsidRPr="00377105">
        <w:t>;</w:t>
      </w:r>
    </w:p>
    <w:p w:rsidR="00765E7F" w:rsidRPr="00377105" w:rsidRDefault="00765E7F" w:rsidP="00427DD4">
      <w:pPr>
        <w:pStyle w:val="Style1"/>
      </w:pPr>
      <w:r w:rsidRPr="00377105">
        <w:t xml:space="preserve">развитие на </w:t>
      </w:r>
      <w:r w:rsidRPr="00427DD4">
        <w:rPr>
          <w:b/>
          <w:color w:val="943634" w:themeColor="accent2" w:themeShade="BF"/>
        </w:rPr>
        <w:t>териториалното сътрудничество</w:t>
      </w:r>
      <w:r w:rsidRPr="00377105">
        <w:t>.</w:t>
      </w:r>
    </w:p>
    <w:p w:rsidR="00765E7F" w:rsidRPr="00377105" w:rsidRDefault="00765E7F" w:rsidP="00765E7F">
      <w:r w:rsidRPr="00377105">
        <w:t xml:space="preserve">Изпълнението на РПР се отчита чрез </w:t>
      </w:r>
      <w:r w:rsidRPr="00377105">
        <w:rPr>
          <w:b/>
        </w:rPr>
        <w:t>годишните доклади</w:t>
      </w:r>
      <w:r w:rsidRPr="00377105">
        <w:rPr>
          <w:rStyle w:val="FootnoteReference"/>
          <w:b/>
        </w:rPr>
        <w:footnoteReference w:id="3"/>
      </w:r>
      <w:r w:rsidRPr="00377105">
        <w:t xml:space="preserve"> за наблюдението на </w:t>
      </w:r>
      <w:bookmarkStart w:id="5" w:name="_Hlk498279846"/>
      <w:r w:rsidRPr="00377105">
        <w:t xml:space="preserve">изпълнението на РПР </w:t>
      </w:r>
      <w:bookmarkEnd w:id="5"/>
      <w:r w:rsidRPr="00377105">
        <w:t xml:space="preserve">на основата на данните от системата за наблюдение и оценка на регионалния план за развитие. Наблюдението на изпълнението на РПР се осъществява от съответните </w:t>
      </w:r>
      <w:r w:rsidRPr="00377105">
        <w:rPr>
          <w:b/>
        </w:rPr>
        <w:t>Регионални съвети за развитие</w:t>
      </w:r>
      <w:r w:rsidRPr="00377105">
        <w:t xml:space="preserve"> [РСР].</w:t>
      </w:r>
      <w:r>
        <w:t xml:space="preserve"> </w:t>
      </w:r>
    </w:p>
    <w:p w:rsidR="00765E7F" w:rsidRDefault="00765E7F" w:rsidP="00765E7F">
      <w:bookmarkStart w:id="6" w:name="_Hlk498258172"/>
      <w:r w:rsidRPr="00377105">
        <w:lastRenderedPageBreak/>
        <w:t xml:space="preserve">В периода на изпълнение на РПР на </w:t>
      </w:r>
      <w:r>
        <w:t>СЗ</w:t>
      </w:r>
      <w:r w:rsidRPr="00F24AE2">
        <w:t>Р</w:t>
      </w:r>
      <w:r w:rsidRPr="00377105">
        <w:t xml:space="preserve"> 2014-2020 г. са изготвени три годишни доклада за наблюдението на изпълнението на РПР, съответно за 2014, 2015 и 2016 г.</w:t>
      </w:r>
      <w:bookmarkEnd w:id="6"/>
      <w:r w:rsidRPr="00567DF3">
        <w:t xml:space="preserve"> </w:t>
      </w:r>
    </w:p>
    <w:p w:rsidR="00883D14" w:rsidRDefault="00883D14" w:rsidP="00883D14">
      <w:pPr>
        <w:pStyle w:val="Heading3"/>
      </w:pPr>
      <w:bookmarkStart w:id="7" w:name="_Toc497842473"/>
      <w:bookmarkStart w:id="8" w:name="_Toc500325557"/>
      <w:r>
        <w:t>Методика за оценка напред</w:t>
      </w:r>
      <w:r w:rsidR="004D37B7">
        <w:t>ъка на изпълнението на РПР на СЗ</w:t>
      </w:r>
      <w:r>
        <w:t>Р</w:t>
      </w:r>
      <w:bookmarkEnd w:id="7"/>
      <w:bookmarkEnd w:id="8"/>
    </w:p>
    <w:p w:rsidR="002B32B7" w:rsidRPr="00377105" w:rsidRDefault="002B32B7" w:rsidP="002B32B7">
      <w:r w:rsidRPr="00377105">
        <w:t>За целите на оценката е разработена методика</w:t>
      </w:r>
      <w:r>
        <w:t>, която определя методите и съо</w:t>
      </w:r>
      <w:r>
        <w:t>т</w:t>
      </w:r>
      <w:r>
        <w:t xml:space="preserve">ветните източници на информация, както и </w:t>
      </w:r>
      <w:r w:rsidRPr="00A97E34">
        <w:t>критерии</w:t>
      </w:r>
      <w:r>
        <w:t>те</w:t>
      </w:r>
      <w:r w:rsidRPr="00A97E34">
        <w:t xml:space="preserve"> за оценка на изпълнението на </w:t>
      </w:r>
      <w:r>
        <w:t>РПР. Р</w:t>
      </w:r>
      <w:r w:rsidRPr="00377105">
        <w:t xml:space="preserve">азработена </w:t>
      </w:r>
      <w:r>
        <w:t xml:space="preserve">е </w:t>
      </w:r>
      <w:r w:rsidRPr="00427DD4">
        <w:rPr>
          <w:i/>
          <w:color w:val="943634" w:themeColor="accent2" w:themeShade="BF"/>
        </w:rPr>
        <w:t>петстепенна оценъчна скала</w:t>
      </w:r>
      <w:r w:rsidRPr="00427DD4">
        <w:rPr>
          <w:color w:val="943634" w:themeColor="accent2" w:themeShade="BF"/>
        </w:rPr>
        <w:t xml:space="preserve"> </w:t>
      </w:r>
      <w:r w:rsidRPr="00377105">
        <w:t xml:space="preserve">за оценка на степента на: </w:t>
      </w:r>
    </w:p>
    <w:p w:rsidR="002B32B7" w:rsidRPr="00377105" w:rsidRDefault="002B32B7" w:rsidP="00427DD4">
      <w:pPr>
        <w:pStyle w:val="Style1"/>
      </w:pPr>
      <w:r w:rsidRPr="00377105">
        <w:t>постигане на ключовите показатели на макро ниво и на степента на постиг</w:t>
      </w:r>
      <w:r w:rsidRPr="00377105">
        <w:t>а</w:t>
      </w:r>
      <w:r w:rsidRPr="00377105">
        <w:t xml:space="preserve">не на показателите по цели на Стратегията Европа 2020 на регионално ниво и приноса на </w:t>
      </w:r>
      <w:r w:rsidR="004D37B7">
        <w:t>СЗ</w:t>
      </w:r>
      <w:r w:rsidR="004D37B7" w:rsidRPr="00377105">
        <w:t xml:space="preserve">Р </w:t>
      </w:r>
      <w:r w:rsidRPr="00377105">
        <w:t>за постигане на националните цели;</w:t>
      </w:r>
    </w:p>
    <w:p w:rsidR="002B32B7" w:rsidRPr="00377105" w:rsidRDefault="002B32B7" w:rsidP="00427DD4">
      <w:pPr>
        <w:pStyle w:val="Style1"/>
      </w:pPr>
      <w:r w:rsidRPr="00377105">
        <w:t>постигане на заложените междинни стойности на индикаторите за изпълн</w:t>
      </w:r>
      <w:r w:rsidRPr="00377105">
        <w:t>е</w:t>
      </w:r>
      <w:r w:rsidRPr="00377105">
        <w:t>ние (специфични индикатори);</w:t>
      </w:r>
    </w:p>
    <w:p w:rsidR="002B32B7" w:rsidRPr="00377105" w:rsidRDefault="002B32B7" w:rsidP="00427DD4">
      <w:pPr>
        <w:pStyle w:val="Style1"/>
      </w:pPr>
      <w:r w:rsidRPr="00377105">
        <w:t>постигане на глобалните екологични цели и на възможността за постигане на целевите стойности в края на периода – оценка на реалистичността на з</w:t>
      </w:r>
      <w:r w:rsidRPr="00377105">
        <w:t>а</w:t>
      </w:r>
      <w:r w:rsidRPr="00377105">
        <w:t>ложените целеви стойности.</w:t>
      </w:r>
    </w:p>
    <w:p w:rsidR="002B32B7" w:rsidRPr="00377105" w:rsidRDefault="002B32B7" w:rsidP="002B32B7">
      <w:pPr>
        <w:spacing w:before="360"/>
      </w:pPr>
      <w:r w:rsidRPr="00377105">
        <w:t>Оценени са причините за надхвърляне/непостигане на заложените междинни стойности на индикаторите за изпълнение, както и възможността за постигане на цел</w:t>
      </w:r>
      <w:r w:rsidRPr="00377105">
        <w:t>е</w:t>
      </w:r>
      <w:r w:rsidRPr="00377105">
        <w:t>вите стойности в края на периода – оценка на реалистичността на заложените целеви стойности.</w:t>
      </w:r>
    </w:p>
    <w:p w:rsidR="002B32B7" w:rsidRPr="00377105" w:rsidRDefault="002B32B7" w:rsidP="002B32B7">
      <w:r w:rsidRPr="00377105">
        <w:t>Конструирани са индекси на постигане на приоритетите и целите на РПР:</w:t>
      </w:r>
    </w:p>
    <w:p w:rsidR="002B32B7" w:rsidRPr="00377105" w:rsidRDefault="002B32B7" w:rsidP="00427DD4">
      <w:pPr>
        <w:pStyle w:val="Style1"/>
      </w:pPr>
      <w:r w:rsidRPr="00427DD4">
        <w:rPr>
          <w:color w:val="943634" w:themeColor="accent2" w:themeShade="BF"/>
        </w:rPr>
        <w:t xml:space="preserve">Индекс на постигане по приоритети </w:t>
      </w:r>
      <w:r w:rsidRPr="00377105">
        <w:t>– отразява степента на постигане на з</w:t>
      </w:r>
      <w:r w:rsidRPr="00377105">
        <w:t>а</w:t>
      </w:r>
      <w:r w:rsidRPr="00377105">
        <w:t>ложеното изменение на специфичните индикатори за изминалото време;</w:t>
      </w:r>
    </w:p>
    <w:p w:rsidR="002B32B7" w:rsidRPr="00377105" w:rsidRDefault="002B32B7" w:rsidP="00427DD4">
      <w:pPr>
        <w:pStyle w:val="Style1"/>
      </w:pPr>
      <w:r w:rsidRPr="00427DD4">
        <w:rPr>
          <w:color w:val="943634" w:themeColor="accent2" w:themeShade="BF"/>
        </w:rPr>
        <w:t xml:space="preserve">Индекс на постигане на целите </w:t>
      </w:r>
      <w:r w:rsidRPr="00377105">
        <w:t>– отразява степента на постигане на залож</w:t>
      </w:r>
      <w:r w:rsidRPr="00377105">
        <w:t>е</w:t>
      </w:r>
      <w:r w:rsidRPr="00377105">
        <w:t>ното изменение на стойностите на ключови индикатори и цели на региона</w:t>
      </w:r>
      <w:r w:rsidRPr="00377105">
        <w:t>л</w:t>
      </w:r>
      <w:r w:rsidRPr="00377105">
        <w:t>но ниво по Стратегията Европа 2020 за оценявания период.</w:t>
      </w:r>
    </w:p>
    <w:p w:rsidR="002B32B7" w:rsidRPr="00377105" w:rsidRDefault="002B32B7" w:rsidP="002B32B7">
      <w:pPr>
        <w:spacing w:before="360"/>
      </w:pPr>
      <w:r w:rsidRPr="00377105">
        <w:t>За целите на оценката на ефикасността е използван конструирания индекс на еф</w:t>
      </w:r>
      <w:r w:rsidRPr="00377105">
        <w:t>и</w:t>
      </w:r>
      <w:r w:rsidRPr="00377105">
        <w:t>касност – използван финансов ресурс към степен на постигане на целевите стойности (процент на постигане на заложеното изменение) по приоритети и на общо ниво на ключови индикатори и цели по Стратегията Европа 2020.</w:t>
      </w:r>
    </w:p>
    <w:p w:rsidR="002B32B7" w:rsidRDefault="002B32B7" w:rsidP="002B32B7">
      <w:r w:rsidRPr="00377105">
        <w:lastRenderedPageBreak/>
        <w:t xml:space="preserve">Индексите се групират </w:t>
      </w:r>
      <w:r w:rsidR="00427DD4">
        <w:t>в</w:t>
      </w:r>
      <w:r w:rsidRPr="00377105">
        <w:t xml:space="preserve"> </w:t>
      </w:r>
      <w:r w:rsidRPr="00B667EE">
        <w:rPr>
          <w:i/>
          <w:color w:val="943634" w:themeColor="accent2" w:themeShade="BF"/>
        </w:rPr>
        <w:t>петстепенни оценъчни скали</w:t>
      </w:r>
      <w:r w:rsidRPr="00377105">
        <w:t>. За целите на оценката са използвани следните оценъчни скали и категории:</w:t>
      </w:r>
    </w:p>
    <w:p w:rsidR="00427DD4" w:rsidRPr="00427DD4" w:rsidRDefault="00427DD4" w:rsidP="00D14511">
      <w:pPr>
        <w:pStyle w:val="Caption"/>
      </w:pPr>
      <w:bookmarkStart w:id="9" w:name="_Toc499490235"/>
      <w:bookmarkStart w:id="10" w:name="_Toc500329891"/>
      <w:bookmarkStart w:id="11" w:name="_Hlk499485468"/>
      <w:r w:rsidRPr="00427DD4">
        <w:t xml:space="preserve">таблица </w:t>
      </w:r>
      <w:fldSimple w:instr=" SEQ таблица \* ARABIC ">
        <w:r w:rsidR="00BA3ACC">
          <w:rPr>
            <w:noProof/>
          </w:rPr>
          <w:t>1</w:t>
        </w:r>
      </w:fldSimple>
      <w:r w:rsidRPr="00427DD4">
        <w:t>.</w:t>
      </w:r>
      <w:r w:rsidRPr="00427DD4">
        <w:tab/>
        <w:t>Степен на постигане на заложеното изменение на специфичните индикатори и степен на изпъ</w:t>
      </w:r>
      <w:r w:rsidRPr="00427DD4">
        <w:t>л</w:t>
      </w:r>
      <w:r w:rsidRPr="00427DD4">
        <w:t>нение на приоритети (СИП), въз основа на постигнатото изменение на специфичните индикат</w:t>
      </w:r>
      <w:r w:rsidRPr="00427DD4">
        <w:t>о</w:t>
      </w:r>
      <w:r w:rsidRPr="00427DD4">
        <w:t>ри</w:t>
      </w:r>
      <w:bookmarkEnd w:id="9"/>
      <w:bookmarkEnd w:id="10"/>
    </w:p>
    <w:tbl>
      <w:tblPr>
        <w:tblStyle w:val="ListTable6ColorfulAccent2"/>
        <w:tblW w:w="5000" w:type="pct"/>
        <w:tblLook w:val="04A0" w:firstRow="1" w:lastRow="0" w:firstColumn="1" w:lastColumn="0" w:noHBand="0" w:noVBand="1"/>
      </w:tblPr>
      <w:tblGrid>
        <w:gridCol w:w="1135"/>
        <w:gridCol w:w="4075"/>
        <w:gridCol w:w="4077"/>
      </w:tblGrid>
      <w:tr w:rsidR="00427DD4" w:rsidRPr="00427DD4" w:rsidTr="00427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427DD4" w:rsidRPr="00427DD4" w:rsidRDefault="00427DD4" w:rsidP="00427DD4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sz w:val="20"/>
                <w:szCs w:val="22"/>
              </w:rPr>
            </w:pPr>
            <w:bookmarkStart w:id="12" w:name="_Hlk499381578"/>
            <w:r w:rsidRPr="00427DD4">
              <w:rPr>
                <w:sz w:val="20"/>
                <w:szCs w:val="22"/>
              </w:rPr>
              <w:t>Скала</w:t>
            </w:r>
          </w:p>
        </w:tc>
        <w:tc>
          <w:tcPr>
            <w:tcW w:w="2194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Дефиниция</w:t>
            </w:r>
          </w:p>
        </w:tc>
        <w:tc>
          <w:tcPr>
            <w:tcW w:w="219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Степен на изпълнение на приоритети</w:t>
            </w:r>
          </w:p>
        </w:tc>
      </w:tr>
      <w:tr w:rsidR="00427DD4" w:rsidRPr="00427DD4" w:rsidTr="004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427DD4" w:rsidRPr="00427DD4" w:rsidRDefault="00427DD4" w:rsidP="00427DD4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Постигната междинна цел на индикатор над 125%</w:t>
            </w:r>
          </w:p>
        </w:tc>
        <w:tc>
          <w:tcPr>
            <w:tcW w:w="219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Напредък, значително над планирания по изпълнение на приоритета/целта</w:t>
            </w:r>
          </w:p>
        </w:tc>
      </w:tr>
      <w:tr w:rsidR="00427DD4" w:rsidRPr="00427DD4" w:rsidTr="0042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Постигната междинна цел на индикатор между 110 и 125%</w:t>
            </w:r>
          </w:p>
        </w:tc>
        <w:tc>
          <w:tcPr>
            <w:tcW w:w="219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Напредък над планирания по изпълнение на приоритета/целта</w:t>
            </w:r>
          </w:p>
        </w:tc>
      </w:tr>
      <w:tr w:rsidR="00427DD4" w:rsidRPr="00427DD4" w:rsidTr="004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100% (между 90 и 110%) постигната междинна цел на индикатор</w:t>
            </w:r>
          </w:p>
        </w:tc>
        <w:tc>
          <w:tcPr>
            <w:tcW w:w="219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Постигнат планиран напредък по изпълнение на приоритета/целта</w:t>
            </w:r>
          </w:p>
        </w:tc>
      </w:tr>
      <w:tr w:rsidR="00427DD4" w:rsidRPr="00427DD4" w:rsidTr="0042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427DD4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Постигната междинна цел на индикатор между 50 и 90%</w:t>
            </w:r>
          </w:p>
        </w:tc>
        <w:tc>
          <w:tcPr>
            <w:tcW w:w="219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Задоволителен напредък по изпълнение на приоритета/целта</w:t>
            </w:r>
          </w:p>
        </w:tc>
      </w:tr>
      <w:tr w:rsidR="00427DD4" w:rsidRPr="00427DD4" w:rsidTr="004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427DD4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Постигната междинна цел на индикатор между 10 и 50%</w:t>
            </w:r>
          </w:p>
        </w:tc>
        <w:tc>
          <w:tcPr>
            <w:tcW w:w="219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Ограничен напредък по изпълнение на приоритета/целта</w:t>
            </w:r>
          </w:p>
        </w:tc>
      </w:tr>
      <w:tr w:rsidR="00427DD4" w:rsidRPr="00427DD4" w:rsidTr="0042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427DD4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Постигната междинна цел на индикатор между 0 и 10%</w:t>
            </w:r>
          </w:p>
        </w:tc>
        <w:tc>
          <w:tcPr>
            <w:tcW w:w="219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427DD4">
              <w:rPr>
                <w:sz w:val="20"/>
                <w:szCs w:val="22"/>
              </w:rPr>
              <w:t>Без напредък по изпълнение на приоритета/целта</w:t>
            </w:r>
          </w:p>
        </w:tc>
      </w:tr>
    </w:tbl>
    <w:p w:rsidR="00427DD4" w:rsidRPr="00427DD4" w:rsidRDefault="00427DD4" w:rsidP="00D14511">
      <w:pPr>
        <w:pStyle w:val="Caption"/>
      </w:pPr>
      <w:bookmarkStart w:id="13" w:name="_Toc499490236"/>
      <w:bookmarkStart w:id="14" w:name="_Toc500329892"/>
      <w:bookmarkEnd w:id="12"/>
      <w:r w:rsidRPr="00427DD4">
        <w:t xml:space="preserve">таблица </w:t>
      </w:r>
      <w:fldSimple w:instr=" SEQ таблица \* ARABIC ">
        <w:r w:rsidR="00BA3ACC">
          <w:rPr>
            <w:noProof/>
          </w:rPr>
          <w:t>2</w:t>
        </w:r>
      </w:fldSimple>
      <w:r w:rsidRPr="00427DD4">
        <w:t>.</w:t>
      </w:r>
      <w:r w:rsidRPr="00427DD4">
        <w:tab/>
        <w:t>Степен на постигане на целите (СПЦ), въз основа на степента на изпълнение на приоритетите</w:t>
      </w:r>
      <w:bookmarkEnd w:id="13"/>
      <w:bookmarkEnd w:id="14"/>
    </w:p>
    <w:tbl>
      <w:tblPr>
        <w:tblStyle w:val="ListTable6ColorfulAccent2"/>
        <w:tblW w:w="5001" w:type="pct"/>
        <w:tblLook w:val="0480" w:firstRow="0" w:lastRow="0" w:firstColumn="1" w:lastColumn="0" w:noHBand="0" w:noVBand="1"/>
      </w:tblPr>
      <w:tblGrid>
        <w:gridCol w:w="1143"/>
        <w:gridCol w:w="8146"/>
      </w:tblGrid>
      <w:tr w:rsidR="00427DD4" w:rsidRPr="00427DD4" w:rsidTr="004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427DD4" w:rsidRPr="00427DD4" w:rsidRDefault="00427DD4" w:rsidP="00427DD4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Напредък, значително над планираното по целта</w:t>
            </w:r>
          </w:p>
        </w:tc>
      </w:tr>
      <w:tr w:rsidR="00427DD4" w:rsidRPr="00427DD4" w:rsidTr="0042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Напредък над планираното по целта</w:t>
            </w:r>
          </w:p>
        </w:tc>
      </w:tr>
      <w:tr w:rsidR="00427DD4" w:rsidRPr="00427DD4" w:rsidTr="004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Постигнат планиран напредък по целта</w:t>
            </w:r>
          </w:p>
        </w:tc>
      </w:tr>
      <w:tr w:rsidR="00427DD4" w:rsidRPr="00427DD4" w:rsidTr="0042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427DD4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Задоволителен напредък по постигането на целта</w:t>
            </w:r>
          </w:p>
        </w:tc>
      </w:tr>
      <w:tr w:rsidR="00427DD4" w:rsidRPr="00427DD4" w:rsidTr="004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427DD4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Ограничен напредък по постигането на целта</w:t>
            </w:r>
          </w:p>
        </w:tc>
      </w:tr>
      <w:tr w:rsidR="00427DD4" w:rsidRPr="00427DD4" w:rsidTr="0042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427DD4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Без напредък по постигането на целта</w:t>
            </w:r>
          </w:p>
        </w:tc>
      </w:tr>
    </w:tbl>
    <w:p w:rsidR="00427DD4" w:rsidRPr="00427DD4" w:rsidRDefault="00427DD4" w:rsidP="00D14511">
      <w:pPr>
        <w:pStyle w:val="Caption"/>
      </w:pPr>
      <w:bookmarkStart w:id="15" w:name="_Toc499490237"/>
      <w:bookmarkStart w:id="16" w:name="_Toc500329893"/>
      <w:r w:rsidRPr="00427DD4">
        <w:t xml:space="preserve">таблица </w:t>
      </w:r>
      <w:fldSimple w:instr=" SEQ таблица \* ARABIC ">
        <w:r w:rsidR="00BA3ACC">
          <w:rPr>
            <w:noProof/>
          </w:rPr>
          <w:t>3</w:t>
        </w:r>
      </w:fldSimple>
      <w:r w:rsidRPr="00427DD4">
        <w:t>.</w:t>
      </w:r>
      <w:r w:rsidRPr="00427DD4">
        <w:tab/>
      </w:r>
      <w:bookmarkEnd w:id="15"/>
      <w:r w:rsidR="00DD6D5E" w:rsidRPr="00DD6D5E">
        <w:t>Степен на постигане на целите на ключовите индикатори, съответно принос към националните цели на Стратегията на ЕС "ЕВРОПА 2020"</w:t>
      </w:r>
      <w:bookmarkEnd w:id="16"/>
    </w:p>
    <w:tbl>
      <w:tblPr>
        <w:tblStyle w:val="ListTable6ColorfulAccent2"/>
        <w:tblW w:w="5000" w:type="pct"/>
        <w:tblLook w:val="0480" w:firstRow="0" w:lastRow="0" w:firstColumn="1" w:lastColumn="0" w:noHBand="0" w:noVBand="1"/>
      </w:tblPr>
      <w:tblGrid>
        <w:gridCol w:w="1055"/>
        <w:gridCol w:w="8232"/>
      </w:tblGrid>
      <w:tr w:rsidR="00427DD4" w:rsidRPr="00427DD4" w:rsidTr="004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427DD4" w:rsidRPr="00427DD4" w:rsidRDefault="00427DD4" w:rsidP="00427DD4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 xml:space="preserve">Постигнат планиран принос, значително над планирания </w:t>
            </w:r>
          </w:p>
        </w:tc>
      </w:tr>
      <w:tr w:rsidR="00427DD4" w:rsidRPr="00427DD4" w:rsidTr="0042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427DD4" w:rsidRPr="00427DD4" w:rsidRDefault="00427DD4" w:rsidP="00427DD4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Постигнат планиран принос над планирания</w:t>
            </w:r>
          </w:p>
        </w:tc>
      </w:tr>
      <w:tr w:rsidR="00427DD4" w:rsidRPr="00427DD4" w:rsidTr="004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427DD4" w:rsidRPr="00427DD4" w:rsidRDefault="00427DD4" w:rsidP="00427DD4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427DD4">
              <w:rPr>
                <w:rFonts w:eastAsia="+mn-ea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Постигнат планиран принос</w:t>
            </w:r>
          </w:p>
        </w:tc>
      </w:tr>
      <w:tr w:rsidR="00427DD4" w:rsidRPr="00427DD4" w:rsidTr="0042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427DD4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Задоволителен принос</w:t>
            </w:r>
          </w:p>
        </w:tc>
      </w:tr>
      <w:tr w:rsidR="00427DD4" w:rsidRPr="00427DD4" w:rsidTr="00427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427DD4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Ограничен принос</w:t>
            </w:r>
          </w:p>
        </w:tc>
      </w:tr>
      <w:tr w:rsidR="00427DD4" w:rsidRPr="00427DD4" w:rsidTr="0042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427DD4" w:rsidRPr="00427DD4" w:rsidRDefault="00427DD4" w:rsidP="00427DD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27DD4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427DD4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427DD4" w:rsidRPr="00427DD4" w:rsidRDefault="00427DD4" w:rsidP="00427DD4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27DD4">
              <w:rPr>
                <w:sz w:val="20"/>
              </w:rPr>
              <w:t>Без принос</w:t>
            </w:r>
          </w:p>
        </w:tc>
      </w:tr>
    </w:tbl>
    <w:p w:rsidR="00427DD4" w:rsidRPr="00427DD4" w:rsidRDefault="00427DD4" w:rsidP="00427DD4">
      <w:pPr>
        <w:spacing w:before="360"/>
      </w:pPr>
      <w:r w:rsidRPr="00427DD4">
        <w:t xml:space="preserve">При изготвянето на </w:t>
      </w:r>
      <w:r w:rsidRPr="00427DD4">
        <w:rPr>
          <w:i/>
        </w:rPr>
        <w:t>междинната оценка</w:t>
      </w:r>
      <w:r w:rsidRPr="00427DD4">
        <w:t xml:space="preserve"> са използвани последните актуални да</w:t>
      </w:r>
      <w:r w:rsidRPr="00427DD4">
        <w:t>н</w:t>
      </w:r>
      <w:r w:rsidRPr="00427DD4">
        <w:t>ни за основните индикатори на национално и регионално ниво към края на 2016 г. По</w:t>
      </w:r>
      <w:r w:rsidRPr="00427DD4">
        <w:t>с</w:t>
      </w:r>
      <w:r w:rsidRPr="00427DD4">
        <w:lastRenderedPageBreak/>
        <w:t>ледните налични данни за разгледаните индикатори на областно ниво са за 2015 и 2016 г.</w:t>
      </w:r>
    </w:p>
    <w:p w:rsidR="00511623" w:rsidRPr="00B9759D" w:rsidRDefault="00511623" w:rsidP="00427DD4">
      <w:pPr>
        <w:pStyle w:val="Heading1"/>
      </w:pPr>
      <w:bookmarkStart w:id="17" w:name="_Toc500325558"/>
      <w:bookmarkEnd w:id="11"/>
      <w:r w:rsidRPr="00B9759D">
        <w:lastRenderedPageBreak/>
        <w:t>ПЪРВОНАЧАЛНИ РЕЗУЛТАТИ ОТ ИЗПЪЛНЕНИЕТО НА РПР НА СЗР</w:t>
      </w:r>
      <w:bookmarkEnd w:id="17"/>
    </w:p>
    <w:p w:rsidR="00511623" w:rsidRPr="00B9759D" w:rsidRDefault="00511623" w:rsidP="003A22D2">
      <w:pPr>
        <w:pStyle w:val="Heading3"/>
      </w:pPr>
      <w:bookmarkStart w:id="18" w:name="_Toc500325559"/>
      <w:r w:rsidRPr="00B9759D">
        <w:t>Рамка за изпълнение на целите и приоритетите за регионално развитие в СЗР</w:t>
      </w:r>
      <w:bookmarkEnd w:id="18"/>
    </w:p>
    <w:p w:rsidR="00BD205F" w:rsidRPr="00427DD4" w:rsidRDefault="00BD205F" w:rsidP="00427DD4">
      <w:pPr>
        <w:pStyle w:val="Heading4"/>
      </w:pPr>
      <w:r w:rsidRPr="00427DD4">
        <w:t>Цели и приоритети за регионално развитие на СЗР</w:t>
      </w:r>
    </w:p>
    <w:p w:rsidR="00E051E4" w:rsidRPr="00B9759D" w:rsidRDefault="00E051E4" w:rsidP="009F2C51">
      <w:pPr>
        <w:spacing w:before="240"/>
        <w:rPr>
          <w:b/>
        </w:rPr>
      </w:pPr>
      <w:r w:rsidRPr="00B9759D">
        <w:t>Визията</w:t>
      </w:r>
      <w:r w:rsidR="005D7CAD">
        <w:t>,</w:t>
      </w:r>
      <w:r w:rsidRPr="00B9759D">
        <w:t xml:space="preserve"> определена </w:t>
      </w:r>
      <w:r w:rsidR="00427DD4">
        <w:t xml:space="preserve">в </w:t>
      </w:r>
      <w:r w:rsidRPr="00B9759D">
        <w:t xml:space="preserve">РПР на СЗР е </w:t>
      </w:r>
      <w:r w:rsidR="00416C31">
        <w:t>"</w:t>
      </w:r>
      <w:r w:rsidR="00C37820" w:rsidRPr="006D2CAB">
        <w:rPr>
          <w:color w:val="943634" w:themeColor="accent2" w:themeShade="BF"/>
        </w:rPr>
        <w:t>Северозападен район преодолява съществ</w:t>
      </w:r>
      <w:r w:rsidR="00C37820" w:rsidRPr="006D2CAB">
        <w:rPr>
          <w:color w:val="943634" w:themeColor="accent2" w:themeShade="BF"/>
        </w:rPr>
        <w:t>е</w:t>
      </w:r>
      <w:r w:rsidR="00C37820" w:rsidRPr="006D2CAB">
        <w:rPr>
          <w:color w:val="943634" w:themeColor="accent2" w:themeShade="BF"/>
        </w:rPr>
        <w:t>ното социално-икономическо изоставане и сериозните структурни и демографски проблеми чрез подходящи инвестиции в свързваща инфраструктура и укре</w:t>
      </w:r>
      <w:r w:rsidR="002B32B7" w:rsidRPr="006D2CAB">
        <w:rPr>
          <w:color w:val="943634" w:themeColor="accent2" w:themeShade="BF"/>
        </w:rPr>
        <w:t>пване на п</w:t>
      </w:r>
      <w:r w:rsidR="002B32B7" w:rsidRPr="006D2CAB">
        <w:rPr>
          <w:color w:val="943634" w:themeColor="accent2" w:themeShade="BF"/>
        </w:rPr>
        <w:t>о</w:t>
      </w:r>
      <w:r w:rsidR="002B32B7" w:rsidRPr="006D2CAB">
        <w:rPr>
          <w:color w:val="943634" w:themeColor="accent2" w:themeShade="BF"/>
        </w:rPr>
        <w:t xml:space="preserve">тенциала за растеж, </w:t>
      </w:r>
      <w:r w:rsidR="00C37820" w:rsidRPr="006D2CAB">
        <w:rPr>
          <w:color w:val="943634" w:themeColor="accent2" w:themeShade="BF"/>
        </w:rPr>
        <w:t>създаващи предпоставки за догонващо развитие в национален и е</w:t>
      </w:r>
      <w:r w:rsidR="00C37820" w:rsidRPr="006D2CAB">
        <w:rPr>
          <w:color w:val="943634" w:themeColor="accent2" w:themeShade="BF"/>
        </w:rPr>
        <w:t>в</w:t>
      </w:r>
      <w:r w:rsidR="00C37820" w:rsidRPr="006D2CAB">
        <w:rPr>
          <w:color w:val="943634" w:themeColor="accent2" w:themeShade="BF"/>
        </w:rPr>
        <w:t>ропейски мащаб</w:t>
      </w:r>
      <w:r w:rsidRPr="006D2CAB">
        <w:rPr>
          <w:color w:val="943634" w:themeColor="accent2" w:themeShade="BF"/>
        </w:rPr>
        <w:t>.</w:t>
      </w:r>
      <w:r w:rsidR="00416C31">
        <w:rPr>
          <w:color w:val="943634" w:themeColor="accent2" w:themeShade="BF"/>
        </w:rPr>
        <w:t>"</w:t>
      </w:r>
    </w:p>
    <w:p w:rsidR="00511623" w:rsidRPr="00B9759D" w:rsidRDefault="004956A2" w:rsidP="00741645">
      <w:r w:rsidRPr="00B9759D">
        <w:t xml:space="preserve">РПР на СЗР определя </w:t>
      </w:r>
      <w:r w:rsidRPr="006D2CAB">
        <w:rPr>
          <w:color w:val="943634" w:themeColor="accent2" w:themeShade="BF"/>
        </w:rPr>
        <w:t xml:space="preserve">три стратегически цели </w:t>
      </w:r>
      <w:r w:rsidRPr="00B9759D">
        <w:t>за развитието на района, всяка от които е конкретизирана чрез четири приоритета</w:t>
      </w:r>
      <w:r w:rsidR="00667DA5" w:rsidRPr="00B9759D">
        <w:t xml:space="preserve">, общо </w:t>
      </w:r>
      <w:r w:rsidR="00C37820" w:rsidRPr="006D2CAB">
        <w:rPr>
          <w:color w:val="943634" w:themeColor="accent2" w:themeShade="BF"/>
        </w:rPr>
        <w:t>единадесет</w:t>
      </w:r>
      <w:r w:rsidR="00667DA5" w:rsidRPr="006D2CAB">
        <w:rPr>
          <w:color w:val="943634" w:themeColor="accent2" w:themeShade="BF"/>
        </w:rPr>
        <w:t xml:space="preserve"> приоритета</w:t>
      </w:r>
      <w:r w:rsidR="00E051E4" w:rsidRPr="00B9759D">
        <w:t>.</w:t>
      </w:r>
    </w:p>
    <w:p w:rsidR="00511623" w:rsidRPr="00B9759D" w:rsidRDefault="00B17847" w:rsidP="00D14511">
      <w:pPr>
        <w:pStyle w:val="Caption"/>
      </w:pPr>
      <w:bookmarkStart w:id="19" w:name="_Toc500329880"/>
      <w:r w:rsidRPr="00B9759D">
        <w:t xml:space="preserve">графика </w:t>
      </w:r>
      <w:fldSimple w:instr=" SEQ графика \* ARABIC ">
        <w:r w:rsidR="00BA3ACC">
          <w:rPr>
            <w:noProof/>
          </w:rPr>
          <w:t>1</w:t>
        </w:r>
      </w:fldSimple>
      <w:r w:rsidRPr="00B9759D">
        <w:t>.</w:t>
      </w:r>
      <w:r w:rsidR="00511623" w:rsidRPr="00B9759D">
        <w:tab/>
        <w:t>Взаимовръзки между целите и приоритетите на РПР на СЗР</w:t>
      </w:r>
      <w:bookmarkEnd w:id="19"/>
      <w:r w:rsidR="00511623" w:rsidRPr="00B9759D">
        <w:t xml:space="preserve"> </w:t>
      </w:r>
    </w:p>
    <w:p w:rsidR="00511623" w:rsidRPr="00B9759D" w:rsidRDefault="00416C31" w:rsidP="007C0CD9">
      <w:pPr>
        <w:pStyle w:val="graff"/>
      </w:pPr>
      <w:r w:rsidRPr="00416C31">
        <w:rPr>
          <w:noProof/>
        </w:rPr>
        <w:drawing>
          <wp:inline distT="0" distB="0" distL="0" distR="0">
            <wp:extent cx="5760085" cy="2322974"/>
            <wp:effectExtent l="0" t="0" r="0" b="1270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2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20" w:rsidRDefault="00C37820" w:rsidP="00416C31">
      <w:pPr>
        <w:spacing w:before="360"/>
      </w:pPr>
      <w:r w:rsidRPr="00C36C3C">
        <w:t xml:space="preserve">Оценката на първоначалните резултати от изпълнението на </w:t>
      </w:r>
      <w:r>
        <w:t xml:space="preserve">РПР на </w:t>
      </w:r>
      <w:r w:rsidR="002501EB">
        <w:rPr>
          <w:noProof/>
        </w:rPr>
        <w:t>СЗ</w:t>
      </w:r>
      <w:r w:rsidRPr="00EB1055">
        <w:rPr>
          <w:noProof/>
        </w:rPr>
        <w:t>Р</w:t>
      </w:r>
      <w:r w:rsidRPr="00C36C3C">
        <w:t xml:space="preserve">, степента на постигане на целите, както и ефективността на използваните ресурси </w:t>
      </w:r>
      <w:r w:rsidRPr="00933864">
        <w:t xml:space="preserve">е изготвена </w:t>
      </w:r>
      <w:r>
        <w:t>въз основа на</w:t>
      </w:r>
      <w:r w:rsidRPr="00933864">
        <w:t xml:space="preserve"> </w:t>
      </w:r>
      <w:r>
        <w:t xml:space="preserve">анализ на информация от официални статистически източници (НСИ, ЕВРОСТАТ), </w:t>
      </w:r>
      <w:r w:rsidRPr="00416C31">
        <w:rPr>
          <w:i/>
        </w:rPr>
        <w:t>Годишните доклади за изпълнение на наблюдение на изпълнението на РПР на С</w:t>
      </w:r>
      <w:r w:rsidR="002B32B7" w:rsidRPr="00416C31">
        <w:rPr>
          <w:i/>
        </w:rPr>
        <w:t>З</w:t>
      </w:r>
      <w:r w:rsidRPr="00416C31">
        <w:rPr>
          <w:i/>
        </w:rPr>
        <w:t>Р (2014-2020) за 2014, 2015 и 2016 г.</w:t>
      </w:r>
      <w:r>
        <w:t xml:space="preserve">, данни от </w:t>
      </w:r>
      <w:r w:rsidRPr="00416C31">
        <w:rPr>
          <w:i/>
        </w:rPr>
        <w:t>Информационната система за управление и наблюдение на средствата от ЕС н България 2020 (</w:t>
      </w:r>
      <w:r>
        <w:t xml:space="preserve">ИСУН 2020) и </w:t>
      </w:r>
      <w:r w:rsidRPr="00416C31">
        <w:rPr>
          <w:i/>
        </w:rPr>
        <w:t>И</w:t>
      </w:r>
      <w:r w:rsidRPr="00416C31">
        <w:rPr>
          <w:i/>
        </w:rPr>
        <w:t>н</w:t>
      </w:r>
      <w:r w:rsidRPr="00416C31">
        <w:rPr>
          <w:i/>
        </w:rPr>
        <w:lastRenderedPageBreak/>
        <w:t>тегрираната система за администриране и контрол</w:t>
      </w:r>
      <w:r w:rsidRPr="00932165">
        <w:t xml:space="preserve"> (ИСАК)</w:t>
      </w:r>
      <w:r>
        <w:rPr>
          <w:rStyle w:val="FootnoteReference"/>
        </w:rPr>
        <w:footnoteReference w:id="4"/>
      </w:r>
      <w:r>
        <w:t>, както и данни, публ</w:t>
      </w:r>
      <w:r>
        <w:t>и</w:t>
      </w:r>
      <w:r>
        <w:t xml:space="preserve">кувани на интернет страниците на </w:t>
      </w:r>
      <w:r w:rsidRPr="009E2469">
        <w:t>Програми</w:t>
      </w:r>
      <w:r>
        <w:t>те</w:t>
      </w:r>
      <w:r w:rsidRPr="009E2469">
        <w:t xml:space="preserve"> за териториално сътрудничество 2014-2020</w:t>
      </w:r>
      <w:r w:rsidR="00CD1857">
        <w:t xml:space="preserve"> г</w:t>
      </w:r>
      <w:r>
        <w:t>.</w:t>
      </w:r>
    </w:p>
    <w:p w:rsidR="00C37820" w:rsidRPr="00933864" w:rsidRDefault="002501EB" w:rsidP="00416C31">
      <w:r>
        <w:t>В РПР на СЗ</w:t>
      </w:r>
      <w:r w:rsidR="00C37820" w:rsidRPr="00933864">
        <w:t>Р са определени индикативните финансови ресурси за изп</w:t>
      </w:r>
      <w:r w:rsidR="00C37820">
        <w:t>ълнение на плана за периода 2014</w:t>
      </w:r>
      <w:r w:rsidR="00C37820" w:rsidRPr="00933864">
        <w:t>-</w:t>
      </w:r>
      <w:r w:rsidR="00C37820">
        <w:t>2020</w:t>
      </w:r>
      <w:r w:rsidR="00C37820" w:rsidRPr="00933864">
        <w:t xml:space="preserve"> г. в размер на </w:t>
      </w:r>
      <w:r>
        <w:rPr>
          <w:b/>
        </w:rPr>
        <w:t>2 334,3</w:t>
      </w:r>
      <w:r w:rsidR="00C37820" w:rsidRPr="00933864">
        <w:rPr>
          <w:b/>
        </w:rPr>
        <w:t xml:space="preserve"> млн. лв.</w:t>
      </w:r>
      <w:r w:rsidR="00C37820" w:rsidRPr="00933864">
        <w:t>, като от структурните инс</w:t>
      </w:r>
      <w:r w:rsidR="00C37820" w:rsidRPr="00933864">
        <w:t>т</w:t>
      </w:r>
      <w:r w:rsidR="00C37820" w:rsidRPr="00933864">
        <w:t xml:space="preserve">рументи на ЕС, е предвиден принос </w:t>
      </w:r>
      <w:r w:rsidR="00C37820">
        <w:t>от ЕФРР</w:t>
      </w:r>
      <w:r w:rsidR="00C37820" w:rsidRPr="00933864">
        <w:t xml:space="preserve"> в размер на </w:t>
      </w:r>
      <w:r>
        <w:rPr>
          <w:b/>
        </w:rPr>
        <w:t>1 279,58</w:t>
      </w:r>
      <w:r w:rsidR="00C37820" w:rsidRPr="00933864">
        <w:rPr>
          <w:b/>
        </w:rPr>
        <w:t xml:space="preserve"> млн. лв.</w:t>
      </w:r>
      <w:r w:rsidR="00C37820">
        <w:rPr>
          <w:b/>
        </w:rPr>
        <w:t>, от други фондо</w:t>
      </w:r>
      <w:r>
        <w:rPr>
          <w:b/>
        </w:rPr>
        <w:t>ве на ЕС – 582,01</w:t>
      </w:r>
      <w:r w:rsidR="00C37820">
        <w:rPr>
          <w:b/>
        </w:rPr>
        <w:t xml:space="preserve"> млн. лв., от нацио</w:t>
      </w:r>
      <w:r>
        <w:rPr>
          <w:b/>
        </w:rPr>
        <w:t>нално публично финансиране – 268</w:t>
      </w:r>
      <w:r w:rsidR="00C37820">
        <w:rPr>
          <w:b/>
        </w:rPr>
        <w:t xml:space="preserve">,4 </w:t>
      </w:r>
      <w:r w:rsidR="00C37820" w:rsidRPr="00933864">
        <w:rPr>
          <w:b/>
        </w:rPr>
        <w:t>млн. лв.</w:t>
      </w:r>
      <w:r w:rsidR="00C37820">
        <w:rPr>
          <w:b/>
        </w:rPr>
        <w:t>, от кои</w:t>
      </w:r>
      <w:r>
        <w:rPr>
          <w:b/>
        </w:rPr>
        <w:t>то 49,84</w:t>
      </w:r>
      <w:r w:rsidR="00C37820">
        <w:rPr>
          <w:b/>
        </w:rPr>
        <w:t xml:space="preserve"> </w:t>
      </w:r>
      <w:r w:rsidR="00C37820" w:rsidRPr="00933864">
        <w:rPr>
          <w:b/>
        </w:rPr>
        <w:t>млн. лв.</w:t>
      </w:r>
      <w:r w:rsidR="00C37820">
        <w:rPr>
          <w:b/>
        </w:rPr>
        <w:t xml:space="preserve"> от местни б</w:t>
      </w:r>
      <w:r>
        <w:rPr>
          <w:b/>
        </w:rPr>
        <w:t>юджети, частно финансиране – 40,8</w:t>
      </w:r>
      <w:r w:rsidR="00C37820">
        <w:rPr>
          <w:b/>
        </w:rPr>
        <w:t xml:space="preserve"> </w:t>
      </w:r>
      <w:r w:rsidR="00C37820" w:rsidRPr="00933864">
        <w:rPr>
          <w:b/>
        </w:rPr>
        <w:t>млн. лв.</w:t>
      </w:r>
      <w:r w:rsidR="00C37820">
        <w:rPr>
          <w:b/>
        </w:rPr>
        <w:t xml:space="preserve"> и от </w:t>
      </w:r>
      <w:r>
        <w:rPr>
          <w:b/>
        </w:rPr>
        <w:t>други финансови инструменти – 163,5</w:t>
      </w:r>
      <w:r w:rsidR="00C37820">
        <w:rPr>
          <w:b/>
        </w:rPr>
        <w:t xml:space="preserve"> млн. лв</w:t>
      </w:r>
      <w:r w:rsidR="00C37820" w:rsidRPr="00933864">
        <w:t xml:space="preserve">. </w:t>
      </w:r>
    </w:p>
    <w:p w:rsidR="00C37820" w:rsidRDefault="00C37820" w:rsidP="00416C31">
      <w:r w:rsidRPr="00933864">
        <w:t>За мерките, реализирани със средства от държавния бюджет и бюджетите на о</w:t>
      </w:r>
      <w:r w:rsidRPr="00933864">
        <w:t>б</w:t>
      </w:r>
      <w:r w:rsidRPr="00933864">
        <w:t>щините, свързани с политиката за регионално развитие, в периода 20</w:t>
      </w:r>
      <w:r>
        <w:t>14</w:t>
      </w:r>
      <w:r w:rsidRPr="00933864">
        <w:t>-20</w:t>
      </w:r>
      <w:r>
        <w:t>16</w:t>
      </w:r>
      <w:r w:rsidRPr="00933864">
        <w:t xml:space="preserve"> г. липсва систематизирана информация, която да позволява тяхното обвързване с целите и при</w:t>
      </w:r>
      <w:r w:rsidRPr="00933864">
        <w:t>о</w:t>
      </w:r>
      <w:r w:rsidRPr="00933864">
        <w:t>ритетите на РПР на С</w:t>
      </w:r>
      <w:r w:rsidR="002501EB">
        <w:t>З</w:t>
      </w:r>
      <w:r w:rsidRPr="00933864">
        <w:t xml:space="preserve">Р. </w:t>
      </w:r>
      <w:r>
        <w:t xml:space="preserve">Частично, такава информация е събрана чрез </w:t>
      </w:r>
      <w:r w:rsidRPr="007A64EA">
        <w:rPr>
          <w:i/>
        </w:rPr>
        <w:t>Годишните до</w:t>
      </w:r>
      <w:r w:rsidRPr="007A64EA">
        <w:rPr>
          <w:i/>
        </w:rPr>
        <w:t>к</w:t>
      </w:r>
      <w:r w:rsidRPr="007A64EA">
        <w:rPr>
          <w:i/>
        </w:rPr>
        <w:t>лади за наблюдение на изпълнението</w:t>
      </w:r>
      <w:r w:rsidR="007A64EA" w:rsidRPr="007A64EA">
        <w:rPr>
          <w:i/>
        </w:rPr>
        <w:t xml:space="preserve"> на РПР на СЗР</w:t>
      </w:r>
      <w:r>
        <w:t>, като тя е отразена при оценката на напредъка по изпълнение на отделните приоритети чрез съответните специфични и</w:t>
      </w:r>
      <w:r>
        <w:t>н</w:t>
      </w:r>
      <w:r>
        <w:t>дикатори.</w:t>
      </w:r>
    </w:p>
    <w:p w:rsidR="00C37820" w:rsidRDefault="005D7CAD" w:rsidP="00C37820">
      <w:r w:rsidRPr="005D7CAD">
        <w:t>При оценка на степента, в която са постигнати междинните цели (2015 г.) на сп</w:t>
      </w:r>
      <w:r w:rsidRPr="005D7CAD">
        <w:t>е</w:t>
      </w:r>
      <w:r w:rsidRPr="005D7CAD">
        <w:t xml:space="preserve">цифичните индикатори на РПР на </w:t>
      </w:r>
      <w:r w:rsidR="002501EB">
        <w:t>СЗ</w:t>
      </w:r>
      <w:r w:rsidR="00C37820">
        <w:t xml:space="preserve">Р е използвана информация от </w:t>
      </w:r>
      <w:r w:rsidR="00C37820" w:rsidRPr="007A64EA">
        <w:rPr>
          <w:i/>
        </w:rPr>
        <w:t>Годишните докл</w:t>
      </w:r>
      <w:r w:rsidR="00C37820" w:rsidRPr="007A64EA">
        <w:rPr>
          <w:i/>
        </w:rPr>
        <w:t>а</w:t>
      </w:r>
      <w:r w:rsidR="00C37820" w:rsidRPr="007A64EA">
        <w:rPr>
          <w:i/>
        </w:rPr>
        <w:t xml:space="preserve">ди за наблюдение на изпълнението за 2014, 2015 и 2016 г. </w:t>
      </w:r>
      <w:r w:rsidR="00C37820">
        <w:t>Предвид това, че за множес</w:t>
      </w:r>
      <w:r w:rsidR="00C37820">
        <w:t>т</w:t>
      </w:r>
      <w:r w:rsidR="00C37820">
        <w:t xml:space="preserve">во от специфичните индикатори, </w:t>
      </w:r>
      <w:r w:rsidR="00C37820" w:rsidRPr="007A64EA">
        <w:rPr>
          <w:i/>
        </w:rPr>
        <w:t>Годишните доклади</w:t>
      </w:r>
      <w:r w:rsidR="00C37820">
        <w:t xml:space="preserve"> представят информация за прое</w:t>
      </w:r>
      <w:r w:rsidR="00C37820">
        <w:t>к</w:t>
      </w:r>
      <w:r w:rsidR="00C37820">
        <w:t xml:space="preserve">ти и мерки, осъществявани през периода до 2016 </w:t>
      </w:r>
      <w:r w:rsidR="00685B90">
        <w:t xml:space="preserve">г. </w:t>
      </w:r>
      <w:r w:rsidR="00C37820">
        <w:t>с финансов ресурс на програмите 2007</w:t>
      </w:r>
      <w:r w:rsidR="00685B90">
        <w:t>-</w:t>
      </w:r>
      <w:r w:rsidR="00C37820">
        <w:t>2013 г., за целите на оценката е извършвана верификация на данните за индикат</w:t>
      </w:r>
      <w:r w:rsidR="00C37820">
        <w:t>о</w:t>
      </w:r>
      <w:r w:rsidR="00C37820">
        <w:t>рите по приоритети с цел отразяване на проектите, финансирани в рамките на оценяв</w:t>
      </w:r>
      <w:r w:rsidR="00C37820">
        <w:t>а</w:t>
      </w:r>
      <w:r w:rsidR="00C37820">
        <w:t>ния период, т.е</w:t>
      </w:r>
      <w:r w:rsidR="00CD1857">
        <w:t>.</w:t>
      </w:r>
      <w:r w:rsidR="00C37820">
        <w:t xml:space="preserve"> от 2014 г. – както от ЕС фондове, така и от национален и местни б</w:t>
      </w:r>
      <w:r w:rsidR="00C37820">
        <w:t>ю</w:t>
      </w:r>
      <w:r w:rsidR="00C37820">
        <w:t>джети (при налични данни в годишните доклади за изпълнение).</w:t>
      </w:r>
    </w:p>
    <w:p w:rsidR="007A64EA" w:rsidRDefault="007A64EA" w:rsidP="00C37820">
      <w:r w:rsidRPr="007A64EA">
        <w:t>Орган за провеждане на държавната политика за регионално развитие в С</w:t>
      </w:r>
      <w:r>
        <w:t>З</w:t>
      </w:r>
      <w:r w:rsidRPr="007A64EA">
        <w:t>Р е РСР на С</w:t>
      </w:r>
      <w:r>
        <w:t>З</w:t>
      </w:r>
      <w:r w:rsidRPr="007A64EA">
        <w:t>Р.</w:t>
      </w:r>
    </w:p>
    <w:p w:rsidR="00B137A1" w:rsidRDefault="00790D19" w:rsidP="00790D19">
      <w:pPr>
        <w:pStyle w:val="Heading4"/>
      </w:pPr>
      <w:r w:rsidRPr="00790D19">
        <w:lastRenderedPageBreak/>
        <w:tab/>
        <w:t>Прилагане принципа на партньорство</w:t>
      </w:r>
    </w:p>
    <w:p w:rsidR="00790D19" w:rsidRPr="00CD53E6" w:rsidRDefault="00790D19" w:rsidP="00790D19">
      <w:pPr>
        <w:rPr>
          <w:lang w:eastAsia="bg-BG"/>
        </w:rPr>
      </w:pPr>
      <w:r w:rsidRPr="00CD53E6">
        <w:rPr>
          <w:lang w:eastAsia="bg-BG"/>
        </w:rPr>
        <w:t>Осъществява се координация и взаимодействие между членовете на РСР, член</w:t>
      </w:r>
      <w:r w:rsidRPr="00CD53E6">
        <w:rPr>
          <w:lang w:eastAsia="bg-BG"/>
        </w:rPr>
        <w:t>о</w:t>
      </w:r>
      <w:r w:rsidRPr="00CD53E6">
        <w:rPr>
          <w:lang w:eastAsia="bg-BG"/>
        </w:rPr>
        <w:t>вете на РКК и Секретариата на РСР. Подобрено е взаимодействието с централните и териториалните структури на изпълнителната власт при изпълнението на решенията на РСР.</w:t>
      </w:r>
    </w:p>
    <w:p w:rsidR="00790D19" w:rsidRPr="00790D19" w:rsidRDefault="00790D19" w:rsidP="00790D19">
      <w:r w:rsidRPr="00CD53E6">
        <w:rPr>
          <w:lang w:eastAsia="bg-BG"/>
        </w:rPr>
        <w:t>С проведените съвместни заседания на РСР и РКК е подобрена координацията между областите, общините, министерствата и социално-икономическите партньори за ефективно и ефикасно провеждане на държавната политика на територията на района, посредством адекватно планиране, изпълнение, наблюдение и оценка на стратегическ</w:t>
      </w:r>
      <w:r w:rsidRPr="00CD53E6">
        <w:rPr>
          <w:lang w:eastAsia="bg-BG"/>
        </w:rPr>
        <w:t>и</w:t>
      </w:r>
      <w:r w:rsidRPr="00CD53E6">
        <w:rPr>
          <w:lang w:eastAsia="bg-BG"/>
        </w:rPr>
        <w:t>те и планови документи на национално, регионално и местно нива, касаещи региона</w:t>
      </w:r>
      <w:r w:rsidRPr="00CD53E6">
        <w:rPr>
          <w:lang w:eastAsia="bg-BG"/>
        </w:rPr>
        <w:t>л</w:t>
      </w:r>
      <w:r w:rsidRPr="00CD53E6">
        <w:rPr>
          <w:lang w:eastAsia="bg-BG"/>
        </w:rPr>
        <w:t>ното развитие и опазването на околната среда в С</w:t>
      </w:r>
      <w:r>
        <w:rPr>
          <w:lang w:eastAsia="bg-BG"/>
        </w:rPr>
        <w:t>З</w:t>
      </w:r>
      <w:r w:rsidRPr="00CD53E6">
        <w:rPr>
          <w:lang w:eastAsia="bg-BG"/>
        </w:rPr>
        <w:t>Р.</w:t>
      </w:r>
    </w:p>
    <w:p w:rsidR="00FB72E5" w:rsidRPr="00336ECE" w:rsidRDefault="00FB72E5" w:rsidP="00427DD4">
      <w:pPr>
        <w:pStyle w:val="Heading4"/>
      </w:pPr>
      <w:r w:rsidRPr="00336ECE">
        <w:t>Наблюдение и оценка на изпълнението на РПР на С</w:t>
      </w:r>
      <w:r w:rsidR="00A25A38">
        <w:t>З</w:t>
      </w:r>
      <w:r w:rsidRPr="00336ECE">
        <w:t>Р</w:t>
      </w:r>
    </w:p>
    <w:p w:rsidR="00A25A38" w:rsidRDefault="00A25A38" w:rsidP="00A25A38">
      <w:r>
        <w:t>В съответствие с предвижданията на НСРР системата от индикатори за наблюд</w:t>
      </w:r>
      <w:r>
        <w:t>е</w:t>
      </w:r>
      <w:r>
        <w:t xml:space="preserve">ние и оценка на РПР на СЗР се състои от две основни групи индикатори </w:t>
      </w:r>
      <w:r w:rsidR="00B137A1">
        <w:t>–</w:t>
      </w:r>
      <w:r>
        <w:t xml:space="preserve"> предварите</w:t>
      </w:r>
      <w:r>
        <w:t>л</w:t>
      </w:r>
      <w:r>
        <w:t>но</w:t>
      </w:r>
      <w:r w:rsidR="00B137A1">
        <w:t xml:space="preserve"> </w:t>
      </w:r>
      <w:r>
        <w:t>установени в национални и европейски стратегически документи (</w:t>
      </w:r>
      <w:r>
        <w:rPr>
          <w:lang w:eastAsia="bg-BG"/>
        </w:rPr>
        <w:t xml:space="preserve">Стратегия </w:t>
      </w:r>
      <w:r w:rsidR="00416C31">
        <w:rPr>
          <w:lang w:eastAsia="bg-BG"/>
        </w:rPr>
        <w:t>"</w:t>
      </w:r>
      <w:r>
        <w:rPr>
          <w:lang w:eastAsia="bg-BG"/>
        </w:rPr>
        <w:t>Евр</w:t>
      </w:r>
      <w:r>
        <w:rPr>
          <w:lang w:eastAsia="bg-BG"/>
        </w:rPr>
        <w:t>о</w:t>
      </w:r>
      <w:r>
        <w:rPr>
          <w:lang w:eastAsia="bg-BG"/>
        </w:rPr>
        <w:t>па 2020</w:t>
      </w:r>
      <w:r w:rsidR="00416C31">
        <w:rPr>
          <w:lang w:eastAsia="bg-BG"/>
        </w:rPr>
        <w:t>"</w:t>
      </w:r>
      <w:r>
        <w:rPr>
          <w:lang w:eastAsia="bg-BG"/>
        </w:rPr>
        <w:t>, макроикономическите критерии към НСРР, глобалните цели за опазване и възстановяване на околната среда) и специфични индикатори за наблюдение на отде</w:t>
      </w:r>
      <w:r>
        <w:rPr>
          <w:lang w:eastAsia="bg-BG"/>
        </w:rPr>
        <w:t>л</w:t>
      </w:r>
      <w:r>
        <w:rPr>
          <w:lang w:eastAsia="bg-BG"/>
        </w:rPr>
        <w:t>ните приоритети на плана.</w:t>
      </w:r>
    </w:p>
    <w:p w:rsidR="00A25A38" w:rsidRDefault="00A25A38" w:rsidP="00A25A38">
      <w:pPr>
        <w:spacing w:after="0"/>
        <w:contextualSpacing/>
      </w:pPr>
      <w:r>
        <w:t xml:space="preserve">Съгласно констатациите на </w:t>
      </w:r>
      <w:r>
        <w:rPr>
          <w:i/>
        </w:rPr>
        <w:t>Предварителната оценка на РПР на СЗР</w:t>
      </w:r>
      <w:r>
        <w:t>, системата от индикатори за наблюдение и оценка не е включена в разработения документ. Дадени са препоръки за нейното разработване. Представената в окончателния документ сист</w:t>
      </w:r>
      <w:r>
        <w:t>е</w:t>
      </w:r>
      <w:r>
        <w:t xml:space="preserve">ма е </w:t>
      </w:r>
      <w:r w:rsidRPr="00790D19">
        <w:rPr>
          <w:color w:val="943634" w:themeColor="accent2" w:themeShade="BF"/>
        </w:rPr>
        <w:t>добре разработена и почива на стабилна методическа основа</w:t>
      </w:r>
      <w:r>
        <w:t>. Посочените индик</w:t>
      </w:r>
      <w:r>
        <w:t>а</w:t>
      </w:r>
      <w:r>
        <w:t xml:space="preserve">тори са свързани с националните и европейските стратегически цели, като също така отразяват регионалното ниво на планиране. </w:t>
      </w:r>
    </w:p>
    <w:p w:rsidR="00A25A38" w:rsidRDefault="00A25A38" w:rsidP="00A25A38">
      <w:pPr>
        <w:spacing w:after="0"/>
        <w:contextualSpacing/>
      </w:pPr>
      <w:r>
        <w:t xml:space="preserve">Анализът на определените междинни и крайни цели на ключовите индикатори за изпълнение на РПР на СЗР показва, че е прилаган </w:t>
      </w:r>
      <w:r>
        <w:rPr>
          <w:b/>
        </w:rPr>
        <w:t>реалистичен подход</w:t>
      </w:r>
      <w:r>
        <w:t xml:space="preserve"> при определяне на целевите стойности на </w:t>
      </w:r>
      <w:r>
        <w:rPr>
          <w:b/>
        </w:rPr>
        <w:t>ключовите индикатори</w:t>
      </w:r>
      <w:r>
        <w:t>.</w:t>
      </w:r>
    </w:p>
    <w:p w:rsidR="003B5200" w:rsidRDefault="003B5200" w:rsidP="003B5200">
      <w:pPr>
        <w:pStyle w:val="Heading3"/>
        <w:spacing w:before="120" w:after="0"/>
      </w:pPr>
      <w:bookmarkStart w:id="20" w:name="_Toc500325560"/>
      <w:r w:rsidRPr="008B406C">
        <w:lastRenderedPageBreak/>
        <w:t>Промени в социалното и икономическото развитие на</w:t>
      </w:r>
      <w:r>
        <w:t xml:space="preserve"> </w:t>
      </w:r>
      <w:r w:rsidRPr="00EB1055">
        <w:rPr>
          <w:noProof/>
        </w:rPr>
        <w:t>С</w:t>
      </w:r>
      <w:r w:rsidR="00BD205F">
        <w:rPr>
          <w:noProof/>
        </w:rPr>
        <w:t>З</w:t>
      </w:r>
      <w:r w:rsidRPr="00EB1055">
        <w:rPr>
          <w:noProof/>
        </w:rPr>
        <w:t>Р</w:t>
      </w:r>
      <w:r>
        <w:rPr>
          <w:noProof/>
        </w:rPr>
        <w:t xml:space="preserve"> </w:t>
      </w:r>
      <w:r>
        <w:t xml:space="preserve">и съответствие на </w:t>
      </w:r>
      <w:r w:rsidRPr="00812A48">
        <w:t>РПР</w:t>
      </w:r>
      <w:r>
        <w:t xml:space="preserve"> с тях</w:t>
      </w:r>
      <w:bookmarkEnd w:id="20"/>
    </w:p>
    <w:p w:rsidR="003B5200" w:rsidRDefault="003B5200" w:rsidP="00B667EE">
      <w:pPr>
        <w:keepLines/>
        <w:spacing w:before="240" w:after="0"/>
      </w:pPr>
      <w:r w:rsidRPr="008B406C">
        <w:t>Социалното и икономическото развитие на</w:t>
      </w:r>
      <w:r>
        <w:t xml:space="preserve"> </w:t>
      </w:r>
      <w:r w:rsidRPr="00EB1055">
        <w:rPr>
          <w:noProof/>
        </w:rPr>
        <w:t>С</w:t>
      </w:r>
      <w:r>
        <w:rPr>
          <w:noProof/>
        </w:rPr>
        <w:t>З</w:t>
      </w:r>
      <w:r w:rsidRPr="00EB1055">
        <w:rPr>
          <w:noProof/>
        </w:rPr>
        <w:t>Р</w:t>
      </w:r>
      <w:r>
        <w:rPr>
          <w:noProof/>
        </w:rPr>
        <w:t xml:space="preserve"> през периода </w:t>
      </w:r>
      <w:r>
        <w:t>2014-2017</w:t>
      </w:r>
      <w:r w:rsidRPr="00933864">
        <w:t xml:space="preserve"> г. </w:t>
      </w:r>
      <w:r>
        <w:rPr>
          <w:noProof/>
        </w:rPr>
        <w:t xml:space="preserve">се характеризира </w:t>
      </w:r>
      <w:r w:rsidRPr="00FE5818">
        <w:rPr>
          <w:noProof/>
        </w:rPr>
        <w:t xml:space="preserve">с положителна промяна на ключовите </w:t>
      </w:r>
      <w:r>
        <w:t xml:space="preserve">макроикономически </w:t>
      </w:r>
      <w:r w:rsidRPr="00FE5818">
        <w:rPr>
          <w:noProof/>
        </w:rPr>
        <w:t xml:space="preserve">индикатори. </w:t>
      </w:r>
      <w:r w:rsidRPr="00933864">
        <w:t xml:space="preserve">Това се дължи основно на общата динамика на развитието на страната </w:t>
      </w:r>
      <w:r>
        <w:t>след 2012</w:t>
      </w:r>
      <w:r w:rsidR="00DE569F">
        <w:t xml:space="preserve"> </w:t>
      </w:r>
      <w:r w:rsidRPr="00933864">
        <w:t>г., и</w:t>
      </w:r>
      <w:r w:rsidRPr="00933864">
        <w:t>з</w:t>
      </w:r>
      <w:r w:rsidRPr="00933864">
        <w:t xml:space="preserve">разяваща се в нарастване на БВП с темпове по-бързи от средните за ЕС, </w:t>
      </w:r>
      <w:r>
        <w:t>които части</w:t>
      </w:r>
      <w:r>
        <w:t>ч</w:t>
      </w:r>
      <w:r>
        <w:t xml:space="preserve">но, възстановяват </w:t>
      </w:r>
      <w:r w:rsidR="006A1FB7">
        <w:t xml:space="preserve">нивата на </w:t>
      </w:r>
      <w:r>
        <w:t xml:space="preserve">растеж от преди 2009 г. Прогнозните данни потвърждават, че до 2020 г. темпът на растеж на БВП се очаква да бъде по-бърз от средния за ЕС 28. </w:t>
      </w:r>
    </w:p>
    <w:p w:rsidR="003B5200" w:rsidRPr="00933864" w:rsidRDefault="003B5200" w:rsidP="006A1FB7">
      <w:pPr>
        <w:pStyle w:val="Caption"/>
        <w:spacing w:before="240"/>
      </w:pPr>
      <w:bookmarkStart w:id="21" w:name="_Toc500329881"/>
      <w:r w:rsidRPr="00A9757F">
        <w:t xml:space="preserve">графика </w:t>
      </w:r>
      <w:fldSimple w:instr=" SEQ графика \* ARABIC ">
        <w:r w:rsidR="00BA3ACC">
          <w:rPr>
            <w:noProof/>
          </w:rPr>
          <w:t>2</w:t>
        </w:r>
      </w:fldSimple>
      <w:r w:rsidRPr="00A9757F">
        <w:t>.</w:t>
      </w:r>
      <w:r w:rsidRPr="00A9757F">
        <w:tab/>
      </w:r>
      <w:bookmarkStart w:id="22" w:name="_Toc497842488"/>
      <w:r w:rsidRPr="00A9757F">
        <w:t>Динамика на растежа на БВП за периода 2005-2016 г. и прогнозни данни за 2017-2020 г.</w:t>
      </w:r>
      <w:bookmarkEnd w:id="21"/>
      <w:bookmarkEnd w:id="22"/>
    </w:p>
    <w:p w:rsidR="003B5200" w:rsidRDefault="003B5200" w:rsidP="007C0CD9">
      <w:pPr>
        <w:pStyle w:val="graff"/>
      </w:pPr>
      <w:r>
        <w:rPr>
          <w:noProof/>
        </w:rPr>
        <w:drawing>
          <wp:inline distT="0" distB="0" distL="0" distR="0" wp14:anchorId="5ABCD1C7" wp14:editId="18C8B7EE">
            <wp:extent cx="5760000" cy="2520000"/>
            <wp:effectExtent l="0" t="0" r="12700" b="13970"/>
            <wp:docPr id="46" name="Chart 4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DBB8CB-250D-451B-B077-6D0E03E795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B5200" w:rsidRDefault="003B5200" w:rsidP="007C0CD9">
      <w:pPr>
        <w:pStyle w:val="sources"/>
      </w:pPr>
      <w:r w:rsidRPr="00C36C3C">
        <w:t xml:space="preserve">Източници: НСИ, ЕВРОСТАТ, ЕК Генерална дирекция </w:t>
      </w:r>
      <w:r w:rsidR="00416C31">
        <w:t>"</w:t>
      </w:r>
      <w:r w:rsidRPr="00C36C3C">
        <w:t>Икономически и финансови въпроси</w:t>
      </w:r>
      <w:r w:rsidR="00416C31">
        <w:t>"</w:t>
      </w:r>
    </w:p>
    <w:p w:rsidR="003B5200" w:rsidRPr="00C36C3C" w:rsidRDefault="003B5200" w:rsidP="006A1FB7">
      <w:pPr>
        <w:pStyle w:val="Caption"/>
        <w:spacing w:before="240"/>
      </w:pPr>
      <w:bookmarkStart w:id="23" w:name="_Toc280018052"/>
      <w:bookmarkStart w:id="24" w:name="_Toc500329882"/>
      <w:r w:rsidRPr="00303E57">
        <w:t xml:space="preserve">графика </w:t>
      </w:r>
      <w:fldSimple w:instr=" SEQ графика \* ARABIC ">
        <w:r w:rsidR="00BA3ACC">
          <w:rPr>
            <w:noProof/>
          </w:rPr>
          <w:t>3</w:t>
        </w:r>
      </w:fldSimple>
      <w:r w:rsidRPr="00303E57">
        <w:t>.</w:t>
      </w:r>
      <w:r w:rsidRPr="00303E57">
        <w:tab/>
      </w:r>
      <w:r>
        <w:t>Ръст</w:t>
      </w:r>
      <w:r w:rsidRPr="00303E57">
        <w:t xml:space="preserve"> на БВП за периода 2000-2015 г.</w:t>
      </w:r>
      <w:bookmarkEnd w:id="23"/>
      <w:r>
        <w:t xml:space="preserve"> на национално ниво, (млн.</w:t>
      </w:r>
      <w:r w:rsidR="00E63FE2">
        <w:t xml:space="preserve"> </w:t>
      </w:r>
      <w:r>
        <w:t>лв.) и принос на районите от н</w:t>
      </w:r>
      <w:r>
        <w:t>и</w:t>
      </w:r>
      <w:r>
        <w:t>во 2, %</w:t>
      </w:r>
      <w:bookmarkEnd w:id="24"/>
    </w:p>
    <w:p w:rsidR="003B5200" w:rsidRDefault="003B5200" w:rsidP="007C0CD9">
      <w:pPr>
        <w:pStyle w:val="graff"/>
      </w:pPr>
      <w:r>
        <w:rPr>
          <w:noProof/>
        </w:rPr>
        <w:drawing>
          <wp:inline distT="0" distB="0" distL="0" distR="0" wp14:anchorId="6744E9DE" wp14:editId="59CCE3A1">
            <wp:extent cx="5760000" cy="2520000"/>
            <wp:effectExtent l="0" t="0" r="12700" b="13970"/>
            <wp:docPr id="47" name="Chart 4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10C904-270F-416D-A6DC-E768F41ED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B5200" w:rsidRPr="0012433D" w:rsidRDefault="003B5200" w:rsidP="007C0CD9">
      <w:pPr>
        <w:pStyle w:val="sources"/>
      </w:pPr>
      <w:r>
        <w:t>Източник: НСИ</w:t>
      </w:r>
    </w:p>
    <w:p w:rsidR="007D432F" w:rsidRDefault="007D432F" w:rsidP="007D432F">
      <w:pPr>
        <w:spacing w:before="360"/>
      </w:pPr>
      <w:r w:rsidRPr="00B9759D">
        <w:lastRenderedPageBreak/>
        <w:t>Въпреки общото развитие на икономиката на СЗР, темповете на нарастване на БВП за периода до 2008 г. са най-ниски, в сравнение с тези на останалите райони от н</w:t>
      </w:r>
      <w:r w:rsidRPr="00B9759D">
        <w:t>и</w:t>
      </w:r>
      <w:r w:rsidRPr="00B9759D">
        <w:t xml:space="preserve">во 2. </w:t>
      </w:r>
      <w:r>
        <w:t>В периода 2009</w:t>
      </w:r>
      <w:r w:rsidR="0029310E">
        <w:t>-</w:t>
      </w:r>
      <w:r>
        <w:t xml:space="preserve">2015 г. продължава да е валидна регистрираната за </w:t>
      </w:r>
      <w:r w:rsidRPr="00933864">
        <w:t xml:space="preserve">2004-2008 г. </w:t>
      </w:r>
      <w:r w:rsidRPr="00F47269">
        <w:rPr>
          <w:b/>
        </w:rPr>
        <w:t>устойчива тенденци</w:t>
      </w:r>
      <w:r w:rsidR="006F4346">
        <w:rPr>
          <w:b/>
        </w:rPr>
        <w:t>я за намаляване на приноса на СЗ</w:t>
      </w:r>
      <w:r w:rsidRPr="00F47269">
        <w:rPr>
          <w:b/>
        </w:rPr>
        <w:t>Р в общия БВП</w:t>
      </w:r>
      <w:r>
        <w:t xml:space="preserve">. Въпреки че </w:t>
      </w:r>
      <w:r w:rsidRPr="00F47269">
        <w:rPr>
          <w:b/>
        </w:rPr>
        <w:t>намалението се забавя</w:t>
      </w:r>
      <w:r>
        <w:t>, в периода 2009</w:t>
      </w:r>
      <w:r w:rsidR="0029310E">
        <w:t>-</w:t>
      </w:r>
      <w:r>
        <w:t>2015 г. е 0,8% (при 1,8% за 2004</w:t>
      </w:r>
      <w:r w:rsidR="00657424">
        <w:t>-</w:t>
      </w:r>
      <w:r>
        <w:t>2008</w:t>
      </w:r>
      <w:r w:rsidR="00657424">
        <w:t xml:space="preserve"> г.</w:t>
      </w:r>
      <w:r>
        <w:t>)</w:t>
      </w:r>
      <w:r w:rsidRPr="00933864">
        <w:t xml:space="preserve">. </w:t>
      </w:r>
      <w:r>
        <w:t>В п</w:t>
      </w:r>
      <w:r>
        <w:t>е</w:t>
      </w:r>
      <w:r>
        <w:t>риода 2011</w:t>
      </w:r>
      <w:r w:rsidR="00657424">
        <w:t>-</w:t>
      </w:r>
      <w:r>
        <w:t xml:space="preserve">2015 г. </w:t>
      </w:r>
      <w:r w:rsidRPr="00F47269">
        <w:rPr>
          <w:b/>
        </w:rPr>
        <w:t xml:space="preserve">БВП на човек на населението в района </w:t>
      </w:r>
      <w:r>
        <w:rPr>
          <w:b/>
        </w:rPr>
        <w:t>намалява</w:t>
      </w:r>
      <w:r w:rsidRPr="00F47269">
        <w:rPr>
          <w:b/>
        </w:rPr>
        <w:t xml:space="preserve"> с 1% спрямо средното за страната</w:t>
      </w:r>
      <w:r>
        <w:t>.</w:t>
      </w:r>
    </w:p>
    <w:p w:rsidR="003B1D6F" w:rsidRPr="00877FF0" w:rsidRDefault="003B1D6F" w:rsidP="003B1D6F">
      <w:r w:rsidRPr="00657424">
        <w:rPr>
          <w:i/>
          <w:color w:val="943634" w:themeColor="accent2" w:themeShade="BF"/>
        </w:rPr>
        <w:t xml:space="preserve">Коефициентът на икономическа активност </w:t>
      </w:r>
      <w:r>
        <w:t>нараства чак през 2013 г., като през 2015 г. е 46,6% или по-високо от междинната целева стойност на индикатора (44,6). Активността остава далече по-ниска от средното за страната (54,1), а през 2016 г. отн</w:t>
      </w:r>
      <w:r>
        <w:t>о</w:t>
      </w:r>
      <w:r>
        <w:t xml:space="preserve">во спада до най-ниското си нива след 2007 г. </w:t>
      </w:r>
      <w:r w:rsidR="00877FF0">
        <w:t xml:space="preserve">Това определя </w:t>
      </w:r>
      <w:r w:rsidR="00877FF0" w:rsidRPr="00877FF0">
        <w:t xml:space="preserve">поставената цел 2020 като </w:t>
      </w:r>
      <w:r w:rsidRPr="00877FF0">
        <w:t>силно амбициозна</w:t>
      </w:r>
      <w:r w:rsidR="00877FF0" w:rsidRPr="00877FF0">
        <w:t>.</w:t>
      </w:r>
    </w:p>
    <w:p w:rsidR="003B1D6F" w:rsidRDefault="003B1D6F" w:rsidP="003B1D6F">
      <w:r w:rsidRPr="00657424">
        <w:rPr>
          <w:i/>
          <w:color w:val="943634" w:themeColor="accent2" w:themeShade="BF"/>
        </w:rPr>
        <w:t>Коефициентът на безработица</w:t>
      </w:r>
      <w:r w:rsidRPr="00657424">
        <w:rPr>
          <w:color w:val="943634" w:themeColor="accent2" w:themeShade="BF"/>
        </w:rPr>
        <w:t xml:space="preserve"> </w:t>
      </w:r>
      <w:r>
        <w:t>намалява през 2015 г. за първи пъ</w:t>
      </w:r>
      <w:r w:rsidR="00E56E09">
        <w:t>т</w:t>
      </w:r>
      <w:r>
        <w:t xml:space="preserve"> след икон</w:t>
      </w:r>
      <w:r>
        <w:t>о</w:t>
      </w:r>
      <w:r>
        <w:t>мическата криза и достига 12,1% при 9,1% средно за страната. Стойността остава по-висока от междинната целев</w:t>
      </w:r>
      <w:r w:rsidR="00877FF0">
        <w:t>а стойност за 2015 г. от 10,8%.</w:t>
      </w:r>
    </w:p>
    <w:p w:rsidR="00B667EE" w:rsidRDefault="003B1D6F" w:rsidP="00B667EE">
      <w:r w:rsidRPr="00657424">
        <w:rPr>
          <w:i/>
          <w:color w:val="943634" w:themeColor="accent2" w:themeShade="BF"/>
        </w:rPr>
        <w:t>Общият доход на лице от домакинство</w:t>
      </w:r>
      <w:r w:rsidRPr="00657424">
        <w:rPr>
          <w:color w:val="943634" w:themeColor="accent2" w:themeShade="BF"/>
        </w:rPr>
        <w:t xml:space="preserve"> </w:t>
      </w:r>
      <w:r>
        <w:t xml:space="preserve">нараства </w:t>
      </w:r>
      <w:r w:rsidR="00E56E09">
        <w:t>съществено в периода 2012</w:t>
      </w:r>
      <w:r w:rsidR="00657424">
        <w:t>-</w:t>
      </w:r>
      <w:r w:rsidR="00E56E09">
        <w:t>2014</w:t>
      </w:r>
      <w:r>
        <w:t xml:space="preserve"> г., като стойността за 2015 г. от 4520 лв. надхвърля междинна</w:t>
      </w:r>
      <w:r w:rsidR="00E56E09">
        <w:t>та целева стойност (4 220 лв.). Доходът през 2016 г. от 4 841 лв. показва известен потенциал за постигане на цел 2020 (5 3</w:t>
      </w:r>
      <w:r>
        <w:t>00 лв.)</w:t>
      </w:r>
    </w:p>
    <w:p w:rsidR="00E56E09" w:rsidRDefault="00E56E09" w:rsidP="00B667EE">
      <w:r>
        <w:t>Потвърждават се предвижданията на междинната оценка на РПР за периода 2007</w:t>
      </w:r>
      <w:r w:rsidR="00685B90">
        <w:t>-</w:t>
      </w:r>
      <w:r>
        <w:t xml:space="preserve">2013 г. </w:t>
      </w:r>
      <w:r w:rsidRPr="00933864">
        <w:t xml:space="preserve">за възстановяване на относително ниските нива на растеж </w:t>
      </w:r>
      <w:r w:rsidRPr="007F24E1">
        <w:t>след средата на 2011 г.</w:t>
      </w:r>
      <w:r w:rsidRPr="00933864">
        <w:t xml:space="preserve"> Общата перспектива за развитието на С</w:t>
      </w:r>
      <w:r>
        <w:t>З</w:t>
      </w:r>
      <w:r w:rsidRPr="00933864">
        <w:t>Р</w:t>
      </w:r>
      <w:r>
        <w:t xml:space="preserve"> след 2014 г. разкрива силно ограничен п</w:t>
      </w:r>
      <w:r>
        <w:t>о</w:t>
      </w:r>
      <w:r>
        <w:t xml:space="preserve">тенциал за постигане на целта от 36% </w:t>
      </w:r>
      <w:r w:rsidRPr="007F24E1">
        <w:t>дял на БВП на човек от населението от средната стойност на ЕС 2</w:t>
      </w:r>
      <w:r>
        <w:t>8 през 2020 г.</w:t>
      </w:r>
    </w:p>
    <w:p w:rsidR="00E56E09" w:rsidRPr="00933864" w:rsidRDefault="00E56E09" w:rsidP="00D14511">
      <w:pPr>
        <w:pStyle w:val="Caption"/>
      </w:pPr>
      <w:bookmarkStart w:id="25" w:name="_Toc498020734"/>
      <w:bookmarkStart w:id="26" w:name="_Toc500329894"/>
      <w:r w:rsidRPr="0006541A">
        <w:t xml:space="preserve">таблица </w:t>
      </w:r>
      <w:fldSimple w:instr=" SEQ таблица \* ARABIC ">
        <w:r w:rsidR="00BA3ACC">
          <w:rPr>
            <w:noProof/>
          </w:rPr>
          <w:t>4</w:t>
        </w:r>
      </w:fldSimple>
      <w:r w:rsidRPr="0006541A">
        <w:t>.</w:t>
      </w:r>
      <w:r w:rsidRPr="0006541A">
        <w:tab/>
      </w:r>
      <w:bookmarkEnd w:id="25"/>
      <w:r w:rsidR="00117B6B" w:rsidRPr="00117B6B">
        <w:t>Степен на постигане на целите на ключовите индикатори</w:t>
      </w:r>
      <w:bookmarkEnd w:id="26"/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3659"/>
        <w:gridCol w:w="2693"/>
        <w:gridCol w:w="2709"/>
      </w:tblGrid>
      <w:tr w:rsidR="00E56E09" w:rsidRPr="008007BB" w:rsidTr="00BA3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</w:tcPr>
          <w:p w:rsidR="00E56E09" w:rsidRPr="008007BB" w:rsidRDefault="00E56E09" w:rsidP="007C4BA2">
            <w:pPr>
              <w:spacing w:before="0"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221AE"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Ключови индикатори</w:t>
            </w:r>
          </w:p>
        </w:tc>
        <w:tc>
          <w:tcPr>
            <w:tcW w:w="2693" w:type="dxa"/>
            <w:noWrap/>
          </w:tcPr>
          <w:p w:rsidR="00E56E09" w:rsidRPr="008007BB" w:rsidRDefault="00E56E09" w:rsidP="007C4BA2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Степен на постигане на зал</w:t>
            </w:r>
            <w:r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о</w:t>
            </w:r>
            <w:r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женото изменение – цел 2015 г.</w:t>
            </w:r>
          </w:p>
        </w:tc>
        <w:tc>
          <w:tcPr>
            <w:tcW w:w="2709" w:type="dxa"/>
          </w:tcPr>
          <w:p w:rsidR="00E56E09" w:rsidRPr="008007BB" w:rsidRDefault="00BC138A" w:rsidP="007C4BA2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</w:pPr>
            <w:r w:rsidRPr="00BC138A"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Принос към постигане на цел</w:t>
            </w:r>
            <w:r w:rsidRPr="00BC138A"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и</w:t>
            </w:r>
            <w:r w:rsidRPr="00BC138A"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те на ключовите индикатори</w:t>
            </w:r>
          </w:p>
        </w:tc>
      </w:tr>
      <w:tr w:rsidR="00E56E09" w:rsidRPr="008007BB" w:rsidTr="00B667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vAlign w:val="center"/>
            <w:hideMark/>
          </w:tcPr>
          <w:p w:rsidR="00E56E09" w:rsidRPr="00C221AE" w:rsidRDefault="00E56E09" w:rsidP="00685B90">
            <w:pPr>
              <w:spacing w:before="60" w:after="6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221AE">
              <w:rPr>
                <w:color w:val="000000"/>
                <w:sz w:val="18"/>
                <w:szCs w:val="18"/>
                <w:lang w:eastAsia="bg-BG"/>
              </w:rPr>
              <w:t>БВП на човек от населението</w:t>
            </w:r>
            <w:r w:rsidR="00685B90"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C221AE">
              <w:rPr>
                <w:color w:val="000000"/>
                <w:sz w:val="18"/>
                <w:szCs w:val="18"/>
                <w:lang w:eastAsia="bg-BG"/>
              </w:rPr>
              <w:t xml:space="preserve"> лв.</w:t>
            </w:r>
          </w:p>
        </w:tc>
        <w:tc>
          <w:tcPr>
            <w:tcW w:w="2693" w:type="dxa"/>
            <w:noWrap/>
            <w:vAlign w:val="center"/>
            <w:hideMark/>
          </w:tcPr>
          <w:p w:rsidR="00E56E09" w:rsidRPr="008007BB" w:rsidRDefault="00CC4663" w:rsidP="00685B90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709" w:type="dxa"/>
            <w:shd w:val="clear" w:color="auto" w:fill="76923C" w:themeFill="accent3" w:themeFillShade="BF"/>
            <w:vAlign w:val="center"/>
          </w:tcPr>
          <w:p w:rsidR="00E56E09" w:rsidRPr="00685B90" w:rsidRDefault="00E56E09" w:rsidP="00685B90">
            <w:pPr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685B90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E56E09" w:rsidRPr="008007BB" w:rsidTr="00B667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vAlign w:val="center"/>
            <w:hideMark/>
          </w:tcPr>
          <w:p w:rsidR="00E56E09" w:rsidRPr="00C221AE" w:rsidRDefault="00E56E09" w:rsidP="00685B90">
            <w:pPr>
              <w:spacing w:before="60" w:after="6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221AE">
              <w:rPr>
                <w:color w:val="000000"/>
                <w:sz w:val="18"/>
                <w:szCs w:val="18"/>
                <w:lang w:eastAsia="bg-BG"/>
              </w:rPr>
              <w:t>Дял на БВП на човек от населението от средната стойност на ЕС 2</w:t>
            </w:r>
            <w:r>
              <w:rPr>
                <w:color w:val="000000"/>
                <w:sz w:val="18"/>
                <w:szCs w:val="18"/>
                <w:lang w:eastAsia="bg-BG"/>
              </w:rPr>
              <w:t>8</w:t>
            </w:r>
            <w:r w:rsidR="00CC4663"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C221AE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2693" w:type="dxa"/>
            <w:noWrap/>
            <w:vAlign w:val="center"/>
          </w:tcPr>
          <w:p w:rsidR="00E56E09" w:rsidRPr="008007BB" w:rsidRDefault="00685B90" w:rsidP="00685B90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1</w:t>
            </w: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709" w:type="dxa"/>
            <w:shd w:val="clear" w:color="auto" w:fill="D99594" w:themeFill="accent2" w:themeFillTint="99"/>
            <w:vAlign w:val="center"/>
          </w:tcPr>
          <w:p w:rsidR="00E56E09" w:rsidRPr="008007BB" w:rsidRDefault="00E56E09" w:rsidP="00685B90">
            <w:pPr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56E09">
              <w:rPr>
                <w:b/>
                <w:bCs/>
                <w:color w:val="000000"/>
                <w:sz w:val="18"/>
                <w:szCs w:val="18"/>
                <w:lang w:eastAsia="bg-BG"/>
              </w:rPr>
              <w:t>Ограничен принос</w:t>
            </w:r>
          </w:p>
        </w:tc>
      </w:tr>
      <w:tr w:rsidR="00685B90" w:rsidRPr="008007BB" w:rsidTr="00B667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vAlign w:val="center"/>
            <w:hideMark/>
          </w:tcPr>
          <w:p w:rsidR="00685B90" w:rsidRPr="00C221AE" w:rsidRDefault="00685B90" w:rsidP="00685B90">
            <w:pPr>
              <w:spacing w:before="60" w:after="6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221AE">
              <w:rPr>
                <w:color w:val="000000"/>
                <w:sz w:val="18"/>
                <w:szCs w:val="18"/>
                <w:lang w:eastAsia="bg-BG"/>
              </w:rPr>
              <w:t>Коефициент на безработица на населен</w:t>
            </w:r>
            <w:r w:rsidRPr="00C221AE">
              <w:rPr>
                <w:color w:val="000000"/>
                <w:sz w:val="18"/>
                <w:szCs w:val="18"/>
                <w:lang w:eastAsia="bg-BG"/>
              </w:rPr>
              <w:t>и</w:t>
            </w:r>
            <w:r w:rsidRPr="00C221AE">
              <w:rPr>
                <w:color w:val="000000"/>
                <w:sz w:val="18"/>
                <w:szCs w:val="18"/>
                <w:lang w:eastAsia="bg-BG"/>
              </w:rPr>
              <w:t>ето на 15 и повече навършени години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C221AE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2693" w:type="dxa"/>
            <w:noWrap/>
            <w:vAlign w:val="center"/>
          </w:tcPr>
          <w:p w:rsidR="00685B90" w:rsidRPr="008007BB" w:rsidRDefault="00685B90" w:rsidP="00685B90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1</w:t>
            </w: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709" w:type="dxa"/>
            <w:shd w:val="clear" w:color="auto" w:fill="D99594" w:themeFill="accent2" w:themeFillTint="99"/>
            <w:vAlign w:val="center"/>
          </w:tcPr>
          <w:p w:rsidR="00685B90" w:rsidRPr="008007BB" w:rsidRDefault="00685B90" w:rsidP="00685B90">
            <w:pPr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56E09">
              <w:rPr>
                <w:b/>
                <w:bCs/>
                <w:color w:val="000000"/>
                <w:sz w:val="18"/>
                <w:szCs w:val="18"/>
                <w:lang w:eastAsia="bg-BG"/>
              </w:rPr>
              <w:t>Ограничен принос</w:t>
            </w:r>
          </w:p>
        </w:tc>
      </w:tr>
      <w:tr w:rsidR="00685B90" w:rsidRPr="008007BB" w:rsidTr="00B667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vAlign w:val="center"/>
            <w:hideMark/>
          </w:tcPr>
          <w:p w:rsidR="00685B90" w:rsidRPr="00C221AE" w:rsidRDefault="00685B90" w:rsidP="00685B90">
            <w:pPr>
              <w:spacing w:before="60" w:after="6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221AE">
              <w:rPr>
                <w:color w:val="000000"/>
                <w:sz w:val="18"/>
                <w:szCs w:val="18"/>
                <w:lang w:eastAsia="bg-BG"/>
              </w:rPr>
              <w:t xml:space="preserve">Коефициент на икономическа активност на населението на 15 и повече навършени </w:t>
            </w:r>
            <w:r w:rsidRPr="00C221AE">
              <w:rPr>
                <w:color w:val="000000"/>
                <w:sz w:val="18"/>
                <w:szCs w:val="18"/>
                <w:lang w:eastAsia="bg-BG"/>
              </w:rPr>
              <w:lastRenderedPageBreak/>
              <w:t>години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C221AE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2693" w:type="dxa"/>
            <w:noWrap/>
            <w:vAlign w:val="center"/>
          </w:tcPr>
          <w:p w:rsidR="00685B90" w:rsidRPr="008007BB" w:rsidRDefault="00685B90" w:rsidP="00685B90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lastRenderedPageBreak/>
              <w:t>0</w:t>
            </w: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709" w:type="dxa"/>
            <w:shd w:val="clear" w:color="auto" w:fill="943634" w:themeFill="accent2" w:themeFillShade="BF"/>
            <w:vAlign w:val="center"/>
          </w:tcPr>
          <w:p w:rsidR="00685B90" w:rsidRPr="00685B90" w:rsidRDefault="00685B90" w:rsidP="00685B90">
            <w:pPr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685B90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Без принос</w:t>
            </w:r>
          </w:p>
        </w:tc>
      </w:tr>
      <w:tr w:rsidR="00685B90" w:rsidRPr="008007BB" w:rsidTr="00B667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vAlign w:val="center"/>
            <w:hideMark/>
          </w:tcPr>
          <w:p w:rsidR="00685B90" w:rsidRPr="00C221AE" w:rsidRDefault="00685B90" w:rsidP="00685B90">
            <w:pPr>
              <w:spacing w:before="60" w:after="6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221AE">
              <w:rPr>
                <w:color w:val="000000"/>
                <w:sz w:val="18"/>
                <w:szCs w:val="18"/>
                <w:lang w:eastAsia="bg-BG"/>
              </w:rPr>
              <w:lastRenderedPageBreak/>
              <w:t>Общ доход на лице от домакинство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C221AE">
              <w:rPr>
                <w:color w:val="000000"/>
                <w:sz w:val="18"/>
                <w:szCs w:val="18"/>
                <w:lang w:eastAsia="bg-BG"/>
              </w:rPr>
              <w:t xml:space="preserve"> лв.</w:t>
            </w:r>
          </w:p>
        </w:tc>
        <w:tc>
          <w:tcPr>
            <w:tcW w:w="2693" w:type="dxa"/>
            <w:noWrap/>
            <w:vAlign w:val="center"/>
          </w:tcPr>
          <w:p w:rsidR="00685B90" w:rsidRPr="008007BB" w:rsidRDefault="00685B90" w:rsidP="00685B90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709" w:type="dxa"/>
            <w:shd w:val="clear" w:color="auto" w:fill="76923C" w:themeFill="accent3" w:themeFillShade="BF"/>
            <w:vAlign w:val="center"/>
          </w:tcPr>
          <w:p w:rsidR="00685B90" w:rsidRPr="00685B90" w:rsidRDefault="00685B90" w:rsidP="00685B90">
            <w:pPr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685B90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 над планирания</w:t>
            </w:r>
          </w:p>
        </w:tc>
      </w:tr>
    </w:tbl>
    <w:p w:rsidR="00CF0841" w:rsidRDefault="00CF0841" w:rsidP="00CF0841">
      <w:pPr>
        <w:pStyle w:val="Heading3"/>
        <w:pBdr>
          <w:bottom w:val="single" w:sz="6" w:space="1" w:color="006600"/>
        </w:pBdr>
      </w:pPr>
      <w:bookmarkStart w:id="27" w:name="_Toc498020673"/>
      <w:bookmarkStart w:id="28" w:name="_Toc500325561"/>
      <w:r w:rsidRPr="00933864">
        <w:t xml:space="preserve">Степен на </w:t>
      </w:r>
      <w:r w:rsidR="007C4BA2">
        <w:t>постигане на целите на РПР на СЗ</w:t>
      </w:r>
      <w:r w:rsidRPr="00933864">
        <w:t>Р</w:t>
      </w:r>
      <w:bookmarkEnd w:id="27"/>
      <w:bookmarkEnd w:id="28"/>
    </w:p>
    <w:p w:rsidR="00CF0841" w:rsidRDefault="00CF0841" w:rsidP="00CF0841">
      <w:pPr>
        <w:keepLines/>
      </w:pPr>
      <w:r>
        <w:t>Напредъкът по изпълнение на отделните приоритети на РПР на СЗР е оценен въз основа на постигане целите на съответните специфични индикатори. Степента на по</w:t>
      </w:r>
      <w:r>
        <w:t>с</w:t>
      </w:r>
      <w:r>
        <w:t>тигане на стратегическите цели е оценена въз основа на напредъка по техните приор</w:t>
      </w:r>
      <w:r>
        <w:t>и</w:t>
      </w:r>
      <w:r>
        <w:t>тети. В допълнение е оценен и приноса на изпълнението на плана към постигане на п</w:t>
      </w:r>
      <w:r>
        <w:t>о</w:t>
      </w:r>
      <w:r>
        <w:t>казателите по Европа 2020.</w:t>
      </w:r>
    </w:p>
    <w:p w:rsidR="003F5485" w:rsidRPr="00933864" w:rsidRDefault="003F5485" w:rsidP="00D14511">
      <w:pPr>
        <w:pStyle w:val="Caption"/>
      </w:pPr>
      <w:bookmarkStart w:id="29" w:name="_Toc498020736"/>
      <w:bookmarkStart w:id="30" w:name="_Toc500329895"/>
      <w:r w:rsidRPr="0006541A">
        <w:t xml:space="preserve">таблица </w:t>
      </w:r>
      <w:fldSimple w:instr=" SEQ таблица \* ARABIC ">
        <w:r w:rsidR="00BA3ACC">
          <w:rPr>
            <w:noProof/>
          </w:rPr>
          <w:t>5</w:t>
        </w:r>
      </w:fldSimple>
      <w:r w:rsidRPr="0006541A">
        <w:t>.</w:t>
      </w:r>
      <w:r w:rsidRPr="0006541A">
        <w:tab/>
      </w:r>
      <w:r w:rsidR="00216FBA" w:rsidRPr="00216FBA">
        <w:t>Степен на изпълнение на Стратегическите цели и техните приоритети, въз основа на постигн</w:t>
      </w:r>
      <w:r w:rsidR="00216FBA" w:rsidRPr="00216FBA">
        <w:t>а</w:t>
      </w:r>
      <w:r w:rsidR="00216FBA" w:rsidRPr="00216FBA">
        <w:t>тото изменение на специфичните индикатори</w:t>
      </w:r>
      <w:bookmarkEnd w:id="29"/>
      <w:bookmarkEnd w:id="30"/>
    </w:p>
    <w:tbl>
      <w:tblPr>
        <w:tblStyle w:val="GridTable1LightAccent2"/>
        <w:tblW w:w="5000" w:type="pct"/>
        <w:tblLook w:val="04A0" w:firstRow="1" w:lastRow="0" w:firstColumn="1" w:lastColumn="0" w:noHBand="0" w:noVBand="1"/>
      </w:tblPr>
      <w:tblGrid>
        <w:gridCol w:w="6388"/>
        <w:gridCol w:w="1599"/>
        <w:gridCol w:w="1300"/>
      </w:tblGrid>
      <w:tr w:rsidR="00F149FB" w:rsidRPr="00E21CB1" w:rsidTr="00F14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3C6362" w:rsidRDefault="003C6362" w:rsidP="007C4BA2">
            <w:pPr>
              <w:spacing w:before="60" w:after="60" w:line="240" w:lineRule="auto"/>
              <w:ind w:firstLine="0"/>
              <w:rPr>
                <w:b w:val="0"/>
                <w:i/>
                <w:sz w:val="18"/>
              </w:rPr>
            </w:pPr>
            <w:r w:rsidRPr="003C6362">
              <w:rPr>
                <w:b w:val="0"/>
                <w:i/>
                <w:sz w:val="18"/>
              </w:rPr>
              <w:t>Цели и приоритети</w:t>
            </w:r>
          </w:p>
        </w:tc>
        <w:tc>
          <w:tcPr>
            <w:tcW w:w="861" w:type="pct"/>
          </w:tcPr>
          <w:p w:rsidR="00F149FB" w:rsidRPr="005C06AB" w:rsidRDefault="00F149FB" w:rsidP="00FF4D79">
            <w:pPr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5C06AB">
              <w:rPr>
                <w:b w:val="0"/>
                <w:i/>
                <w:sz w:val="18"/>
              </w:rPr>
              <w:t>Средно за при</w:t>
            </w:r>
            <w:r w:rsidRPr="005C06AB">
              <w:rPr>
                <w:b w:val="0"/>
                <w:i/>
                <w:sz w:val="18"/>
              </w:rPr>
              <w:t>о</w:t>
            </w:r>
            <w:r w:rsidRPr="005C06AB">
              <w:rPr>
                <w:b w:val="0"/>
                <w:i/>
                <w:sz w:val="18"/>
              </w:rPr>
              <w:t xml:space="preserve">ритет </w:t>
            </w:r>
            <w:r>
              <w:rPr>
                <w:b w:val="0"/>
                <w:i/>
                <w:sz w:val="18"/>
              </w:rPr>
              <w:t>–</w:t>
            </w:r>
            <w:r w:rsidRPr="005C06AB">
              <w:rPr>
                <w:b w:val="0"/>
                <w:i/>
                <w:sz w:val="18"/>
              </w:rPr>
              <w:t xml:space="preserve"> скала</w:t>
            </w:r>
          </w:p>
        </w:tc>
        <w:tc>
          <w:tcPr>
            <w:tcW w:w="700" w:type="pct"/>
          </w:tcPr>
          <w:p w:rsidR="00F149FB" w:rsidRPr="005C06AB" w:rsidRDefault="00F149FB" w:rsidP="00FF4D79">
            <w:pPr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5C06AB">
              <w:rPr>
                <w:b w:val="0"/>
                <w:i/>
                <w:sz w:val="18"/>
              </w:rPr>
              <w:t>Средно за цел</w:t>
            </w: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  <w:vAlign w:val="center"/>
          </w:tcPr>
          <w:p w:rsidR="00F149FB" w:rsidRPr="00E21CB1" w:rsidRDefault="00F149FB" w:rsidP="00F149FB">
            <w:pPr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F149FB">
              <w:rPr>
                <w:color w:val="943634" w:themeColor="accent2" w:themeShade="BF"/>
                <w:sz w:val="18"/>
              </w:rPr>
              <w:t>Стратегическа цел 1:</w:t>
            </w:r>
            <w:r w:rsidRPr="00F149FB">
              <w:rPr>
                <w:b w:val="0"/>
                <w:color w:val="943634" w:themeColor="accent2" w:themeShade="BF"/>
                <w:sz w:val="18"/>
              </w:rPr>
              <w:t xml:space="preserve"> </w:t>
            </w:r>
            <w:r w:rsidRPr="00877FF0">
              <w:rPr>
                <w:b w:val="0"/>
                <w:sz w:val="18"/>
              </w:rPr>
              <w:t>Развитие на конкурентноспособна икономика чрез н</w:t>
            </w:r>
            <w:r w:rsidRPr="00877FF0">
              <w:rPr>
                <w:b w:val="0"/>
                <w:sz w:val="18"/>
              </w:rPr>
              <w:t>а</w:t>
            </w:r>
            <w:r w:rsidRPr="00877FF0">
              <w:rPr>
                <w:b w:val="0"/>
                <w:sz w:val="18"/>
              </w:rPr>
              <w:t>сърчаване на собствения потенциал на СЗР</w:t>
            </w:r>
          </w:p>
        </w:tc>
        <w:tc>
          <w:tcPr>
            <w:tcW w:w="861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700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CD53E6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E21CB1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 1.1</w:t>
            </w:r>
            <w:r>
              <w:rPr>
                <w:b w:val="0"/>
                <w:i/>
                <w:sz w:val="18"/>
              </w:rPr>
              <w:t>:</w:t>
            </w:r>
            <w:r w:rsidRPr="00F149FB">
              <w:rPr>
                <w:b w:val="0"/>
                <w:i/>
                <w:sz w:val="18"/>
              </w:rPr>
              <w:t xml:space="preserve"> </w:t>
            </w:r>
            <w:r w:rsidRPr="00E21CB1">
              <w:rPr>
                <w:b w:val="0"/>
                <w:sz w:val="18"/>
              </w:rPr>
              <w:t>Развитие на устойчива конкурентоспособна икономика о</w:t>
            </w:r>
            <w:r w:rsidRPr="00E21CB1">
              <w:rPr>
                <w:b w:val="0"/>
                <w:sz w:val="18"/>
              </w:rPr>
              <w:t>с</w:t>
            </w:r>
            <w:r w:rsidRPr="00E21CB1">
              <w:rPr>
                <w:b w:val="0"/>
                <w:sz w:val="18"/>
              </w:rPr>
              <w:t>нована на знанието, иновациите и новите технологии</w:t>
            </w:r>
          </w:p>
        </w:tc>
        <w:tc>
          <w:tcPr>
            <w:tcW w:w="861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C00000"/>
                <w:sz w:val="20"/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00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3F5485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 1.2:</w:t>
            </w:r>
            <w:r w:rsidRPr="003F5485">
              <w:rPr>
                <w:b w:val="0"/>
                <w:sz w:val="18"/>
              </w:rPr>
              <w:t xml:space="preserve"> Насърчаване на иновациите и ресурсната ефективност</w:t>
            </w:r>
          </w:p>
        </w:tc>
        <w:tc>
          <w:tcPr>
            <w:tcW w:w="861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color w:val="006600"/>
                <w:sz w:val="20"/>
                <w:szCs w:val="20"/>
              </w:rPr>
              <w:t>5</w:t>
            </w:r>
            <w:r w:rsidRPr="00CD53E6">
              <w:rPr>
                <w:b/>
                <w:color w:val="006600"/>
                <w:sz w:val="20"/>
                <w:szCs w:val="20"/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00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3F5485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 1.3:</w:t>
            </w:r>
            <w:r w:rsidRPr="003F5485">
              <w:rPr>
                <w:b w:val="0"/>
                <w:sz w:val="18"/>
              </w:rPr>
              <w:t xml:space="preserve"> Активизиране на специфичния потенциал на регионалната икономика</w:t>
            </w:r>
          </w:p>
        </w:tc>
        <w:tc>
          <w:tcPr>
            <w:tcW w:w="861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color w:val="006600"/>
                <w:sz w:val="20"/>
                <w:szCs w:val="20"/>
              </w:rPr>
              <w:t>4</w:t>
            </w:r>
            <w:r w:rsidRPr="00CD53E6">
              <w:rPr>
                <w:b/>
                <w:color w:val="006600"/>
                <w:sz w:val="20"/>
                <w:szCs w:val="20"/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700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  <w:vAlign w:val="center"/>
          </w:tcPr>
          <w:p w:rsidR="00F149FB" w:rsidRPr="00E21CB1" w:rsidRDefault="00F149FB" w:rsidP="00F149FB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F149FB">
              <w:rPr>
                <w:color w:val="943634" w:themeColor="accent2" w:themeShade="BF"/>
                <w:sz w:val="18"/>
              </w:rPr>
              <w:t>Стратегическа цел 2:</w:t>
            </w:r>
            <w:r>
              <w:rPr>
                <w:b w:val="0"/>
                <w:sz w:val="18"/>
              </w:rPr>
              <w:t xml:space="preserve"> </w:t>
            </w:r>
            <w:r w:rsidRPr="00877FF0">
              <w:rPr>
                <w:b w:val="0"/>
                <w:sz w:val="18"/>
              </w:rPr>
              <w:t>Съхранение и развитие на човешкия капитал</w:t>
            </w:r>
          </w:p>
        </w:tc>
        <w:tc>
          <w:tcPr>
            <w:tcW w:w="861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700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CD53E6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E21CB1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 2.1</w:t>
            </w:r>
            <w:r>
              <w:rPr>
                <w:b w:val="0"/>
                <w:i/>
                <w:sz w:val="18"/>
              </w:rPr>
              <w:t>:</w:t>
            </w:r>
            <w:r w:rsidRPr="00E21CB1">
              <w:rPr>
                <w:b w:val="0"/>
                <w:sz w:val="18"/>
              </w:rPr>
              <w:t xml:space="preserve"> </w:t>
            </w:r>
            <w:r w:rsidRPr="001D0011">
              <w:rPr>
                <w:b w:val="0"/>
                <w:sz w:val="18"/>
              </w:rPr>
              <w:t>Подобряване на достъпа до образование и социална ин</w:t>
            </w:r>
            <w:r w:rsidRPr="001D0011">
              <w:rPr>
                <w:b w:val="0"/>
                <w:sz w:val="18"/>
              </w:rPr>
              <w:t>ф</w:t>
            </w:r>
            <w:r w:rsidRPr="001D0011">
              <w:rPr>
                <w:b w:val="0"/>
                <w:sz w:val="18"/>
              </w:rPr>
              <w:t>раструктура и предотвратяване на рисковете за социално изключване</w:t>
            </w:r>
          </w:p>
        </w:tc>
        <w:tc>
          <w:tcPr>
            <w:tcW w:w="861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color w:val="006600"/>
                <w:sz w:val="20"/>
                <w:szCs w:val="20"/>
              </w:rPr>
              <w:t>4</w:t>
            </w:r>
            <w:r w:rsidRPr="00CD53E6">
              <w:rPr>
                <w:b/>
                <w:color w:val="006600"/>
                <w:sz w:val="20"/>
                <w:szCs w:val="20"/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700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E21CB1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 2.2</w:t>
            </w:r>
            <w:r>
              <w:rPr>
                <w:b w:val="0"/>
                <w:i/>
                <w:sz w:val="18"/>
              </w:rPr>
              <w:t>:</w:t>
            </w:r>
            <w:r w:rsidRPr="00D73A07">
              <w:rPr>
                <w:b w:val="0"/>
                <w:sz w:val="18"/>
              </w:rPr>
              <w:t xml:space="preserve"> </w:t>
            </w:r>
            <w:r w:rsidRPr="001D0011">
              <w:rPr>
                <w:b w:val="0"/>
                <w:sz w:val="18"/>
              </w:rPr>
              <w:t>Повишаване на заетостта и развитие на пазара на труда</w:t>
            </w:r>
          </w:p>
        </w:tc>
        <w:tc>
          <w:tcPr>
            <w:tcW w:w="861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color w:val="006600"/>
                <w:sz w:val="20"/>
                <w:szCs w:val="20"/>
              </w:rPr>
              <w:t>4</w:t>
            </w:r>
            <w:r w:rsidRPr="00CD53E6">
              <w:rPr>
                <w:b/>
                <w:color w:val="006600"/>
                <w:sz w:val="20"/>
                <w:szCs w:val="20"/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700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1D0011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 2.3</w:t>
            </w:r>
            <w:r>
              <w:rPr>
                <w:b w:val="0"/>
                <w:i/>
                <w:sz w:val="18"/>
              </w:rPr>
              <w:t>:</w:t>
            </w:r>
            <w:r w:rsidRPr="00D73A07">
              <w:rPr>
                <w:b w:val="0"/>
                <w:sz w:val="18"/>
              </w:rPr>
              <w:t xml:space="preserve"> </w:t>
            </w:r>
            <w:r w:rsidRPr="001D0011">
              <w:rPr>
                <w:b w:val="0"/>
                <w:sz w:val="18"/>
              </w:rPr>
              <w:t>Укрепване на институционалния капацитет на областно и местно ниво за подобряване на процесите на управление</w:t>
            </w:r>
          </w:p>
        </w:tc>
        <w:tc>
          <w:tcPr>
            <w:tcW w:w="861" w:type="pct"/>
          </w:tcPr>
          <w:p w:rsidR="00F149F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00" w:type="pct"/>
          </w:tcPr>
          <w:p w:rsidR="00F149FB" w:rsidRPr="005C06AB" w:rsidRDefault="00F149FB" w:rsidP="007C4BA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  <w:vAlign w:val="center"/>
          </w:tcPr>
          <w:p w:rsidR="00F149FB" w:rsidRPr="00E21CB1" w:rsidRDefault="00F149FB" w:rsidP="00F149FB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F149FB">
              <w:rPr>
                <w:color w:val="943634" w:themeColor="accent2" w:themeShade="BF"/>
                <w:sz w:val="18"/>
              </w:rPr>
              <w:t>Стратегическа цел 3:</w:t>
            </w:r>
            <w:r>
              <w:rPr>
                <w:b w:val="0"/>
                <w:sz w:val="18"/>
              </w:rPr>
              <w:t xml:space="preserve"> </w:t>
            </w:r>
            <w:r w:rsidRPr="00877FF0">
              <w:rPr>
                <w:b w:val="0"/>
                <w:sz w:val="18"/>
              </w:rPr>
              <w:t>Подобряване на териториалната устойчивост и свързаност</w:t>
            </w:r>
          </w:p>
        </w:tc>
        <w:tc>
          <w:tcPr>
            <w:tcW w:w="861" w:type="pct"/>
          </w:tcPr>
          <w:p w:rsidR="00F149FB" w:rsidRPr="005C06AB" w:rsidRDefault="00F149FB" w:rsidP="007C4BA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700" w:type="pct"/>
          </w:tcPr>
          <w:p w:rsidR="00F149FB" w:rsidRPr="005C06AB" w:rsidRDefault="00F149FB" w:rsidP="007C4BA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  <w:r w:rsidRPr="00CD53E6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7C4BA2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 1:</w:t>
            </w:r>
            <w:r w:rsidRPr="007C4BA2">
              <w:rPr>
                <w:b w:val="0"/>
                <w:sz w:val="18"/>
              </w:rPr>
              <w:t xml:space="preserve"> Развитие на транспортната инфраструктура</w:t>
            </w:r>
          </w:p>
        </w:tc>
        <w:tc>
          <w:tcPr>
            <w:tcW w:w="861" w:type="pct"/>
          </w:tcPr>
          <w:p w:rsidR="00F149FB" w:rsidRPr="005C06AB" w:rsidRDefault="00F149FB" w:rsidP="007C4BA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00" w:type="pct"/>
          </w:tcPr>
          <w:p w:rsidR="00F149FB" w:rsidRPr="005C06AB" w:rsidRDefault="00F149FB" w:rsidP="007C4BA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7C4BA2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 2:</w:t>
            </w:r>
            <w:r w:rsidRPr="007C4BA2">
              <w:rPr>
                <w:b w:val="0"/>
                <w:sz w:val="18"/>
              </w:rPr>
              <w:t xml:space="preserve"> Развитие на техническата инфраструктура</w:t>
            </w:r>
          </w:p>
        </w:tc>
        <w:tc>
          <w:tcPr>
            <w:tcW w:w="861" w:type="pct"/>
          </w:tcPr>
          <w:p w:rsidR="00F149FB" w:rsidRPr="005C06AB" w:rsidRDefault="00F149FB" w:rsidP="007C4BA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color w:val="006600"/>
                <w:sz w:val="20"/>
                <w:szCs w:val="20"/>
              </w:rPr>
              <w:t>4</w:t>
            </w:r>
            <w:r w:rsidRPr="00CD53E6">
              <w:rPr>
                <w:b/>
                <w:color w:val="006600"/>
                <w:sz w:val="20"/>
                <w:szCs w:val="20"/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700" w:type="pct"/>
          </w:tcPr>
          <w:p w:rsidR="00F149FB" w:rsidRPr="005C06AB" w:rsidRDefault="00F149FB" w:rsidP="007C4BA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7C4BA2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 3:</w:t>
            </w:r>
            <w:r w:rsidRPr="007C4BA2">
              <w:rPr>
                <w:b w:val="0"/>
                <w:sz w:val="18"/>
              </w:rPr>
              <w:t xml:space="preserve"> Опазване на околната среда и биоразнообразието</w:t>
            </w:r>
          </w:p>
        </w:tc>
        <w:tc>
          <w:tcPr>
            <w:tcW w:w="861" w:type="pct"/>
          </w:tcPr>
          <w:p w:rsidR="00F149FB" w:rsidRDefault="00F149FB" w:rsidP="007C4BA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C00000"/>
                <w:sz w:val="20"/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00" w:type="pct"/>
          </w:tcPr>
          <w:p w:rsidR="00F149FB" w:rsidRPr="005C06AB" w:rsidRDefault="00F149FB" w:rsidP="007C4BA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7C4BA2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 4:</w:t>
            </w:r>
            <w:r w:rsidRPr="007C4BA2">
              <w:rPr>
                <w:b w:val="0"/>
                <w:sz w:val="18"/>
              </w:rPr>
              <w:t xml:space="preserve"> Подобряване на модела на градското и селското развитие в С</w:t>
            </w:r>
            <w:r>
              <w:rPr>
                <w:b w:val="0"/>
                <w:sz w:val="18"/>
              </w:rPr>
              <w:t>ЗР</w:t>
            </w:r>
          </w:p>
        </w:tc>
        <w:tc>
          <w:tcPr>
            <w:tcW w:w="861" w:type="pct"/>
          </w:tcPr>
          <w:p w:rsidR="00F149FB" w:rsidRPr="005C06AB" w:rsidRDefault="00F149FB" w:rsidP="00B763A1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color w:val="006600"/>
                <w:sz w:val="20"/>
                <w:szCs w:val="20"/>
              </w:rPr>
              <w:t>4</w:t>
            </w:r>
            <w:r w:rsidRPr="00CD53E6">
              <w:rPr>
                <w:b/>
                <w:color w:val="006600"/>
                <w:sz w:val="20"/>
                <w:szCs w:val="20"/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700" w:type="pct"/>
          </w:tcPr>
          <w:p w:rsidR="00F149FB" w:rsidRPr="005C06AB" w:rsidRDefault="00F149FB" w:rsidP="00B763A1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149FB" w:rsidRPr="00E21CB1" w:rsidTr="00F1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pct"/>
          </w:tcPr>
          <w:p w:rsidR="00F149FB" w:rsidRPr="007C4BA2" w:rsidRDefault="00F149FB" w:rsidP="00F149FB">
            <w:pPr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F149FB">
              <w:rPr>
                <w:b w:val="0"/>
                <w:i/>
                <w:sz w:val="18"/>
              </w:rPr>
              <w:t>Приоритет 5:</w:t>
            </w:r>
            <w:r w:rsidRPr="007C4BA2">
              <w:rPr>
                <w:b w:val="0"/>
                <w:sz w:val="18"/>
              </w:rPr>
              <w:t xml:space="preserve"> Развитие на териториалното сътрудничество</w:t>
            </w:r>
          </w:p>
        </w:tc>
        <w:tc>
          <w:tcPr>
            <w:tcW w:w="861" w:type="pct"/>
          </w:tcPr>
          <w:p w:rsidR="00F149FB" w:rsidRDefault="00F149FB" w:rsidP="00B763A1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bCs/>
                <w:color w:val="C00000"/>
                <w:sz w:val="20"/>
              </w:rPr>
              <w:t>1</w:t>
            </w:r>
            <w:r w:rsidRPr="00CD53E6">
              <w:rPr>
                <w:b/>
                <w:bCs/>
                <w:color w:val="C00000"/>
                <w:sz w:val="20"/>
              </w:rPr>
              <w:t xml:space="preserve"> </w:t>
            </w:r>
            <w:r>
              <w:rPr>
                <w:rFonts w:ascii="Calibri" w:eastAsia="+mn-ea" w:hAnsi="Wingdings" w:cs="Calibri"/>
                <w:color w:val="C000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700" w:type="pct"/>
          </w:tcPr>
          <w:p w:rsidR="00F149FB" w:rsidRPr="005C06AB" w:rsidRDefault="00F149FB" w:rsidP="00B763A1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</w:tbl>
    <w:p w:rsidR="007C4BA2" w:rsidRPr="0057608F" w:rsidRDefault="007C4BA2" w:rsidP="00B667EE">
      <w:pPr>
        <w:pStyle w:val="Heading3"/>
      </w:pPr>
      <w:bookmarkStart w:id="31" w:name="_Toc500325562"/>
      <w:r w:rsidRPr="0057608F">
        <w:lastRenderedPageBreak/>
        <w:t xml:space="preserve">Принос към постигане целите на Стратегия </w:t>
      </w:r>
      <w:r w:rsidR="00416C31">
        <w:t>"</w:t>
      </w:r>
      <w:r w:rsidRPr="0057608F">
        <w:t>Европа 2020</w:t>
      </w:r>
      <w:r w:rsidR="00416C31">
        <w:t>"</w:t>
      </w:r>
      <w:bookmarkEnd w:id="31"/>
    </w:p>
    <w:p w:rsidR="007C4BA2" w:rsidRDefault="007C4BA2" w:rsidP="007C4BA2">
      <w:r w:rsidRPr="0076210D">
        <w:t xml:space="preserve">Изпълнението на </w:t>
      </w:r>
      <w:r>
        <w:t xml:space="preserve">РПР допринася </w:t>
      </w:r>
      <w:r w:rsidRPr="0076210D">
        <w:t>изпълнението на поетите от България национа</w:t>
      </w:r>
      <w:r w:rsidRPr="0076210D">
        <w:t>л</w:t>
      </w:r>
      <w:r w:rsidRPr="0076210D">
        <w:t xml:space="preserve">ни ангажименти по отношение постигане целите на Стратегията </w:t>
      </w:r>
      <w:r w:rsidR="00416C31">
        <w:t>"</w:t>
      </w:r>
      <w:r w:rsidRPr="0076210D">
        <w:t>Европа 2020</w:t>
      </w:r>
      <w:r w:rsidR="00416C31">
        <w:t>"</w:t>
      </w:r>
      <w:r w:rsidRPr="0076210D">
        <w:t xml:space="preserve">. </w:t>
      </w:r>
      <w:r>
        <w:t>Деф</w:t>
      </w:r>
      <w:r>
        <w:t>и</w:t>
      </w:r>
      <w:r>
        <w:t>нираните индикатори</w:t>
      </w:r>
      <w:r w:rsidRPr="0076210D">
        <w:t xml:space="preserve"> обективно измерват напредъка при реализацията на най-важния стратегически документ на ниво ЕС </w:t>
      </w:r>
      <w:r w:rsidRPr="0076210D">
        <w:rPr>
          <w:b/>
        </w:rPr>
        <w:t xml:space="preserve">и до голяма степен отразяват и постигането на стратегическите цели на </w:t>
      </w:r>
      <w:r>
        <w:rPr>
          <w:b/>
        </w:rPr>
        <w:t>РПР</w:t>
      </w:r>
      <w:r w:rsidRPr="0076210D">
        <w:t xml:space="preserve">. </w:t>
      </w:r>
      <w:r>
        <w:t xml:space="preserve">За тяхното проследяване НСРР определя </w:t>
      </w:r>
      <w:r w:rsidRPr="0076210D">
        <w:t>техните цел</w:t>
      </w:r>
      <w:r w:rsidRPr="0076210D">
        <w:t>е</w:t>
      </w:r>
      <w:r w:rsidRPr="0076210D">
        <w:t>ви стойности на регионално ниво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C4BA2" w:rsidTr="007C4BA2">
        <w:tc>
          <w:tcPr>
            <w:tcW w:w="4605" w:type="dxa"/>
          </w:tcPr>
          <w:p w:rsidR="007C4BA2" w:rsidRDefault="007C4BA2" w:rsidP="00B763A1">
            <w:pPr>
              <w:pStyle w:val="Caption"/>
              <w:spacing w:before="120"/>
            </w:pPr>
            <w:bookmarkStart w:id="32" w:name="_Toc498020724"/>
            <w:bookmarkStart w:id="33" w:name="_Toc500329883"/>
            <w:r w:rsidRPr="00933864">
              <w:t xml:space="preserve">графика </w:t>
            </w:r>
            <w:fldSimple w:instr=" SEQ графика \* ARABIC ">
              <w:r w:rsidR="00BA3ACC">
                <w:rPr>
                  <w:noProof/>
                </w:rPr>
                <w:t>4</w:t>
              </w:r>
            </w:fldSimple>
            <w:r w:rsidRPr="00933864">
              <w:t>.</w:t>
            </w:r>
            <w:r w:rsidRPr="00933864">
              <w:tab/>
            </w:r>
            <w:r w:rsidRPr="00584251">
              <w:t xml:space="preserve">Коефициент на заетост на населението на възраст 20-64 </w:t>
            </w:r>
            <w:r>
              <w:t xml:space="preserve">г., </w:t>
            </w:r>
            <w:r w:rsidRPr="00584251">
              <w:t>%</w:t>
            </w:r>
            <w:bookmarkEnd w:id="32"/>
            <w:bookmarkEnd w:id="33"/>
          </w:p>
        </w:tc>
        <w:tc>
          <w:tcPr>
            <w:tcW w:w="4606" w:type="dxa"/>
          </w:tcPr>
          <w:p w:rsidR="007C4BA2" w:rsidRDefault="007C4BA2" w:rsidP="00B763A1">
            <w:pPr>
              <w:pStyle w:val="Caption"/>
              <w:spacing w:before="120"/>
            </w:pPr>
            <w:bookmarkStart w:id="34" w:name="_Toc498020725"/>
            <w:bookmarkStart w:id="35" w:name="_Toc500329884"/>
            <w:r w:rsidRPr="00933864">
              <w:t xml:space="preserve">графика </w:t>
            </w:r>
            <w:fldSimple w:instr=" SEQ графика \* ARABIC ">
              <w:r w:rsidR="00BA3ACC">
                <w:rPr>
                  <w:noProof/>
                </w:rPr>
                <w:t>5</w:t>
              </w:r>
            </w:fldSimple>
            <w:r w:rsidRPr="00933864">
              <w:t>.</w:t>
            </w:r>
            <w:r w:rsidRPr="00933864">
              <w:tab/>
            </w:r>
            <w:r w:rsidRPr="00584251">
              <w:t>Коефициент на зае</w:t>
            </w:r>
            <w:r>
              <w:t xml:space="preserve">тост на населението на възраст </w:t>
            </w:r>
            <w:r w:rsidRPr="00584251">
              <w:t>55-64 г.</w:t>
            </w:r>
            <w:r>
              <w:t>, %</w:t>
            </w:r>
            <w:bookmarkEnd w:id="34"/>
            <w:bookmarkEnd w:id="35"/>
          </w:p>
        </w:tc>
      </w:tr>
      <w:tr w:rsidR="007C4BA2" w:rsidTr="007C4BA2">
        <w:tblPrEx>
          <w:tblCellMar>
            <w:left w:w="70" w:type="dxa"/>
            <w:right w:w="70" w:type="dxa"/>
          </w:tblCellMar>
        </w:tblPrEx>
        <w:tc>
          <w:tcPr>
            <w:tcW w:w="4605" w:type="dxa"/>
          </w:tcPr>
          <w:p w:rsidR="007C4BA2" w:rsidRDefault="007C4BA2" w:rsidP="00FF4D79">
            <w:pPr>
              <w:pStyle w:val="graff"/>
            </w:pPr>
            <w:r>
              <w:rPr>
                <w:noProof/>
              </w:rPr>
              <w:drawing>
                <wp:inline distT="0" distB="0" distL="0" distR="0" wp14:anchorId="73CF5F9C" wp14:editId="7593DDF4">
                  <wp:extent cx="2772000" cy="2772000"/>
                  <wp:effectExtent l="0" t="0" r="9525" b="9525"/>
                  <wp:docPr id="101" name="Chart 1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D94F7F-B4C6-426F-86C1-95C18527E3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7C4BA2" w:rsidRDefault="007C4BA2" w:rsidP="00FF4D79">
            <w:pPr>
              <w:pStyle w:val="graff"/>
            </w:pPr>
            <w:r>
              <w:rPr>
                <w:noProof/>
              </w:rPr>
              <w:drawing>
                <wp:inline distT="0" distB="0" distL="0" distR="0" wp14:anchorId="3B27A182" wp14:editId="15ABA4BF">
                  <wp:extent cx="2772000" cy="2772000"/>
                  <wp:effectExtent l="0" t="0" r="9525" b="9525"/>
                  <wp:docPr id="103" name="Chart 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F79900-3EA2-4791-8229-C10EB003EC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7C4BA2" w:rsidTr="007C4BA2">
        <w:tc>
          <w:tcPr>
            <w:tcW w:w="4605" w:type="dxa"/>
          </w:tcPr>
          <w:p w:rsidR="007C4BA2" w:rsidRDefault="007C4BA2" w:rsidP="00D14511">
            <w:pPr>
              <w:pStyle w:val="Caption"/>
            </w:pPr>
            <w:bookmarkStart w:id="36" w:name="_Toc498020726"/>
            <w:bookmarkStart w:id="37" w:name="_Toc500329885"/>
            <w:r w:rsidRPr="00933864">
              <w:t xml:space="preserve">графика </w:t>
            </w:r>
            <w:fldSimple w:instr=" SEQ графика \* ARABIC ">
              <w:r w:rsidR="00BA3ACC">
                <w:rPr>
                  <w:noProof/>
                </w:rPr>
                <w:t>6</w:t>
              </w:r>
            </w:fldSimple>
            <w:r w:rsidRPr="00933864">
              <w:t>.</w:t>
            </w:r>
            <w:r w:rsidRPr="00933864">
              <w:tab/>
            </w:r>
            <w:r w:rsidRPr="00584251">
              <w:t>Инвестиции в научноизследователска и развойна дейност</w:t>
            </w:r>
            <w:r>
              <w:t>,</w:t>
            </w:r>
            <w:r w:rsidRPr="00584251">
              <w:t xml:space="preserve"> % от БВП</w:t>
            </w:r>
            <w:bookmarkEnd w:id="36"/>
            <w:bookmarkEnd w:id="37"/>
          </w:p>
        </w:tc>
        <w:tc>
          <w:tcPr>
            <w:tcW w:w="4606" w:type="dxa"/>
          </w:tcPr>
          <w:p w:rsidR="007C4BA2" w:rsidRDefault="007C4BA2" w:rsidP="00D14511">
            <w:pPr>
              <w:pStyle w:val="Caption"/>
            </w:pPr>
            <w:bookmarkStart w:id="38" w:name="_Toc498020727"/>
            <w:bookmarkStart w:id="39" w:name="_Toc500329886"/>
            <w:r w:rsidRPr="00933864">
              <w:t xml:space="preserve">графика </w:t>
            </w:r>
            <w:fldSimple w:instr=" SEQ графика \* ARABIC ">
              <w:r w:rsidR="00BA3ACC">
                <w:rPr>
                  <w:noProof/>
                </w:rPr>
                <w:t>7</w:t>
              </w:r>
            </w:fldSimple>
            <w:r w:rsidRPr="00933864">
              <w:t>.</w:t>
            </w:r>
            <w:r w:rsidRPr="00933864">
              <w:tab/>
            </w:r>
            <w:r w:rsidRPr="0057608F">
              <w:t>Дял на преждевременно напусналите образователната система (на възраст 18-24 г.)</w:t>
            </w:r>
            <w:r>
              <w:t xml:space="preserve">, </w:t>
            </w:r>
            <w:r w:rsidRPr="0057608F">
              <w:t>%</w:t>
            </w:r>
            <w:bookmarkEnd w:id="38"/>
            <w:bookmarkEnd w:id="39"/>
          </w:p>
        </w:tc>
      </w:tr>
      <w:tr w:rsidR="007C4BA2" w:rsidTr="007C4BA2">
        <w:tblPrEx>
          <w:tblCellMar>
            <w:left w:w="70" w:type="dxa"/>
            <w:right w:w="70" w:type="dxa"/>
          </w:tblCellMar>
        </w:tblPrEx>
        <w:tc>
          <w:tcPr>
            <w:tcW w:w="4605" w:type="dxa"/>
          </w:tcPr>
          <w:p w:rsidR="007C4BA2" w:rsidRDefault="007C4BA2" w:rsidP="00FF4D79">
            <w:pPr>
              <w:pStyle w:val="graff"/>
            </w:pPr>
            <w:r>
              <w:rPr>
                <w:noProof/>
              </w:rPr>
              <w:drawing>
                <wp:inline distT="0" distB="0" distL="0" distR="0" wp14:anchorId="0020F0B8" wp14:editId="0ABF7E1E">
                  <wp:extent cx="2772000" cy="2772000"/>
                  <wp:effectExtent l="0" t="0" r="9525" b="9525"/>
                  <wp:docPr id="108" name="Chart 1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CC06E78-82ED-4354-808C-8D474755BD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7C4BA2" w:rsidRDefault="007C4BA2" w:rsidP="00FF4D79">
            <w:pPr>
              <w:pStyle w:val="graff"/>
            </w:pPr>
            <w:r>
              <w:rPr>
                <w:noProof/>
              </w:rPr>
              <w:drawing>
                <wp:inline distT="0" distB="0" distL="0" distR="0" wp14:anchorId="161E2DF4" wp14:editId="031C0388">
                  <wp:extent cx="2772000" cy="2772000"/>
                  <wp:effectExtent l="0" t="0" r="9525" b="9525"/>
                  <wp:docPr id="112" name="Chart 1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1F52F2-88AC-4E96-86F1-E934B9CAEA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7C4BA2" w:rsidTr="007C4BA2">
        <w:tc>
          <w:tcPr>
            <w:tcW w:w="4605" w:type="dxa"/>
          </w:tcPr>
          <w:p w:rsidR="007C4BA2" w:rsidRDefault="007C4BA2" w:rsidP="00D14511">
            <w:pPr>
              <w:pStyle w:val="Caption"/>
            </w:pPr>
            <w:bookmarkStart w:id="40" w:name="_Toc498020728"/>
            <w:bookmarkStart w:id="41" w:name="_Toc500329887"/>
            <w:r w:rsidRPr="00933864">
              <w:lastRenderedPageBreak/>
              <w:t xml:space="preserve">графика </w:t>
            </w:r>
            <w:fldSimple w:instr=" SEQ графика \* ARABIC ">
              <w:r w:rsidR="00BA3ACC">
                <w:rPr>
                  <w:noProof/>
                </w:rPr>
                <w:t>8</w:t>
              </w:r>
            </w:fldSimple>
            <w:r w:rsidRPr="00933864">
              <w:t>.</w:t>
            </w:r>
            <w:r w:rsidRPr="00933864">
              <w:tab/>
            </w:r>
            <w:r w:rsidRPr="0057608F">
              <w:t>Дял на 30-34 годишните със завършено висше образование</w:t>
            </w:r>
            <w:r>
              <w:t>,</w:t>
            </w:r>
            <w:r w:rsidRPr="0057608F">
              <w:t xml:space="preserve"> %</w:t>
            </w:r>
            <w:bookmarkEnd w:id="40"/>
            <w:bookmarkEnd w:id="41"/>
          </w:p>
        </w:tc>
        <w:tc>
          <w:tcPr>
            <w:tcW w:w="4606" w:type="dxa"/>
          </w:tcPr>
          <w:p w:rsidR="007C4BA2" w:rsidRDefault="007C4BA2" w:rsidP="00D14511">
            <w:pPr>
              <w:pStyle w:val="Caption"/>
            </w:pPr>
            <w:bookmarkStart w:id="42" w:name="_Toc498020729"/>
            <w:bookmarkStart w:id="43" w:name="_Toc500329888"/>
            <w:r w:rsidRPr="00933864">
              <w:t xml:space="preserve">графика </w:t>
            </w:r>
            <w:fldSimple w:instr=" SEQ графика \* ARABIC ">
              <w:r w:rsidR="00BA3ACC">
                <w:rPr>
                  <w:noProof/>
                </w:rPr>
                <w:t>9</w:t>
              </w:r>
            </w:fldSimple>
            <w:r w:rsidRPr="00933864">
              <w:t>.</w:t>
            </w:r>
            <w:r w:rsidRPr="00933864">
              <w:tab/>
            </w:r>
            <w:r w:rsidRPr="0057608F">
              <w:t>Население в риск от бедност или соц</w:t>
            </w:r>
            <w:r w:rsidRPr="0057608F">
              <w:t>и</w:t>
            </w:r>
            <w:r w:rsidRPr="0057608F">
              <w:t>ално изключване</w:t>
            </w:r>
            <w:r>
              <w:t>,</w:t>
            </w:r>
            <w:r w:rsidRPr="0057608F">
              <w:t xml:space="preserve"> хил. души</w:t>
            </w:r>
            <w:bookmarkEnd w:id="42"/>
            <w:bookmarkEnd w:id="43"/>
          </w:p>
        </w:tc>
      </w:tr>
      <w:tr w:rsidR="007C4BA2" w:rsidTr="007C4BA2">
        <w:tblPrEx>
          <w:tblCellMar>
            <w:left w:w="70" w:type="dxa"/>
            <w:right w:w="70" w:type="dxa"/>
          </w:tblCellMar>
        </w:tblPrEx>
        <w:tc>
          <w:tcPr>
            <w:tcW w:w="4605" w:type="dxa"/>
          </w:tcPr>
          <w:p w:rsidR="007C4BA2" w:rsidRDefault="007C4BA2" w:rsidP="00FF4D79">
            <w:pPr>
              <w:pStyle w:val="graff"/>
            </w:pPr>
            <w:r>
              <w:rPr>
                <w:noProof/>
              </w:rPr>
              <w:drawing>
                <wp:inline distT="0" distB="0" distL="0" distR="0" wp14:anchorId="37BC1B54" wp14:editId="46714965">
                  <wp:extent cx="2772000" cy="2772000"/>
                  <wp:effectExtent l="0" t="0" r="9525" b="9525"/>
                  <wp:docPr id="110" name="Chart 1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F3719A-E3C8-4EB0-B279-342CB0A448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7C4BA2" w:rsidRDefault="007C4BA2" w:rsidP="00FF4D79">
            <w:pPr>
              <w:pStyle w:val="graff"/>
            </w:pPr>
            <w:r>
              <w:rPr>
                <w:noProof/>
              </w:rPr>
              <w:drawing>
                <wp:inline distT="0" distB="0" distL="0" distR="0" wp14:anchorId="0C0D09D5" wp14:editId="6539CB6E">
                  <wp:extent cx="2772000" cy="2772000"/>
                  <wp:effectExtent l="0" t="0" r="9525" b="9525"/>
                  <wp:docPr id="111" name="Chart 1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B57C46-181F-4A4A-8F99-DC0269C418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7C4BA2" w:rsidRPr="00933864" w:rsidRDefault="007C4BA2" w:rsidP="00D14511">
      <w:pPr>
        <w:pStyle w:val="Caption"/>
      </w:pPr>
      <w:bookmarkStart w:id="44" w:name="_Toc498020740"/>
      <w:bookmarkStart w:id="45" w:name="_Toc500329896"/>
      <w:r w:rsidRPr="0006541A">
        <w:t xml:space="preserve">таблица </w:t>
      </w:r>
      <w:fldSimple w:instr=" SEQ таблица \* ARABIC ">
        <w:r w:rsidR="00BA3ACC">
          <w:rPr>
            <w:noProof/>
          </w:rPr>
          <w:t>6</w:t>
        </w:r>
      </w:fldSimple>
      <w:r w:rsidRPr="0006541A">
        <w:t>.</w:t>
      </w:r>
      <w:r w:rsidRPr="0006541A">
        <w:tab/>
        <w:t xml:space="preserve">Принос на РПР към постигането на националните цели на Стратегията на ЕС </w:t>
      </w:r>
      <w:r w:rsidR="00416C31">
        <w:t>"</w:t>
      </w:r>
      <w:r w:rsidRPr="0006541A">
        <w:t>ЕВРОПА 2020</w:t>
      </w:r>
      <w:r w:rsidR="00416C31">
        <w:t>"</w:t>
      </w:r>
      <w:bookmarkEnd w:id="44"/>
      <w:bookmarkEnd w:id="45"/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C4BA2" w:rsidRPr="008007BB" w:rsidTr="00FF4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7C4BA2" w:rsidRPr="008007BB" w:rsidRDefault="007C4BA2" w:rsidP="007C4BA2">
            <w:pPr>
              <w:suppressAutoHyphens/>
              <w:spacing w:before="0"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 xml:space="preserve">Индикатори </w:t>
            </w:r>
            <w:r w:rsidR="00416C31"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"</w:t>
            </w:r>
            <w:r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Европа 2020</w:t>
            </w:r>
            <w:r w:rsidR="00416C31"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"</w:t>
            </w:r>
          </w:p>
        </w:tc>
        <w:tc>
          <w:tcPr>
            <w:tcW w:w="3020" w:type="dxa"/>
            <w:noWrap/>
          </w:tcPr>
          <w:p w:rsidR="007C4BA2" w:rsidRPr="008007BB" w:rsidRDefault="007C4BA2" w:rsidP="007C4BA2">
            <w:pPr>
              <w:suppressAutoHyphens/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Степен на постигане на заложеното изменение – цел 2015 г.</w:t>
            </w:r>
          </w:p>
        </w:tc>
        <w:tc>
          <w:tcPr>
            <w:tcW w:w="3021" w:type="dxa"/>
          </w:tcPr>
          <w:p w:rsidR="007C4BA2" w:rsidRPr="008007BB" w:rsidRDefault="007C4BA2" w:rsidP="007C4BA2">
            <w:pPr>
              <w:suppressAutoHyphens/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</w:pPr>
            <w:r w:rsidRPr="008007BB">
              <w:rPr>
                <w:b w:val="0"/>
                <w:bCs w:val="0"/>
                <w:color w:val="000000"/>
                <w:sz w:val="18"/>
                <w:szCs w:val="18"/>
                <w:lang w:eastAsia="bg-BG"/>
              </w:rPr>
              <w:t>Принос на РПР към постигането на националните цели</w:t>
            </w:r>
          </w:p>
        </w:tc>
      </w:tr>
      <w:tr w:rsidR="007C4BA2" w:rsidRPr="008007BB" w:rsidTr="00B763A1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7C4BA2" w:rsidRPr="008007BB" w:rsidRDefault="007C4BA2" w:rsidP="00B763A1">
            <w:pPr>
              <w:suppressAutoHyphens/>
              <w:spacing w:before="0"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8007BB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 20-64 навършени години</w:t>
            </w:r>
            <w:r w:rsidR="00B763A1"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8007BB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7C4BA2" w:rsidRPr="003B459A" w:rsidRDefault="00B763A1" w:rsidP="00B763A1">
            <w:pPr>
              <w:suppressAutoHyphens/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18"/>
                <w:szCs w:val="18"/>
                <w:lang w:eastAsia="bg-BG"/>
              </w:rPr>
            </w:pPr>
            <w:r w:rsidRPr="003B459A">
              <w:rPr>
                <w:b/>
                <w:bCs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B459A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021" w:type="dxa"/>
            <w:shd w:val="clear" w:color="auto" w:fill="D99594" w:themeFill="accent2" w:themeFillTint="99"/>
            <w:vAlign w:val="center"/>
          </w:tcPr>
          <w:p w:rsidR="007C4BA2" w:rsidRPr="008007BB" w:rsidRDefault="0086438C" w:rsidP="00B763A1">
            <w:pPr>
              <w:suppressAutoHyphens/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438C">
              <w:rPr>
                <w:b/>
                <w:bCs/>
                <w:color w:val="000000"/>
                <w:sz w:val="18"/>
                <w:szCs w:val="18"/>
                <w:lang w:eastAsia="bg-BG"/>
              </w:rPr>
              <w:t>Ограничен принос</w:t>
            </w:r>
          </w:p>
        </w:tc>
      </w:tr>
      <w:tr w:rsidR="007C4BA2" w:rsidRPr="008007BB" w:rsidTr="00B763A1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7C4BA2" w:rsidRPr="008007BB" w:rsidRDefault="007C4BA2" w:rsidP="00B763A1">
            <w:pPr>
              <w:suppressAutoHyphens/>
              <w:spacing w:before="0"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8007BB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8007BB">
              <w:rPr>
                <w:color w:val="000000"/>
                <w:sz w:val="18"/>
                <w:szCs w:val="18"/>
                <w:lang w:eastAsia="bg-BG"/>
              </w:rPr>
              <w:t>55-64 г.</w:t>
            </w:r>
          </w:p>
        </w:tc>
        <w:tc>
          <w:tcPr>
            <w:tcW w:w="3020" w:type="dxa"/>
            <w:noWrap/>
            <w:vAlign w:val="center"/>
            <w:hideMark/>
          </w:tcPr>
          <w:p w:rsidR="007C4BA2" w:rsidRPr="003B459A" w:rsidRDefault="00B763A1" w:rsidP="00B763A1">
            <w:pPr>
              <w:suppressAutoHyphens/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18"/>
                <w:szCs w:val="18"/>
                <w:lang w:eastAsia="bg-BG"/>
              </w:rPr>
            </w:pPr>
            <w:r w:rsidRPr="003B459A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B459A"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7C4BA2" w:rsidRPr="00B763A1" w:rsidRDefault="007C4BA2" w:rsidP="00B763A1">
            <w:pPr>
              <w:suppressAutoHyphens/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B763A1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B763A1" w:rsidRPr="008007BB" w:rsidTr="00B763A1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B763A1" w:rsidRPr="008007BB" w:rsidRDefault="00B763A1" w:rsidP="00B763A1">
            <w:pPr>
              <w:suppressAutoHyphens/>
              <w:spacing w:before="0"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8007BB">
              <w:rPr>
                <w:color w:val="000000"/>
                <w:sz w:val="18"/>
                <w:szCs w:val="18"/>
                <w:lang w:eastAsia="bg-BG"/>
              </w:rPr>
              <w:t>Инвестиции в научноизследователска и развойна дейност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8007BB">
              <w:rPr>
                <w:color w:val="000000"/>
                <w:sz w:val="18"/>
                <w:szCs w:val="18"/>
                <w:lang w:eastAsia="bg-BG"/>
              </w:rPr>
              <w:t xml:space="preserve"> % от БВП</w:t>
            </w:r>
          </w:p>
        </w:tc>
        <w:tc>
          <w:tcPr>
            <w:tcW w:w="3020" w:type="dxa"/>
            <w:noWrap/>
            <w:vAlign w:val="center"/>
            <w:hideMark/>
          </w:tcPr>
          <w:p w:rsidR="00B763A1" w:rsidRPr="003B459A" w:rsidRDefault="00B763A1" w:rsidP="00B763A1">
            <w:pPr>
              <w:suppressAutoHyphens/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18"/>
                <w:szCs w:val="18"/>
                <w:lang w:eastAsia="bg-BG"/>
              </w:rPr>
            </w:pPr>
            <w:r w:rsidRPr="003B459A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B459A"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B763A1" w:rsidRPr="00B763A1" w:rsidRDefault="00B763A1" w:rsidP="00B763A1">
            <w:pPr>
              <w:suppressAutoHyphens/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B763A1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B763A1" w:rsidRPr="008007BB" w:rsidTr="00B763A1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B763A1" w:rsidRPr="008007BB" w:rsidRDefault="00B763A1" w:rsidP="00B763A1">
            <w:pPr>
              <w:suppressAutoHyphens/>
              <w:spacing w:before="0"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8007BB">
              <w:rPr>
                <w:color w:val="000000"/>
                <w:sz w:val="18"/>
                <w:szCs w:val="18"/>
                <w:lang w:eastAsia="bg-BG"/>
              </w:rPr>
              <w:t>Дял на преждевременно напусналите образователната система (на възраст 18-24 г.)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8007BB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B763A1" w:rsidRPr="003B459A" w:rsidRDefault="00B763A1" w:rsidP="00B763A1">
            <w:pPr>
              <w:suppressAutoHyphens/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18"/>
                <w:szCs w:val="18"/>
                <w:lang w:eastAsia="bg-BG"/>
              </w:rPr>
            </w:pPr>
            <w:r w:rsidRPr="003B459A">
              <w:rPr>
                <w:b/>
                <w:bCs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B459A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3021" w:type="dxa"/>
            <w:tcBorders>
              <w:bottom w:val="single" w:sz="4" w:space="0" w:color="E5B8B7" w:themeColor="accent2" w:themeTint="66"/>
            </w:tcBorders>
            <w:shd w:val="clear" w:color="auto" w:fill="943634" w:themeFill="accent2" w:themeFillShade="BF"/>
            <w:vAlign w:val="center"/>
          </w:tcPr>
          <w:p w:rsidR="00B763A1" w:rsidRPr="00B763A1" w:rsidRDefault="00B763A1" w:rsidP="00B763A1">
            <w:pPr>
              <w:suppressAutoHyphens/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B763A1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Без принос</w:t>
            </w:r>
          </w:p>
        </w:tc>
      </w:tr>
      <w:tr w:rsidR="00B763A1" w:rsidRPr="008007BB" w:rsidTr="00B763A1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B763A1" w:rsidRPr="008007BB" w:rsidRDefault="00B763A1" w:rsidP="00B763A1">
            <w:pPr>
              <w:suppressAutoHyphens/>
              <w:spacing w:before="0"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8007BB">
              <w:rPr>
                <w:color w:val="000000"/>
                <w:sz w:val="18"/>
                <w:szCs w:val="18"/>
                <w:lang w:eastAsia="bg-BG"/>
              </w:rPr>
              <w:t>Дял на 30-34 годишните със завършено висше образование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8007BB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B763A1" w:rsidRPr="003B459A" w:rsidRDefault="00B763A1" w:rsidP="00B763A1">
            <w:pPr>
              <w:suppressAutoHyphens/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18"/>
                <w:szCs w:val="18"/>
                <w:lang w:eastAsia="bg-BG"/>
              </w:rPr>
            </w:pPr>
            <w:r w:rsidRPr="003B459A">
              <w:rPr>
                <w:b/>
                <w:bCs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3B459A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tcBorders>
              <w:bottom w:val="single" w:sz="2" w:space="0" w:color="31849B" w:themeColor="accent5" w:themeShade="BF"/>
            </w:tcBorders>
            <w:shd w:val="clear" w:color="auto" w:fill="E5B8B7" w:themeFill="accent2" w:themeFillTint="66"/>
            <w:vAlign w:val="center"/>
          </w:tcPr>
          <w:p w:rsidR="00B763A1" w:rsidRPr="008007BB" w:rsidRDefault="00B763A1" w:rsidP="00B763A1">
            <w:pPr>
              <w:suppressAutoHyphens/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007BB">
              <w:rPr>
                <w:b/>
                <w:bCs/>
                <w:color w:val="000000"/>
                <w:sz w:val="18"/>
                <w:szCs w:val="18"/>
                <w:lang w:eastAsia="bg-BG"/>
              </w:rPr>
              <w:t>Задоволителен принос</w:t>
            </w:r>
          </w:p>
        </w:tc>
      </w:tr>
      <w:tr w:rsidR="00B763A1" w:rsidRPr="008007BB" w:rsidTr="00B763A1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B763A1" w:rsidRPr="008007BB" w:rsidRDefault="00B763A1" w:rsidP="00B763A1">
            <w:pPr>
              <w:suppressAutoHyphens/>
              <w:spacing w:before="0"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8007BB">
              <w:rPr>
                <w:color w:val="000000"/>
                <w:sz w:val="18"/>
                <w:szCs w:val="18"/>
                <w:lang w:eastAsia="bg-BG"/>
              </w:rPr>
              <w:t>Население в риск от бедност или социално изключване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8007BB">
              <w:rPr>
                <w:color w:val="000000"/>
                <w:sz w:val="18"/>
                <w:szCs w:val="18"/>
                <w:lang w:eastAsia="bg-BG"/>
              </w:rPr>
              <w:t xml:space="preserve"> хил. души</w:t>
            </w:r>
          </w:p>
        </w:tc>
        <w:tc>
          <w:tcPr>
            <w:tcW w:w="3020" w:type="dxa"/>
            <w:noWrap/>
            <w:vAlign w:val="center"/>
            <w:hideMark/>
          </w:tcPr>
          <w:p w:rsidR="00B763A1" w:rsidRPr="003B459A" w:rsidRDefault="00B763A1" w:rsidP="00B763A1">
            <w:pPr>
              <w:suppressAutoHyphens/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18"/>
                <w:szCs w:val="18"/>
                <w:lang w:eastAsia="bg-BG"/>
              </w:rPr>
            </w:pPr>
            <w:r w:rsidRPr="003B459A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B459A"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tcBorders>
              <w:top w:val="single" w:sz="2" w:space="0" w:color="31849B" w:themeColor="accent5" w:themeShade="BF"/>
            </w:tcBorders>
            <w:shd w:val="clear" w:color="auto" w:fill="76923C" w:themeFill="accent3" w:themeFillShade="BF"/>
            <w:vAlign w:val="center"/>
          </w:tcPr>
          <w:p w:rsidR="00B763A1" w:rsidRPr="00B763A1" w:rsidRDefault="00B763A1" w:rsidP="00B763A1">
            <w:pPr>
              <w:suppressAutoHyphens/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B763A1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</w:tbl>
    <w:p w:rsidR="007C4BA2" w:rsidRDefault="007C4BA2" w:rsidP="007C4BA2">
      <w:pPr>
        <w:spacing w:before="360"/>
      </w:pPr>
      <w:r w:rsidRPr="00E74C63">
        <w:rPr>
          <w:i/>
          <w:color w:val="943634" w:themeColor="accent2" w:themeShade="BF"/>
        </w:rPr>
        <w:t>Инвестиции</w:t>
      </w:r>
      <w:r w:rsidR="00E74C63" w:rsidRPr="00E74C63">
        <w:rPr>
          <w:i/>
          <w:color w:val="943634" w:themeColor="accent2" w:themeShade="BF"/>
        </w:rPr>
        <w:t>те</w:t>
      </w:r>
      <w:r w:rsidRPr="00E74C63">
        <w:rPr>
          <w:i/>
          <w:color w:val="943634" w:themeColor="accent2" w:themeShade="BF"/>
        </w:rPr>
        <w:t xml:space="preserve"> в научноизследователска и развойна дейност</w:t>
      </w:r>
      <w:r>
        <w:t xml:space="preserve">, като </w:t>
      </w:r>
      <w:r w:rsidRPr="00CB7863">
        <w:t>% от БВП</w:t>
      </w:r>
      <w:r w:rsidR="00E74C63">
        <w:t xml:space="preserve"> в СЗР</w:t>
      </w:r>
      <w:r>
        <w:t xml:space="preserve">, </w:t>
      </w:r>
      <w:r w:rsidR="00E74C63">
        <w:t>достигат през 2015</w:t>
      </w:r>
      <w:r w:rsidR="00E74C63">
        <w:rPr>
          <w:lang w:val="en-US"/>
        </w:rPr>
        <w:t xml:space="preserve"> </w:t>
      </w:r>
      <w:r w:rsidR="00E74C63">
        <w:t xml:space="preserve">г. до 0,55%, което представлява </w:t>
      </w:r>
      <w:r>
        <w:t>увелич</w:t>
      </w:r>
      <w:r w:rsidR="00E74C63">
        <w:t xml:space="preserve">ение от повече от </w:t>
      </w:r>
      <w:r w:rsidR="00142F4B" w:rsidRPr="00E74C63">
        <w:rPr>
          <w:b/>
          <w:color w:val="943634" w:themeColor="accent2" w:themeShade="BF"/>
          <w:lang w:val="en-US"/>
        </w:rPr>
        <w:t>5</w:t>
      </w:r>
      <w:r w:rsidR="0086438C" w:rsidRPr="00E74C63">
        <w:rPr>
          <w:b/>
          <w:color w:val="943634" w:themeColor="accent2" w:themeShade="BF"/>
        </w:rPr>
        <w:t xml:space="preserve"> п</w:t>
      </w:r>
      <w:r w:rsidR="0086438C" w:rsidRPr="00E74C63">
        <w:rPr>
          <w:b/>
          <w:color w:val="943634" w:themeColor="accent2" w:themeShade="BF"/>
        </w:rPr>
        <w:t>ъ</w:t>
      </w:r>
      <w:r w:rsidR="0086438C" w:rsidRPr="00E74C63">
        <w:rPr>
          <w:b/>
          <w:color w:val="943634" w:themeColor="accent2" w:themeShade="BF"/>
        </w:rPr>
        <w:t>ти</w:t>
      </w:r>
      <w:r w:rsidR="0086438C">
        <w:t xml:space="preserve"> в сравнение с </w:t>
      </w:r>
      <w:r w:rsidR="00E74C63">
        <w:t xml:space="preserve">базовата 2010 г. Постигната стойност </w:t>
      </w:r>
      <w:r w:rsidR="0086438C">
        <w:t xml:space="preserve">надхвърля както междинната </w:t>
      </w:r>
      <w:r w:rsidR="00E74C63">
        <w:t xml:space="preserve">цел за 2015 г. </w:t>
      </w:r>
      <w:r w:rsidR="0086438C">
        <w:t>(0,3</w:t>
      </w:r>
      <w:r w:rsidR="00E74C63">
        <w:t>%</w:t>
      </w:r>
      <w:r w:rsidR="0086438C">
        <w:t>), така и цел</w:t>
      </w:r>
      <w:r w:rsidR="00E74C63">
        <w:t xml:space="preserve">та за </w:t>
      </w:r>
      <w:r w:rsidR="0086438C">
        <w:t xml:space="preserve">2020 </w:t>
      </w:r>
      <w:r w:rsidR="00E74C63">
        <w:t xml:space="preserve">г. </w:t>
      </w:r>
      <w:r w:rsidR="0086438C">
        <w:t>(0,5%)</w:t>
      </w:r>
      <w:r>
        <w:t>. Този ръст допринася за изпълнен</w:t>
      </w:r>
      <w:r>
        <w:t>и</w:t>
      </w:r>
      <w:r>
        <w:t xml:space="preserve">ето на </w:t>
      </w:r>
      <w:r w:rsidRPr="00CB7863">
        <w:rPr>
          <w:i/>
        </w:rPr>
        <w:t>Стратегическа цел 1</w:t>
      </w:r>
      <w:r>
        <w:t xml:space="preserve"> на РПР на С</w:t>
      </w:r>
      <w:r w:rsidR="0086438C">
        <w:t>З</w:t>
      </w:r>
      <w:r>
        <w:t>Р. Следва да се отчете, че част тази полож</w:t>
      </w:r>
      <w:r>
        <w:t>и</w:t>
      </w:r>
      <w:r>
        <w:t xml:space="preserve">телна тенденция се дължи </w:t>
      </w:r>
      <w:r w:rsidR="0086438C">
        <w:t>на</w:t>
      </w:r>
      <w:r>
        <w:t xml:space="preserve"> приоритизирането на финансирането на иновативни пр</w:t>
      </w:r>
      <w:r>
        <w:t>о</w:t>
      </w:r>
      <w:r>
        <w:t>екти като част от мерките, подкре</w:t>
      </w:r>
      <w:r w:rsidR="0086438C">
        <w:t>пяни от ОПИК</w:t>
      </w:r>
      <w:r>
        <w:t>.</w:t>
      </w:r>
      <w:r w:rsidR="00E74C63">
        <w:t xml:space="preserve"> </w:t>
      </w:r>
    </w:p>
    <w:p w:rsidR="00E23BBB" w:rsidRPr="00E23BBB" w:rsidRDefault="009A1093" w:rsidP="00E23BBB">
      <w:pPr>
        <w:spacing w:before="360"/>
        <w:rPr>
          <w:lang w:eastAsia="bg-BG"/>
        </w:rPr>
      </w:pPr>
      <w:r>
        <w:lastRenderedPageBreak/>
        <w:t xml:space="preserve">Специално внимание при оценката е </w:t>
      </w:r>
      <w:r w:rsidR="008C35C0">
        <w:t xml:space="preserve">обърнато на динамиката </w:t>
      </w:r>
      <w:r>
        <w:t>на индикаторите</w:t>
      </w:r>
      <w:r w:rsidR="008C35C0">
        <w:t>, свързани с установените пикови стойности по отношение на НИРД</w:t>
      </w:r>
      <w:r w:rsidR="00646C72">
        <w:t>, вкл. за 2016 г</w:t>
      </w:r>
      <w:r w:rsidR="008C35C0">
        <w:t>.</w:t>
      </w:r>
      <w:r w:rsidR="00F149FB">
        <w:t xml:space="preserve"> </w:t>
      </w:r>
      <w:r w:rsidR="00E23BBB">
        <w:rPr>
          <w:lang w:eastAsia="bg-BG"/>
        </w:rPr>
        <w:t>Да</w:t>
      </w:r>
      <w:r w:rsidR="00E23BBB">
        <w:rPr>
          <w:lang w:eastAsia="bg-BG"/>
        </w:rPr>
        <w:t>н</w:t>
      </w:r>
      <w:r w:rsidR="00E23BBB">
        <w:rPr>
          <w:lang w:eastAsia="bg-BG"/>
        </w:rPr>
        <w:t>ните показва, че голяма част от индикаторите са били изпълнени още опреди началото на програмния период. Не е установена значима връзка между петкратното увеличаване на разходите за НИРД и броя на заетите в НИРД, както и въздействие</w:t>
      </w:r>
      <w:r w:rsidR="00F2045E">
        <w:rPr>
          <w:lang w:eastAsia="bg-BG"/>
        </w:rPr>
        <w:t>то</w:t>
      </w:r>
      <w:r w:rsidR="00E23BBB">
        <w:rPr>
          <w:lang w:eastAsia="bg-BG"/>
        </w:rPr>
        <w:t xml:space="preserve"> за нарастване </w:t>
      </w:r>
      <w:r w:rsidR="00F2045E">
        <w:rPr>
          <w:lang w:eastAsia="bg-BG"/>
        </w:rPr>
        <w:t xml:space="preserve">(намаляване) </w:t>
      </w:r>
      <w:r w:rsidR="00E23BBB">
        <w:rPr>
          <w:lang w:eastAsia="bg-BG"/>
        </w:rPr>
        <w:t xml:space="preserve">на </w:t>
      </w:r>
      <w:r w:rsidR="00E23BBB" w:rsidRPr="008C35C0">
        <w:t>приходи</w:t>
      </w:r>
      <w:r w:rsidR="00E23BBB">
        <w:t>те</w:t>
      </w:r>
      <w:r w:rsidR="00E23BBB" w:rsidRPr="008C35C0">
        <w:t xml:space="preserve"> от дейността на МСП</w:t>
      </w:r>
      <w:r w:rsidR="00E23BBB">
        <w:t xml:space="preserve"> в СЗР</w:t>
      </w:r>
      <w:r w:rsidR="00E23BBB">
        <w:rPr>
          <w:lang w:eastAsia="bg-BG"/>
        </w:rPr>
        <w:t>.</w:t>
      </w:r>
    </w:p>
    <w:p w:rsidR="007C4BA2" w:rsidRDefault="007C4BA2" w:rsidP="007C4BA2">
      <w:r w:rsidRPr="00E74C63">
        <w:rPr>
          <w:i/>
          <w:color w:val="943634" w:themeColor="accent2" w:themeShade="BF"/>
        </w:rPr>
        <w:t>Коефициентът на заетост на населението на възраст 20-64 навършени години</w:t>
      </w:r>
      <w:r w:rsidRPr="00E74C63">
        <w:rPr>
          <w:color w:val="943634" w:themeColor="accent2" w:themeShade="BF"/>
        </w:rPr>
        <w:t xml:space="preserve"> </w:t>
      </w:r>
      <w:r>
        <w:t>нараства след 2012 г., но не успява да достигне заложената междинна цел за 2015 г. Д</w:t>
      </w:r>
      <w:r>
        <w:t>о</w:t>
      </w:r>
      <w:r>
        <w:t>колкото ръстът в заетостта през 2016 г. не показва значимо развитие в положителна п</w:t>
      </w:r>
      <w:r>
        <w:t>о</w:t>
      </w:r>
      <w:r>
        <w:t xml:space="preserve">сока, потенциалът за постигане на целевата стойност на индикатора за 2020 г. е </w:t>
      </w:r>
      <w:r w:rsidRPr="002A483A">
        <w:rPr>
          <w:b/>
        </w:rPr>
        <w:t>сра</w:t>
      </w:r>
      <w:r w:rsidRPr="002A483A">
        <w:rPr>
          <w:b/>
        </w:rPr>
        <w:t>в</w:t>
      </w:r>
      <w:r w:rsidRPr="002A483A">
        <w:rPr>
          <w:b/>
        </w:rPr>
        <w:t>нително ограничен</w:t>
      </w:r>
      <w:r>
        <w:t>.</w:t>
      </w:r>
    </w:p>
    <w:p w:rsidR="007C4BA2" w:rsidRDefault="007C4BA2" w:rsidP="007C4BA2">
      <w:r w:rsidRPr="00E74C63">
        <w:rPr>
          <w:i/>
          <w:color w:val="943634" w:themeColor="accent2" w:themeShade="BF"/>
        </w:rPr>
        <w:t>Коефициентът на заетост на населението на възраст 55-64 г.</w:t>
      </w:r>
      <w:r w:rsidRPr="00E74C63">
        <w:rPr>
          <w:color w:val="943634" w:themeColor="accent2" w:themeShade="BF"/>
        </w:rPr>
        <w:t xml:space="preserve"> </w:t>
      </w:r>
      <w:r>
        <w:t xml:space="preserve">нараства след 2011 г., като ръстът е по-значителен през 2014 и 2015 г. и се запазва и през 2016 г. </w:t>
      </w:r>
      <w:r w:rsidRPr="002B748D">
        <w:t>Ц</w:t>
      </w:r>
      <w:r w:rsidRPr="002B748D">
        <w:t>е</w:t>
      </w:r>
      <w:r w:rsidRPr="002B748D">
        <w:t xml:space="preserve">левата стойност </w:t>
      </w:r>
      <w:r>
        <w:t xml:space="preserve">на индикатора </w:t>
      </w:r>
      <w:r w:rsidRPr="002B748D">
        <w:t xml:space="preserve">за 2015 г. </w:t>
      </w:r>
      <w:r>
        <w:t xml:space="preserve">е </w:t>
      </w:r>
      <w:r w:rsidRPr="002B748D">
        <w:rPr>
          <w:b/>
        </w:rPr>
        <w:t>надхвърлена значително</w:t>
      </w:r>
      <w:r>
        <w:t>, както и тази за 2020 г.</w:t>
      </w:r>
    </w:p>
    <w:p w:rsidR="007C4BA2" w:rsidRDefault="007C4BA2" w:rsidP="007C4BA2">
      <w:r>
        <w:t xml:space="preserve">Промените в </w:t>
      </w:r>
      <w:r w:rsidRPr="00E74C63">
        <w:rPr>
          <w:i/>
          <w:color w:val="943634" w:themeColor="accent2" w:themeShade="BF"/>
        </w:rPr>
        <w:t>дела на преждевременно напусналите образователната система (на възраст 18-24 г.)</w:t>
      </w:r>
      <w:r w:rsidRPr="00E74C63">
        <w:rPr>
          <w:color w:val="943634" w:themeColor="accent2" w:themeShade="BF"/>
        </w:rPr>
        <w:t xml:space="preserve"> </w:t>
      </w:r>
      <w:r>
        <w:t>са</w:t>
      </w:r>
      <w:r w:rsidR="00462808">
        <w:t xml:space="preserve"> разнопосочни на годишна база със силно </w:t>
      </w:r>
      <w:r>
        <w:t xml:space="preserve">нарастване </w:t>
      </w:r>
      <w:r w:rsidR="00462808">
        <w:t>през 2014, 2015 и 2016 г.</w:t>
      </w:r>
      <w:r>
        <w:t xml:space="preserve"> Междинната целева стойност на индикатора за 2015 г. не е постигната, а предвид </w:t>
      </w:r>
      <w:r w:rsidR="00462808">
        <w:t xml:space="preserve">регистрираната </w:t>
      </w:r>
      <w:r>
        <w:t xml:space="preserve">тенденция, потенциалът за постигане на целевата стойност за 2020 г. е </w:t>
      </w:r>
      <w:r w:rsidR="00462808" w:rsidRPr="00462808">
        <w:rPr>
          <w:b/>
        </w:rPr>
        <w:t xml:space="preserve">силно </w:t>
      </w:r>
      <w:r w:rsidRPr="002B748D">
        <w:rPr>
          <w:b/>
        </w:rPr>
        <w:t>ограничен</w:t>
      </w:r>
      <w:r>
        <w:t>.</w:t>
      </w:r>
    </w:p>
    <w:p w:rsidR="007C4BA2" w:rsidRDefault="007C4BA2" w:rsidP="007C4BA2">
      <w:r>
        <w:t xml:space="preserve">Нарастването на </w:t>
      </w:r>
      <w:r w:rsidRPr="00E74C63">
        <w:rPr>
          <w:i/>
          <w:color w:val="943634" w:themeColor="accent2" w:themeShade="BF"/>
        </w:rPr>
        <w:t>дела на 30-34 годишните със завършено висше образование</w:t>
      </w:r>
      <w:r w:rsidRPr="00E74C63">
        <w:rPr>
          <w:color w:val="943634" w:themeColor="accent2" w:themeShade="BF"/>
        </w:rPr>
        <w:t xml:space="preserve"> </w:t>
      </w:r>
      <w:r>
        <w:t xml:space="preserve">също е неустойчиво като тенденция. </w:t>
      </w:r>
      <w:r w:rsidR="00462808">
        <w:t>След възходяща тенденция в периода 2011</w:t>
      </w:r>
      <w:r w:rsidR="00685B90">
        <w:t>-</w:t>
      </w:r>
      <w:r w:rsidR="00462808">
        <w:t xml:space="preserve">2014 г. делът им намалява до 22,5% през 2015 г., като </w:t>
      </w:r>
      <w:r>
        <w:t>междинната цел на индикато</w:t>
      </w:r>
      <w:r w:rsidR="00462808">
        <w:t>ра за 2015 г. (25,5</w:t>
      </w:r>
      <w:r w:rsidR="00685B90">
        <w:t>%</w:t>
      </w:r>
      <w:r w:rsidR="00462808">
        <w:t>) не е постигната</w:t>
      </w:r>
      <w:r>
        <w:t xml:space="preserve">. Предвид </w:t>
      </w:r>
      <w:r w:rsidR="00462808">
        <w:t>намаляването</w:t>
      </w:r>
      <w:r>
        <w:t xml:space="preserve"> на стой</w:t>
      </w:r>
      <w:r w:rsidR="00462808">
        <w:t>ността и през 2016 г. (19,1</w:t>
      </w:r>
      <w:r w:rsidR="00685B90">
        <w:t>%</w:t>
      </w:r>
      <w:r>
        <w:t xml:space="preserve">), потенциалът за постигане на целевата стойност за 2020 г. е </w:t>
      </w:r>
      <w:r w:rsidR="00462808">
        <w:rPr>
          <w:b/>
        </w:rPr>
        <w:t>силно ограничен</w:t>
      </w:r>
      <w:r>
        <w:t>.</w:t>
      </w:r>
    </w:p>
    <w:p w:rsidR="007C4BA2" w:rsidRDefault="007C4BA2" w:rsidP="007C4BA2">
      <w:r w:rsidRPr="00E74C63">
        <w:rPr>
          <w:i/>
          <w:color w:val="943634" w:themeColor="accent2" w:themeShade="BF"/>
        </w:rPr>
        <w:t>Делът на населението в риск от бедност или социално изключване</w:t>
      </w:r>
      <w:r w:rsidRPr="00E74C63">
        <w:rPr>
          <w:color w:val="943634" w:themeColor="accent2" w:themeShade="BF"/>
        </w:rPr>
        <w:t xml:space="preserve"> </w:t>
      </w:r>
      <w:r>
        <w:t xml:space="preserve">намалява след 2010 г., като междинната цел за 2015 г. </w:t>
      </w:r>
      <w:r w:rsidR="00462808">
        <w:t>и целта за 2020 г. са постигнати</w:t>
      </w:r>
      <w:r>
        <w:t>.</w:t>
      </w:r>
    </w:p>
    <w:p w:rsidR="007C4BA2" w:rsidRPr="005D73D7" w:rsidRDefault="007C4BA2" w:rsidP="007C4BA2">
      <w:r>
        <w:t xml:space="preserve">Постигнатите стойностите за 2015 г. на последните пет </w:t>
      </w:r>
      <w:r w:rsidRPr="005D73D7">
        <w:t xml:space="preserve">индикатора </w:t>
      </w:r>
      <w:r w:rsidRPr="005D73D7">
        <w:rPr>
          <w:b/>
        </w:rPr>
        <w:t>потвържд</w:t>
      </w:r>
      <w:r w:rsidRPr="005D73D7">
        <w:rPr>
          <w:b/>
        </w:rPr>
        <w:t>а</w:t>
      </w:r>
      <w:r w:rsidRPr="005D73D7">
        <w:rPr>
          <w:b/>
        </w:rPr>
        <w:t xml:space="preserve">ват </w:t>
      </w:r>
      <w:r w:rsidR="005D73D7" w:rsidRPr="005D73D7">
        <w:rPr>
          <w:b/>
        </w:rPr>
        <w:t xml:space="preserve">ограничения напредък </w:t>
      </w:r>
      <w:r w:rsidRPr="005D73D7">
        <w:rPr>
          <w:b/>
        </w:rPr>
        <w:t xml:space="preserve">по Стратегическа цел 2 </w:t>
      </w:r>
      <w:r w:rsidR="005D73D7" w:rsidRPr="005D73D7">
        <w:t>на РПР на С</w:t>
      </w:r>
      <w:r w:rsidR="005D73D7">
        <w:t>З</w:t>
      </w:r>
      <w:r w:rsidR="005D73D7" w:rsidRPr="005D73D7">
        <w:t>Р</w:t>
      </w:r>
      <w:r w:rsidR="005D73D7">
        <w:t xml:space="preserve"> </w:t>
      </w:r>
      <w:r w:rsidR="005D73D7" w:rsidRPr="005D73D7">
        <w:rPr>
          <w:b/>
        </w:rPr>
        <w:t xml:space="preserve">по преодоляване на вътрешнорегионалните </w:t>
      </w:r>
      <w:r w:rsidR="00DD3398" w:rsidRPr="005D73D7">
        <w:rPr>
          <w:b/>
        </w:rPr>
        <w:t>различия</w:t>
      </w:r>
      <w:r w:rsidR="005D73D7" w:rsidRPr="005D73D7">
        <w:rPr>
          <w:b/>
        </w:rPr>
        <w:t xml:space="preserve"> в социалната сфера, в заетостта и развитието на пазара на труда</w:t>
      </w:r>
      <w:r w:rsidR="005D73D7">
        <w:rPr>
          <w:b/>
        </w:rPr>
        <w:t>.</w:t>
      </w:r>
    </w:p>
    <w:p w:rsidR="007C4BA2" w:rsidRDefault="007C4BA2" w:rsidP="007C4BA2">
      <w:r w:rsidRPr="00C82DE6">
        <w:rPr>
          <w:b/>
        </w:rPr>
        <w:lastRenderedPageBreak/>
        <w:t>За да бъде постигнат планирания принос в изпълнението на национални а</w:t>
      </w:r>
      <w:r w:rsidRPr="00C82DE6">
        <w:rPr>
          <w:b/>
        </w:rPr>
        <w:t>н</w:t>
      </w:r>
      <w:r w:rsidRPr="00C82DE6">
        <w:rPr>
          <w:b/>
        </w:rPr>
        <w:t>гажименти</w:t>
      </w:r>
      <w:r w:rsidRPr="0076210D">
        <w:t xml:space="preserve"> по отношение постигане целите на</w:t>
      </w:r>
      <w:r>
        <w:t xml:space="preserve"> Стратегията Европа 2020 е </w:t>
      </w:r>
      <w:r w:rsidRPr="00C82DE6">
        <w:rPr>
          <w:b/>
        </w:rPr>
        <w:t>необходимо планираните мерки и финансови ресурси да бъдат осъществени в значителна ст</w:t>
      </w:r>
      <w:r w:rsidRPr="00C82DE6">
        <w:rPr>
          <w:b/>
        </w:rPr>
        <w:t>е</w:t>
      </w:r>
      <w:r w:rsidRPr="00C82DE6">
        <w:rPr>
          <w:b/>
        </w:rPr>
        <w:t>пен в обхвата на плановия период</w:t>
      </w:r>
      <w:r>
        <w:t>.</w:t>
      </w:r>
    </w:p>
    <w:p w:rsidR="007C4BA2" w:rsidRPr="00DA2BBE" w:rsidRDefault="007C4BA2" w:rsidP="007C4BA2">
      <w:r w:rsidRPr="0076210D">
        <w:t>Към момента, НСИ не проследява на ниво NUTS2</w:t>
      </w:r>
      <w:r>
        <w:t xml:space="preserve"> промените на индикаторите по </w:t>
      </w:r>
      <w:r w:rsidRPr="0076210D">
        <w:t>целите 20/20/20 по отношение на климата и енергийното потребление</w:t>
      </w:r>
      <w:r>
        <w:t xml:space="preserve">, както и дела на застрашените от бедност. В тази връзка не могат да бъдат посочени </w:t>
      </w:r>
      <w:r w:rsidRPr="0076210D">
        <w:t>източници на до</w:t>
      </w:r>
      <w:r w:rsidRPr="0076210D">
        <w:t>с</w:t>
      </w:r>
      <w:r w:rsidRPr="0076210D">
        <w:t xml:space="preserve">товерна информация за проследяването им и </w:t>
      </w:r>
      <w:r>
        <w:t>съответно не са включени в междинната оценка на РПР на С</w:t>
      </w:r>
      <w:r w:rsidR="005D73D7">
        <w:t>З</w:t>
      </w:r>
      <w:r>
        <w:t>Р.</w:t>
      </w:r>
    </w:p>
    <w:p w:rsidR="005D73D7" w:rsidRDefault="005D73D7" w:rsidP="005D73D7">
      <w:pPr>
        <w:pStyle w:val="Heading3"/>
        <w:pBdr>
          <w:bottom w:val="single" w:sz="6" w:space="1" w:color="006600"/>
        </w:pBdr>
      </w:pPr>
      <w:bookmarkStart w:id="46" w:name="_Toc498020674"/>
      <w:bookmarkStart w:id="47" w:name="_Toc500325563"/>
      <w:r>
        <w:t>Ефективност</w:t>
      </w:r>
      <w:r w:rsidRPr="00C668DA">
        <w:t xml:space="preserve"> </w:t>
      </w:r>
      <w:r>
        <w:t>и ефикасност</w:t>
      </w:r>
      <w:r w:rsidRPr="00C668DA">
        <w:t xml:space="preserve"> на финансовите инструменти и</w:t>
      </w:r>
      <w:r>
        <w:t xml:space="preserve"> </w:t>
      </w:r>
      <w:r w:rsidRPr="00C668DA">
        <w:t>използваните ресурси за изпълнение на РПР</w:t>
      </w:r>
      <w:bookmarkEnd w:id="46"/>
      <w:bookmarkEnd w:id="47"/>
    </w:p>
    <w:p w:rsidR="00B667EE" w:rsidRDefault="00B667EE" w:rsidP="00B667EE">
      <w:r>
        <w:t>Оценено е съответствието на договорените средства по програмите, финансирани от фондовете на ЕС с планираните необходими финансови ресурси за изпълнението на РПР на СЗР.</w:t>
      </w:r>
    </w:p>
    <w:p w:rsidR="00B667EE" w:rsidRDefault="00B667EE" w:rsidP="00B667EE">
      <w:pPr>
        <w:pStyle w:val="Caption"/>
        <w:spacing w:before="240"/>
      </w:pPr>
      <w:bookmarkStart w:id="48" w:name="_Toc498020722"/>
      <w:bookmarkStart w:id="49" w:name="_Toc500329889"/>
      <w:r w:rsidRPr="00933864">
        <w:t xml:space="preserve">графика </w:t>
      </w:r>
      <w:fldSimple w:instr=" SEQ графика \* ARABIC ">
        <w:r w:rsidR="00BA3ACC">
          <w:rPr>
            <w:noProof/>
          </w:rPr>
          <w:t>10</w:t>
        </w:r>
      </w:fldSimple>
      <w:r w:rsidRPr="00933864">
        <w:t>.</w:t>
      </w:r>
      <w:r w:rsidRPr="00933864">
        <w:tab/>
      </w:r>
      <w:r w:rsidRPr="0040068D">
        <w:t>Договорени и изплатените средства (ОП и ПРСР) общо и по области и сравнение с предвижд</w:t>
      </w:r>
      <w:r w:rsidRPr="0040068D">
        <w:t>а</w:t>
      </w:r>
      <w:r w:rsidRPr="0040068D">
        <w:t xml:space="preserve">нията на РПР </w:t>
      </w:r>
      <w:r>
        <w:t>на СЗ</w:t>
      </w:r>
      <w:r w:rsidRPr="0040068D">
        <w:t>Р, октомври 2017</w:t>
      </w:r>
      <w:bookmarkEnd w:id="48"/>
      <w:bookmarkEnd w:id="49"/>
    </w:p>
    <w:p w:rsidR="00B667EE" w:rsidRDefault="00B667EE" w:rsidP="00B667EE">
      <w:pPr>
        <w:pStyle w:val="graff"/>
      </w:pPr>
      <w:r>
        <w:rPr>
          <w:noProof/>
        </w:rPr>
        <w:drawing>
          <wp:inline distT="0" distB="0" distL="0" distR="0" wp14:anchorId="56B053D3" wp14:editId="458CA27D">
            <wp:extent cx="5760000" cy="2772000"/>
            <wp:effectExtent l="0" t="0" r="12700" b="9525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667EE" w:rsidRPr="00CD1857" w:rsidRDefault="00B667EE" w:rsidP="00B667EE">
      <w:pPr>
        <w:pStyle w:val="sources"/>
      </w:pPr>
      <w:r>
        <w:t>Източник: ИСУН2020</w:t>
      </w:r>
      <w:r w:rsidRPr="00FF4D79">
        <w:t>, ИСАК</w:t>
      </w:r>
      <w:r>
        <w:rPr>
          <w:lang w:val="en-US"/>
        </w:rPr>
        <w:t xml:space="preserve">, </w:t>
      </w:r>
      <w:r>
        <w:t>октомври 2017 г.</w:t>
      </w:r>
    </w:p>
    <w:p w:rsidR="00B667EE" w:rsidRDefault="00B667EE" w:rsidP="00B667EE">
      <w:pPr>
        <w:pStyle w:val="Caption"/>
      </w:pPr>
      <w:bookmarkStart w:id="50" w:name="_Toc498020723"/>
      <w:bookmarkStart w:id="51" w:name="_Toc500329890"/>
      <w:r w:rsidRPr="00933864">
        <w:lastRenderedPageBreak/>
        <w:t xml:space="preserve">графика </w:t>
      </w:r>
      <w:fldSimple w:instr=" SEQ графика \* ARABIC ">
        <w:r w:rsidR="00BA3ACC">
          <w:rPr>
            <w:noProof/>
          </w:rPr>
          <w:t>11</w:t>
        </w:r>
      </w:fldSimple>
      <w:r w:rsidRPr="00933864">
        <w:t>.</w:t>
      </w:r>
      <w:r w:rsidRPr="00933864">
        <w:tab/>
      </w:r>
      <w:r w:rsidRPr="0040068D">
        <w:t>Концентрация</w:t>
      </w:r>
      <w:r>
        <w:t xml:space="preserve"> на ресурси в СЗ</w:t>
      </w:r>
      <w:r w:rsidRPr="0040068D">
        <w:t>Р – по програми, млн.</w:t>
      </w:r>
      <w:r>
        <w:t xml:space="preserve"> </w:t>
      </w:r>
      <w:r w:rsidRPr="0040068D">
        <w:t>лв., октомври 2017</w:t>
      </w:r>
      <w:bookmarkEnd w:id="50"/>
      <w:bookmarkEnd w:id="51"/>
    </w:p>
    <w:p w:rsidR="00B667EE" w:rsidRDefault="00B667EE" w:rsidP="00B667EE">
      <w:pPr>
        <w:pStyle w:val="graff"/>
      </w:pPr>
      <w:r>
        <w:rPr>
          <w:noProof/>
        </w:rPr>
        <w:drawing>
          <wp:inline distT="0" distB="0" distL="0" distR="0" wp14:anchorId="3F427146" wp14:editId="7300586D">
            <wp:extent cx="5760000" cy="2772000"/>
            <wp:effectExtent l="0" t="0" r="12700" b="9525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667EE" w:rsidRDefault="00B667EE" w:rsidP="00B667EE">
      <w:pPr>
        <w:pStyle w:val="sources"/>
      </w:pPr>
      <w:r>
        <w:t>Източник: ИСУН2020</w:t>
      </w:r>
      <w:r w:rsidRPr="00FF4D79">
        <w:t>, ИСАК</w:t>
      </w:r>
      <w:r>
        <w:t>, октомври 2017 г.</w:t>
      </w:r>
    </w:p>
    <w:p w:rsidR="00B667EE" w:rsidRDefault="00B667EE" w:rsidP="00B667EE">
      <w:pPr>
        <w:spacing w:before="360"/>
      </w:pPr>
      <w:r>
        <w:t>Към октомври 2017 г. договорените средства по програми, финансирани от фо</w:t>
      </w:r>
      <w:r>
        <w:t>н</w:t>
      </w:r>
      <w:r>
        <w:t xml:space="preserve">довете на ЕС </w:t>
      </w:r>
      <w:r w:rsidRPr="00BD1F19">
        <w:t>представляват 54,27% от планираните</w:t>
      </w:r>
      <w:r>
        <w:t xml:space="preserve"> индикативни финансови ресурси за осъществяване на целите на РПР на СЗР за периода 2014-2020 г., а сумата на изплат</w:t>
      </w:r>
      <w:r>
        <w:t>е</w:t>
      </w:r>
      <w:r>
        <w:t>ните средства е 12,7% от планираните индикативни финансови ресурси до 2020 г. Ча</w:t>
      </w:r>
      <w:r>
        <w:t>с</w:t>
      </w:r>
      <w:r>
        <w:t xml:space="preserve">тните средства в това договорено финансиране са </w:t>
      </w:r>
      <w:r w:rsidRPr="001823FA">
        <w:t>близо 147,8 млн.</w:t>
      </w:r>
      <w:r>
        <w:t xml:space="preserve"> </w:t>
      </w:r>
      <w:r w:rsidRPr="001823FA">
        <w:t>лв. (143,</w:t>
      </w:r>
      <w:r>
        <w:t xml:space="preserve">8 млн. лв. – ОПИК и ОПРЧР и 4 млн. лв. по ПРСР), което </w:t>
      </w:r>
      <w:r w:rsidRPr="003D076F">
        <w:t xml:space="preserve">представлява </w:t>
      </w:r>
      <w:r>
        <w:t>3,6 пъти повече</w:t>
      </w:r>
      <w:r w:rsidRPr="003D076F">
        <w:t xml:space="preserve"> от планир</w:t>
      </w:r>
      <w:r w:rsidRPr="003D076F">
        <w:t>а</w:t>
      </w:r>
      <w:r w:rsidRPr="003D076F">
        <w:t>ните</w:t>
      </w:r>
      <w:r>
        <w:t xml:space="preserve"> частни ресурси в размер на 40,8 млн. лв. Нарастването на договорените частни р</w:t>
      </w:r>
      <w:r>
        <w:t>е</w:t>
      </w:r>
      <w:r>
        <w:t>сурси се дължи на приоритизирането на инвестициите в район, финансирани чрез ОПИК и ПРСР. Прогнозата за постигане на планираните нива на финансов ресурс е "положителна", предвид предстоящото стартиране на значителна част от мерките по оперативните програми и ПРСР, както и приносът на националното публично участие – национален и местни бюджети.</w:t>
      </w:r>
    </w:p>
    <w:p w:rsidR="00B667EE" w:rsidRDefault="00B667EE" w:rsidP="00B667EE">
      <w:r>
        <w:t>Делът на договорените в СЗ</w:t>
      </w:r>
      <w:r w:rsidRPr="001C73F5">
        <w:t>Р средства по области е разпределен по следния н</w:t>
      </w:r>
      <w:r w:rsidRPr="001C73F5">
        <w:t>а</w:t>
      </w:r>
      <w:r w:rsidRPr="001C73F5">
        <w:t>чин</w:t>
      </w:r>
      <w:r>
        <w:t>:</w:t>
      </w:r>
      <w:r w:rsidRPr="001C73F5">
        <w:t xml:space="preserve"> Плевен – 40,6%, Враца </w:t>
      </w:r>
      <w:r>
        <w:t>–</w:t>
      </w:r>
      <w:r w:rsidRPr="001C73F5">
        <w:t xml:space="preserve"> 25,5%, Монтана – 16,2%, Ловеч – 9,4%, Видин – 8,4%. Разпределението на дела на средствата, които са изплатени (от общата сума на догов</w:t>
      </w:r>
      <w:r w:rsidRPr="001C73F5">
        <w:t>о</w:t>
      </w:r>
      <w:r w:rsidRPr="001C73F5">
        <w:t>рени</w:t>
      </w:r>
      <w:r>
        <w:t>те в СЗ</w:t>
      </w:r>
      <w:r w:rsidRPr="001C73F5">
        <w:t xml:space="preserve">Р) е съответно Плевен – 34,6%, Враца </w:t>
      </w:r>
      <w:r>
        <w:t>–</w:t>
      </w:r>
      <w:r w:rsidRPr="001C73F5">
        <w:t xml:space="preserve"> 27,7%, Монтана – 18,3%, Ловеч –11,6%, Видин – 7,8%.</w:t>
      </w:r>
    </w:p>
    <w:p w:rsidR="00B667EE" w:rsidRDefault="00B667EE" w:rsidP="00B667EE">
      <w:r>
        <w:t xml:space="preserve">Основен дял във финансирането на мерките за изпълнение на РПР на СЗР към момента на междинно оценяване имат </w:t>
      </w:r>
      <w:bookmarkStart w:id="52" w:name="_Hlk500100195"/>
      <w:r>
        <w:t>ОПИК (35%), ОПОС (30%) и ОПРР (20,6%). Принос имат и ПРСР (7,8%) и ОПРЧР (3,7%)</w:t>
      </w:r>
      <w:bookmarkEnd w:id="52"/>
      <w:r>
        <w:t>.</w:t>
      </w:r>
    </w:p>
    <w:p w:rsidR="005D73D7" w:rsidRPr="00933864" w:rsidRDefault="005D73D7" w:rsidP="005D73D7">
      <w:r w:rsidRPr="00933864">
        <w:lastRenderedPageBreak/>
        <w:t>Приносът на оперативните програми, финансирани от ЕФРР, ЕСФ</w:t>
      </w:r>
      <w:r>
        <w:t>,</w:t>
      </w:r>
      <w:r w:rsidRPr="00933864">
        <w:t xml:space="preserve"> КФ </w:t>
      </w:r>
      <w:r>
        <w:t xml:space="preserve">и </w:t>
      </w:r>
      <w:r w:rsidRPr="005C78B3">
        <w:t xml:space="preserve">ЕЗФРСР </w:t>
      </w:r>
      <w:r w:rsidRPr="00933864">
        <w:t>за изпълнението на приоритетите на РПР на С</w:t>
      </w:r>
      <w:r>
        <w:t>З</w:t>
      </w:r>
      <w:r w:rsidRPr="00933864">
        <w:t xml:space="preserve">Р е оценен въз основа на </w:t>
      </w:r>
      <w:r>
        <w:t>информацията за</w:t>
      </w:r>
      <w:r w:rsidRPr="00933864">
        <w:t xml:space="preserve"> на договорените и изплатените финансови ресурси по източници спрямо цели</w:t>
      </w:r>
      <w:r>
        <w:t>те на плана</w:t>
      </w:r>
      <w:r w:rsidRPr="00933864">
        <w:t>. За мерките, свър</w:t>
      </w:r>
      <w:r>
        <w:t>зани с изпълнението на РПР на СЗ</w:t>
      </w:r>
      <w:r w:rsidRPr="00933864">
        <w:t xml:space="preserve">Р </w:t>
      </w:r>
      <w:r>
        <w:t>в периода 2014-2017</w:t>
      </w:r>
      <w:r w:rsidRPr="00933864">
        <w:t xml:space="preserve"> г., ре</w:t>
      </w:r>
      <w:r w:rsidRPr="00933864">
        <w:t>а</w:t>
      </w:r>
      <w:r w:rsidRPr="00933864">
        <w:t>лизирани със средства от държавния бюджет, от бюджетите на общините, от междун</w:t>
      </w:r>
      <w:r w:rsidRPr="00933864">
        <w:t>а</w:t>
      </w:r>
      <w:r w:rsidRPr="00933864">
        <w:t>родни финансови институции, както и за частните инвестиции</w:t>
      </w:r>
      <w:r>
        <w:t xml:space="preserve"> (извън съфинансирането по ОП)</w:t>
      </w:r>
      <w:r w:rsidRPr="00933864">
        <w:t xml:space="preserve">, липсва систематизирана информация, която да позволява тяхното обвързване с целите и приоритетите на плана. </w:t>
      </w:r>
    </w:p>
    <w:p w:rsidR="005D73D7" w:rsidRPr="00933864" w:rsidRDefault="00B860C4" w:rsidP="005D73D7">
      <w:r w:rsidRPr="00B860C4">
        <w:t>От обемът на договорените средства по</w:t>
      </w:r>
      <w:r w:rsidR="005D73D7" w:rsidRPr="00933864">
        <w:t xml:space="preserve"> оперативните програми </w:t>
      </w:r>
      <w:r w:rsidR="005D73D7">
        <w:t xml:space="preserve">и ПРСР </w:t>
      </w:r>
      <w:r w:rsidR="005D73D7" w:rsidRPr="00933864">
        <w:t>(ЕС и н</w:t>
      </w:r>
      <w:r w:rsidR="005D73D7" w:rsidRPr="00933864">
        <w:t>а</w:t>
      </w:r>
      <w:r w:rsidR="005D73D7" w:rsidRPr="00933864">
        <w:t>ционално съфинанс</w:t>
      </w:r>
      <w:r w:rsidR="005D73D7">
        <w:t>иране) – 1222</w:t>
      </w:r>
      <w:r w:rsidR="005D73D7" w:rsidRPr="00933864">
        <w:t>,</w:t>
      </w:r>
      <w:r w:rsidR="005D73D7">
        <w:t>8</w:t>
      </w:r>
      <w:r w:rsidR="005D73D7" w:rsidRPr="00933864">
        <w:t xml:space="preserve"> млн. лв., може да бъде направен извод, че </w:t>
      </w:r>
      <w:r w:rsidR="005D73D7">
        <w:t>потенци</w:t>
      </w:r>
      <w:r w:rsidR="005D73D7">
        <w:t>а</w:t>
      </w:r>
      <w:r w:rsidR="005D73D7">
        <w:t xml:space="preserve">лът за постигане на </w:t>
      </w:r>
      <w:r w:rsidR="005D73D7" w:rsidRPr="00933864">
        <w:t>об</w:t>
      </w:r>
      <w:r w:rsidR="005D73D7">
        <w:t>щия</w:t>
      </w:r>
      <w:r w:rsidR="005D73D7" w:rsidRPr="00933864">
        <w:t xml:space="preserve"> размер на средс</w:t>
      </w:r>
      <w:r w:rsidR="00FF2232">
        <w:t>твата за реализация на РПР на СЗ</w:t>
      </w:r>
      <w:r w:rsidR="005D73D7" w:rsidRPr="00933864">
        <w:t>Р за пери</w:t>
      </w:r>
      <w:r w:rsidR="005D73D7" w:rsidRPr="00933864">
        <w:t>о</w:t>
      </w:r>
      <w:r w:rsidR="005D73D7">
        <w:t>да до 2020 г</w:t>
      </w:r>
      <w:r w:rsidR="005D73D7" w:rsidRPr="00933864">
        <w:t>.</w:t>
      </w:r>
      <w:r w:rsidR="005D73D7">
        <w:t xml:space="preserve"> е положителен</w:t>
      </w:r>
    </w:p>
    <w:p w:rsidR="005D73D7" w:rsidRPr="00F30B72" w:rsidRDefault="005D73D7" w:rsidP="005D73D7">
      <w:r w:rsidRPr="00F30B72">
        <w:t>Към началото на октомври 2017 г. в СЗР са договорени 1 169,2 млн. лв. или 17,5% от договорените средства по Оперативни програми. 18,3% от договорените средства са сертифицирани и изплатени.</w:t>
      </w:r>
    </w:p>
    <w:p w:rsidR="005D73D7" w:rsidRDefault="005D73D7" w:rsidP="005D73D7">
      <w:r w:rsidRPr="00933864">
        <w:t xml:space="preserve">Относително началния етап в реализацията на мерките по оперативните програми, съфинансирани от ЕС и представените данни, </w:t>
      </w:r>
      <w:r>
        <w:t>показват, че основните финансови ресу</w:t>
      </w:r>
      <w:r>
        <w:t>р</w:t>
      </w:r>
      <w:r>
        <w:t xml:space="preserve">си </w:t>
      </w:r>
      <w:r w:rsidR="00685B90">
        <w:t xml:space="preserve">за </w:t>
      </w:r>
      <w:r>
        <w:t xml:space="preserve">периода </w:t>
      </w:r>
      <w:r w:rsidR="00685B90">
        <w:t xml:space="preserve">от началото на </w:t>
      </w:r>
      <w:r>
        <w:t xml:space="preserve">2014 </w:t>
      </w:r>
      <w:r w:rsidR="00685B90">
        <w:t xml:space="preserve">г. до м. </w:t>
      </w:r>
      <w:r>
        <w:t>октомври 2017 г.</w:t>
      </w:r>
      <w:r w:rsidR="00685B90">
        <w:t>,</w:t>
      </w:r>
      <w:r>
        <w:t xml:space="preserve"> са договорени след края на 2015 г. В този смисъл, </w:t>
      </w:r>
      <w:r w:rsidRPr="008958EB">
        <w:rPr>
          <w:b/>
        </w:rPr>
        <w:t>степента на изпълнение на междинните целеви стойности към 2015 г. на всички типове индикатори за наблюдение на РПР следва да се раз</w:t>
      </w:r>
      <w:r w:rsidRPr="008958EB">
        <w:rPr>
          <w:b/>
        </w:rPr>
        <w:t>г</w:t>
      </w:r>
      <w:r w:rsidRPr="008958EB">
        <w:rPr>
          <w:b/>
        </w:rPr>
        <w:t>лежда като ефект от провежданата в предходния период политика за регионално развитие и съответно от мерките, осъществявани след края на периода 2007</w:t>
      </w:r>
      <w:r w:rsidR="00685B90">
        <w:rPr>
          <w:b/>
        </w:rPr>
        <w:t>-</w:t>
      </w:r>
      <w:r w:rsidRPr="008958EB">
        <w:rPr>
          <w:b/>
        </w:rPr>
        <w:t>2013 г.</w:t>
      </w:r>
      <w:r>
        <w:t xml:space="preserve"> </w:t>
      </w:r>
    </w:p>
    <w:p w:rsidR="005D73D7" w:rsidRPr="00933864" w:rsidRDefault="005D73D7" w:rsidP="005D73D7">
      <w:r>
        <w:t>Към октомври 2017 г. налице е</w:t>
      </w:r>
      <w:r w:rsidRPr="00933864">
        <w:t xml:space="preserve"> тенденция за концентрация на финансовите ресу</w:t>
      </w:r>
      <w:r w:rsidRPr="00933864">
        <w:t>р</w:t>
      </w:r>
      <w:r w:rsidRPr="00933864">
        <w:t xml:space="preserve">си за изпълнение на мерки и дейности, свързани със </w:t>
      </w:r>
      <w:r w:rsidRPr="00933864">
        <w:rPr>
          <w:i/>
        </w:rPr>
        <w:t xml:space="preserve">Стратегически цели </w:t>
      </w:r>
      <w:r>
        <w:rPr>
          <w:i/>
        </w:rPr>
        <w:t>1</w:t>
      </w:r>
      <w:r w:rsidRPr="00933864">
        <w:rPr>
          <w:i/>
        </w:rPr>
        <w:t xml:space="preserve"> и 3</w:t>
      </w:r>
      <w:r>
        <w:t xml:space="preserve"> на РПР на СЗ</w:t>
      </w:r>
      <w:r w:rsidRPr="00933864">
        <w:t>Р, в чийто обхват попадат основните инфраструктурни проекти</w:t>
      </w:r>
      <w:r>
        <w:t>,</w:t>
      </w:r>
      <w:r w:rsidRPr="008958EB">
        <w:t xml:space="preserve"> </w:t>
      </w:r>
      <w:r w:rsidR="00032AF5">
        <w:t xml:space="preserve">опазване на околната среда, </w:t>
      </w:r>
      <w:r w:rsidRPr="00933864">
        <w:t xml:space="preserve">градското развитие, като и тези свързани с развитието на </w:t>
      </w:r>
      <w:r>
        <w:t>насърчаване на икономика на иновациите</w:t>
      </w:r>
      <w:r w:rsidRPr="00933864">
        <w:t>.</w:t>
      </w:r>
    </w:p>
    <w:p w:rsidR="00511623" w:rsidRDefault="00511623" w:rsidP="00427DD4">
      <w:pPr>
        <w:pStyle w:val="Heading1"/>
      </w:pPr>
      <w:bookmarkStart w:id="53" w:name="_Toc500325564"/>
      <w:r w:rsidRPr="00B9759D">
        <w:lastRenderedPageBreak/>
        <w:t>ИЗВОДИ И ПРЕПОРЪКИ</w:t>
      </w:r>
      <w:bookmarkEnd w:id="53"/>
      <w:r w:rsidRPr="00B9759D">
        <w:t xml:space="preserve"> </w:t>
      </w:r>
    </w:p>
    <w:p w:rsidR="00112FA2" w:rsidRPr="00112FA2" w:rsidRDefault="00112FA2" w:rsidP="00112FA2">
      <w:pPr>
        <w:pStyle w:val="Heading3"/>
      </w:pPr>
      <w:bookmarkStart w:id="54" w:name="_Toc500325565"/>
      <w:r w:rsidRPr="00112FA2">
        <w:t>Обобщена оценка за изпълнението на РПР на СЗР</w:t>
      </w:r>
      <w:bookmarkEnd w:id="54"/>
    </w:p>
    <w:p w:rsidR="00112FA2" w:rsidRPr="00B9759D" w:rsidRDefault="00112FA2" w:rsidP="00112FA2">
      <w:pPr>
        <w:keepLines/>
        <w:spacing w:before="240"/>
      </w:pPr>
      <w:r w:rsidRPr="00B9759D">
        <w:rPr>
          <w:b/>
        </w:rPr>
        <w:t>Визията и главната цел</w:t>
      </w:r>
      <w:r w:rsidRPr="00B9759D">
        <w:t xml:space="preserve">, определени в РПР на СЗР запазват своята актуалност. Рамката на </w:t>
      </w:r>
      <w:r w:rsidRPr="00B9759D">
        <w:rPr>
          <w:b/>
        </w:rPr>
        <w:t>стратегическите цели</w:t>
      </w:r>
      <w:r w:rsidRPr="00B9759D">
        <w:t xml:space="preserve"> и определените </w:t>
      </w:r>
      <w:r w:rsidRPr="00B9759D">
        <w:rPr>
          <w:b/>
        </w:rPr>
        <w:t>приоритети</w:t>
      </w:r>
      <w:r w:rsidRPr="00B9759D">
        <w:t xml:space="preserve">, като цяло съответстват на проблемите и нуждите на СЗР. </w:t>
      </w:r>
      <w:r w:rsidRPr="00C36C3C">
        <w:t xml:space="preserve">Същевременно е необходимо </w:t>
      </w:r>
      <w:r>
        <w:t xml:space="preserve">да бъде установено </w:t>
      </w:r>
      <w:r w:rsidRPr="0089456D">
        <w:t>с</w:t>
      </w:r>
      <w:r w:rsidRPr="0089456D">
        <w:t>ъ</w:t>
      </w:r>
      <w:r w:rsidRPr="0089456D">
        <w:t>ответствието на стратегическата рамка за развитие на С</w:t>
      </w:r>
      <w:r>
        <w:t>З</w:t>
      </w:r>
      <w:r w:rsidRPr="0089456D">
        <w:t xml:space="preserve">Р с тематичните области на интервенции по ОП за </w:t>
      </w:r>
      <w:r>
        <w:t xml:space="preserve">2014-2020 г., </w:t>
      </w:r>
      <w:r w:rsidRPr="00C36C3C">
        <w:t xml:space="preserve">както и определяне на механизъм </w:t>
      </w:r>
      <w:r>
        <w:t xml:space="preserve">за обвързване </w:t>
      </w:r>
      <w:r w:rsidRPr="00933864">
        <w:t>с целите и приоритетите на плана</w:t>
      </w:r>
      <w:r>
        <w:t xml:space="preserve"> на </w:t>
      </w:r>
      <w:r w:rsidRPr="00933864">
        <w:t xml:space="preserve">мерките, реализирани със средства от държавния бюджет </w:t>
      </w:r>
      <w:r>
        <w:t xml:space="preserve">и </w:t>
      </w:r>
      <w:r w:rsidRPr="00933864">
        <w:t>от бюджетите на об</w:t>
      </w:r>
      <w:r>
        <w:t>щините.</w:t>
      </w:r>
    </w:p>
    <w:p w:rsidR="00112FA2" w:rsidRDefault="00112FA2" w:rsidP="00112FA2">
      <w:r w:rsidRPr="00B9759D">
        <w:t>Обобщението на анализа на показателите за изпълнението на стратегическите ц</w:t>
      </w:r>
      <w:r w:rsidRPr="00B9759D">
        <w:t>е</w:t>
      </w:r>
      <w:r w:rsidRPr="00B9759D">
        <w:t>ли на РПР на СЗР показва, че:</w:t>
      </w:r>
    </w:p>
    <w:p w:rsidR="00324B3E" w:rsidRPr="00324B3E" w:rsidRDefault="00324B3E" w:rsidP="00416C31">
      <w:pPr>
        <w:pStyle w:val="Style1"/>
      </w:pPr>
      <w:r>
        <w:rPr>
          <w:noProof/>
        </w:rPr>
        <w:t xml:space="preserve">СЗР е районът с най-силно изразени негативни демографски процеси, намаляването на населението има устойчива тенденция – в периода 2008-2016 г. намалението е с 16%. Към края на 2016 г. населението на СЗР е </w:t>
      </w:r>
      <w:r w:rsidRPr="00790D19">
        <w:rPr>
          <w:b/>
          <w:noProof/>
          <w:color w:val="943634" w:themeColor="accent2" w:themeShade="BF"/>
        </w:rPr>
        <w:t>769 623 души</w:t>
      </w:r>
      <w:r w:rsidRPr="00790D19">
        <w:rPr>
          <w:noProof/>
          <w:color w:val="943634" w:themeColor="accent2" w:themeShade="BF"/>
        </w:rPr>
        <w:t xml:space="preserve"> </w:t>
      </w:r>
      <w:r>
        <w:rPr>
          <w:noProof/>
        </w:rPr>
        <w:t xml:space="preserve">и е под долната граница за обсобяване на район от </w:t>
      </w:r>
      <w:r w:rsidRPr="00CD1857">
        <w:rPr>
          <w:noProof/>
          <w:color w:val="943634" w:themeColor="accent2" w:themeShade="BF"/>
        </w:rPr>
        <w:t>ниво 2</w:t>
      </w:r>
      <w:r>
        <w:rPr>
          <w:noProof/>
        </w:rPr>
        <w:t xml:space="preserve"> според </w:t>
      </w:r>
      <w:r w:rsidRPr="00BE52B8">
        <w:rPr>
          <w:i/>
          <w:noProof/>
        </w:rPr>
        <w:t>Регламент (ЕО) № 1059/2003</w:t>
      </w:r>
      <w:r>
        <w:rPr>
          <w:i/>
          <w:noProof/>
        </w:rPr>
        <w:t xml:space="preserve"> г.</w:t>
      </w:r>
      <w:r w:rsidRPr="00324B3E">
        <w:rPr>
          <w:noProof/>
        </w:rPr>
        <w:t xml:space="preserve"> </w:t>
      </w:r>
      <w:r>
        <w:rPr>
          <w:noProof/>
        </w:rPr>
        <w:t xml:space="preserve">Според </w:t>
      </w:r>
      <w:r w:rsidRPr="007C0CD9">
        <w:rPr>
          <w:noProof/>
        </w:rPr>
        <w:t>прогнозите на НСИ</w:t>
      </w:r>
      <w:r>
        <w:rPr>
          <w:rStyle w:val="FootnoteReference"/>
          <w:noProof/>
        </w:rPr>
        <w:footnoteReference w:id="5"/>
      </w:r>
      <w:r w:rsidRPr="007C0CD9">
        <w:rPr>
          <w:noProof/>
        </w:rPr>
        <w:t xml:space="preserve"> към 2020 г. </w:t>
      </w:r>
      <w:r>
        <w:rPr>
          <w:noProof/>
        </w:rPr>
        <w:t xml:space="preserve">се очаква наслението на </w:t>
      </w:r>
      <w:r w:rsidRPr="007C0CD9">
        <w:rPr>
          <w:noProof/>
        </w:rPr>
        <w:t>С</w:t>
      </w:r>
      <w:r>
        <w:rPr>
          <w:noProof/>
        </w:rPr>
        <w:t>З</w:t>
      </w:r>
      <w:r w:rsidRPr="007C0CD9">
        <w:rPr>
          <w:noProof/>
        </w:rPr>
        <w:t xml:space="preserve">Р </w:t>
      </w:r>
      <w:r>
        <w:rPr>
          <w:noProof/>
        </w:rPr>
        <w:t xml:space="preserve">да бъде </w:t>
      </w:r>
      <w:r w:rsidRPr="007C0CD9">
        <w:rPr>
          <w:noProof/>
          <w:color w:val="943634" w:themeColor="accent2" w:themeShade="BF"/>
        </w:rPr>
        <w:t>724 135 души</w:t>
      </w:r>
      <w:r w:rsidRPr="007C0CD9">
        <w:rPr>
          <w:noProof/>
        </w:rPr>
        <w:t xml:space="preserve">, а през 2030 г. </w:t>
      </w:r>
      <w:r>
        <w:rPr>
          <w:noProof/>
        </w:rPr>
        <w:t>–</w:t>
      </w:r>
      <w:r w:rsidRPr="007C0CD9">
        <w:rPr>
          <w:noProof/>
        </w:rPr>
        <w:t xml:space="preserve"> да намалее до </w:t>
      </w:r>
      <w:r w:rsidRPr="007C0CD9">
        <w:rPr>
          <w:noProof/>
          <w:color w:val="943634" w:themeColor="accent2" w:themeShade="BF"/>
        </w:rPr>
        <w:t>616 757души</w:t>
      </w:r>
      <w:r w:rsidRPr="00377105">
        <w:t xml:space="preserve"> или с </w:t>
      </w:r>
      <w:r>
        <w:t>18.86% по-малко от 2016 г.</w:t>
      </w:r>
    </w:p>
    <w:p w:rsidR="00324B3E" w:rsidRDefault="00324B3E" w:rsidP="00416C31">
      <w:pPr>
        <w:pStyle w:val="Style1"/>
      </w:pPr>
      <w:r>
        <w:rPr>
          <w:noProof/>
        </w:rPr>
        <w:t xml:space="preserve">Три от областите в СЗР – </w:t>
      </w:r>
      <w:r w:rsidRPr="009B45CE">
        <w:rPr>
          <w:noProof/>
          <w:color w:val="943634" w:themeColor="accent2" w:themeShade="BF"/>
        </w:rPr>
        <w:t>Видин</w:t>
      </w:r>
      <w:r>
        <w:rPr>
          <w:noProof/>
        </w:rPr>
        <w:t xml:space="preserve">, </w:t>
      </w:r>
      <w:r w:rsidRPr="009B45CE">
        <w:rPr>
          <w:noProof/>
          <w:color w:val="943634" w:themeColor="accent2" w:themeShade="BF"/>
        </w:rPr>
        <w:t>Ловеч</w:t>
      </w:r>
      <w:r>
        <w:rPr>
          <w:noProof/>
        </w:rPr>
        <w:t xml:space="preserve"> и </w:t>
      </w:r>
      <w:r w:rsidRPr="009B45CE">
        <w:rPr>
          <w:noProof/>
          <w:color w:val="943634" w:themeColor="accent2" w:themeShade="BF"/>
        </w:rPr>
        <w:t>Монтана</w:t>
      </w:r>
      <w:r>
        <w:rPr>
          <w:noProof/>
        </w:rPr>
        <w:t xml:space="preserve">, не отговарят на изискванията на </w:t>
      </w:r>
      <w:r w:rsidRPr="00BE52B8">
        <w:rPr>
          <w:i/>
          <w:noProof/>
        </w:rPr>
        <w:t>Регламент (ЕО) № 1059/2003</w:t>
      </w:r>
      <w:r>
        <w:rPr>
          <w:i/>
          <w:noProof/>
        </w:rPr>
        <w:t xml:space="preserve"> г.</w:t>
      </w:r>
      <w:r>
        <w:rPr>
          <w:noProof/>
        </w:rPr>
        <w:t xml:space="preserve">, според който населението в </w:t>
      </w:r>
      <w:r w:rsidRPr="00BE52B8">
        <w:rPr>
          <w:noProof/>
        </w:rPr>
        <w:t>административни</w:t>
      </w:r>
      <w:r>
        <w:rPr>
          <w:noProof/>
        </w:rPr>
        <w:t>те</w:t>
      </w:r>
      <w:r w:rsidRPr="00BE52B8">
        <w:rPr>
          <w:noProof/>
        </w:rPr>
        <w:t xml:space="preserve"> единици</w:t>
      </w:r>
      <w:r>
        <w:rPr>
          <w:noProof/>
        </w:rPr>
        <w:t xml:space="preserve"> от </w:t>
      </w:r>
      <w:r w:rsidRPr="00790D19">
        <w:rPr>
          <w:noProof/>
          <w:color w:val="943634" w:themeColor="accent2" w:themeShade="BF"/>
        </w:rPr>
        <w:t>ниво 3</w:t>
      </w:r>
      <w:r w:rsidR="006757A2">
        <w:rPr>
          <w:noProof/>
        </w:rPr>
        <w:t xml:space="preserve">, </w:t>
      </w:r>
      <w:r>
        <w:rPr>
          <w:noProof/>
        </w:rPr>
        <w:t xml:space="preserve">следва да бъде най-малко </w:t>
      </w:r>
      <w:r w:rsidRPr="00790D19">
        <w:rPr>
          <w:noProof/>
          <w:color w:val="943634" w:themeColor="accent2" w:themeShade="BF"/>
        </w:rPr>
        <w:t>150 000 души</w:t>
      </w:r>
      <w:r>
        <w:rPr>
          <w:noProof/>
        </w:rPr>
        <w:t>.</w:t>
      </w:r>
    </w:p>
    <w:p w:rsidR="00112FA2" w:rsidRDefault="00112FA2" w:rsidP="00416C31">
      <w:pPr>
        <w:pStyle w:val="Style1"/>
      </w:pPr>
      <w:r w:rsidRPr="008B406C">
        <w:t>Социалното и икономическото развитие на</w:t>
      </w:r>
      <w:r>
        <w:t xml:space="preserve"> </w:t>
      </w:r>
      <w:r w:rsidRPr="00EB1055">
        <w:rPr>
          <w:noProof/>
        </w:rPr>
        <w:t>С</w:t>
      </w:r>
      <w:r>
        <w:rPr>
          <w:noProof/>
        </w:rPr>
        <w:t>З</w:t>
      </w:r>
      <w:r w:rsidRPr="00EB1055">
        <w:rPr>
          <w:noProof/>
        </w:rPr>
        <w:t>Р</w:t>
      </w:r>
      <w:r>
        <w:rPr>
          <w:noProof/>
        </w:rPr>
        <w:t xml:space="preserve"> през периода </w:t>
      </w:r>
      <w:r>
        <w:t>2014-2017</w:t>
      </w:r>
      <w:r w:rsidRPr="00933864">
        <w:t xml:space="preserve"> г. </w:t>
      </w:r>
      <w:r>
        <w:rPr>
          <w:noProof/>
        </w:rPr>
        <w:t xml:space="preserve">се характеризира </w:t>
      </w:r>
      <w:r w:rsidRPr="00FE5818">
        <w:rPr>
          <w:noProof/>
        </w:rPr>
        <w:t xml:space="preserve">с </w:t>
      </w:r>
      <w:r w:rsidRPr="009B45CE">
        <w:rPr>
          <w:noProof/>
          <w:color w:val="943634" w:themeColor="accent2" w:themeShade="BF"/>
        </w:rPr>
        <w:t xml:space="preserve">положителна промяна </w:t>
      </w:r>
      <w:r w:rsidRPr="00FE5818">
        <w:rPr>
          <w:noProof/>
        </w:rPr>
        <w:t xml:space="preserve">на ключовите </w:t>
      </w:r>
      <w:r>
        <w:t xml:space="preserve">макроикономически </w:t>
      </w:r>
      <w:r w:rsidRPr="00FE5818">
        <w:rPr>
          <w:noProof/>
        </w:rPr>
        <w:t xml:space="preserve">индикатори. </w:t>
      </w:r>
      <w:r w:rsidRPr="00933864">
        <w:t xml:space="preserve">Това се дължи основно на общата динамика на развитието на страната </w:t>
      </w:r>
      <w:r>
        <w:t xml:space="preserve">след 2012 </w:t>
      </w:r>
      <w:r w:rsidRPr="00933864">
        <w:t xml:space="preserve">г., изразяваща се в нарастване на БВП с темпове по-бързи от средните за ЕС, </w:t>
      </w:r>
      <w:r>
        <w:t xml:space="preserve">които, макар и частично, възстановяват в известна степен растежа от преди 2009 г. </w:t>
      </w:r>
    </w:p>
    <w:p w:rsidR="00112FA2" w:rsidRPr="00DE569F" w:rsidRDefault="00112FA2" w:rsidP="00416C31">
      <w:pPr>
        <w:pStyle w:val="Style1"/>
      </w:pPr>
      <w:r w:rsidRPr="00B9759D">
        <w:lastRenderedPageBreak/>
        <w:t xml:space="preserve">Въпреки общото развитие на икономиката на СЗР, темповете на нарастване на БВП за периода до 2008 г. са най-ниски, в сравнение с тези на останалите райони от </w:t>
      </w:r>
      <w:r w:rsidRPr="00D4576E">
        <w:rPr>
          <w:color w:val="943634" w:themeColor="accent2" w:themeShade="BF"/>
        </w:rPr>
        <w:t>ниво 2</w:t>
      </w:r>
      <w:r w:rsidRPr="00B9759D">
        <w:t xml:space="preserve">. </w:t>
      </w:r>
      <w:r>
        <w:t>В периода 2009</w:t>
      </w:r>
      <w:r w:rsidR="00685B90">
        <w:t>-</w:t>
      </w:r>
      <w:r>
        <w:t>2015 г. продължава да е валидна регис</w:t>
      </w:r>
      <w:r>
        <w:t>т</w:t>
      </w:r>
      <w:r>
        <w:t xml:space="preserve">рираната за </w:t>
      </w:r>
      <w:r w:rsidRPr="00933864">
        <w:t xml:space="preserve">2004-2008 г. </w:t>
      </w:r>
      <w:r w:rsidRPr="00DE569F">
        <w:t>устойчива тенденци</w:t>
      </w:r>
      <w:r w:rsidR="00FF2232">
        <w:t>я за намаляване на приноса на СЗ</w:t>
      </w:r>
      <w:r w:rsidRPr="00DE569F">
        <w:t>Р в общия БВП.</w:t>
      </w:r>
    </w:p>
    <w:p w:rsidR="00112FA2" w:rsidRDefault="00112FA2" w:rsidP="00416C31">
      <w:pPr>
        <w:pStyle w:val="Style1"/>
      </w:pPr>
      <w:r>
        <w:t xml:space="preserve">За периода 2010-2015 г. </w:t>
      </w:r>
      <w:r w:rsidRPr="00195A68">
        <w:rPr>
          <w:b/>
        </w:rPr>
        <w:t>не се наблюдава</w:t>
      </w:r>
      <w:r w:rsidRPr="00933864">
        <w:t xml:space="preserve"> </w:t>
      </w:r>
      <w:r w:rsidRPr="0083520F">
        <w:rPr>
          <w:b/>
        </w:rPr>
        <w:t>напредък в преодоляването на вътрешнорегионалните различия</w:t>
      </w:r>
      <w:r w:rsidR="00FF2232">
        <w:t xml:space="preserve"> в СЗ</w:t>
      </w:r>
      <w:r w:rsidRPr="00933864">
        <w:t xml:space="preserve">Р. </w:t>
      </w:r>
      <w:r>
        <w:t xml:space="preserve">Различията по отношение на </w:t>
      </w:r>
      <w:r w:rsidRPr="0083520F">
        <w:rPr>
          <w:i/>
        </w:rPr>
        <w:t>БВП на глава от населението</w:t>
      </w:r>
      <w:r>
        <w:t xml:space="preserve"> леко намаляват, като това се дължи основно в заб</w:t>
      </w:r>
      <w:r>
        <w:t>а</w:t>
      </w:r>
      <w:r>
        <w:t>вянето на растежа на област Враца, водеща в района по този показател. Ра</w:t>
      </w:r>
      <w:r>
        <w:t>з</w:t>
      </w:r>
      <w:r>
        <w:t xml:space="preserve">личията в </w:t>
      </w:r>
      <w:r w:rsidRPr="00933864">
        <w:rPr>
          <w:rFonts w:eastAsia="Arial"/>
          <w:i/>
        </w:rPr>
        <w:t xml:space="preserve">размера на </w:t>
      </w:r>
      <w:r w:rsidRPr="00933864">
        <w:rPr>
          <w:i/>
        </w:rPr>
        <w:t>средна годишна заплата на наетите лица по трудово и служебно правоотношение</w:t>
      </w:r>
      <w:r>
        <w:rPr>
          <w:i/>
        </w:rPr>
        <w:t xml:space="preserve">, безработицата и </w:t>
      </w:r>
      <w:r w:rsidR="00CD1857">
        <w:rPr>
          <w:i/>
        </w:rPr>
        <w:t>заетостта</w:t>
      </w:r>
      <w:r>
        <w:t xml:space="preserve"> слабо се увел</w:t>
      </w:r>
      <w:r>
        <w:t>и</w:t>
      </w:r>
      <w:r>
        <w:t>чават в сравнение с 2008 г.</w:t>
      </w:r>
    </w:p>
    <w:p w:rsidR="00F86AB6" w:rsidRDefault="00F86AB6" w:rsidP="00F86AB6">
      <w:pPr>
        <w:pStyle w:val="Caption"/>
      </w:pPr>
      <w:bookmarkStart w:id="55" w:name="_Toc500329897"/>
      <w:r>
        <w:t xml:space="preserve">таблица </w:t>
      </w:r>
      <w:fldSimple w:instr=" SEQ Таблица \* ARABIC ">
        <w:r w:rsidR="00BA3ACC">
          <w:rPr>
            <w:noProof/>
          </w:rPr>
          <w:t>7</w:t>
        </w:r>
      </w:fldSimple>
      <w:r>
        <w:t>.</w:t>
      </w:r>
      <w:r>
        <w:tab/>
      </w:r>
      <w:r w:rsidRPr="00F86AB6">
        <w:t xml:space="preserve">Степен на постигане на целите на РПР на </w:t>
      </w:r>
      <w:r>
        <w:t>СЗ</w:t>
      </w:r>
      <w:r w:rsidRPr="00F86AB6">
        <w:t>Р към 2015 г.</w:t>
      </w:r>
      <w:bookmarkEnd w:id="55"/>
    </w:p>
    <w:tbl>
      <w:tblPr>
        <w:tblStyle w:val="GridTable1LightAccent2"/>
        <w:tblW w:w="5000" w:type="pct"/>
        <w:tblLook w:val="04A0" w:firstRow="1" w:lastRow="0" w:firstColumn="1" w:lastColumn="0" w:noHBand="0" w:noVBand="1"/>
      </w:tblPr>
      <w:tblGrid>
        <w:gridCol w:w="7261"/>
        <w:gridCol w:w="2026"/>
      </w:tblGrid>
      <w:tr w:rsidR="00F86AB6" w:rsidRPr="00A853E4" w:rsidTr="00F86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F86AB6" w:rsidRPr="00852E7F" w:rsidRDefault="00F86AB6" w:rsidP="00F86AB6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 w:rsidRPr="00852E7F">
              <w:rPr>
                <w:b w:val="0"/>
                <w:i/>
                <w:sz w:val="18"/>
                <w:szCs w:val="18"/>
              </w:rPr>
              <w:t xml:space="preserve">Цели </w:t>
            </w:r>
            <w:r>
              <w:rPr>
                <w:b w:val="0"/>
                <w:i/>
                <w:sz w:val="18"/>
                <w:szCs w:val="18"/>
              </w:rPr>
              <w:t>на РПР на СЗ</w:t>
            </w:r>
            <w:r w:rsidRPr="00852E7F">
              <w:rPr>
                <w:b w:val="0"/>
                <w:i/>
                <w:sz w:val="18"/>
                <w:szCs w:val="18"/>
              </w:rPr>
              <w:t>Р</w:t>
            </w:r>
          </w:p>
        </w:tc>
        <w:tc>
          <w:tcPr>
            <w:tcW w:w="1091" w:type="pct"/>
          </w:tcPr>
          <w:p w:rsidR="00F86AB6" w:rsidRPr="00A853E4" w:rsidRDefault="00F86AB6" w:rsidP="00F86AB6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4F6634">
              <w:rPr>
                <w:b w:val="0"/>
                <w:i/>
                <w:sz w:val="18"/>
              </w:rPr>
              <w:t>Индекс на постигане на целите</w:t>
            </w:r>
          </w:p>
        </w:tc>
      </w:tr>
      <w:tr w:rsidR="00F86AB6" w:rsidRPr="00A853E4" w:rsidTr="00F86AB6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F86AB6" w:rsidRPr="00A853E4" w:rsidRDefault="00F86AB6" w:rsidP="00F86AB6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F86AB6">
              <w:rPr>
                <w:color w:val="943634" w:themeColor="accent2" w:themeShade="BF"/>
                <w:sz w:val="18"/>
              </w:rPr>
              <w:t>Стратегическа цел 1:</w:t>
            </w:r>
            <w:r w:rsidRPr="00F86AB6">
              <w:rPr>
                <w:b w:val="0"/>
                <w:color w:val="943634" w:themeColor="accent2" w:themeShade="BF"/>
                <w:sz w:val="18"/>
              </w:rPr>
              <w:t xml:space="preserve"> </w:t>
            </w:r>
            <w:r w:rsidRPr="00877FF0">
              <w:rPr>
                <w:b w:val="0"/>
                <w:sz w:val="18"/>
              </w:rPr>
              <w:t>Развитие на конкурентноспособна икономика чрез насърчаване на собствения потенциал на СЗР</w:t>
            </w:r>
          </w:p>
        </w:tc>
        <w:tc>
          <w:tcPr>
            <w:tcW w:w="1091" w:type="pct"/>
            <w:vAlign w:val="center"/>
          </w:tcPr>
          <w:p w:rsidR="00F86AB6" w:rsidRPr="002B4A60" w:rsidRDefault="00410518" w:rsidP="00F86AB6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F86AB6" w:rsidRPr="00A853E4" w:rsidTr="00F86AB6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F86AB6" w:rsidRPr="00A853E4" w:rsidRDefault="00F86AB6" w:rsidP="00F86AB6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F86AB6">
              <w:rPr>
                <w:color w:val="943634" w:themeColor="accent2" w:themeShade="BF"/>
                <w:sz w:val="18"/>
              </w:rPr>
              <w:t>Стратегическа цел 2:</w:t>
            </w:r>
            <w:r w:rsidRPr="00F86AB6">
              <w:rPr>
                <w:b w:val="0"/>
                <w:color w:val="943634" w:themeColor="accent2" w:themeShade="BF"/>
                <w:sz w:val="18"/>
              </w:rPr>
              <w:t xml:space="preserve"> </w:t>
            </w:r>
            <w:r w:rsidRPr="00877FF0">
              <w:rPr>
                <w:b w:val="0"/>
                <w:sz w:val="18"/>
              </w:rPr>
              <w:t>Съхранение и развитие на човешкия капитал</w:t>
            </w:r>
          </w:p>
        </w:tc>
        <w:tc>
          <w:tcPr>
            <w:tcW w:w="1091" w:type="pct"/>
            <w:vAlign w:val="center"/>
          </w:tcPr>
          <w:p w:rsidR="00F86AB6" w:rsidRPr="002B4A60" w:rsidRDefault="00F86AB6" w:rsidP="00F86AB6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F86AB6" w:rsidRPr="00A853E4" w:rsidTr="00F86AB6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F86AB6" w:rsidRPr="00A853E4" w:rsidRDefault="00F86AB6" w:rsidP="00F86AB6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F86AB6">
              <w:rPr>
                <w:color w:val="943634" w:themeColor="accent2" w:themeShade="BF"/>
                <w:sz w:val="18"/>
              </w:rPr>
              <w:t>Стратегическа цел 3:</w:t>
            </w:r>
            <w:r w:rsidRPr="00F86AB6">
              <w:rPr>
                <w:b w:val="0"/>
                <w:color w:val="943634" w:themeColor="accent2" w:themeShade="BF"/>
                <w:sz w:val="18"/>
              </w:rPr>
              <w:t xml:space="preserve"> </w:t>
            </w:r>
            <w:r w:rsidRPr="00877FF0">
              <w:rPr>
                <w:b w:val="0"/>
                <w:sz w:val="18"/>
              </w:rPr>
              <w:t>Подобряване на териториалната устойчивост и свързаност</w:t>
            </w:r>
          </w:p>
        </w:tc>
        <w:tc>
          <w:tcPr>
            <w:tcW w:w="1091" w:type="pct"/>
            <w:vAlign w:val="center"/>
          </w:tcPr>
          <w:p w:rsidR="00F86AB6" w:rsidRPr="002B4A60" w:rsidRDefault="00F86AB6" w:rsidP="00F86AB6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</w:tbl>
    <w:p w:rsidR="00112FA2" w:rsidRPr="00A76330" w:rsidRDefault="00112FA2" w:rsidP="00F86AB6">
      <w:pPr>
        <w:spacing w:before="360"/>
      </w:pPr>
      <w:r w:rsidRPr="00A76330">
        <w:rPr>
          <w:b/>
        </w:rPr>
        <w:t>Постигнат е планирания напредък</w:t>
      </w:r>
      <w:r w:rsidRPr="00A76330">
        <w:t xml:space="preserve"> по реализацията на приоритетите, чрез ко</w:t>
      </w:r>
      <w:r w:rsidRPr="00A76330">
        <w:t>и</w:t>
      </w:r>
      <w:r w:rsidRPr="00A76330">
        <w:t xml:space="preserve">то се реализира </w:t>
      </w:r>
      <w:r w:rsidRPr="00A76330">
        <w:rPr>
          <w:b/>
          <w:i/>
        </w:rPr>
        <w:t>Стратегическа цел 1</w:t>
      </w:r>
      <w:r w:rsidRPr="00A76330">
        <w:t xml:space="preserve">, чрез което е постигнат и </w:t>
      </w:r>
      <w:r w:rsidR="00CD1857">
        <w:t>надхвърлен</w:t>
      </w:r>
      <w:r w:rsidR="00410518">
        <w:t xml:space="preserve"> </w:t>
      </w:r>
      <w:r w:rsidRPr="00A76330">
        <w:t>планир</w:t>
      </w:r>
      <w:r w:rsidRPr="00A76330">
        <w:t>а</w:t>
      </w:r>
      <w:r w:rsidRPr="00A76330">
        <w:t>ния напредък по нея.</w:t>
      </w:r>
      <w:r>
        <w:t xml:space="preserve"> Съществен принос за напредъка има приоритетното финансиране на иновативни проекти в района чрез ОПИК. Не се наблюдава обаче планираното н</w:t>
      </w:r>
      <w:r>
        <w:t>а</w:t>
      </w:r>
      <w:r>
        <w:t xml:space="preserve">растване на приходи от дейността на МСП в района. Потенциалът за повишаване на конкурентоспособността на икономика в района до 2020 г. е </w:t>
      </w:r>
      <w:r w:rsidRPr="00A76330">
        <w:rPr>
          <w:b/>
        </w:rPr>
        <w:t>ограничен</w:t>
      </w:r>
      <w:r>
        <w:t>.</w:t>
      </w:r>
    </w:p>
    <w:p w:rsidR="00112FA2" w:rsidRPr="00B9759D" w:rsidRDefault="00112FA2" w:rsidP="00112FA2">
      <w:pPr>
        <w:keepLines/>
      </w:pPr>
      <w:r w:rsidRPr="00A76330">
        <w:t xml:space="preserve">Изпълнението на мерките по отделните приоритети на </w:t>
      </w:r>
      <w:r w:rsidRPr="00A76330">
        <w:rPr>
          <w:b/>
          <w:i/>
        </w:rPr>
        <w:t>Стратегическа цел 2</w:t>
      </w:r>
      <w:r w:rsidRPr="00A76330">
        <w:t xml:space="preserve"> се характеризира с напредък над планираното</w:t>
      </w:r>
      <w:r>
        <w:t xml:space="preserve">. Ключовите индикатори и показателите за принос по </w:t>
      </w:r>
      <w:r w:rsidRPr="00410518">
        <w:rPr>
          <w:i/>
        </w:rPr>
        <w:t>Стратегията Европа 2020</w:t>
      </w:r>
      <w:r>
        <w:t xml:space="preserve"> показват </w:t>
      </w:r>
      <w:r w:rsidRPr="00A76330">
        <w:rPr>
          <w:b/>
        </w:rPr>
        <w:t>липса на напредък по преодоляване на вътрешнорегионалните разли</w:t>
      </w:r>
      <w:r>
        <w:rPr>
          <w:b/>
        </w:rPr>
        <w:t>ч</w:t>
      </w:r>
      <w:r w:rsidRPr="00A76330">
        <w:rPr>
          <w:b/>
        </w:rPr>
        <w:t>ия</w:t>
      </w:r>
      <w:r w:rsidRPr="00A76330">
        <w:t xml:space="preserve"> в социалната сфера, в заетостта и развитието на пазара на труда. Поради тази причина, потенциалът за постигане на целите за 2020 г. на </w:t>
      </w:r>
      <w:r w:rsidRPr="00410518">
        <w:rPr>
          <w:i/>
        </w:rPr>
        <w:t>Стратегическа цел 2</w:t>
      </w:r>
      <w:r w:rsidRPr="00A76330">
        <w:t xml:space="preserve"> е определен като </w:t>
      </w:r>
      <w:r w:rsidRPr="00A76330">
        <w:rPr>
          <w:b/>
        </w:rPr>
        <w:t>ограничен</w:t>
      </w:r>
      <w:r w:rsidRPr="00A76330">
        <w:t>.</w:t>
      </w:r>
    </w:p>
    <w:p w:rsidR="00112FA2" w:rsidRPr="00A76330" w:rsidRDefault="00112FA2" w:rsidP="00112FA2">
      <w:r w:rsidRPr="00A76330">
        <w:lastRenderedPageBreak/>
        <w:t xml:space="preserve">Изпълнението на мерките по отделните приоритети на </w:t>
      </w:r>
      <w:r w:rsidRPr="00A76330">
        <w:rPr>
          <w:b/>
          <w:i/>
        </w:rPr>
        <w:t>Стратегическа цел 3</w:t>
      </w:r>
      <w:r w:rsidRPr="00A76330">
        <w:rPr>
          <w:i/>
        </w:rPr>
        <w:t xml:space="preserve"> </w:t>
      </w:r>
      <w:r w:rsidRPr="00A76330">
        <w:t xml:space="preserve">се характеризира с различна степен на напредък. Това обуславя наличието на относително </w:t>
      </w:r>
      <w:r w:rsidRPr="00A76330">
        <w:rPr>
          <w:b/>
        </w:rPr>
        <w:t>висок потенциал</w:t>
      </w:r>
      <w:r w:rsidRPr="00A76330">
        <w:t xml:space="preserve"> за изпълнението на </w:t>
      </w:r>
      <w:r w:rsidRPr="00A76330">
        <w:rPr>
          <w:i/>
        </w:rPr>
        <w:t xml:space="preserve">Стратегическа цел 3 </w:t>
      </w:r>
      <w:r w:rsidRPr="00A76330">
        <w:t xml:space="preserve">в рамките на програмния период до 2020 г. Необходими са фокусирани усилия за постигане на заложените цели в </w:t>
      </w:r>
      <w:r w:rsidRPr="00685B90">
        <w:rPr>
          <w:i/>
        </w:rPr>
        <w:t>Приоритети 3</w:t>
      </w:r>
      <w:r w:rsidRPr="00A76330">
        <w:t xml:space="preserve"> и </w:t>
      </w:r>
      <w:r w:rsidRPr="00685B90">
        <w:rPr>
          <w:i/>
        </w:rPr>
        <w:t xml:space="preserve">5 </w:t>
      </w:r>
      <w:r w:rsidR="00416C31">
        <w:rPr>
          <w:b/>
        </w:rPr>
        <w:t>–</w:t>
      </w:r>
      <w:r w:rsidRPr="00A76330">
        <w:rPr>
          <w:b/>
        </w:rPr>
        <w:t xml:space="preserve"> </w:t>
      </w:r>
      <w:r w:rsidRPr="00A76330">
        <w:t>опазване</w:t>
      </w:r>
      <w:r w:rsidR="00416C31">
        <w:t xml:space="preserve"> </w:t>
      </w:r>
      <w:r w:rsidRPr="00A76330">
        <w:t>на околната среда и развитие на териториалното съ</w:t>
      </w:r>
      <w:r w:rsidRPr="00A76330">
        <w:t>т</w:t>
      </w:r>
      <w:r w:rsidRPr="00A76330">
        <w:t>рудничество.</w:t>
      </w:r>
    </w:p>
    <w:p w:rsidR="00112FA2" w:rsidRPr="00B9759D" w:rsidRDefault="00112FA2" w:rsidP="00112FA2">
      <w:r w:rsidRPr="00B9759D">
        <w:t xml:space="preserve">Общият напредък по изпълнението на приоритетите на РПР на СЗР може да бъде определен като </w:t>
      </w:r>
      <w:r w:rsidRPr="00B9759D">
        <w:rPr>
          <w:b/>
        </w:rPr>
        <w:t>ограничен</w:t>
      </w:r>
      <w:r w:rsidRPr="00B9759D">
        <w:t xml:space="preserve">, но е налице </w:t>
      </w:r>
      <w:r w:rsidRPr="00B9759D">
        <w:rPr>
          <w:b/>
        </w:rPr>
        <w:t>потенциал</w:t>
      </w:r>
      <w:r w:rsidRPr="00B9759D">
        <w:t xml:space="preserve"> за реализиране на мерките за разв</w:t>
      </w:r>
      <w:r w:rsidRPr="00B9759D">
        <w:t>и</w:t>
      </w:r>
      <w:r>
        <w:t>тие на района</w:t>
      </w:r>
      <w:r w:rsidRPr="00B9759D">
        <w:rPr>
          <w:i/>
        </w:rPr>
        <w:t xml:space="preserve">. </w:t>
      </w:r>
      <w:r w:rsidRPr="00B9759D">
        <w:t xml:space="preserve">Най-голямо предизвикателство е реализацията на мерките, свързани с технологичното развитие и иновациите по </w:t>
      </w:r>
      <w:r w:rsidRPr="00B9759D">
        <w:rPr>
          <w:i/>
        </w:rPr>
        <w:t xml:space="preserve">Приоритет </w:t>
      </w:r>
      <w:r>
        <w:rPr>
          <w:i/>
        </w:rPr>
        <w:t>2</w:t>
      </w:r>
      <w:r w:rsidRPr="00B9759D">
        <w:t xml:space="preserve"> на </w:t>
      </w:r>
      <w:r w:rsidRPr="00B9759D">
        <w:rPr>
          <w:i/>
        </w:rPr>
        <w:t>Стратегическа цел 1</w:t>
      </w:r>
      <w:r w:rsidRPr="00B9759D">
        <w:t xml:space="preserve">, </w:t>
      </w:r>
      <w:r>
        <w:t>да допринесе за повишава конкурентоспособността на регионалната икономика и повиш</w:t>
      </w:r>
      <w:r>
        <w:t>а</w:t>
      </w:r>
      <w:r>
        <w:t>ване на заетостта и доходите</w:t>
      </w:r>
      <w:r w:rsidRPr="00B9759D">
        <w:t>.</w:t>
      </w:r>
    </w:p>
    <w:p w:rsidR="00112FA2" w:rsidRPr="00933864" w:rsidRDefault="00112FA2" w:rsidP="00112FA2">
      <w:r>
        <w:t xml:space="preserve">Предвид това, че договорените средства за изпълнение на мерките по РПР на </w:t>
      </w:r>
      <w:r w:rsidRPr="00EB1055">
        <w:rPr>
          <w:noProof/>
        </w:rPr>
        <w:t>С</w:t>
      </w:r>
      <w:r>
        <w:rPr>
          <w:noProof/>
        </w:rPr>
        <w:t>З</w:t>
      </w:r>
      <w:r w:rsidRPr="00EB1055">
        <w:rPr>
          <w:noProof/>
        </w:rPr>
        <w:t>Р</w:t>
      </w:r>
      <w:r>
        <w:rPr>
          <w:noProof/>
        </w:rPr>
        <w:t xml:space="preserve"> </w:t>
      </w:r>
      <w:r>
        <w:t xml:space="preserve">до октомври 2017 г. са над 1/2 от </w:t>
      </w:r>
      <w:r w:rsidRPr="00C36C3C">
        <w:t xml:space="preserve">индикативната оценка на </w:t>
      </w:r>
      <w:r>
        <w:t xml:space="preserve">необходимите </w:t>
      </w:r>
      <w:r w:rsidRPr="00C36C3C">
        <w:t>средства</w:t>
      </w:r>
      <w:r>
        <w:t xml:space="preserve"> до 2020</w:t>
      </w:r>
      <w:r w:rsidRPr="00C36C3C">
        <w:t xml:space="preserve"> г.</w:t>
      </w:r>
      <w:r>
        <w:t xml:space="preserve">, може да бъде направена оценка, че изпълнението на плана до края на 2020 г. е финансово осигурено. </w:t>
      </w:r>
      <w:r w:rsidRPr="00933864">
        <w:t xml:space="preserve">Договорените средства по оперативните програми </w:t>
      </w:r>
      <w:r>
        <w:t xml:space="preserve">и ПРСР </w:t>
      </w:r>
      <w:r w:rsidRPr="00933864">
        <w:t xml:space="preserve">(ЕС и национално съфинансиране) – </w:t>
      </w:r>
      <w:r>
        <w:t>1</w:t>
      </w:r>
      <w:r w:rsidR="00685B90">
        <w:t> </w:t>
      </w:r>
      <w:r>
        <w:t>222,8</w:t>
      </w:r>
      <w:r w:rsidRPr="00933864">
        <w:t xml:space="preserve"> млн. лв., </w:t>
      </w:r>
      <w:r>
        <w:t>показват</w:t>
      </w:r>
      <w:r w:rsidRPr="00933864">
        <w:t xml:space="preserve">, че </w:t>
      </w:r>
      <w:r>
        <w:t>е налице значителен поте</w:t>
      </w:r>
      <w:r>
        <w:t>н</w:t>
      </w:r>
      <w:r>
        <w:t xml:space="preserve">циал за постигане на </w:t>
      </w:r>
      <w:r w:rsidRPr="00933864">
        <w:t>об</w:t>
      </w:r>
      <w:r>
        <w:t>щия</w:t>
      </w:r>
      <w:r w:rsidRPr="00933864">
        <w:t xml:space="preserve"> размер на средствата за реализация на РПР на С</w:t>
      </w:r>
      <w:r>
        <w:t>З</w:t>
      </w:r>
      <w:r w:rsidRPr="00933864">
        <w:t>Р за пер</w:t>
      </w:r>
      <w:r w:rsidRPr="00933864">
        <w:t>и</w:t>
      </w:r>
      <w:r w:rsidRPr="00933864">
        <w:t>о</w:t>
      </w:r>
      <w:r>
        <w:t>да до 2020 г</w:t>
      </w:r>
      <w:r w:rsidRPr="00933864">
        <w:t>.</w:t>
      </w:r>
      <w:r>
        <w:t xml:space="preserve"> </w:t>
      </w:r>
    </w:p>
    <w:p w:rsidR="00112FA2" w:rsidRDefault="00112FA2" w:rsidP="00112FA2">
      <w:r w:rsidRPr="00B9759D">
        <w:t>В заключение, направеният анализ на изпълнението на РПР на СЗР показва, че определената в него рамка на политиката за регионално развитие в СЗР като цяло се изпълнява чрез инструментите на политиката за сближаване и съответното национално съфинансиране. Същевременно е ясна необходимостта от по-конкретно адресиране на бъдещите мерки към специфичните икономически и социални проблеми на района, в контекста на общите структурни предизвикателства пред развитието</w:t>
      </w:r>
      <w:r>
        <w:t>, свързани с конк</w:t>
      </w:r>
      <w:r>
        <w:t>у</w:t>
      </w:r>
      <w:r>
        <w:t xml:space="preserve">рентоспособността на района и способността му да предложи </w:t>
      </w:r>
      <w:r w:rsidRPr="00112FA2">
        <w:t>привлекателна и усто</w:t>
      </w:r>
      <w:r w:rsidRPr="00112FA2">
        <w:t>й</w:t>
      </w:r>
      <w:r w:rsidRPr="00112FA2">
        <w:t>чива среда за предприятията и местните жители</w:t>
      </w:r>
      <w:r>
        <w:t xml:space="preserve"> – инфраструктура, работещи инстит</w:t>
      </w:r>
      <w:r>
        <w:t>у</w:t>
      </w:r>
      <w:r>
        <w:t>ции, опростяване на бизнес средата</w:t>
      </w:r>
      <w:r w:rsidR="008B6203">
        <w:t>, технологична готовност</w:t>
      </w:r>
      <w:r>
        <w:t>.</w:t>
      </w:r>
    </w:p>
    <w:p w:rsidR="00877FF0" w:rsidRPr="00377105" w:rsidRDefault="00877FF0" w:rsidP="00877FF0">
      <w:pPr>
        <w:pStyle w:val="Heading3"/>
        <w:pBdr>
          <w:bottom w:val="single" w:sz="4" w:space="1" w:color="984806" w:themeColor="accent6" w:themeShade="80"/>
        </w:pBdr>
        <w:spacing w:after="120" w:line="240" w:lineRule="auto"/>
      </w:pPr>
      <w:bookmarkStart w:id="56" w:name="_Toc498365797"/>
      <w:bookmarkStart w:id="57" w:name="_Toc500325566"/>
      <w:bookmarkStart w:id="58" w:name="_Hlk498264227"/>
      <w:r w:rsidRPr="00377105">
        <w:lastRenderedPageBreak/>
        <w:t xml:space="preserve">Актуализация на РПР на </w:t>
      </w:r>
      <w:bookmarkEnd w:id="56"/>
      <w:r>
        <w:t>СЗР</w:t>
      </w:r>
      <w:bookmarkEnd w:id="57"/>
    </w:p>
    <w:p w:rsidR="00877FF0" w:rsidRPr="00377105" w:rsidRDefault="00723FAC" w:rsidP="007341A3">
      <w:pPr>
        <w:keepNext/>
      </w:pPr>
      <w:r w:rsidRPr="00723FAC">
        <w:t xml:space="preserve">Данните от направената </w:t>
      </w:r>
      <w:r w:rsidRPr="00723FAC">
        <w:rPr>
          <w:i/>
        </w:rPr>
        <w:t>междинна оценка</w:t>
      </w:r>
      <w:r w:rsidRPr="00723FAC">
        <w:t xml:space="preserve"> показват, че са налице две от </w:t>
      </w:r>
      <w:r w:rsidR="00CD1857" w:rsidRPr="00723FAC">
        <w:t>предпо</w:t>
      </w:r>
      <w:r w:rsidR="00CD1857" w:rsidRPr="00723FAC">
        <w:t>с</w:t>
      </w:r>
      <w:r w:rsidR="00CD1857" w:rsidRPr="00723FAC">
        <w:t>тавките</w:t>
      </w:r>
      <w:r w:rsidRPr="00723FAC">
        <w:t xml:space="preserve">, определени в чл. 19, ал. 1 от ППЗРР за актуализация на РПР на </w:t>
      </w:r>
      <w:r w:rsidR="00877FF0">
        <w:t>СЗ</w:t>
      </w:r>
      <w:r w:rsidR="00877FF0" w:rsidRPr="00377105">
        <w:t>Р, а именно:</w:t>
      </w:r>
    </w:p>
    <w:p w:rsidR="00877FF0" w:rsidRPr="00377105" w:rsidRDefault="00877FF0" w:rsidP="00877FF0">
      <w:pPr>
        <w:numPr>
          <w:ilvl w:val="0"/>
          <w:numId w:val="4"/>
        </w:numPr>
        <w:ind w:left="1134" w:hanging="567"/>
      </w:pPr>
      <w:r w:rsidRPr="00377105">
        <w:t xml:space="preserve">налице са съществени промени в икономическите и социалните условия в </w:t>
      </w:r>
      <w:r>
        <w:t>СЗ</w:t>
      </w:r>
      <w:r w:rsidRPr="00377105">
        <w:t>Р;</w:t>
      </w:r>
    </w:p>
    <w:p w:rsidR="00877FF0" w:rsidRPr="00377105" w:rsidRDefault="00877FF0" w:rsidP="00877FF0">
      <w:pPr>
        <w:numPr>
          <w:ilvl w:val="0"/>
          <w:numId w:val="4"/>
        </w:numPr>
        <w:ind w:left="1134" w:hanging="567"/>
      </w:pPr>
      <w:r w:rsidRPr="00377105">
        <w:t xml:space="preserve">налице са промени в свързаното национално законодателство, които следва да бъдат отразени в РПР на </w:t>
      </w:r>
      <w:r>
        <w:t>СЗ</w:t>
      </w:r>
      <w:r w:rsidRPr="00377105">
        <w:t>Р.</w:t>
      </w:r>
    </w:p>
    <w:p w:rsidR="00013AED" w:rsidRPr="00CD53E6" w:rsidRDefault="00877FF0" w:rsidP="00013AED">
      <w:pPr>
        <w:spacing w:before="360"/>
      </w:pPr>
      <w:r w:rsidRPr="00377105">
        <w:t xml:space="preserve">Съгласно ППЗРР </w:t>
      </w:r>
      <w:r w:rsidR="00F149FB">
        <w:t>при</w:t>
      </w:r>
      <w:r w:rsidRPr="00377105">
        <w:t xml:space="preserve"> актуализация на РПР на </w:t>
      </w:r>
      <w:r>
        <w:t>СЗ</w:t>
      </w:r>
      <w:r w:rsidRPr="00377105">
        <w:t>Р за периода 2014-2020 г.</w:t>
      </w:r>
      <w:r w:rsidR="006757A2">
        <w:t>,</w:t>
      </w:r>
      <w:r w:rsidRPr="00377105">
        <w:t xml:space="preserve"> следва да бъде разработен </w:t>
      </w:r>
      <w:r w:rsidRPr="007341A3">
        <w:rPr>
          <w:color w:val="943634" w:themeColor="accent2" w:themeShade="BF"/>
        </w:rPr>
        <w:t>актуализиран документ за изпълнение на РПР на СЗР за периода до 2020 г.</w:t>
      </w:r>
      <w:bookmarkStart w:id="59" w:name="_Hlk500001937"/>
      <w:bookmarkStart w:id="60" w:name="_Hlk499991015"/>
      <w:r w:rsidR="00F149FB">
        <w:rPr>
          <w:color w:val="943634" w:themeColor="accent2" w:themeShade="BF"/>
        </w:rPr>
        <w:t xml:space="preserve"> </w:t>
      </w:r>
      <w:r w:rsidR="00013AED" w:rsidRPr="00CD53E6">
        <w:t>Независимо от наличието на предпоставки за актуализация на РПР на С</w:t>
      </w:r>
      <w:r w:rsidR="00013AED">
        <w:t>З</w:t>
      </w:r>
      <w:r w:rsidR="00013AED" w:rsidRPr="00CD53E6">
        <w:t xml:space="preserve">Р, следва да се отбележи, че тя </w:t>
      </w:r>
      <w:r w:rsidR="00013AED" w:rsidRPr="00013AED">
        <w:rPr>
          <w:i/>
          <w:color w:val="943634" w:themeColor="accent2" w:themeShade="BF"/>
        </w:rPr>
        <w:t>не е приоритетна</w:t>
      </w:r>
      <w:r w:rsidR="00013AED" w:rsidRPr="00CD53E6">
        <w:t>, тъй като част от посочените нови ел</w:t>
      </w:r>
      <w:r w:rsidR="00013AED" w:rsidRPr="00CD53E6">
        <w:t>е</w:t>
      </w:r>
      <w:r w:rsidR="00013AED" w:rsidRPr="00CD53E6">
        <w:t xml:space="preserve">менти, които следва да са включени в РПР, присъстват под една или друга форма в плана. За съобразяване на РПР с </w:t>
      </w:r>
      <w:r w:rsidR="00013AED" w:rsidRPr="00CD53E6">
        <w:rPr>
          <w:i/>
        </w:rPr>
        <w:t>регионалната схема за пространствено развитие на С</w:t>
      </w:r>
      <w:r w:rsidR="00013AED">
        <w:rPr>
          <w:i/>
        </w:rPr>
        <w:t>З</w:t>
      </w:r>
      <w:r w:rsidR="00013AED" w:rsidRPr="00CD53E6">
        <w:rPr>
          <w:i/>
        </w:rPr>
        <w:t xml:space="preserve">Р </w:t>
      </w:r>
      <w:r w:rsidR="00013AED" w:rsidRPr="00CD53E6">
        <w:t>е необходимо тя да бъде разработена и утвърдена – към момента няма информация за напредъка в разработването на този документ. От друга страна, демографските пр</w:t>
      </w:r>
      <w:r w:rsidR="00013AED" w:rsidRPr="00CD53E6">
        <w:t>о</w:t>
      </w:r>
      <w:r w:rsidR="00013AED" w:rsidRPr="00CD53E6">
        <w:t xml:space="preserve">мени определят необходимостта от извършване на </w:t>
      </w:r>
      <w:bookmarkStart w:id="61" w:name="_Hlk499489143"/>
      <w:r w:rsidR="00013AED" w:rsidRPr="00CD53E6">
        <w:t xml:space="preserve">промени в обхвата на </w:t>
      </w:r>
      <w:bookmarkEnd w:id="61"/>
      <w:r w:rsidR="00013AED">
        <w:t>СЗР (</w:t>
      </w:r>
      <w:r w:rsidR="00013AED" w:rsidRPr="00013AED">
        <w:rPr>
          <w:color w:val="943634" w:themeColor="accent2" w:themeShade="BF"/>
        </w:rPr>
        <w:t>ниво 2</w:t>
      </w:r>
      <w:r w:rsidR="00013AED">
        <w:t xml:space="preserve">) и </w:t>
      </w:r>
      <w:r w:rsidR="00013AED" w:rsidRPr="00CD53E6">
        <w:t xml:space="preserve">районите от </w:t>
      </w:r>
      <w:r w:rsidR="00013AED" w:rsidRPr="00013AED">
        <w:rPr>
          <w:color w:val="943634" w:themeColor="accent2" w:themeShade="BF"/>
        </w:rPr>
        <w:t>ниво 3</w:t>
      </w:r>
      <w:r w:rsidR="00013AED" w:rsidRPr="00CD53E6">
        <w:t xml:space="preserve"> (</w:t>
      </w:r>
      <w:bookmarkStart w:id="62" w:name="_Hlk499991209"/>
      <w:r w:rsidR="00013AED" w:rsidRPr="00CD53E6">
        <w:t xml:space="preserve">в зависимост от </w:t>
      </w:r>
      <w:r w:rsidR="00013AED">
        <w:t xml:space="preserve">избора на вариант за формиране на районите от </w:t>
      </w:r>
      <w:r w:rsidR="00013AED" w:rsidRPr="00013AED">
        <w:rPr>
          <w:color w:val="943634" w:themeColor="accent2" w:themeShade="BF"/>
        </w:rPr>
        <w:t>ниво 2</w:t>
      </w:r>
      <w:r w:rsidR="00013AED" w:rsidRPr="00CD53E6">
        <w:t xml:space="preserve">, могат да се наложат и промени в районите от </w:t>
      </w:r>
      <w:r w:rsidR="00013AED" w:rsidRPr="00013AED">
        <w:rPr>
          <w:color w:val="943634" w:themeColor="accent2" w:themeShade="BF"/>
        </w:rPr>
        <w:t>ниво 1</w:t>
      </w:r>
      <w:bookmarkEnd w:id="62"/>
      <w:r w:rsidR="00013AED" w:rsidRPr="00CD53E6">
        <w:t xml:space="preserve">), с оглед осигуряване на съответствие с изискванията на </w:t>
      </w:r>
      <w:r w:rsidR="00013AED" w:rsidRPr="00BE52B8">
        <w:rPr>
          <w:i/>
          <w:noProof/>
        </w:rPr>
        <w:t>Регламент (ЕО) № 1059/2003</w:t>
      </w:r>
      <w:r w:rsidR="00013AED">
        <w:rPr>
          <w:i/>
          <w:noProof/>
        </w:rPr>
        <w:t xml:space="preserve"> г.</w:t>
      </w:r>
      <w:r w:rsidR="00013AED" w:rsidRPr="00CD53E6">
        <w:t xml:space="preserve"> </w:t>
      </w:r>
      <w:r w:rsidR="00013AED">
        <w:t>В този контекст е пр</w:t>
      </w:r>
      <w:r w:rsidR="00013AED">
        <w:t>е</w:t>
      </w:r>
      <w:r w:rsidR="00013AED">
        <w:t xml:space="preserve">поръчително усилията да бъдат съсредоточени върху </w:t>
      </w:r>
      <w:r w:rsidR="00013AED" w:rsidRPr="00013AED">
        <w:rPr>
          <w:i/>
          <w:color w:val="943634" w:themeColor="accent2" w:themeShade="BF"/>
        </w:rPr>
        <w:t>устойчиво определяне</w:t>
      </w:r>
      <w:r w:rsidR="00013AED" w:rsidRPr="00013AED">
        <w:rPr>
          <w:color w:val="943634" w:themeColor="accent2" w:themeShade="BF"/>
        </w:rPr>
        <w:t xml:space="preserve"> </w:t>
      </w:r>
      <w:r w:rsidR="00013AED">
        <w:t xml:space="preserve">на обхвата на районите от </w:t>
      </w:r>
      <w:r w:rsidR="00013AED" w:rsidRPr="00013AED">
        <w:rPr>
          <w:color w:val="943634" w:themeColor="accent2" w:themeShade="BF"/>
        </w:rPr>
        <w:t xml:space="preserve">ниво 1, 2 </w:t>
      </w:r>
      <w:r w:rsidR="00013AED">
        <w:t xml:space="preserve">и </w:t>
      </w:r>
      <w:r w:rsidR="00013AED" w:rsidRPr="00013AED">
        <w:rPr>
          <w:color w:val="943634" w:themeColor="accent2" w:themeShade="BF"/>
        </w:rPr>
        <w:t>3</w:t>
      </w:r>
      <w:r w:rsidR="00013AED">
        <w:rPr>
          <w:color w:val="006600"/>
        </w:rPr>
        <w:t xml:space="preserve"> </w:t>
      </w:r>
      <w:r w:rsidR="00013AED" w:rsidRPr="002D4386">
        <w:t>– най-малко за целия следващ програмен период</w:t>
      </w:r>
      <w:r w:rsidR="00013AED">
        <w:t>, осигур</w:t>
      </w:r>
      <w:r w:rsidR="00013AED">
        <w:t>я</w:t>
      </w:r>
      <w:r w:rsidR="00013AED">
        <w:t>ване на съпоставимост на съответната статистическа информация за динамиката на и</w:t>
      </w:r>
      <w:r w:rsidR="00013AED">
        <w:t>н</w:t>
      </w:r>
      <w:r w:rsidR="00013AED">
        <w:t>дикаторите за социално-икономическото развитие, като база наблюдение и оценка на планираните мерки до 2020 г., така и за целите на планирането за новия програмен п</w:t>
      </w:r>
      <w:r w:rsidR="00013AED">
        <w:t>е</w:t>
      </w:r>
      <w:r w:rsidR="00013AED">
        <w:t xml:space="preserve">риод. Разработването на </w:t>
      </w:r>
      <w:r w:rsidR="00013AED" w:rsidRPr="00CD53E6">
        <w:rPr>
          <w:i/>
        </w:rPr>
        <w:t>регионалната схема за пространствено развитие</w:t>
      </w:r>
      <w:r w:rsidR="00013AED">
        <w:rPr>
          <w:i/>
        </w:rPr>
        <w:t xml:space="preserve"> </w:t>
      </w:r>
      <w:r w:rsidR="00013AED" w:rsidRPr="006272BC">
        <w:t>следва да отчете нов</w:t>
      </w:r>
      <w:r w:rsidR="00013AED">
        <w:t xml:space="preserve">ия обхват на районите от </w:t>
      </w:r>
      <w:r w:rsidR="00013AED" w:rsidRPr="00013AED">
        <w:rPr>
          <w:color w:val="943634" w:themeColor="accent2" w:themeShade="BF"/>
        </w:rPr>
        <w:t>ниво 2</w:t>
      </w:r>
      <w:r w:rsidR="00013AED">
        <w:t>.</w:t>
      </w:r>
      <w:bookmarkEnd w:id="59"/>
    </w:p>
    <w:p w:rsidR="00013AED" w:rsidRPr="00CD53E6" w:rsidRDefault="00013AED" w:rsidP="00013AED">
      <w:bookmarkStart w:id="63" w:name="_Hlk499489269"/>
      <w:r w:rsidRPr="00CD53E6">
        <w:t>В непосредствен план е препоръчително планиране и извършване на тематична/и оценка/и на РПР на С</w:t>
      </w:r>
      <w:r>
        <w:t>З</w:t>
      </w:r>
      <w:r w:rsidRPr="00CD53E6">
        <w:t xml:space="preserve">Р, включваща </w:t>
      </w:r>
      <w:r>
        <w:t>събиране и анализ/и на конкретни емпирични да</w:t>
      </w:r>
      <w:r>
        <w:t>н</w:t>
      </w:r>
      <w:r>
        <w:t xml:space="preserve">ни за </w:t>
      </w:r>
      <w:r w:rsidRPr="00CD53E6">
        <w:t>локализация на установените проблеми</w:t>
      </w:r>
      <w:r>
        <w:t>,</w:t>
      </w:r>
      <w:r w:rsidRPr="00CD53E6">
        <w:t xml:space="preserve"> най-малко следните теми:</w:t>
      </w:r>
      <w:bookmarkEnd w:id="63"/>
    </w:p>
    <w:bookmarkEnd w:id="60"/>
    <w:p w:rsidR="00500A8F" w:rsidRDefault="00500A8F" w:rsidP="00500A8F">
      <w:pPr>
        <w:pStyle w:val="Style1"/>
      </w:pPr>
      <w:r>
        <w:t xml:space="preserve">Анализ на причините за непостигане на специфичния индикатор </w:t>
      </w:r>
      <w:r w:rsidRPr="00E51F5E">
        <w:rPr>
          <w:color w:val="943634" w:themeColor="accent2" w:themeShade="BF"/>
        </w:rPr>
        <w:t>"</w:t>
      </w:r>
      <w:r w:rsidRPr="00500A8F">
        <w:rPr>
          <w:color w:val="943634" w:themeColor="accent2" w:themeShade="BF"/>
        </w:rPr>
        <w:t>Приходи от дейността на МСП, млн. лв."</w:t>
      </w:r>
      <w:r w:rsidR="00E51F5E">
        <w:rPr>
          <w:color w:val="943634" w:themeColor="accent2" w:themeShade="BF"/>
        </w:rPr>
        <w:t xml:space="preserve"> </w:t>
      </w:r>
      <w:r w:rsidR="001F6896" w:rsidRPr="00E51F5E">
        <w:t>(степента на изпълнение е 7</w:t>
      </w:r>
      <w:r w:rsidR="00E42FB5" w:rsidRPr="00E51F5E">
        <w:t>3</w:t>
      </w:r>
      <w:r w:rsidR="001F6896" w:rsidRPr="00E51F5E">
        <w:t>%</w:t>
      </w:r>
      <w:r w:rsidR="00E51F5E">
        <w:t xml:space="preserve"> спрямо о</w:t>
      </w:r>
      <w:r w:rsidR="00E51F5E">
        <w:t>п</w:t>
      </w:r>
      <w:r w:rsidR="00E51F5E">
        <w:lastRenderedPageBreak/>
        <w:t>ределената междинна цел</w:t>
      </w:r>
      <w:r w:rsidR="001F6896" w:rsidRPr="00E51F5E">
        <w:t xml:space="preserve">, или </w:t>
      </w:r>
      <w:r w:rsidR="00E51F5E">
        <w:t xml:space="preserve">само </w:t>
      </w:r>
      <w:r w:rsidR="001F6896" w:rsidRPr="00E51F5E">
        <w:t>с 3</w:t>
      </w:r>
      <w:r w:rsidR="00E42FB5" w:rsidRPr="00E51F5E">
        <w:t>1.7</w:t>
      </w:r>
      <w:r w:rsidR="001F6896" w:rsidRPr="00E51F5E">
        <w:t>% повече от базовата стойност към 2010 г.)</w:t>
      </w:r>
      <w:r>
        <w:t xml:space="preserve">, въпреки че отчетените разходи за НИРД в СЗР за 2015 г. са почти </w:t>
      </w:r>
      <w:r w:rsidRPr="00410518">
        <w:rPr>
          <w:color w:val="943634" w:themeColor="accent2" w:themeShade="BF"/>
        </w:rPr>
        <w:t xml:space="preserve">4,5 пъти повече </w:t>
      </w:r>
      <w:r>
        <w:t>от определената целева междинна индикативна стойност.</w:t>
      </w:r>
    </w:p>
    <w:p w:rsidR="007240B7" w:rsidRDefault="007240B7" w:rsidP="007240B7">
      <w:pPr>
        <w:pStyle w:val="Style1"/>
      </w:pPr>
      <w:r>
        <w:t xml:space="preserve">Изготвяне на оценка на </w:t>
      </w:r>
      <w:r w:rsidRPr="007240B7">
        <w:rPr>
          <w:color w:val="943634" w:themeColor="accent2" w:themeShade="BF"/>
        </w:rPr>
        <w:t xml:space="preserve">абсорбционния капацитет </w:t>
      </w:r>
      <w:r>
        <w:t>на икономическите субе</w:t>
      </w:r>
      <w:r>
        <w:t>к</w:t>
      </w:r>
      <w:r>
        <w:t>ти, опериращи на територията на СЗР (вкл. по области) за ефективно и еф</w:t>
      </w:r>
      <w:r>
        <w:t>и</w:t>
      </w:r>
      <w:r>
        <w:t xml:space="preserve">касно участие в реализацията на мерките (с фокус на мерките по ОПИК), които предвиждат </w:t>
      </w:r>
      <w:r w:rsidRPr="007240B7">
        <w:t>регионална приоритизация на проекти, изпълнявани на територията на СЗР</w:t>
      </w:r>
      <w:r>
        <w:t>.</w:t>
      </w:r>
    </w:p>
    <w:p w:rsidR="00500A8F" w:rsidRDefault="007240B7" w:rsidP="007240B7">
      <w:pPr>
        <w:pStyle w:val="Style1"/>
      </w:pPr>
      <w:r>
        <w:t xml:space="preserve">Целеви мониторинг на </w:t>
      </w:r>
      <w:r w:rsidRPr="007240B7">
        <w:rPr>
          <w:color w:val="943634" w:themeColor="accent2" w:themeShade="BF"/>
        </w:rPr>
        <w:t xml:space="preserve">устойчивостта на резултатите </w:t>
      </w:r>
      <w:r>
        <w:t>от реализирани прое</w:t>
      </w:r>
      <w:r>
        <w:t>к</w:t>
      </w:r>
      <w:r>
        <w:t xml:space="preserve">ти, </w:t>
      </w:r>
      <w:r w:rsidR="00CD1857">
        <w:t>финансирани</w:t>
      </w:r>
      <w:r>
        <w:t xml:space="preserve"> въз основа на </w:t>
      </w:r>
      <w:r w:rsidRPr="007240B7">
        <w:t>регионална приоритизация на проекти, и</w:t>
      </w:r>
      <w:r w:rsidRPr="007240B7">
        <w:t>з</w:t>
      </w:r>
      <w:r w:rsidRPr="007240B7">
        <w:t>пълнявани на територията на СЗР</w:t>
      </w:r>
      <w:r>
        <w:t>, чиито бенефициенти имат седалище и</w:t>
      </w:r>
      <w:r>
        <w:t>з</w:t>
      </w:r>
      <w:r>
        <w:t xml:space="preserve">вън </w:t>
      </w:r>
      <w:r w:rsidRPr="007240B7">
        <w:t>територията на СЗР</w:t>
      </w:r>
      <w:r>
        <w:t>.</w:t>
      </w:r>
    </w:p>
    <w:p w:rsidR="007240B7" w:rsidRDefault="005B37C9" w:rsidP="00E23BBB">
      <w:pPr>
        <w:pStyle w:val="Style1"/>
      </w:pPr>
      <w:r>
        <w:t xml:space="preserve">Анализ на причините за </w:t>
      </w:r>
      <w:r w:rsidR="00E63FE2" w:rsidRPr="00E23BBB">
        <w:t xml:space="preserve">високия </w:t>
      </w:r>
      <w:r w:rsidR="00E63FE2" w:rsidRPr="00E23BBB">
        <w:rPr>
          <w:i/>
          <w:color w:val="943634" w:themeColor="accent2" w:themeShade="BF"/>
        </w:rPr>
        <w:t>дял на преждевременно напуснали образ</w:t>
      </w:r>
      <w:r w:rsidR="00E63FE2" w:rsidRPr="00E23BBB">
        <w:rPr>
          <w:i/>
          <w:color w:val="943634" w:themeColor="accent2" w:themeShade="BF"/>
        </w:rPr>
        <w:t>о</w:t>
      </w:r>
      <w:r w:rsidR="00E63FE2" w:rsidRPr="00E23BBB">
        <w:rPr>
          <w:i/>
          <w:color w:val="943634" w:themeColor="accent2" w:themeShade="BF"/>
        </w:rPr>
        <w:t>вателната система (18-24 г.)</w:t>
      </w:r>
      <w:r w:rsidR="00E23BBB">
        <w:t xml:space="preserve">, както и намаляващия </w:t>
      </w:r>
      <w:r w:rsidR="00E23BBB" w:rsidRPr="00E23BBB">
        <w:rPr>
          <w:i/>
          <w:color w:val="943634" w:themeColor="accent2" w:themeShade="BF"/>
        </w:rPr>
        <w:t>дял на 30-34 годишните със завършено висше образование</w:t>
      </w:r>
      <w:r w:rsidR="00E23BBB">
        <w:t>, с оглед потенциала на СЗР.</w:t>
      </w:r>
    </w:p>
    <w:p w:rsidR="000816CA" w:rsidRPr="00377105" w:rsidRDefault="000816CA" w:rsidP="00877FF0">
      <w:bookmarkStart w:id="64" w:name="_Hlk500155022"/>
      <w:r w:rsidRPr="000816CA">
        <w:t>Целта на посочените тематична/и оценка/и е да идентифицира подходящи мерки за подкрепа, които осигуряват възможност за ефективна реализация на наличния п</w:t>
      </w:r>
      <w:r w:rsidRPr="000816CA">
        <w:t>о</w:t>
      </w:r>
      <w:r w:rsidRPr="000816CA">
        <w:t>тенциал за преодоляване на негативните тенденции.</w:t>
      </w:r>
    </w:p>
    <w:p w:rsidR="00877FF0" w:rsidRPr="00377105" w:rsidRDefault="00877FF0" w:rsidP="00877FF0">
      <w:pPr>
        <w:pStyle w:val="Heading3"/>
        <w:pBdr>
          <w:bottom w:val="single" w:sz="4" w:space="1" w:color="984806" w:themeColor="accent6" w:themeShade="80"/>
        </w:pBdr>
        <w:spacing w:after="120" w:line="240" w:lineRule="auto"/>
      </w:pPr>
      <w:bookmarkStart w:id="65" w:name="_Toc498365798"/>
      <w:bookmarkStart w:id="66" w:name="_Toc500325567"/>
      <w:bookmarkEnd w:id="64"/>
      <w:r w:rsidRPr="00377105">
        <w:t>Препоръки за подготовка за следващия програмен период след 2020 г.</w:t>
      </w:r>
      <w:bookmarkEnd w:id="65"/>
      <w:bookmarkEnd w:id="66"/>
    </w:p>
    <w:p w:rsidR="000816CA" w:rsidRDefault="00877FF0" w:rsidP="00877FF0">
      <w:pPr>
        <w:keepLines/>
      </w:pPr>
      <w:bookmarkStart w:id="67" w:name="_Hlk498273067"/>
      <w:bookmarkEnd w:id="58"/>
      <w:r w:rsidRPr="00723FAC">
        <w:rPr>
          <w:b/>
          <w:color w:val="943634" w:themeColor="accent2" w:themeShade="BF"/>
        </w:rPr>
        <w:t>Бялата книга за бъдещето на Европа</w:t>
      </w:r>
      <w:r w:rsidRPr="00723FAC">
        <w:rPr>
          <w:color w:val="943634" w:themeColor="accent2" w:themeShade="BF"/>
        </w:rPr>
        <w:t xml:space="preserve"> </w:t>
      </w:r>
      <w:r w:rsidRPr="00377105">
        <w:t>и изготвените документи за размисъл</w:t>
      </w:r>
      <w:r w:rsidRPr="00377105">
        <w:rPr>
          <w:rStyle w:val="FootnoteReference"/>
        </w:rPr>
        <w:footnoteReference w:id="6"/>
      </w:r>
      <w:r w:rsidRPr="00377105">
        <w:t xml:space="preserve">, </w:t>
      </w:r>
      <w:r>
        <w:t xml:space="preserve">по-конкретно </w:t>
      </w:r>
      <w:r w:rsidRPr="00723FAC">
        <w:rPr>
          <w:color w:val="943634" w:themeColor="accent2" w:themeShade="BF"/>
        </w:rPr>
        <w:t xml:space="preserve">Документът за размисъл относно бъдещето на финансите на ЕС </w:t>
      </w:r>
      <w:r w:rsidRPr="00377105">
        <w:t xml:space="preserve">посочват, че ЕС с 27 държави членки (след оттеглянето на Обединеното кралство) ще се сблъска с множество предизвикателства в периода до 2025 г. и след това. </w:t>
      </w:r>
      <w:bookmarkEnd w:id="67"/>
      <w:r w:rsidRPr="00AC7819">
        <w:t xml:space="preserve">Тези предизвикателства включват </w:t>
      </w:r>
      <w:r>
        <w:t>миграцията, контрола на външните граници, цифровата революция и глоб</w:t>
      </w:r>
      <w:r>
        <w:t>а</w:t>
      </w:r>
      <w:r>
        <w:t>лизацията, както и намаляването на социалното и териториалното неравенство, инов</w:t>
      </w:r>
      <w:r>
        <w:t>а</w:t>
      </w:r>
      <w:r>
        <w:t xml:space="preserve">циите, инфраструктурните инвестиции и прехода към нисковъглеродна икономика. </w:t>
      </w:r>
    </w:p>
    <w:p w:rsidR="00F149FB" w:rsidRDefault="00877FF0" w:rsidP="00F149FB">
      <w:r>
        <w:t xml:space="preserve">Ключов въпрос по отношение на </w:t>
      </w:r>
      <w:r w:rsidRPr="000816CA">
        <w:rPr>
          <w:i/>
          <w:color w:val="943634" w:themeColor="accent2" w:themeShade="BF"/>
        </w:rPr>
        <w:t>политиката на сближаване</w:t>
      </w:r>
      <w:r w:rsidRPr="000816CA">
        <w:rPr>
          <w:color w:val="943634" w:themeColor="accent2" w:themeShade="BF"/>
        </w:rPr>
        <w:t xml:space="preserve"> </w:t>
      </w:r>
      <w:r>
        <w:t xml:space="preserve">е ограничаване на </w:t>
      </w:r>
      <w:r w:rsidRPr="00AC7819">
        <w:t>инвестиции</w:t>
      </w:r>
      <w:r>
        <w:t>те</w:t>
      </w:r>
      <w:r w:rsidRPr="00AC7819">
        <w:t xml:space="preserve"> извън по-слабо развитите и трансграничните региони</w:t>
      </w:r>
      <w:r>
        <w:t>. Обсъждат се вар</w:t>
      </w:r>
      <w:r>
        <w:t>и</w:t>
      </w:r>
      <w:r>
        <w:t xml:space="preserve">анти за териториалния обхват и инвестиционните приоритети, но и възможностите за по-добро прилагане на </w:t>
      </w:r>
      <w:r w:rsidRPr="000816CA">
        <w:rPr>
          <w:i/>
        </w:rPr>
        <w:t>политиката на сближаване</w:t>
      </w:r>
      <w:r w:rsidR="00F149FB">
        <w:t>.</w:t>
      </w:r>
    </w:p>
    <w:p w:rsidR="00877FF0" w:rsidRDefault="00877FF0" w:rsidP="00F149FB">
      <w:r>
        <w:lastRenderedPageBreak/>
        <w:t>През май 2018 г. Комисията възнамерява да приеме предложението за многог</w:t>
      </w:r>
      <w:r>
        <w:t>о</w:t>
      </w:r>
      <w:r>
        <w:t xml:space="preserve">дишната финансова рамка, последвано от предложения за политиката на сближаване за периода след 2020 г. Българската страна следва активно да участва в дискусиите при взимане на съответните решения, включително чрез създаване на тематични коалиции и партньорства. </w:t>
      </w:r>
    </w:p>
    <w:p w:rsidR="00877FF0" w:rsidRDefault="00877FF0" w:rsidP="00877FF0">
      <w:r>
        <w:t>Паралелно с дискусиите на ниво ЕС, през 2018 г. следва да стартира процеса на подготовка на стратегическите и програмните документи по политиката за регионално развитие, включващ:</w:t>
      </w:r>
    </w:p>
    <w:p w:rsidR="00723FAC" w:rsidRDefault="00723FAC" w:rsidP="00427DD4">
      <w:pPr>
        <w:pStyle w:val="Style1"/>
      </w:pPr>
      <w:r w:rsidRPr="000E798D">
        <w:t xml:space="preserve">Промени в обхвата на районите от </w:t>
      </w:r>
      <w:r w:rsidRPr="00723FAC">
        <w:rPr>
          <w:color w:val="943634" w:themeColor="accent2" w:themeShade="BF"/>
        </w:rPr>
        <w:t>ниво 2</w:t>
      </w:r>
      <w:r w:rsidRPr="000E798D">
        <w:t xml:space="preserve"> и </w:t>
      </w:r>
      <w:r w:rsidRPr="00723FAC">
        <w:rPr>
          <w:color w:val="943634" w:themeColor="accent2" w:themeShade="BF"/>
        </w:rPr>
        <w:t>3</w:t>
      </w:r>
      <w:r w:rsidRPr="000E798D">
        <w:t xml:space="preserve"> (в зависимост от това, могат да се наложат и промени в районите от </w:t>
      </w:r>
      <w:r w:rsidRPr="00723FAC">
        <w:rPr>
          <w:color w:val="943634" w:themeColor="accent2" w:themeShade="BF"/>
        </w:rPr>
        <w:t>ниво 1</w:t>
      </w:r>
      <w:r w:rsidRPr="000E798D">
        <w:t>) в Република България в конте</w:t>
      </w:r>
      <w:r w:rsidRPr="000E798D">
        <w:t>к</w:t>
      </w:r>
      <w:r w:rsidRPr="000E798D">
        <w:t xml:space="preserve">ста на </w:t>
      </w:r>
      <w:bookmarkStart w:id="68" w:name="_Hlk500093386"/>
      <w:r w:rsidRPr="000E798D">
        <w:rPr>
          <w:i/>
        </w:rPr>
        <w:t>Общата класификация на териториалните единици за статист</w:t>
      </w:r>
      <w:r w:rsidRPr="000E798D">
        <w:rPr>
          <w:i/>
        </w:rPr>
        <w:t>и</w:t>
      </w:r>
      <w:r w:rsidRPr="000E798D">
        <w:rPr>
          <w:i/>
        </w:rPr>
        <w:t>чески цели</w:t>
      </w:r>
      <w:r w:rsidRPr="000E798D">
        <w:t xml:space="preserve"> в Европейския съюз, съгласно </w:t>
      </w:r>
      <w:r w:rsidRPr="000E798D">
        <w:rPr>
          <w:i/>
          <w:noProof/>
        </w:rPr>
        <w:t>Регламент (ЕО) № 1059/2003 г.</w:t>
      </w:r>
      <w:bookmarkEnd w:id="68"/>
      <w:r w:rsidRPr="000E798D">
        <w:t>;</w:t>
      </w:r>
    </w:p>
    <w:p w:rsidR="00877FF0" w:rsidRDefault="00877FF0" w:rsidP="00427DD4">
      <w:pPr>
        <w:pStyle w:val="Style1"/>
      </w:pPr>
      <w:r>
        <w:t>Приключване на етапа на планиране на пространственото развитие на тер</w:t>
      </w:r>
      <w:r>
        <w:t>и</w:t>
      </w:r>
      <w:r>
        <w:t xml:space="preserve">торията на регионите от </w:t>
      </w:r>
      <w:r w:rsidRPr="00723FAC">
        <w:rPr>
          <w:color w:val="943634" w:themeColor="accent2" w:themeShade="BF"/>
        </w:rPr>
        <w:t>ниво 2</w:t>
      </w:r>
      <w:r>
        <w:t>, съгласувано и във взаимодействие със се</w:t>
      </w:r>
      <w:r>
        <w:t>к</w:t>
      </w:r>
      <w:r>
        <w:t>торните стратегии;</w:t>
      </w:r>
    </w:p>
    <w:p w:rsidR="00877FF0" w:rsidRDefault="00877FF0" w:rsidP="00723FAC">
      <w:pPr>
        <w:pStyle w:val="Style1"/>
      </w:pPr>
      <w:r>
        <w:t>Изготвяне на тематични оценки</w:t>
      </w:r>
      <w:bookmarkStart w:id="69" w:name="_Hlk500093352"/>
      <w:r w:rsidR="00723FAC" w:rsidRPr="00723FAC">
        <w:t>, свързани с изпълнението на РПР на</w:t>
      </w:r>
      <w:r w:rsidR="00723FAC">
        <w:t xml:space="preserve"> </w:t>
      </w:r>
      <w:bookmarkEnd w:id="69"/>
      <w:r w:rsidR="00723FAC">
        <w:t>СЗР</w:t>
      </w:r>
      <w:r>
        <w:t xml:space="preserve"> и/или за конкретни мерки, които са планирани и/или се изпълняват с цел у</w:t>
      </w:r>
      <w:r>
        <w:t>с</w:t>
      </w:r>
      <w:r>
        <w:t>тановяване на ефективни подходи за адресиране и преодоляване на вътре</w:t>
      </w:r>
      <w:r>
        <w:t>ш</w:t>
      </w:r>
      <w:r>
        <w:t>но регионалните различия;</w:t>
      </w:r>
    </w:p>
    <w:p w:rsidR="00877FF0" w:rsidRDefault="00877FF0" w:rsidP="00427DD4">
      <w:pPr>
        <w:pStyle w:val="Style1"/>
      </w:pPr>
      <w:r>
        <w:t>Анализ и оптимизиране на структурата на стратегическите документи за р</w:t>
      </w:r>
      <w:r>
        <w:t>е</w:t>
      </w:r>
      <w:r>
        <w:t>гионално развитие на национално и регионално ниво;</w:t>
      </w:r>
    </w:p>
    <w:p w:rsidR="00877FF0" w:rsidRDefault="00877FF0" w:rsidP="00427DD4">
      <w:pPr>
        <w:pStyle w:val="Style1"/>
      </w:pPr>
      <w:r>
        <w:t>Разработване на стратегическите документи за регионално развитие на н</w:t>
      </w:r>
      <w:r>
        <w:t>а</w:t>
      </w:r>
      <w:r>
        <w:t xml:space="preserve">ционално ниво и райони от </w:t>
      </w:r>
      <w:r w:rsidRPr="00723FAC">
        <w:rPr>
          <w:color w:val="943634" w:themeColor="accent2" w:themeShade="BF"/>
        </w:rPr>
        <w:t>ниво 2</w:t>
      </w:r>
      <w:r>
        <w:t xml:space="preserve"> за периода след 2020 г.</w:t>
      </w:r>
    </w:p>
    <w:p w:rsidR="00877FF0" w:rsidRDefault="00877FF0" w:rsidP="00877FF0">
      <w:pPr>
        <w:spacing w:before="360"/>
      </w:pPr>
      <w:r>
        <w:t>Тези действия ще осигурят възможност за преодоляване или най-малко значите</w:t>
      </w:r>
      <w:r>
        <w:t>л</w:t>
      </w:r>
      <w:r>
        <w:t>но смекчаване на ефектите от актуалните предизвикателства, както и плавен преход между програмните периоди.</w:t>
      </w:r>
    </w:p>
    <w:p w:rsidR="007A2071" w:rsidRPr="007A2071" w:rsidRDefault="007A2071" w:rsidP="007A2071">
      <w:pPr>
        <w:pStyle w:val="Subtitle"/>
      </w:pPr>
      <w:bookmarkStart w:id="70" w:name="_Toc500265778"/>
      <w:bookmarkStart w:id="71" w:name="_Toc500325568"/>
      <w:r w:rsidRPr="007A2071">
        <w:lastRenderedPageBreak/>
        <w:t>Източници и референтни документи</w:t>
      </w:r>
      <w:bookmarkEnd w:id="70"/>
      <w:bookmarkEnd w:id="71"/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Регионален план за развитие на Северозападен район от ниво 2</w:t>
      </w:r>
      <w:r w:rsidRPr="007A2071">
        <w:rPr>
          <w:szCs w:val="20"/>
          <w:lang w:eastAsia="ja-JP"/>
        </w:rPr>
        <w:t>, приет с Решение № 459 на Министерския съвет от 01.08.2013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Регионален план за развитие на Северен централен район от ниво 2</w:t>
      </w:r>
      <w:r w:rsidRPr="007A2071">
        <w:rPr>
          <w:szCs w:val="20"/>
          <w:lang w:eastAsia="ja-JP"/>
        </w:rPr>
        <w:t>, приет с Решение № 461 на Министерския съвет от 01.08.2013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Регионален план за развитие на Североизточен район от ниво 2</w:t>
      </w:r>
      <w:r w:rsidRPr="007A2071">
        <w:rPr>
          <w:szCs w:val="20"/>
          <w:lang w:eastAsia="ja-JP"/>
        </w:rPr>
        <w:t xml:space="preserve">, приет с Решение № </w:t>
      </w:r>
      <w:r w:rsidRPr="007A2071">
        <w:rPr>
          <w:szCs w:val="20"/>
        </w:rPr>
        <w:t xml:space="preserve">460 </w:t>
      </w:r>
      <w:r w:rsidRPr="007A2071">
        <w:rPr>
          <w:szCs w:val="20"/>
          <w:lang w:eastAsia="ja-JP"/>
        </w:rPr>
        <w:t>на Министерския съвет от 01.08.2013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Регионален план за развитие на Югозападен район от ниво 2</w:t>
      </w:r>
      <w:r w:rsidRPr="007A2071">
        <w:rPr>
          <w:szCs w:val="20"/>
          <w:lang w:eastAsia="ja-JP"/>
        </w:rPr>
        <w:t>, приет с Решение № 457 на Министерския съвет от 01.08.2013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Регионален план за развитие на Южен централен район от ниво 2</w:t>
      </w:r>
      <w:r w:rsidRPr="007A2071">
        <w:rPr>
          <w:szCs w:val="20"/>
          <w:lang w:eastAsia="ja-JP"/>
        </w:rPr>
        <w:t>, приет с Решение № 462 на Министерския съвет от 01.08.2013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Регионален план за развитие на Югоизточен район от ниво 2</w:t>
      </w:r>
      <w:r w:rsidRPr="007A2071">
        <w:rPr>
          <w:szCs w:val="20"/>
          <w:lang w:eastAsia="ja-JP"/>
        </w:rPr>
        <w:t>, приет с Решение № 458 на Министерския съвет от 01.08.2013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Предварителни оценки на РПР на районите от ниво 2 за периода 2014-2020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 xml:space="preserve">Национална стратегия за регионално развитие на Република България за периода 2012-2022 г., </w:t>
      </w:r>
      <w:r w:rsidRPr="007A2071">
        <w:rPr>
          <w:szCs w:val="20"/>
          <w:lang w:eastAsia="ja-JP"/>
        </w:rPr>
        <w:t>приета с Решение № 696 на Министерския съвет от 24.08.2012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</w:rPr>
        <w:t>Национална програма за развитие БЪЛГАРИЯ 2020</w:t>
      </w:r>
      <w:r w:rsidRPr="007A2071">
        <w:rPr>
          <w:szCs w:val="20"/>
        </w:rPr>
        <w:t>, приета Решение № 1057 на Министерския съвет от 20.12.2012 г.</w:t>
      </w:r>
      <w:r w:rsidRPr="007A2071">
        <w:rPr>
          <w:szCs w:val="20"/>
          <w:lang w:eastAsia="ja-JP"/>
        </w:rPr>
        <w:t xml:space="preserve"> 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Национална концепция за пространствено развитие 2013-2025 г.</w:t>
      </w:r>
      <w:r w:rsidRPr="007A2071">
        <w:rPr>
          <w:szCs w:val="20"/>
          <w:lang w:eastAsia="ja-JP"/>
        </w:rPr>
        <w:t>, приета с решение на Министерския съвет по Протокол № 47.61 от 19.12.2012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</w:rPr>
      </w:pPr>
      <w:r w:rsidRPr="007A2071">
        <w:rPr>
          <w:i/>
          <w:szCs w:val="20"/>
        </w:rPr>
        <w:t xml:space="preserve">Национална програма за реформи на Република България в изпълнение на стратегията "Европа 2020", </w:t>
      </w:r>
      <w:r w:rsidRPr="007A2071">
        <w:rPr>
          <w:szCs w:val="20"/>
        </w:rPr>
        <w:t>актуализация 2017 г., приета с Решение № 280 на Министерския съвет от 18.05.2017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Междинна оценка на Националната стратегия за регионално развитие на Република България 2005-2015 г.</w:t>
      </w:r>
      <w:r w:rsidRPr="007A2071">
        <w:rPr>
          <w:szCs w:val="20"/>
          <w:lang w:eastAsia="ja-JP"/>
        </w:rPr>
        <w:t>, приета с Протокол № 22.1 на Министерския съвет от 08 юни 2011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Междинни оценки за изпълнението на Регионалните планове за развитие на районите от ниво 2 за периода 2007-2010 г.</w:t>
      </w:r>
      <w:r w:rsidRPr="007A2071">
        <w:rPr>
          <w:i/>
          <w:szCs w:val="20"/>
          <w:lang w:val="en-US" w:eastAsia="ja-JP"/>
        </w:rPr>
        <w:t xml:space="preserve">, </w:t>
      </w:r>
      <w:r w:rsidRPr="007A2071">
        <w:rPr>
          <w:szCs w:val="20"/>
          <w:lang w:eastAsia="ja-JP"/>
        </w:rPr>
        <w:t>приети с решение на Министерския съвет по Протокол №28.3 (ЮЗР) от 20.07.2011 г. и решения 29.46 (ЮИР), 29.47 (СЗР), 29.48 (СИР), 29.49 (СЦР) и 29.50 (ЮЦР) по протокол от 27.07.2011 г.</w:t>
      </w:r>
    </w:p>
    <w:p w:rsid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Европа 2020. Стратегия за устойчив, интелигентен и приобщаващ растеж</w:t>
      </w:r>
      <w:r w:rsidRPr="007A2071">
        <w:rPr>
          <w:szCs w:val="20"/>
          <w:lang w:eastAsia="ja-JP"/>
        </w:rPr>
        <w:t>. Брюксел, 3.3.2010 г. COM(2010) 2020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7A2071">
        <w:rPr>
          <w:i/>
          <w:szCs w:val="20"/>
          <w:lang w:eastAsia="ja-JP"/>
        </w:rPr>
        <w:t>Оперативна програма "Добро управление" 2014-2020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7A2071">
        <w:rPr>
          <w:i/>
          <w:szCs w:val="20"/>
          <w:lang w:eastAsia="ja-JP"/>
        </w:rPr>
        <w:t>Оперативна програма "Иновации и конкурентоспособност" 2014-2020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7A2071">
        <w:rPr>
          <w:i/>
          <w:szCs w:val="20"/>
          <w:lang w:eastAsia="ja-JP"/>
        </w:rPr>
        <w:t>Оперативна програма "Околна среда" 2014-2020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7A2071">
        <w:rPr>
          <w:i/>
          <w:szCs w:val="20"/>
          <w:lang w:eastAsia="ja-JP"/>
        </w:rPr>
        <w:t>Оперативна програма "Развитие на човешките ресурси" 2014-2020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7A2071">
        <w:rPr>
          <w:i/>
          <w:szCs w:val="20"/>
          <w:lang w:eastAsia="ja-JP"/>
        </w:rPr>
        <w:t>Оперативна програма "Региони в растеж" 2014-2020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7A2071">
        <w:rPr>
          <w:i/>
          <w:szCs w:val="20"/>
          <w:lang w:eastAsia="ja-JP"/>
        </w:rPr>
        <w:t>Оперативна програма "Транспорт и транспортна инфраструктура" 2014-2020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7A2071">
        <w:rPr>
          <w:i/>
          <w:szCs w:val="20"/>
          <w:lang w:eastAsia="ja-JP"/>
        </w:rPr>
        <w:t>Програма за развитие на селските райони 2014-2020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7A2071">
        <w:rPr>
          <w:i/>
          <w:szCs w:val="20"/>
          <w:lang w:eastAsia="ja-JP"/>
        </w:rPr>
        <w:t>Програма за морско дело и рибарство 2014-2020 г.</w:t>
      </w:r>
    </w:p>
    <w:p w:rsidR="007F3952" w:rsidRPr="007F3952" w:rsidRDefault="007F3952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F3952">
        <w:rPr>
          <w:i/>
          <w:szCs w:val="20"/>
          <w:lang w:eastAsia="ja-JP"/>
        </w:rPr>
        <w:lastRenderedPageBreak/>
        <w:t xml:space="preserve">Регламент (ЕО) № 1059/2003 </w:t>
      </w:r>
      <w:r>
        <w:rPr>
          <w:i/>
          <w:szCs w:val="20"/>
          <w:lang w:eastAsia="ja-JP"/>
        </w:rPr>
        <w:t xml:space="preserve">г. </w:t>
      </w:r>
      <w:r w:rsidRPr="007F3952">
        <w:rPr>
          <w:i/>
          <w:szCs w:val="20"/>
          <w:lang w:eastAsia="ja-JP"/>
        </w:rPr>
        <w:t>на Европейския парламент и на Съвета от 26 май 2003 година за установяване на обща класификация на териториалните единици за статистически цели (NUTS)</w:t>
      </w:r>
      <w:r>
        <w:rPr>
          <w:i/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Официален вестник на ЕС, L 154 от 21.6.2003</w:t>
      </w:r>
      <w:r>
        <w:rPr>
          <w:szCs w:val="20"/>
          <w:lang w:eastAsia="ja-JP"/>
        </w:rPr>
        <w:t xml:space="preserve"> г., последни промени </w:t>
      </w:r>
      <w:r w:rsidRPr="007F3952">
        <w:rPr>
          <w:szCs w:val="20"/>
          <w:lang w:eastAsia="ja-JP"/>
        </w:rPr>
        <w:t>Официален вестник на ЕС</w:t>
      </w:r>
      <w:r>
        <w:rPr>
          <w:szCs w:val="20"/>
          <w:lang w:eastAsia="ja-JP"/>
        </w:rPr>
        <w:t xml:space="preserve"> </w:t>
      </w:r>
      <w:r w:rsidRPr="007F3952">
        <w:rPr>
          <w:szCs w:val="20"/>
          <w:lang w:eastAsia="ja-JP"/>
        </w:rPr>
        <w:t>L 322</w:t>
      </w:r>
      <w:r>
        <w:rPr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29.11.2016</w:t>
      </w:r>
      <w:r>
        <w:rPr>
          <w:szCs w:val="20"/>
          <w:lang w:eastAsia="ja-JP"/>
        </w:rPr>
        <w:t xml:space="preserve">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Закон за регионалното развитие</w:t>
      </w:r>
      <w:r w:rsidRPr="007A2071">
        <w:rPr>
          <w:szCs w:val="20"/>
          <w:lang w:eastAsia="ja-JP"/>
        </w:rPr>
        <w:t xml:space="preserve">, </w:t>
      </w:r>
      <w:proofErr w:type="spellStart"/>
      <w:r w:rsidRPr="007A2071">
        <w:rPr>
          <w:szCs w:val="20"/>
          <w:lang w:eastAsia="ja-JP"/>
        </w:rPr>
        <w:t>обн</w:t>
      </w:r>
      <w:proofErr w:type="spellEnd"/>
      <w:r w:rsidRPr="007A2071">
        <w:rPr>
          <w:szCs w:val="20"/>
          <w:lang w:eastAsia="ja-JP"/>
        </w:rPr>
        <w:t>., ДВ, бр. 50 от 2008 г., в сила от 31.08.2008 г., последни изменения и допълнения, ДВ. бр.13 от 2017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Правилник за прилагане на Закона за регионалното развитие</w:t>
      </w:r>
      <w:r w:rsidRPr="007A2071">
        <w:rPr>
          <w:szCs w:val="20"/>
          <w:lang w:eastAsia="ja-JP"/>
        </w:rPr>
        <w:t xml:space="preserve">, приет с ПМС № 216 от 2.09.2008 г., </w:t>
      </w:r>
      <w:proofErr w:type="spellStart"/>
      <w:r w:rsidRPr="007A2071">
        <w:rPr>
          <w:szCs w:val="20"/>
          <w:lang w:eastAsia="ja-JP"/>
        </w:rPr>
        <w:t>обн</w:t>
      </w:r>
      <w:proofErr w:type="spellEnd"/>
      <w:r w:rsidRPr="007A2071">
        <w:rPr>
          <w:szCs w:val="20"/>
          <w:lang w:eastAsia="ja-JP"/>
        </w:rPr>
        <w:t>., ДВ, бр. 80 от 2008 г., в сила от 31.08.2008 г., последни изм. и доп., бр. 50 от 2016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 xml:space="preserve">Закон за управление на средствата от европейските структурни и инвестиционни фондове, </w:t>
      </w:r>
      <w:proofErr w:type="spellStart"/>
      <w:r w:rsidRPr="007A2071">
        <w:rPr>
          <w:szCs w:val="20"/>
          <w:lang w:eastAsia="ja-JP"/>
        </w:rPr>
        <w:t>обн</w:t>
      </w:r>
      <w:proofErr w:type="spellEnd"/>
      <w:r w:rsidRPr="007A2071">
        <w:rPr>
          <w:szCs w:val="20"/>
          <w:lang w:eastAsia="ja-JP"/>
        </w:rPr>
        <w:t>., ДВ, бр. 101 от 2015 г., последни изм. и доп., бр. 85 от 2017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</w:rPr>
        <w:t xml:space="preserve">Методически указания за разработване на Национална стратегия за регионално развитие 2012-2020 г., Регионални планове за развитие, Областни стратегии и Общински планове за развитие за периода 2014-2020 г., </w:t>
      </w:r>
      <w:r w:rsidRPr="007A2071">
        <w:rPr>
          <w:szCs w:val="20"/>
          <w:lang w:eastAsia="ja-JP"/>
        </w:rPr>
        <w:t>Заповед №РД-02-1402 от 22.11.2011 г. на министъра на регионалното развитие и благоустройството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Анализ на състоянието и тенденциите за промени в обхвата на районите от нива 1, 2 и 3 в Република България в контекста на общата класификация на териториалните единици за статистически цели в Европейския съюз</w:t>
      </w:r>
      <w:r w:rsidRPr="007A2071">
        <w:rPr>
          <w:szCs w:val="20"/>
          <w:lang w:eastAsia="ja-JP"/>
        </w:rPr>
        <w:t>, Министерство на регионалното развитие и благоустройството, ФРМС Консулт ЕООД, София, ноември 2013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</w:rPr>
      </w:pPr>
      <w:r w:rsidRPr="007A2071">
        <w:rPr>
          <w:i/>
          <w:szCs w:val="20"/>
        </w:rPr>
        <w:t>Моят регион, моята Европа, нашето бъдеще – седми доклад за икономическото, социалното и териториалното сближаване</w:t>
      </w:r>
      <w:r w:rsidRPr="007A2071">
        <w:rPr>
          <w:szCs w:val="20"/>
        </w:rPr>
        <w:t>, Европейска комисия, 2017 г.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7A2071">
        <w:rPr>
          <w:szCs w:val="20"/>
          <w:lang w:eastAsia="ja-JP"/>
        </w:rPr>
        <w:t xml:space="preserve"> – ИСУН, </w:t>
      </w:r>
      <w:hyperlink r:id="rId26" w:history="1">
        <w:r w:rsidRPr="007A2071">
          <w:rPr>
            <w:color w:val="0000FF"/>
            <w:szCs w:val="20"/>
            <w:u w:val="single"/>
            <w:lang w:eastAsia="ja-JP"/>
          </w:rPr>
          <w:t>http://umispublic.minfin.bg/</w:t>
        </w:r>
      </w:hyperlink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7A2071">
        <w:rPr>
          <w:szCs w:val="20"/>
          <w:lang w:eastAsia="ja-JP"/>
        </w:rPr>
        <w:t xml:space="preserve"> – ИСУН2020, </w:t>
      </w:r>
      <w:hyperlink r:id="rId27" w:history="1">
        <w:r w:rsidRPr="007A2071">
          <w:rPr>
            <w:color w:val="0000FF"/>
            <w:szCs w:val="20"/>
            <w:u w:val="single"/>
            <w:lang w:eastAsia="ja-JP"/>
          </w:rPr>
          <w:t>http://2020.eufunds.bg/</w:t>
        </w:r>
      </w:hyperlink>
      <w:r w:rsidRPr="007A2071">
        <w:rPr>
          <w:szCs w:val="20"/>
          <w:lang w:eastAsia="ja-JP"/>
        </w:rPr>
        <w:t xml:space="preserve"> </w:t>
      </w:r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Национален статистически институт</w:t>
      </w:r>
      <w:r w:rsidRPr="007A2071">
        <w:rPr>
          <w:szCs w:val="20"/>
          <w:lang w:eastAsia="ja-JP"/>
        </w:rPr>
        <w:t xml:space="preserve"> – </w:t>
      </w:r>
      <w:hyperlink r:id="rId28" w:history="1">
        <w:r w:rsidRPr="007A2071">
          <w:rPr>
            <w:color w:val="0000FF"/>
            <w:szCs w:val="20"/>
            <w:u w:val="single"/>
            <w:lang w:eastAsia="ja-JP"/>
          </w:rPr>
          <w:t>http://www.nsi.bg/</w:t>
        </w:r>
      </w:hyperlink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Евростат</w:t>
      </w:r>
      <w:r w:rsidRPr="007A2071">
        <w:rPr>
          <w:szCs w:val="20"/>
          <w:lang w:eastAsia="ja-JP"/>
        </w:rPr>
        <w:t xml:space="preserve"> – </w:t>
      </w:r>
      <w:hyperlink r:id="rId29" w:history="1">
        <w:r w:rsidRPr="007A2071">
          <w:rPr>
            <w:color w:val="0000FF"/>
            <w:szCs w:val="20"/>
            <w:u w:val="single"/>
            <w:lang w:eastAsia="ja-JP"/>
          </w:rPr>
          <w:t>http://eurostat.ec.europa.eu</w:t>
        </w:r>
      </w:hyperlink>
    </w:p>
    <w:p w:rsidR="007A2071" w:rsidRPr="007A2071" w:rsidRDefault="007A2071" w:rsidP="007A2071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A2071">
        <w:rPr>
          <w:i/>
          <w:szCs w:val="20"/>
          <w:lang w:eastAsia="ja-JP"/>
        </w:rPr>
        <w:t>Портал за обществени консултации</w:t>
      </w:r>
      <w:r w:rsidRPr="007A2071">
        <w:rPr>
          <w:szCs w:val="20"/>
          <w:lang w:eastAsia="ja-JP"/>
        </w:rPr>
        <w:t xml:space="preserve"> – </w:t>
      </w:r>
      <w:hyperlink r:id="rId30" w:history="1">
        <w:r w:rsidRPr="007A2071">
          <w:rPr>
            <w:color w:val="0000FF"/>
            <w:szCs w:val="20"/>
            <w:u w:val="single"/>
            <w:lang w:eastAsia="ja-JP"/>
          </w:rPr>
          <w:t>http://www.strategy.bg</w:t>
        </w:r>
      </w:hyperlink>
      <w:r w:rsidRPr="007A2071">
        <w:rPr>
          <w:szCs w:val="20"/>
          <w:lang w:eastAsia="ja-JP"/>
        </w:rPr>
        <w:t xml:space="preserve"> </w:t>
      </w:r>
    </w:p>
    <w:p w:rsidR="007A2071" w:rsidRDefault="007A2071" w:rsidP="00877FF0">
      <w:pPr>
        <w:spacing w:before="360"/>
      </w:pPr>
    </w:p>
    <w:sectPr w:rsidR="007A2071" w:rsidSect="00BA3ACC"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4E" w:rsidRDefault="00862A4E">
      <w:r>
        <w:separator/>
      </w:r>
    </w:p>
  </w:endnote>
  <w:endnote w:type="continuationSeparator" w:id="0">
    <w:p w:rsidR="00862A4E" w:rsidRDefault="0086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EE" w:rsidRDefault="00B667EE" w:rsidP="004C44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xxxv</w:t>
    </w:r>
    <w:r>
      <w:rPr>
        <w:noProof/>
      </w:rPr>
      <w:fldChar w:fldCharType="end"/>
    </w:r>
  </w:p>
  <w:p w:rsidR="00B667EE" w:rsidRDefault="00B667EE" w:rsidP="005045B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EE" w:rsidRPr="00EE3C8B" w:rsidRDefault="00B667EE">
    <w:pPr>
      <w:pStyle w:val="Footer"/>
      <w:jc w:val="right"/>
      <w:rPr>
        <w:sz w:val="20"/>
      </w:rPr>
    </w:pPr>
    <w:r w:rsidRPr="00EE3C8B">
      <w:rPr>
        <w:sz w:val="20"/>
      </w:rPr>
      <w:t>стр.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PAGE </w:instrText>
    </w:r>
    <w:r w:rsidRPr="00EE3C8B">
      <w:rPr>
        <w:b/>
        <w:bCs/>
        <w:sz w:val="20"/>
      </w:rPr>
      <w:fldChar w:fldCharType="separate"/>
    </w:r>
    <w:r w:rsidR="006F089B">
      <w:rPr>
        <w:b/>
        <w:bCs/>
        <w:noProof/>
        <w:sz w:val="20"/>
      </w:rPr>
      <w:t>4</w:t>
    </w:r>
    <w:r w:rsidRPr="00EE3C8B">
      <w:rPr>
        <w:b/>
        <w:bCs/>
        <w:sz w:val="20"/>
      </w:rPr>
      <w:fldChar w:fldCharType="end"/>
    </w:r>
    <w:r>
      <w:rPr>
        <w:sz w:val="20"/>
      </w:rPr>
      <w:t xml:space="preserve"> </w:t>
    </w:r>
    <w:r w:rsidRPr="00EE3C8B">
      <w:rPr>
        <w:sz w:val="20"/>
      </w:rPr>
      <w:t>от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NUMPAGES  </w:instrText>
    </w:r>
    <w:r w:rsidRPr="00EE3C8B">
      <w:rPr>
        <w:b/>
        <w:bCs/>
        <w:sz w:val="20"/>
      </w:rPr>
      <w:fldChar w:fldCharType="separate"/>
    </w:r>
    <w:r w:rsidR="006F089B">
      <w:rPr>
        <w:b/>
        <w:bCs/>
        <w:noProof/>
        <w:sz w:val="20"/>
      </w:rPr>
      <w:t>27</w:t>
    </w:r>
    <w:r w:rsidRPr="00EE3C8B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EE" w:rsidRDefault="00B667EE">
    <w:r>
      <w:rPr>
        <w:noProof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4E" w:rsidRDefault="00862A4E" w:rsidP="00BE7823">
      <w:pPr>
        <w:spacing w:after="0" w:line="240" w:lineRule="auto"/>
        <w:ind w:firstLine="0"/>
      </w:pPr>
      <w:r>
        <w:separator/>
      </w:r>
    </w:p>
  </w:footnote>
  <w:footnote w:type="continuationSeparator" w:id="0">
    <w:p w:rsidR="00862A4E" w:rsidRDefault="00862A4E">
      <w:r>
        <w:continuationSeparator/>
      </w:r>
    </w:p>
  </w:footnote>
  <w:footnote w:id="1">
    <w:p w:rsidR="00B667EE" w:rsidRPr="00115FFB" w:rsidRDefault="00B667EE" w:rsidP="00765E7F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proofErr w:type="spellStart"/>
      <w:r w:rsidRPr="00115FFB">
        <w:t>обн</w:t>
      </w:r>
      <w:proofErr w:type="spellEnd"/>
      <w:r w:rsidRPr="00115FFB">
        <w:t xml:space="preserve">., ДВ, бр. 50 от 2008 г., в сила от 31.08.2008 г., </w:t>
      </w:r>
      <w:r>
        <w:t xml:space="preserve">последни изм. и </w:t>
      </w:r>
      <w:r w:rsidRPr="00115FFB">
        <w:t xml:space="preserve">доп., бр. </w:t>
      </w:r>
      <w:r w:rsidRPr="00377105">
        <w:t>58 от 2017 г., в сила от 18.07.2017 г.</w:t>
      </w:r>
    </w:p>
  </w:footnote>
  <w:footnote w:id="2">
    <w:p w:rsidR="00B667EE" w:rsidRPr="00115FFB" w:rsidRDefault="00B667EE" w:rsidP="00765E7F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чл.</w:t>
      </w:r>
      <w:r>
        <w:t xml:space="preserve"> </w:t>
      </w:r>
      <w:r w:rsidRPr="00115FFB">
        <w:t>2, ал.</w:t>
      </w:r>
      <w:r>
        <w:t xml:space="preserve"> </w:t>
      </w:r>
      <w:r w:rsidRPr="00115FFB">
        <w:t>2 от ЗРР</w:t>
      </w:r>
    </w:p>
  </w:footnote>
  <w:footnote w:id="3">
    <w:p w:rsidR="00B667EE" w:rsidRPr="00115FFB" w:rsidRDefault="00B667EE" w:rsidP="00765E7F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чл. 86 и чл. 87 от ППЗРР</w:t>
      </w:r>
    </w:p>
  </w:footnote>
  <w:footnote w:id="4">
    <w:p w:rsidR="00B667EE" w:rsidRDefault="00B667EE" w:rsidP="00C378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C4F7A">
          <w:rPr>
            <w:rStyle w:val="Hyperlink"/>
          </w:rPr>
          <w:t>http://iacs-online.dfz.bg/apex/f?p=100:43:4349657656453329</w:t>
        </w:r>
      </w:hyperlink>
      <w:r>
        <w:t xml:space="preserve"> </w:t>
      </w:r>
    </w:p>
  </w:footnote>
  <w:footnote w:id="5">
    <w:p w:rsidR="00B667EE" w:rsidRDefault="00B667EE" w:rsidP="0032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1FB7">
        <w:t>НСИ, прогноза I вариант (при хипотеза за конвергентност)</w:t>
      </w:r>
    </w:p>
  </w:footnote>
  <w:footnote w:id="6">
    <w:p w:rsidR="00B667EE" w:rsidRDefault="00B667EE" w:rsidP="00877F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755B8">
          <w:rPr>
            <w:rStyle w:val="Hyperlink"/>
          </w:rPr>
          <w:t>https://ec.europa.eu/commission/white-paper-future-europe-reflections-and-scenarios-eu27_en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241"/>
    </w:tblGrid>
    <w:tr w:rsidR="00B667EE" w:rsidRPr="000B2257" w:rsidTr="000B2257">
      <w:trPr>
        <w:jc w:val="center"/>
      </w:trPr>
      <w:tc>
        <w:tcPr>
          <w:tcW w:w="4332" w:type="pct"/>
        </w:tcPr>
        <w:p w:rsidR="00B667EE" w:rsidRPr="00DD6D5E" w:rsidRDefault="00B667EE" w:rsidP="005E50CB">
          <w:pPr>
            <w:ind w:firstLine="0"/>
            <w:jc w:val="left"/>
            <w:rPr>
              <w:b/>
              <w:smallCaps/>
              <w:color w:val="943634" w:themeColor="accent2" w:themeShade="BF"/>
              <w:sz w:val="16"/>
            </w:rPr>
          </w:pPr>
          <w:r w:rsidRPr="00B667EE">
            <w:rPr>
              <w:b/>
              <w:smallCaps/>
              <w:color w:val="943634" w:themeColor="accent2" w:themeShade="BF"/>
              <w:sz w:val="16"/>
            </w:rPr>
            <w:t xml:space="preserve">Доклад за резултатите от Междинната оценка </w:t>
          </w:r>
          <w:r w:rsidRPr="00DD6D5E">
            <w:rPr>
              <w:b/>
              <w:smallCaps/>
              <w:color w:val="943634" w:themeColor="accent2" w:themeShade="BF"/>
              <w:sz w:val="16"/>
            </w:rPr>
            <w:t xml:space="preserve">за изпълнението на </w:t>
          </w:r>
          <w:r w:rsidRPr="00DD6D5E">
            <w:rPr>
              <w:b/>
              <w:smallCaps/>
              <w:color w:val="943634" w:themeColor="accent2" w:themeShade="BF"/>
              <w:sz w:val="16"/>
            </w:rPr>
            <w:br/>
            <w:t>РЕГИОНАЛНИЯ ПЛАН ЗА РАЗВИТИЕ 20</w:t>
          </w:r>
          <w:r w:rsidRPr="00DD6D5E">
            <w:rPr>
              <w:b/>
              <w:smallCaps/>
              <w:color w:val="943634" w:themeColor="accent2" w:themeShade="BF"/>
              <w:sz w:val="16"/>
              <w:lang w:val="en-US"/>
            </w:rPr>
            <w:t>14</w:t>
          </w:r>
          <w:r w:rsidRPr="00DD6D5E">
            <w:rPr>
              <w:b/>
              <w:smallCaps/>
              <w:color w:val="943634" w:themeColor="accent2" w:themeShade="BF"/>
              <w:sz w:val="16"/>
            </w:rPr>
            <w:t>-20</w:t>
          </w:r>
          <w:r w:rsidRPr="00DD6D5E">
            <w:rPr>
              <w:b/>
              <w:smallCaps/>
              <w:color w:val="943634" w:themeColor="accent2" w:themeShade="BF"/>
              <w:sz w:val="16"/>
              <w:lang w:val="en-US"/>
            </w:rPr>
            <w:t>20</w:t>
          </w:r>
          <w:r w:rsidRPr="00DD6D5E">
            <w:rPr>
              <w:b/>
              <w:smallCaps/>
              <w:color w:val="943634" w:themeColor="accent2" w:themeShade="BF"/>
              <w:sz w:val="16"/>
            </w:rPr>
            <w:t xml:space="preserve"> г. на </w:t>
          </w:r>
          <w:r w:rsidRPr="00DD6D5E">
            <w:rPr>
              <w:b/>
              <w:smallCaps/>
              <w:noProof/>
              <w:color w:val="943634" w:themeColor="accent2" w:themeShade="BF"/>
              <w:sz w:val="16"/>
            </w:rPr>
            <w:t>СЕВЕРОЗАПАДЕН РАЙОН от ниво 2</w:t>
          </w:r>
        </w:p>
      </w:tc>
      <w:tc>
        <w:tcPr>
          <w:tcW w:w="668" w:type="pct"/>
          <w:vAlign w:val="bottom"/>
        </w:tcPr>
        <w:p w:rsidR="00B667EE" w:rsidRPr="000B2257" w:rsidRDefault="00B667EE" w:rsidP="005E0CEE">
          <w:pPr>
            <w:spacing w:line="240" w:lineRule="auto"/>
            <w:ind w:firstLine="0"/>
            <w:jc w:val="right"/>
            <w:rPr>
              <w:b/>
              <w:color w:val="943634" w:themeColor="accent2" w:themeShade="BF"/>
              <w:sz w:val="16"/>
            </w:rPr>
          </w:pPr>
        </w:p>
      </w:tc>
    </w:tr>
  </w:tbl>
  <w:p w:rsidR="00B667EE" w:rsidRPr="00684EB1" w:rsidRDefault="00B667EE" w:rsidP="005E0CEE">
    <w:pPr>
      <w:spacing w:before="0" w:after="0" w:line="240" w:lineRule="auto"/>
      <w:ind w:firstLine="0"/>
      <w:jc w:val="left"/>
      <w:rPr>
        <w:b/>
        <w:i/>
        <w:iCs/>
        <w:color w:val="999999"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4F9"/>
    <w:multiLevelType w:val="multilevel"/>
    <w:tmpl w:val="507293D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Heading4"/>
      <w:lvlText w:val="%3.%4.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268" w:hanging="5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1F203AD9"/>
    <w:multiLevelType w:val="hybridMultilevel"/>
    <w:tmpl w:val="C7B2B23E"/>
    <w:lvl w:ilvl="0" w:tplc="7F8480FE">
      <w:start w:val="1"/>
      <w:numFmt w:val="bullet"/>
      <w:pStyle w:val="Style2"/>
      <w:lvlText w:val=""/>
      <w:lvlJc w:val="left"/>
      <w:pPr>
        <w:ind w:left="1854" w:hanging="360"/>
      </w:pPr>
      <w:rPr>
        <w:rFonts w:ascii="Symbol" w:hAnsi="Symbol" w:hint="default"/>
        <w:color w:val="C00000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1C94F01"/>
    <w:multiLevelType w:val="hybridMultilevel"/>
    <w:tmpl w:val="88049C28"/>
    <w:lvl w:ilvl="0" w:tplc="9016137C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C2548A58">
      <w:start w:val="2"/>
      <w:numFmt w:val="bullet"/>
      <w:lvlText w:val="•"/>
      <w:lvlJc w:val="left"/>
      <w:pPr>
        <w:ind w:left="4488" w:hanging="1704"/>
      </w:pPr>
      <w:rPr>
        <w:rFonts w:ascii="Calibri" w:eastAsia="Times New Roman" w:hAnsi="Calibri" w:cs="Calibri" w:hint="default"/>
      </w:rPr>
    </w:lvl>
    <w:lvl w:ilvl="2" w:tplc="F59C0A7C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91BE95B6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EA5689EE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E4E00314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64A0BF34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B6206480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F1560824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>
    <w:nsid w:val="29DC1F97"/>
    <w:multiLevelType w:val="hybridMultilevel"/>
    <w:tmpl w:val="AE06A450"/>
    <w:lvl w:ilvl="0" w:tplc="3BFA74DA">
      <w:start w:val="1"/>
      <w:numFmt w:val="bullet"/>
      <w:pStyle w:val="Style1"/>
      <w:lvlText w:val="→"/>
      <w:lvlJc w:val="left"/>
      <w:pPr>
        <w:ind w:left="1287" w:hanging="360"/>
      </w:pPr>
      <w:rPr>
        <w:rFonts w:ascii="Calibri" w:hAnsi="Calibri" w:hint="default"/>
        <w:color w:val="943634" w:themeColor="accent2" w:themeShade="BF"/>
      </w:r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7E4A87"/>
    <w:multiLevelType w:val="hybridMultilevel"/>
    <w:tmpl w:val="6304F194"/>
    <w:lvl w:ilvl="0" w:tplc="44528E5C">
      <w:start w:val="1"/>
      <w:numFmt w:val="bullet"/>
      <w:pStyle w:val="List2"/>
      <w:lvlText w:val=""/>
      <w:lvlJc w:val="left"/>
      <w:pPr>
        <w:ind w:left="928" w:hanging="360"/>
      </w:pPr>
      <w:rPr>
        <w:rFonts w:ascii="Symbol" w:hAnsi="Symbol" w:hint="default"/>
        <w:color w:val="C00000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B200A13"/>
    <w:multiLevelType w:val="hybridMultilevel"/>
    <w:tmpl w:val="5A6A2044"/>
    <w:lvl w:ilvl="0" w:tplc="AB50B0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88D13CA"/>
    <w:multiLevelType w:val="hybridMultilevel"/>
    <w:tmpl w:val="0F3CE866"/>
    <w:lvl w:ilvl="0" w:tplc="2EE80950">
      <w:start w:val="1"/>
      <w:numFmt w:val="decimal"/>
      <w:pStyle w:val="Style3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EC5CC7"/>
    <w:multiLevelType w:val="hybridMultilevel"/>
    <w:tmpl w:val="98C06B3A"/>
    <w:lvl w:ilvl="0" w:tplc="FC10BB42">
      <w:start w:val="1"/>
      <w:numFmt w:val="bullet"/>
      <w:pStyle w:val="ListParagraph2"/>
      <w:lvlText w:val=""/>
      <w:lvlJc w:val="left"/>
      <w:pPr>
        <w:ind w:left="1854" w:hanging="360"/>
      </w:pPr>
      <w:rPr>
        <w:rFonts w:ascii="Wingdings 2" w:hAnsi="Wingdings 2" w:hint="default"/>
        <w:color w:val="1E507D"/>
      </w:rPr>
    </w:lvl>
    <w:lvl w:ilvl="1" w:tplc="02FE2C68">
      <w:start w:val="1"/>
      <w:numFmt w:val="bullet"/>
      <w:lvlText w:val=""/>
      <w:lvlJc w:val="left"/>
      <w:pPr>
        <w:ind w:left="1440" w:hanging="360"/>
      </w:pPr>
      <w:rPr>
        <w:rFonts w:ascii="Wingdings 2" w:hAnsi="Wingdings 2" w:hint="default"/>
        <w:color w:val="1E507D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B2029"/>
    <w:multiLevelType w:val="multilevel"/>
    <w:tmpl w:val="B840042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>
    <w:nsid w:val="678F356F"/>
    <w:multiLevelType w:val="hybridMultilevel"/>
    <w:tmpl w:val="38B026F6"/>
    <w:lvl w:ilvl="0" w:tplc="034CF24E">
      <w:start w:val="1"/>
      <w:numFmt w:val="bullet"/>
      <w:lvlText w:val="→"/>
      <w:lvlJc w:val="left"/>
      <w:pPr>
        <w:ind w:left="1287" w:hanging="360"/>
      </w:pPr>
      <w:rPr>
        <w:rFonts w:ascii="Calibri" w:hAnsi="Calibri" w:hint="default"/>
        <w:color w:val="4BACC6" w:themeColor="accent5"/>
      </w:rPr>
    </w:lvl>
    <w:lvl w:ilvl="1" w:tplc="04090005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9B4692E"/>
    <w:multiLevelType w:val="hybridMultilevel"/>
    <w:tmpl w:val="81F289A0"/>
    <w:lvl w:ilvl="0" w:tplc="303AA6CA">
      <w:start w:val="1"/>
      <w:numFmt w:val="bullet"/>
      <w:lvlText w:val=""/>
      <w:lvlJc w:val="left"/>
      <w:pPr>
        <w:ind w:left="2574" w:hanging="360"/>
      </w:pPr>
      <w:rPr>
        <w:rFonts w:ascii="Symbol" w:hAnsi="Symbol" w:hint="default"/>
        <w:color w:val="1E507D"/>
      </w:rPr>
    </w:lvl>
    <w:lvl w:ilvl="1" w:tplc="040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72FB5CC8"/>
    <w:multiLevelType w:val="hybridMultilevel"/>
    <w:tmpl w:val="5194EFB0"/>
    <w:lvl w:ilvl="0" w:tplc="6A3CE0D6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C3FC44E8">
      <w:start w:val="1"/>
      <w:numFmt w:val="bullet"/>
      <w:lvlText w:val=""/>
      <w:lvlJc w:val="left"/>
      <w:pPr>
        <w:ind w:left="24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5"/>
    <w:rsid w:val="00001A8E"/>
    <w:rsid w:val="00002150"/>
    <w:rsid w:val="00003206"/>
    <w:rsid w:val="00004CB3"/>
    <w:rsid w:val="0000693C"/>
    <w:rsid w:val="000102CE"/>
    <w:rsid w:val="00010E29"/>
    <w:rsid w:val="0001389D"/>
    <w:rsid w:val="00013AED"/>
    <w:rsid w:val="000141BC"/>
    <w:rsid w:val="00017360"/>
    <w:rsid w:val="00017D30"/>
    <w:rsid w:val="000205C3"/>
    <w:rsid w:val="0002323D"/>
    <w:rsid w:val="000240CE"/>
    <w:rsid w:val="00025FD4"/>
    <w:rsid w:val="00027FE1"/>
    <w:rsid w:val="0003191B"/>
    <w:rsid w:val="0003235C"/>
    <w:rsid w:val="000323A5"/>
    <w:rsid w:val="00032AF5"/>
    <w:rsid w:val="00035185"/>
    <w:rsid w:val="00036584"/>
    <w:rsid w:val="0004035D"/>
    <w:rsid w:val="00040C8E"/>
    <w:rsid w:val="00041F38"/>
    <w:rsid w:val="00041F97"/>
    <w:rsid w:val="00042CBF"/>
    <w:rsid w:val="000450E1"/>
    <w:rsid w:val="00050E26"/>
    <w:rsid w:val="0005143C"/>
    <w:rsid w:val="00052DEA"/>
    <w:rsid w:val="000548A9"/>
    <w:rsid w:val="00054994"/>
    <w:rsid w:val="00055AC7"/>
    <w:rsid w:val="0005680C"/>
    <w:rsid w:val="00057C5D"/>
    <w:rsid w:val="0006049E"/>
    <w:rsid w:val="000634D3"/>
    <w:rsid w:val="00064611"/>
    <w:rsid w:val="00065AA8"/>
    <w:rsid w:val="0007116D"/>
    <w:rsid w:val="000776DB"/>
    <w:rsid w:val="000816CA"/>
    <w:rsid w:val="0008382C"/>
    <w:rsid w:val="00083FE7"/>
    <w:rsid w:val="0008587E"/>
    <w:rsid w:val="00085FC9"/>
    <w:rsid w:val="000860A5"/>
    <w:rsid w:val="00086398"/>
    <w:rsid w:val="000872DB"/>
    <w:rsid w:val="000877CE"/>
    <w:rsid w:val="00087946"/>
    <w:rsid w:val="00093523"/>
    <w:rsid w:val="00097DA4"/>
    <w:rsid w:val="000A1098"/>
    <w:rsid w:val="000A12D1"/>
    <w:rsid w:val="000A44C4"/>
    <w:rsid w:val="000A53B4"/>
    <w:rsid w:val="000A5A38"/>
    <w:rsid w:val="000A5FF8"/>
    <w:rsid w:val="000A6C67"/>
    <w:rsid w:val="000A7B83"/>
    <w:rsid w:val="000B2257"/>
    <w:rsid w:val="000B2C04"/>
    <w:rsid w:val="000B303A"/>
    <w:rsid w:val="000B5C7B"/>
    <w:rsid w:val="000B6081"/>
    <w:rsid w:val="000B77ED"/>
    <w:rsid w:val="000B7992"/>
    <w:rsid w:val="000C0F54"/>
    <w:rsid w:val="000C1C50"/>
    <w:rsid w:val="000C37DB"/>
    <w:rsid w:val="000C4380"/>
    <w:rsid w:val="000D10FB"/>
    <w:rsid w:val="000D2B6A"/>
    <w:rsid w:val="000D4927"/>
    <w:rsid w:val="000E283E"/>
    <w:rsid w:val="000E42A4"/>
    <w:rsid w:val="000E4A88"/>
    <w:rsid w:val="000E6DE1"/>
    <w:rsid w:val="000E75FA"/>
    <w:rsid w:val="000F072D"/>
    <w:rsid w:val="000F191A"/>
    <w:rsid w:val="000F2C07"/>
    <w:rsid w:val="000F4694"/>
    <w:rsid w:val="00101C6E"/>
    <w:rsid w:val="00102DDE"/>
    <w:rsid w:val="00103015"/>
    <w:rsid w:val="00103493"/>
    <w:rsid w:val="00103ADD"/>
    <w:rsid w:val="00107499"/>
    <w:rsid w:val="001076DD"/>
    <w:rsid w:val="0011057C"/>
    <w:rsid w:val="0011265C"/>
    <w:rsid w:val="00112FA2"/>
    <w:rsid w:val="00113A7F"/>
    <w:rsid w:val="00113C21"/>
    <w:rsid w:val="00113E51"/>
    <w:rsid w:val="00115350"/>
    <w:rsid w:val="00117B6B"/>
    <w:rsid w:val="00122C72"/>
    <w:rsid w:val="0012433D"/>
    <w:rsid w:val="00125BBD"/>
    <w:rsid w:val="00126B37"/>
    <w:rsid w:val="001276DA"/>
    <w:rsid w:val="00127FAC"/>
    <w:rsid w:val="00132EF3"/>
    <w:rsid w:val="00136637"/>
    <w:rsid w:val="00140927"/>
    <w:rsid w:val="001427C5"/>
    <w:rsid w:val="00142F4B"/>
    <w:rsid w:val="00143338"/>
    <w:rsid w:val="001442A3"/>
    <w:rsid w:val="00147F48"/>
    <w:rsid w:val="00150732"/>
    <w:rsid w:val="00150EA5"/>
    <w:rsid w:val="00151A9A"/>
    <w:rsid w:val="001536F3"/>
    <w:rsid w:val="001559CD"/>
    <w:rsid w:val="00156759"/>
    <w:rsid w:val="00157FDD"/>
    <w:rsid w:val="00160D7B"/>
    <w:rsid w:val="0016133F"/>
    <w:rsid w:val="00163822"/>
    <w:rsid w:val="00163DB3"/>
    <w:rsid w:val="001670C8"/>
    <w:rsid w:val="00167579"/>
    <w:rsid w:val="00173002"/>
    <w:rsid w:val="0018167C"/>
    <w:rsid w:val="001817D9"/>
    <w:rsid w:val="00181932"/>
    <w:rsid w:val="001823FA"/>
    <w:rsid w:val="00185429"/>
    <w:rsid w:val="00186734"/>
    <w:rsid w:val="00187B3F"/>
    <w:rsid w:val="0019375C"/>
    <w:rsid w:val="001954B8"/>
    <w:rsid w:val="00195A68"/>
    <w:rsid w:val="00195EE1"/>
    <w:rsid w:val="00196033"/>
    <w:rsid w:val="001A06DA"/>
    <w:rsid w:val="001A0D01"/>
    <w:rsid w:val="001A198A"/>
    <w:rsid w:val="001A1A4F"/>
    <w:rsid w:val="001A1A9F"/>
    <w:rsid w:val="001A4CCA"/>
    <w:rsid w:val="001A5E3F"/>
    <w:rsid w:val="001A664D"/>
    <w:rsid w:val="001B00EF"/>
    <w:rsid w:val="001B0ACF"/>
    <w:rsid w:val="001C0EB7"/>
    <w:rsid w:val="001C51FE"/>
    <w:rsid w:val="001C73F5"/>
    <w:rsid w:val="001D0011"/>
    <w:rsid w:val="001D1A5D"/>
    <w:rsid w:val="001D1D32"/>
    <w:rsid w:val="001D1FAA"/>
    <w:rsid w:val="001D26B0"/>
    <w:rsid w:val="001D2973"/>
    <w:rsid w:val="001D4EC3"/>
    <w:rsid w:val="001E0D46"/>
    <w:rsid w:val="001E0E98"/>
    <w:rsid w:val="001E3D75"/>
    <w:rsid w:val="001E5192"/>
    <w:rsid w:val="001E6775"/>
    <w:rsid w:val="001F213F"/>
    <w:rsid w:val="001F33E5"/>
    <w:rsid w:val="001F6896"/>
    <w:rsid w:val="001F7779"/>
    <w:rsid w:val="001F7BC0"/>
    <w:rsid w:val="00203E15"/>
    <w:rsid w:val="00210062"/>
    <w:rsid w:val="0021534A"/>
    <w:rsid w:val="00216FBA"/>
    <w:rsid w:val="00221963"/>
    <w:rsid w:val="002227B9"/>
    <w:rsid w:val="00223925"/>
    <w:rsid w:val="002360B6"/>
    <w:rsid w:val="002477C1"/>
    <w:rsid w:val="00247FF2"/>
    <w:rsid w:val="002501EB"/>
    <w:rsid w:val="00250464"/>
    <w:rsid w:val="0025229C"/>
    <w:rsid w:val="002536B3"/>
    <w:rsid w:val="00255E0E"/>
    <w:rsid w:val="002566BB"/>
    <w:rsid w:val="00264810"/>
    <w:rsid w:val="00267129"/>
    <w:rsid w:val="00270C82"/>
    <w:rsid w:val="00274020"/>
    <w:rsid w:val="00274106"/>
    <w:rsid w:val="0028165B"/>
    <w:rsid w:val="0028321F"/>
    <w:rsid w:val="00286850"/>
    <w:rsid w:val="00286CFC"/>
    <w:rsid w:val="00287413"/>
    <w:rsid w:val="00293060"/>
    <w:rsid w:val="0029310E"/>
    <w:rsid w:val="00293DD4"/>
    <w:rsid w:val="00295641"/>
    <w:rsid w:val="002974C5"/>
    <w:rsid w:val="00297AA1"/>
    <w:rsid w:val="00297BB4"/>
    <w:rsid w:val="002A2D25"/>
    <w:rsid w:val="002A5532"/>
    <w:rsid w:val="002A605B"/>
    <w:rsid w:val="002B32B7"/>
    <w:rsid w:val="002B3EA2"/>
    <w:rsid w:val="002B3F89"/>
    <w:rsid w:val="002C3AEF"/>
    <w:rsid w:val="002C4635"/>
    <w:rsid w:val="002C5FFC"/>
    <w:rsid w:val="002C79F3"/>
    <w:rsid w:val="002D25FE"/>
    <w:rsid w:val="002D37D5"/>
    <w:rsid w:val="002D651B"/>
    <w:rsid w:val="002D69B2"/>
    <w:rsid w:val="002E30F2"/>
    <w:rsid w:val="002E35AB"/>
    <w:rsid w:val="002E510B"/>
    <w:rsid w:val="002E65CF"/>
    <w:rsid w:val="002F08F3"/>
    <w:rsid w:val="002F32D8"/>
    <w:rsid w:val="003012BE"/>
    <w:rsid w:val="00302397"/>
    <w:rsid w:val="00302E37"/>
    <w:rsid w:val="003034EB"/>
    <w:rsid w:val="003050DD"/>
    <w:rsid w:val="00305C9E"/>
    <w:rsid w:val="00306BB4"/>
    <w:rsid w:val="00310A4B"/>
    <w:rsid w:val="00313AB5"/>
    <w:rsid w:val="00314CFE"/>
    <w:rsid w:val="00316B6B"/>
    <w:rsid w:val="00323D23"/>
    <w:rsid w:val="00324B3E"/>
    <w:rsid w:val="00327663"/>
    <w:rsid w:val="00327827"/>
    <w:rsid w:val="00330925"/>
    <w:rsid w:val="00330D8C"/>
    <w:rsid w:val="003328A2"/>
    <w:rsid w:val="00332A91"/>
    <w:rsid w:val="0033435C"/>
    <w:rsid w:val="003362ED"/>
    <w:rsid w:val="0034005C"/>
    <w:rsid w:val="00341052"/>
    <w:rsid w:val="003418E8"/>
    <w:rsid w:val="00342968"/>
    <w:rsid w:val="00343DC8"/>
    <w:rsid w:val="0034474E"/>
    <w:rsid w:val="003449AF"/>
    <w:rsid w:val="00345772"/>
    <w:rsid w:val="00345F78"/>
    <w:rsid w:val="00346D2D"/>
    <w:rsid w:val="0035069F"/>
    <w:rsid w:val="00350F69"/>
    <w:rsid w:val="003519AF"/>
    <w:rsid w:val="0035299F"/>
    <w:rsid w:val="00354972"/>
    <w:rsid w:val="0035595D"/>
    <w:rsid w:val="00357B5E"/>
    <w:rsid w:val="003618D1"/>
    <w:rsid w:val="00361FCF"/>
    <w:rsid w:val="003642CA"/>
    <w:rsid w:val="00364399"/>
    <w:rsid w:val="0036565D"/>
    <w:rsid w:val="00365A95"/>
    <w:rsid w:val="00371184"/>
    <w:rsid w:val="00372D9F"/>
    <w:rsid w:val="00375214"/>
    <w:rsid w:val="00380BA7"/>
    <w:rsid w:val="00381064"/>
    <w:rsid w:val="00382CE6"/>
    <w:rsid w:val="00384C55"/>
    <w:rsid w:val="00387175"/>
    <w:rsid w:val="00390410"/>
    <w:rsid w:val="00393F54"/>
    <w:rsid w:val="00394E5E"/>
    <w:rsid w:val="00396448"/>
    <w:rsid w:val="00396545"/>
    <w:rsid w:val="003A22D2"/>
    <w:rsid w:val="003A2370"/>
    <w:rsid w:val="003A5A35"/>
    <w:rsid w:val="003A7B43"/>
    <w:rsid w:val="003B0146"/>
    <w:rsid w:val="003B0531"/>
    <w:rsid w:val="003B08FE"/>
    <w:rsid w:val="003B1D6F"/>
    <w:rsid w:val="003B1F94"/>
    <w:rsid w:val="003B30D8"/>
    <w:rsid w:val="003B459A"/>
    <w:rsid w:val="003B4A1A"/>
    <w:rsid w:val="003B5200"/>
    <w:rsid w:val="003B5D32"/>
    <w:rsid w:val="003B61F6"/>
    <w:rsid w:val="003B7B3C"/>
    <w:rsid w:val="003C083A"/>
    <w:rsid w:val="003C091F"/>
    <w:rsid w:val="003C136A"/>
    <w:rsid w:val="003C1393"/>
    <w:rsid w:val="003C1E3A"/>
    <w:rsid w:val="003C6362"/>
    <w:rsid w:val="003D0A39"/>
    <w:rsid w:val="003D1CDE"/>
    <w:rsid w:val="003D2AD1"/>
    <w:rsid w:val="003D4248"/>
    <w:rsid w:val="003D59F3"/>
    <w:rsid w:val="003D7872"/>
    <w:rsid w:val="003E09EF"/>
    <w:rsid w:val="003E661D"/>
    <w:rsid w:val="003F14E2"/>
    <w:rsid w:val="003F2B7E"/>
    <w:rsid w:val="003F2F3D"/>
    <w:rsid w:val="003F5485"/>
    <w:rsid w:val="00402161"/>
    <w:rsid w:val="00402776"/>
    <w:rsid w:val="00410518"/>
    <w:rsid w:val="00411F70"/>
    <w:rsid w:val="00414179"/>
    <w:rsid w:val="00416C31"/>
    <w:rsid w:val="00416F1D"/>
    <w:rsid w:val="004173A7"/>
    <w:rsid w:val="00423572"/>
    <w:rsid w:val="00427DD4"/>
    <w:rsid w:val="00431B17"/>
    <w:rsid w:val="00432899"/>
    <w:rsid w:val="00432DD6"/>
    <w:rsid w:val="004377BE"/>
    <w:rsid w:val="0044325A"/>
    <w:rsid w:val="00444C69"/>
    <w:rsid w:val="004456C9"/>
    <w:rsid w:val="00445B06"/>
    <w:rsid w:val="00447ABA"/>
    <w:rsid w:val="004526CE"/>
    <w:rsid w:val="0045387A"/>
    <w:rsid w:val="00455088"/>
    <w:rsid w:val="00457CB0"/>
    <w:rsid w:val="00460A32"/>
    <w:rsid w:val="00461188"/>
    <w:rsid w:val="00462808"/>
    <w:rsid w:val="00463B23"/>
    <w:rsid w:val="0046434C"/>
    <w:rsid w:val="00466558"/>
    <w:rsid w:val="00466AEF"/>
    <w:rsid w:val="00466B16"/>
    <w:rsid w:val="00470BD9"/>
    <w:rsid w:val="00472743"/>
    <w:rsid w:val="00473E54"/>
    <w:rsid w:val="0047583C"/>
    <w:rsid w:val="00476195"/>
    <w:rsid w:val="00477641"/>
    <w:rsid w:val="004801C6"/>
    <w:rsid w:val="004802D7"/>
    <w:rsid w:val="00491F20"/>
    <w:rsid w:val="0049319F"/>
    <w:rsid w:val="004956A2"/>
    <w:rsid w:val="004A3033"/>
    <w:rsid w:val="004A32C1"/>
    <w:rsid w:val="004A368B"/>
    <w:rsid w:val="004A44FB"/>
    <w:rsid w:val="004B2136"/>
    <w:rsid w:val="004B5B7D"/>
    <w:rsid w:val="004B6439"/>
    <w:rsid w:val="004C4461"/>
    <w:rsid w:val="004C4F41"/>
    <w:rsid w:val="004C588E"/>
    <w:rsid w:val="004C6733"/>
    <w:rsid w:val="004D0B82"/>
    <w:rsid w:val="004D37B7"/>
    <w:rsid w:val="004D56B3"/>
    <w:rsid w:val="004D6079"/>
    <w:rsid w:val="004E08FB"/>
    <w:rsid w:val="004E1706"/>
    <w:rsid w:val="004E31D1"/>
    <w:rsid w:val="004E5F7E"/>
    <w:rsid w:val="004E716F"/>
    <w:rsid w:val="004F00C9"/>
    <w:rsid w:val="004F127F"/>
    <w:rsid w:val="004F1964"/>
    <w:rsid w:val="004F3404"/>
    <w:rsid w:val="004F41B9"/>
    <w:rsid w:val="004F55C5"/>
    <w:rsid w:val="004F78B8"/>
    <w:rsid w:val="00500A8F"/>
    <w:rsid w:val="005015D2"/>
    <w:rsid w:val="00501B21"/>
    <w:rsid w:val="005033AC"/>
    <w:rsid w:val="00503AA5"/>
    <w:rsid w:val="005045BD"/>
    <w:rsid w:val="005055B1"/>
    <w:rsid w:val="00511623"/>
    <w:rsid w:val="005145E5"/>
    <w:rsid w:val="00521574"/>
    <w:rsid w:val="00525E52"/>
    <w:rsid w:val="005268A4"/>
    <w:rsid w:val="005273F3"/>
    <w:rsid w:val="005339B2"/>
    <w:rsid w:val="005339D3"/>
    <w:rsid w:val="00535E31"/>
    <w:rsid w:val="00536094"/>
    <w:rsid w:val="005411F0"/>
    <w:rsid w:val="005435C8"/>
    <w:rsid w:val="0054391E"/>
    <w:rsid w:val="00546EE4"/>
    <w:rsid w:val="00546F8F"/>
    <w:rsid w:val="00547D5C"/>
    <w:rsid w:val="00553E3D"/>
    <w:rsid w:val="005549D7"/>
    <w:rsid w:val="00554BF5"/>
    <w:rsid w:val="00554E4B"/>
    <w:rsid w:val="005628C4"/>
    <w:rsid w:val="00562974"/>
    <w:rsid w:val="00563407"/>
    <w:rsid w:val="005647FE"/>
    <w:rsid w:val="0056550A"/>
    <w:rsid w:val="005657E9"/>
    <w:rsid w:val="005666E2"/>
    <w:rsid w:val="00566E20"/>
    <w:rsid w:val="00571F6C"/>
    <w:rsid w:val="005741D5"/>
    <w:rsid w:val="00580D9F"/>
    <w:rsid w:val="00581A25"/>
    <w:rsid w:val="00582908"/>
    <w:rsid w:val="00583E45"/>
    <w:rsid w:val="0058417B"/>
    <w:rsid w:val="0058509F"/>
    <w:rsid w:val="0058627B"/>
    <w:rsid w:val="00591159"/>
    <w:rsid w:val="00591E26"/>
    <w:rsid w:val="00592D83"/>
    <w:rsid w:val="0059300A"/>
    <w:rsid w:val="00593EB5"/>
    <w:rsid w:val="00594A28"/>
    <w:rsid w:val="00595956"/>
    <w:rsid w:val="005963F3"/>
    <w:rsid w:val="005A25AD"/>
    <w:rsid w:val="005A2666"/>
    <w:rsid w:val="005A32E1"/>
    <w:rsid w:val="005A51C2"/>
    <w:rsid w:val="005A6D51"/>
    <w:rsid w:val="005A74B0"/>
    <w:rsid w:val="005A76B5"/>
    <w:rsid w:val="005B086A"/>
    <w:rsid w:val="005B0A21"/>
    <w:rsid w:val="005B1EC0"/>
    <w:rsid w:val="005B2466"/>
    <w:rsid w:val="005B37C9"/>
    <w:rsid w:val="005B5343"/>
    <w:rsid w:val="005B6B5E"/>
    <w:rsid w:val="005B732B"/>
    <w:rsid w:val="005B7D05"/>
    <w:rsid w:val="005D1684"/>
    <w:rsid w:val="005D18B5"/>
    <w:rsid w:val="005D2353"/>
    <w:rsid w:val="005D3BAB"/>
    <w:rsid w:val="005D491C"/>
    <w:rsid w:val="005D5274"/>
    <w:rsid w:val="005D5745"/>
    <w:rsid w:val="005D590E"/>
    <w:rsid w:val="005D5D35"/>
    <w:rsid w:val="005D73D7"/>
    <w:rsid w:val="005D7CAD"/>
    <w:rsid w:val="005E0806"/>
    <w:rsid w:val="005E0CEE"/>
    <w:rsid w:val="005E50CB"/>
    <w:rsid w:val="005E55B3"/>
    <w:rsid w:val="005E562F"/>
    <w:rsid w:val="005F2534"/>
    <w:rsid w:val="005F447D"/>
    <w:rsid w:val="005F50FB"/>
    <w:rsid w:val="005F7ABD"/>
    <w:rsid w:val="00600826"/>
    <w:rsid w:val="006040A7"/>
    <w:rsid w:val="0061026D"/>
    <w:rsid w:val="00611698"/>
    <w:rsid w:val="00612B19"/>
    <w:rsid w:val="00614EF5"/>
    <w:rsid w:val="00616B26"/>
    <w:rsid w:val="00616F18"/>
    <w:rsid w:val="00623E77"/>
    <w:rsid w:val="00623F25"/>
    <w:rsid w:val="00624F5E"/>
    <w:rsid w:val="00626A5D"/>
    <w:rsid w:val="00626C1B"/>
    <w:rsid w:val="00627664"/>
    <w:rsid w:val="00627E32"/>
    <w:rsid w:val="006320E6"/>
    <w:rsid w:val="006351CE"/>
    <w:rsid w:val="006412A3"/>
    <w:rsid w:val="00641F67"/>
    <w:rsid w:val="00642EC0"/>
    <w:rsid w:val="00646C72"/>
    <w:rsid w:val="006473C1"/>
    <w:rsid w:val="006506CB"/>
    <w:rsid w:val="00652565"/>
    <w:rsid w:val="00656812"/>
    <w:rsid w:val="00657424"/>
    <w:rsid w:val="00657484"/>
    <w:rsid w:val="00664103"/>
    <w:rsid w:val="00665164"/>
    <w:rsid w:val="00666780"/>
    <w:rsid w:val="00667DA5"/>
    <w:rsid w:val="006725F1"/>
    <w:rsid w:val="00672FB2"/>
    <w:rsid w:val="00673BBD"/>
    <w:rsid w:val="00674050"/>
    <w:rsid w:val="006757A2"/>
    <w:rsid w:val="006801D1"/>
    <w:rsid w:val="00684D9D"/>
    <w:rsid w:val="00684EB1"/>
    <w:rsid w:val="0068549B"/>
    <w:rsid w:val="00685B90"/>
    <w:rsid w:val="0068680B"/>
    <w:rsid w:val="00686FB2"/>
    <w:rsid w:val="0069089C"/>
    <w:rsid w:val="0069382E"/>
    <w:rsid w:val="0069489B"/>
    <w:rsid w:val="00694F9B"/>
    <w:rsid w:val="0069661C"/>
    <w:rsid w:val="006A018D"/>
    <w:rsid w:val="006A0D8A"/>
    <w:rsid w:val="006A1FB7"/>
    <w:rsid w:val="006A2DF0"/>
    <w:rsid w:val="006A4BF8"/>
    <w:rsid w:val="006A7AC1"/>
    <w:rsid w:val="006B1522"/>
    <w:rsid w:val="006B4064"/>
    <w:rsid w:val="006C0958"/>
    <w:rsid w:val="006C09F9"/>
    <w:rsid w:val="006C1068"/>
    <w:rsid w:val="006C29E7"/>
    <w:rsid w:val="006C3E8F"/>
    <w:rsid w:val="006C5EB8"/>
    <w:rsid w:val="006D09ED"/>
    <w:rsid w:val="006D25D1"/>
    <w:rsid w:val="006D2CAB"/>
    <w:rsid w:val="006D3F79"/>
    <w:rsid w:val="006D4751"/>
    <w:rsid w:val="006D6E64"/>
    <w:rsid w:val="006D798A"/>
    <w:rsid w:val="006E0F91"/>
    <w:rsid w:val="006E1437"/>
    <w:rsid w:val="006E3F93"/>
    <w:rsid w:val="006E5C86"/>
    <w:rsid w:val="006E71E7"/>
    <w:rsid w:val="006E7997"/>
    <w:rsid w:val="006F089B"/>
    <w:rsid w:val="006F40D3"/>
    <w:rsid w:val="006F4346"/>
    <w:rsid w:val="006F5AD0"/>
    <w:rsid w:val="00702588"/>
    <w:rsid w:val="007056D3"/>
    <w:rsid w:val="00723FAC"/>
    <w:rsid w:val="007240B7"/>
    <w:rsid w:val="00724DE5"/>
    <w:rsid w:val="00725156"/>
    <w:rsid w:val="0072623B"/>
    <w:rsid w:val="007274F6"/>
    <w:rsid w:val="007276B4"/>
    <w:rsid w:val="00727CD8"/>
    <w:rsid w:val="007341A3"/>
    <w:rsid w:val="00735110"/>
    <w:rsid w:val="007369BC"/>
    <w:rsid w:val="007379F5"/>
    <w:rsid w:val="007404A9"/>
    <w:rsid w:val="00740999"/>
    <w:rsid w:val="0074160A"/>
    <w:rsid w:val="00741645"/>
    <w:rsid w:val="00742B1E"/>
    <w:rsid w:val="00743570"/>
    <w:rsid w:val="00744DC9"/>
    <w:rsid w:val="00746FE3"/>
    <w:rsid w:val="0074779A"/>
    <w:rsid w:val="00747B4F"/>
    <w:rsid w:val="00750E6F"/>
    <w:rsid w:val="00751035"/>
    <w:rsid w:val="007513F0"/>
    <w:rsid w:val="007517A9"/>
    <w:rsid w:val="00752D75"/>
    <w:rsid w:val="00752F8D"/>
    <w:rsid w:val="00757641"/>
    <w:rsid w:val="00763E53"/>
    <w:rsid w:val="00765E7F"/>
    <w:rsid w:val="007662DF"/>
    <w:rsid w:val="0077002C"/>
    <w:rsid w:val="00771E0A"/>
    <w:rsid w:val="007760FE"/>
    <w:rsid w:val="0077663D"/>
    <w:rsid w:val="00783C15"/>
    <w:rsid w:val="00786638"/>
    <w:rsid w:val="00786F89"/>
    <w:rsid w:val="007904CE"/>
    <w:rsid w:val="00790D19"/>
    <w:rsid w:val="00792D14"/>
    <w:rsid w:val="00793796"/>
    <w:rsid w:val="00793A6C"/>
    <w:rsid w:val="00796D2A"/>
    <w:rsid w:val="007A0C09"/>
    <w:rsid w:val="007A2071"/>
    <w:rsid w:val="007A2FB3"/>
    <w:rsid w:val="007A32A5"/>
    <w:rsid w:val="007A3662"/>
    <w:rsid w:val="007A4E10"/>
    <w:rsid w:val="007A64EA"/>
    <w:rsid w:val="007A7C36"/>
    <w:rsid w:val="007A7EA3"/>
    <w:rsid w:val="007B11B6"/>
    <w:rsid w:val="007B2471"/>
    <w:rsid w:val="007B272E"/>
    <w:rsid w:val="007B3F8C"/>
    <w:rsid w:val="007B4640"/>
    <w:rsid w:val="007B4EB2"/>
    <w:rsid w:val="007C022D"/>
    <w:rsid w:val="007C0CD9"/>
    <w:rsid w:val="007C4BA2"/>
    <w:rsid w:val="007C5978"/>
    <w:rsid w:val="007C7E01"/>
    <w:rsid w:val="007D0CA0"/>
    <w:rsid w:val="007D3BCA"/>
    <w:rsid w:val="007D3E96"/>
    <w:rsid w:val="007D432F"/>
    <w:rsid w:val="007D465C"/>
    <w:rsid w:val="007D52A7"/>
    <w:rsid w:val="007D7C4C"/>
    <w:rsid w:val="007E2DC7"/>
    <w:rsid w:val="007E4E4C"/>
    <w:rsid w:val="007E6B11"/>
    <w:rsid w:val="007F08A2"/>
    <w:rsid w:val="007F0DC6"/>
    <w:rsid w:val="007F3952"/>
    <w:rsid w:val="007F6001"/>
    <w:rsid w:val="00800F0F"/>
    <w:rsid w:val="0080272E"/>
    <w:rsid w:val="008028EF"/>
    <w:rsid w:val="00804E17"/>
    <w:rsid w:val="0080542B"/>
    <w:rsid w:val="00810ED6"/>
    <w:rsid w:val="00812EF1"/>
    <w:rsid w:val="00814271"/>
    <w:rsid w:val="0081733A"/>
    <w:rsid w:val="0081778A"/>
    <w:rsid w:val="00820565"/>
    <w:rsid w:val="0082469E"/>
    <w:rsid w:val="00827894"/>
    <w:rsid w:val="00830DAB"/>
    <w:rsid w:val="0083334D"/>
    <w:rsid w:val="00835ED3"/>
    <w:rsid w:val="00836490"/>
    <w:rsid w:val="00840385"/>
    <w:rsid w:val="00842030"/>
    <w:rsid w:val="00843561"/>
    <w:rsid w:val="00843D75"/>
    <w:rsid w:val="0084443C"/>
    <w:rsid w:val="00844B7E"/>
    <w:rsid w:val="0084504C"/>
    <w:rsid w:val="00855278"/>
    <w:rsid w:val="00856617"/>
    <w:rsid w:val="0086040F"/>
    <w:rsid w:val="00860517"/>
    <w:rsid w:val="008605CB"/>
    <w:rsid w:val="0086142D"/>
    <w:rsid w:val="0086246D"/>
    <w:rsid w:val="00862A4E"/>
    <w:rsid w:val="0086345D"/>
    <w:rsid w:val="00863991"/>
    <w:rsid w:val="0086438C"/>
    <w:rsid w:val="00864434"/>
    <w:rsid w:val="008664F0"/>
    <w:rsid w:val="00867E56"/>
    <w:rsid w:val="008707AB"/>
    <w:rsid w:val="008724F5"/>
    <w:rsid w:val="008745C8"/>
    <w:rsid w:val="00874D35"/>
    <w:rsid w:val="00876CB7"/>
    <w:rsid w:val="00877FF0"/>
    <w:rsid w:val="00882D10"/>
    <w:rsid w:val="00883D14"/>
    <w:rsid w:val="00884BCC"/>
    <w:rsid w:val="00890C0F"/>
    <w:rsid w:val="00893C56"/>
    <w:rsid w:val="008944A6"/>
    <w:rsid w:val="0089757E"/>
    <w:rsid w:val="008A1A33"/>
    <w:rsid w:val="008A4919"/>
    <w:rsid w:val="008A55DB"/>
    <w:rsid w:val="008B2922"/>
    <w:rsid w:val="008B2A62"/>
    <w:rsid w:val="008B46CD"/>
    <w:rsid w:val="008B4C5D"/>
    <w:rsid w:val="008B6203"/>
    <w:rsid w:val="008C14EE"/>
    <w:rsid w:val="008C301D"/>
    <w:rsid w:val="008C35C0"/>
    <w:rsid w:val="008C42B2"/>
    <w:rsid w:val="008C76AA"/>
    <w:rsid w:val="008C7702"/>
    <w:rsid w:val="008D2E9F"/>
    <w:rsid w:val="008D3143"/>
    <w:rsid w:val="008D348B"/>
    <w:rsid w:val="008D4DFF"/>
    <w:rsid w:val="008D5FC1"/>
    <w:rsid w:val="008D70E0"/>
    <w:rsid w:val="008E0359"/>
    <w:rsid w:val="008E6A6A"/>
    <w:rsid w:val="008F1371"/>
    <w:rsid w:val="008F38A7"/>
    <w:rsid w:val="008F50C3"/>
    <w:rsid w:val="008F5E36"/>
    <w:rsid w:val="008F618A"/>
    <w:rsid w:val="008F713F"/>
    <w:rsid w:val="008F71ED"/>
    <w:rsid w:val="00901B41"/>
    <w:rsid w:val="00904CB5"/>
    <w:rsid w:val="0091179A"/>
    <w:rsid w:val="00912EB4"/>
    <w:rsid w:val="009135F1"/>
    <w:rsid w:val="009142C7"/>
    <w:rsid w:val="00915B86"/>
    <w:rsid w:val="00922EDB"/>
    <w:rsid w:val="00923291"/>
    <w:rsid w:val="00924F34"/>
    <w:rsid w:val="00925E8C"/>
    <w:rsid w:val="00925E92"/>
    <w:rsid w:val="00927F9A"/>
    <w:rsid w:val="0093556B"/>
    <w:rsid w:val="0093777B"/>
    <w:rsid w:val="00941DF8"/>
    <w:rsid w:val="00945265"/>
    <w:rsid w:val="0094566A"/>
    <w:rsid w:val="00945A51"/>
    <w:rsid w:val="009469BE"/>
    <w:rsid w:val="009517F3"/>
    <w:rsid w:val="00951E3C"/>
    <w:rsid w:val="00952014"/>
    <w:rsid w:val="009575F1"/>
    <w:rsid w:val="00957D98"/>
    <w:rsid w:val="00961882"/>
    <w:rsid w:val="009633E8"/>
    <w:rsid w:val="0096387C"/>
    <w:rsid w:val="009640B1"/>
    <w:rsid w:val="009649FD"/>
    <w:rsid w:val="009700DC"/>
    <w:rsid w:val="00972801"/>
    <w:rsid w:val="00972CD4"/>
    <w:rsid w:val="00975672"/>
    <w:rsid w:val="0098037E"/>
    <w:rsid w:val="0098062E"/>
    <w:rsid w:val="00983E9D"/>
    <w:rsid w:val="00984A11"/>
    <w:rsid w:val="00985E17"/>
    <w:rsid w:val="00986128"/>
    <w:rsid w:val="00990D6B"/>
    <w:rsid w:val="00991BA5"/>
    <w:rsid w:val="00992936"/>
    <w:rsid w:val="009967D5"/>
    <w:rsid w:val="009A1093"/>
    <w:rsid w:val="009A45B9"/>
    <w:rsid w:val="009A728C"/>
    <w:rsid w:val="009B3A87"/>
    <w:rsid w:val="009B45CE"/>
    <w:rsid w:val="009B4AD2"/>
    <w:rsid w:val="009B65BD"/>
    <w:rsid w:val="009B6ADD"/>
    <w:rsid w:val="009B7953"/>
    <w:rsid w:val="009B79D1"/>
    <w:rsid w:val="009B7F6F"/>
    <w:rsid w:val="009C0B0C"/>
    <w:rsid w:val="009C4AE7"/>
    <w:rsid w:val="009C52DC"/>
    <w:rsid w:val="009C653F"/>
    <w:rsid w:val="009C7668"/>
    <w:rsid w:val="009C7B52"/>
    <w:rsid w:val="009D0DEE"/>
    <w:rsid w:val="009D318B"/>
    <w:rsid w:val="009D3F21"/>
    <w:rsid w:val="009D6FA6"/>
    <w:rsid w:val="009E05B4"/>
    <w:rsid w:val="009E231E"/>
    <w:rsid w:val="009E5E44"/>
    <w:rsid w:val="009E5EF4"/>
    <w:rsid w:val="009E6030"/>
    <w:rsid w:val="009E63D1"/>
    <w:rsid w:val="009E6654"/>
    <w:rsid w:val="009E7414"/>
    <w:rsid w:val="009F0816"/>
    <w:rsid w:val="009F142A"/>
    <w:rsid w:val="009F2088"/>
    <w:rsid w:val="009F2C51"/>
    <w:rsid w:val="009F612C"/>
    <w:rsid w:val="009F6B09"/>
    <w:rsid w:val="00A0057F"/>
    <w:rsid w:val="00A01224"/>
    <w:rsid w:val="00A0609B"/>
    <w:rsid w:val="00A069EA"/>
    <w:rsid w:val="00A06AFF"/>
    <w:rsid w:val="00A102D9"/>
    <w:rsid w:val="00A110E5"/>
    <w:rsid w:val="00A114D8"/>
    <w:rsid w:val="00A11A42"/>
    <w:rsid w:val="00A12868"/>
    <w:rsid w:val="00A13B11"/>
    <w:rsid w:val="00A25A38"/>
    <w:rsid w:val="00A25CD0"/>
    <w:rsid w:val="00A267CF"/>
    <w:rsid w:val="00A300B4"/>
    <w:rsid w:val="00A304F7"/>
    <w:rsid w:val="00A31931"/>
    <w:rsid w:val="00A35234"/>
    <w:rsid w:val="00A36C5A"/>
    <w:rsid w:val="00A36F4A"/>
    <w:rsid w:val="00A428DA"/>
    <w:rsid w:val="00A44E88"/>
    <w:rsid w:val="00A51D9B"/>
    <w:rsid w:val="00A55C96"/>
    <w:rsid w:val="00A61240"/>
    <w:rsid w:val="00A6149D"/>
    <w:rsid w:val="00A62902"/>
    <w:rsid w:val="00A63686"/>
    <w:rsid w:val="00A64BBF"/>
    <w:rsid w:val="00A70567"/>
    <w:rsid w:val="00A70883"/>
    <w:rsid w:val="00A70E65"/>
    <w:rsid w:val="00A74E2C"/>
    <w:rsid w:val="00A761AD"/>
    <w:rsid w:val="00A76330"/>
    <w:rsid w:val="00A8307E"/>
    <w:rsid w:val="00A84BE0"/>
    <w:rsid w:val="00A85E02"/>
    <w:rsid w:val="00A9167D"/>
    <w:rsid w:val="00A91CAF"/>
    <w:rsid w:val="00A921CB"/>
    <w:rsid w:val="00A926C7"/>
    <w:rsid w:val="00A930DF"/>
    <w:rsid w:val="00A93BE8"/>
    <w:rsid w:val="00A940D1"/>
    <w:rsid w:val="00A959EA"/>
    <w:rsid w:val="00AA10FD"/>
    <w:rsid w:val="00AA3028"/>
    <w:rsid w:val="00AA3641"/>
    <w:rsid w:val="00AA4091"/>
    <w:rsid w:val="00AA73E6"/>
    <w:rsid w:val="00AA7937"/>
    <w:rsid w:val="00AB02CC"/>
    <w:rsid w:val="00AB1DE8"/>
    <w:rsid w:val="00AB2149"/>
    <w:rsid w:val="00AB226D"/>
    <w:rsid w:val="00AB4E9B"/>
    <w:rsid w:val="00AB6A71"/>
    <w:rsid w:val="00AB6FD9"/>
    <w:rsid w:val="00AC0919"/>
    <w:rsid w:val="00AC399A"/>
    <w:rsid w:val="00AC685A"/>
    <w:rsid w:val="00AC6ADF"/>
    <w:rsid w:val="00AD273D"/>
    <w:rsid w:val="00AD3023"/>
    <w:rsid w:val="00AD74CD"/>
    <w:rsid w:val="00AD7DE9"/>
    <w:rsid w:val="00AE054D"/>
    <w:rsid w:val="00AE1002"/>
    <w:rsid w:val="00AE153C"/>
    <w:rsid w:val="00AE2064"/>
    <w:rsid w:val="00AE2506"/>
    <w:rsid w:val="00AE3D7A"/>
    <w:rsid w:val="00AE53DB"/>
    <w:rsid w:val="00AE6B70"/>
    <w:rsid w:val="00AF3B07"/>
    <w:rsid w:val="00AF3B85"/>
    <w:rsid w:val="00AF3E2F"/>
    <w:rsid w:val="00AF3E5E"/>
    <w:rsid w:val="00AF6378"/>
    <w:rsid w:val="00B01A9F"/>
    <w:rsid w:val="00B0236B"/>
    <w:rsid w:val="00B02C63"/>
    <w:rsid w:val="00B1120D"/>
    <w:rsid w:val="00B137A1"/>
    <w:rsid w:val="00B139C3"/>
    <w:rsid w:val="00B13B41"/>
    <w:rsid w:val="00B152F7"/>
    <w:rsid w:val="00B15353"/>
    <w:rsid w:val="00B1571C"/>
    <w:rsid w:val="00B17847"/>
    <w:rsid w:val="00B2128A"/>
    <w:rsid w:val="00B213B0"/>
    <w:rsid w:val="00B22D97"/>
    <w:rsid w:val="00B237D9"/>
    <w:rsid w:val="00B25097"/>
    <w:rsid w:val="00B257BB"/>
    <w:rsid w:val="00B25AD5"/>
    <w:rsid w:val="00B262EF"/>
    <w:rsid w:val="00B26CF2"/>
    <w:rsid w:val="00B27837"/>
    <w:rsid w:val="00B30FB0"/>
    <w:rsid w:val="00B32E25"/>
    <w:rsid w:val="00B3478C"/>
    <w:rsid w:val="00B3553B"/>
    <w:rsid w:val="00B35761"/>
    <w:rsid w:val="00B36B45"/>
    <w:rsid w:val="00B3702D"/>
    <w:rsid w:val="00B40186"/>
    <w:rsid w:val="00B409C4"/>
    <w:rsid w:val="00B41984"/>
    <w:rsid w:val="00B44178"/>
    <w:rsid w:val="00B448A0"/>
    <w:rsid w:val="00B449A7"/>
    <w:rsid w:val="00B4697E"/>
    <w:rsid w:val="00B476C6"/>
    <w:rsid w:val="00B51EA2"/>
    <w:rsid w:val="00B52D83"/>
    <w:rsid w:val="00B62E99"/>
    <w:rsid w:val="00B62FF4"/>
    <w:rsid w:val="00B63264"/>
    <w:rsid w:val="00B6473B"/>
    <w:rsid w:val="00B667EE"/>
    <w:rsid w:val="00B6710A"/>
    <w:rsid w:val="00B709EE"/>
    <w:rsid w:val="00B713C7"/>
    <w:rsid w:val="00B71421"/>
    <w:rsid w:val="00B734A0"/>
    <w:rsid w:val="00B76360"/>
    <w:rsid w:val="00B763A1"/>
    <w:rsid w:val="00B7653E"/>
    <w:rsid w:val="00B828D8"/>
    <w:rsid w:val="00B82D90"/>
    <w:rsid w:val="00B84242"/>
    <w:rsid w:val="00B860C4"/>
    <w:rsid w:val="00B90855"/>
    <w:rsid w:val="00B9759D"/>
    <w:rsid w:val="00BA11F0"/>
    <w:rsid w:val="00BA3ACC"/>
    <w:rsid w:val="00BA52DC"/>
    <w:rsid w:val="00BA5E03"/>
    <w:rsid w:val="00BB3A2B"/>
    <w:rsid w:val="00BB3D93"/>
    <w:rsid w:val="00BB76B0"/>
    <w:rsid w:val="00BC138A"/>
    <w:rsid w:val="00BD1F19"/>
    <w:rsid w:val="00BD205F"/>
    <w:rsid w:val="00BD2A2E"/>
    <w:rsid w:val="00BD2ECB"/>
    <w:rsid w:val="00BD4937"/>
    <w:rsid w:val="00BD4FF2"/>
    <w:rsid w:val="00BD52A3"/>
    <w:rsid w:val="00BD6A82"/>
    <w:rsid w:val="00BD6C3E"/>
    <w:rsid w:val="00BD7E01"/>
    <w:rsid w:val="00BE057B"/>
    <w:rsid w:val="00BE1E17"/>
    <w:rsid w:val="00BE52C7"/>
    <w:rsid w:val="00BE564F"/>
    <w:rsid w:val="00BE6AF4"/>
    <w:rsid w:val="00BE7823"/>
    <w:rsid w:val="00BE7F2A"/>
    <w:rsid w:val="00BE7F71"/>
    <w:rsid w:val="00BF0C98"/>
    <w:rsid w:val="00BF381C"/>
    <w:rsid w:val="00BF3CF8"/>
    <w:rsid w:val="00BF4D25"/>
    <w:rsid w:val="00BF5013"/>
    <w:rsid w:val="00BF7E19"/>
    <w:rsid w:val="00C0592F"/>
    <w:rsid w:val="00C073EB"/>
    <w:rsid w:val="00C10708"/>
    <w:rsid w:val="00C108E9"/>
    <w:rsid w:val="00C1114C"/>
    <w:rsid w:val="00C12B63"/>
    <w:rsid w:val="00C147A2"/>
    <w:rsid w:val="00C14AFE"/>
    <w:rsid w:val="00C15E89"/>
    <w:rsid w:val="00C175BC"/>
    <w:rsid w:val="00C223F7"/>
    <w:rsid w:val="00C279B9"/>
    <w:rsid w:val="00C304FE"/>
    <w:rsid w:val="00C32461"/>
    <w:rsid w:val="00C33324"/>
    <w:rsid w:val="00C3492A"/>
    <w:rsid w:val="00C36C3C"/>
    <w:rsid w:val="00C372C1"/>
    <w:rsid w:val="00C37820"/>
    <w:rsid w:val="00C40DA7"/>
    <w:rsid w:val="00C433B4"/>
    <w:rsid w:val="00C43E24"/>
    <w:rsid w:val="00C46614"/>
    <w:rsid w:val="00C526D9"/>
    <w:rsid w:val="00C52CC3"/>
    <w:rsid w:val="00C53A14"/>
    <w:rsid w:val="00C53B95"/>
    <w:rsid w:val="00C555DC"/>
    <w:rsid w:val="00C56F40"/>
    <w:rsid w:val="00C6258E"/>
    <w:rsid w:val="00C63E1B"/>
    <w:rsid w:val="00C64DE2"/>
    <w:rsid w:val="00C6670F"/>
    <w:rsid w:val="00C74BCA"/>
    <w:rsid w:val="00C76408"/>
    <w:rsid w:val="00C76FD5"/>
    <w:rsid w:val="00C77DC4"/>
    <w:rsid w:val="00C809AE"/>
    <w:rsid w:val="00C812D5"/>
    <w:rsid w:val="00C816E5"/>
    <w:rsid w:val="00C83970"/>
    <w:rsid w:val="00C87081"/>
    <w:rsid w:val="00C9293D"/>
    <w:rsid w:val="00C94027"/>
    <w:rsid w:val="00CA358B"/>
    <w:rsid w:val="00CA6B75"/>
    <w:rsid w:val="00CB04B8"/>
    <w:rsid w:val="00CB5893"/>
    <w:rsid w:val="00CB7E01"/>
    <w:rsid w:val="00CC1624"/>
    <w:rsid w:val="00CC21F1"/>
    <w:rsid w:val="00CC331B"/>
    <w:rsid w:val="00CC3D4E"/>
    <w:rsid w:val="00CC4663"/>
    <w:rsid w:val="00CC5A09"/>
    <w:rsid w:val="00CD1857"/>
    <w:rsid w:val="00CD1E8D"/>
    <w:rsid w:val="00CD247C"/>
    <w:rsid w:val="00CD3CC3"/>
    <w:rsid w:val="00CD5D9D"/>
    <w:rsid w:val="00CD60EB"/>
    <w:rsid w:val="00CE39D5"/>
    <w:rsid w:val="00CE67F8"/>
    <w:rsid w:val="00CE7850"/>
    <w:rsid w:val="00CE79B9"/>
    <w:rsid w:val="00CF0053"/>
    <w:rsid w:val="00CF0841"/>
    <w:rsid w:val="00CF0F42"/>
    <w:rsid w:val="00CF1452"/>
    <w:rsid w:val="00CF3DBC"/>
    <w:rsid w:val="00CF5096"/>
    <w:rsid w:val="00CF6AB7"/>
    <w:rsid w:val="00CF78ED"/>
    <w:rsid w:val="00D06C44"/>
    <w:rsid w:val="00D078BC"/>
    <w:rsid w:val="00D10032"/>
    <w:rsid w:val="00D109B5"/>
    <w:rsid w:val="00D14511"/>
    <w:rsid w:val="00D15533"/>
    <w:rsid w:val="00D22159"/>
    <w:rsid w:val="00D224EB"/>
    <w:rsid w:val="00D26F19"/>
    <w:rsid w:val="00D274EB"/>
    <w:rsid w:val="00D30201"/>
    <w:rsid w:val="00D33CEC"/>
    <w:rsid w:val="00D357CE"/>
    <w:rsid w:val="00D41543"/>
    <w:rsid w:val="00D42C69"/>
    <w:rsid w:val="00D45310"/>
    <w:rsid w:val="00D4576E"/>
    <w:rsid w:val="00D47744"/>
    <w:rsid w:val="00D57E70"/>
    <w:rsid w:val="00D6527B"/>
    <w:rsid w:val="00D702F0"/>
    <w:rsid w:val="00D76403"/>
    <w:rsid w:val="00D80BF5"/>
    <w:rsid w:val="00D81792"/>
    <w:rsid w:val="00D820E6"/>
    <w:rsid w:val="00D832C5"/>
    <w:rsid w:val="00D86C7B"/>
    <w:rsid w:val="00D87CBC"/>
    <w:rsid w:val="00DA032A"/>
    <w:rsid w:val="00DA2622"/>
    <w:rsid w:val="00DA4A28"/>
    <w:rsid w:val="00DB0521"/>
    <w:rsid w:val="00DB2E06"/>
    <w:rsid w:val="00DB7578"/>
    <w:rsid w:val="00DC1A06"/>
    <w:rsid w:val="00DC30B8"/>
    <w:rsid w:val="00DC52A9"/>
    <w:rsid w:val="00DC5EF3"/>
    <w:rsid w:val="00DC5EFF"/>
    <w:rsid w:val="00DC676C"/>
    <w:rsid w:val="00DC6AB5"/>
    <w:rsid w:val="00DC7BCF"/>
    <w:rsid w:val="00DD04FB"/>
    <w:rsid w:val="00DD067B"/>
    <w:rsid w:val="00DD13D2"/>
    <w:rsid w:val="00DD3398"/>
    <w:rsid w:val="00DD3FA2"/>
    <w:rsid w:val="00DD4AC9"/>
    <w:rsid w:val="00DD6D5E"/>
    <w:rsid w:val="00DE1C31"/>
    <w:rsid w:val="00DE3EA5"/>
    <w:rsid w:val="00DE4159"/>
    <w:rsid w:val="00DE43C1"/>
    <w:rsid w:val="00DE4DD4"/>
    <w:rsid w:val="00DE569F"/>
    <w:rsid w:val="00DF457D"/>
    <w:rsid w:val="00DF4BD7"/>
    <w:rsid w:val="00E01013"/>
    <w:rsid w:val="00E018CA"/>
    <w:rsid w:val="00E03E73"/>
    <w:rsid w:val="00E051E4"/>
    <w:rsid w:val="00E119B1"/>
    <w:rsid w:val="00E11C19"/>
    <w:rsid w:val="00E131A9"/>
    <w:rsid w:val="00E13EE1"/>
    <w:rsid w:val="00E23BBB"/>
    <w:rsid w:val="00E25001"/>
    <w:rsid w:val="00E25508"/>
    <w:rsid w:val="00E26C77"/>
    <w:rsid w:val="00E305F0"/>
    <w:rsid w:val="00E3091F"/>
    <w:rsid w:val="00E313F3"/>
    <w:rsid w:val="00E36A7F"/>
    <w:rsid w:val="00E36DF8"/>
    <w:rsid w:val="00E4113C"/>
    <w:rsid w:val="00E42FB5"/>
    <w:rsid w:val="00E43A5C"/>
    <w:rsid w:val="00E51F5E"/>
    <w:rsid w:val="00E52948"/>
    <w:rsid w:val="00E52A0F"/>
    <w:rsid w:val="00E53138"/>
    <w:rsid w:val="00E53818"/>
    <w:rsid w:val="00E53C4F"/>
    <w:rsid w:val="00E56A71"/>
    <w:rsid w:val="00E56E09"/>
    <w:rsid w:val="00E56FEF"/>
    <w:rsid w:val="00E574D0"/>
    <w:rsid w:val="00E604F4"/>
    <w:rsid w:val="00E61BDB"/>
    <w:rsid w:val="00E63268"/>
    <w:rsid w:val="00E63FE2"/>
    <w:rsid w:val="00E64184"/>
    <w:rsid w:val="00E65BBA"/>
    <w:rsid w:val="00E7220D"/>
    <w:rsid w:val="00E74C63"/>
    <w:rsid w:val="00E75351"/>
    <w:rsid w:val="00E75DF0"/>
    <w:rsid w:val="00E8088A"/>
    <w:rsid w:val="00E80DDE"/>
    <w:rsid w:val="00E841E0"/>
    <w:rsid w:val="00E8551F"/>
    <w:rsid w:val="00E92375"/>
    <w:rsid w:val="00E9270C"/>
    <w:rsid w:val="00E96FF9"/>
    <w:rsid w:val="00EA14D5"/>
    <w:rsid w:val="00EA2201"/>
    <w:rsid w:val="00EA24D7"/>
    <w:rsid w:val="00EA287E"/>
    <w:rsid w:val="00EA39FA"/>
    <w:rsid w:val="00EA4A0D"/>
    <w:rsid w:val="00EA4FB6"/>
    <w:rsid w:val="00EA597E"/>
    <w:rsid w:val="00EA644A"/>
    <w:rsid w:val="00EA661D"/>
    <w:rsid w:val="00EB0A85"/>
    <w:rsid w:val="00EB2225"/>
    <w:rsid w:val="00EB3051"/>
    <w:rsid w:val="00EB477D"/>
    <w:rsid w:val="00EB7181"/>
    <w:rsid w:val="00EC2398"/>
    <w:rsid w:val="00EC2CE6"/>
    <w:rsid w:val="00ED15F3"/>
    <w:rsid w:val="00ED1CFB"/>
    <w:rsid w:val="00ED23CD"/>
    <w:rsid w:val="00ED6317"/>
    <w:rsid w:val="00ED71FB"/>
    <w:rsid w:val="00EE2195"/>
    <w:rsid w:val="00EE21AD"/>
    <w:rsid w:val="00EE2481"/>
    <w:rsid w:val="00EE3C8B"/>
    <w:rsid w:val="00EE406C"/>
    <w:rsid w:val="00EE5CBB"/>
    <w:rsid w:val="00EE6BE3"/>
    <w:rsid w:val="00EE70BB"/>
    <w:rsid w:val="00EF3E55"/>
    <w:rsid w:val="00EF6BA0"/>
    <w:rsid w:val="00EF74D0"/>
    <w:rsid w:val="00F02C39"/>
    <w:rsid w:val="00F100C6"/>
    <w:rsid w:val="00F10660"/>
    <w:rsid w:val="00F11457"/>
    <w:rsid w:val="00F11C7A"/>
    <w:rsid w:val="00F144E3"/>
    <w:rsid w:val="00F149FB"/>
    <w:rsid w:val="00F17A22"/>
    <w:rsid w:val="00F17F9B"/>
    <w:rsid w:val="00F2045E"/>
    <w:rsid w:val="00F223AA"/>
    <w:rsid w:val="00F22826"/>
    <w:rsid w:val="00F26B85"/>
    <w:rsid w:val="00F274B5"/>
    <w:rsid w:val="00F27785"/>
    <w:rsid w:val="00F32FB3"/>
    <w:rsid w:val="00F360AA"/>
    <w:rsid w:val="00F42DD2"/>
    <w:rsid w:val="00F44268"/>
    <w:rsid w:val="00F456B2"/>
    <w:rsid w:val="00F4723F"/>
    <w:rsid w:val="00F52888"/>
    <w:rsid w:val="00F53D46"/>
    <w:rsid w:val="00F57E0C"/>
    <w:rsid w:val="00F616A6"/>
    <w:rsid w:val="00F61751"/>
    <w:rsid w:val="00F635C1"/>
    <w:rsid w:val="00F71224"/>
    <w:rsid w:val="00F7175D"/>
    <w:rsid w:val="00F72635"/>
    <w:rsid w:val="00F73270"/>
    <w:rsid w:val="00F75A02"/>
    <w:rsid w:val="00F76EA3"/>
    <w:rsid w:val="00F773D5"/>
    <w:rsid w:val="00F8154D"/>
    <w:rsid w:val="00F81928"/>
    <w:rsid w:val="00F8298F"/>
    <w:rsid w:val="00F842C7"/>
    <w:rsid w:val="00F86AB6"/>
    <w:rsid w:val="00F92CD4"/>
    <w:rsid w:val="00F9306B"/>
    <w:rsid w:val="00F95D67"/>
    <w:rsid w:val="00FA01BA"/>
    <w:rsid w:val="00FA0BD5"/>
    <w:rsid w:val="00FA2609"/>
    <w:rsid w:val="00FA5EBC"/>
    <w:rsid w:val="00FA5F42"/>
    <w:rsid w:val="00FB03B2"/>
    <w:rsid w:val="00FB24EB"/>
    <w:rsid w:val="00FB3264"/>
    <w:rsid w:val="00FB4762"/>
    <w:rsid w:val="00FB4B24"/>
    <w:rsid w:val="00FB4ED0"/>
    <w:rsid w:val="00FB610F"/>
    <w:rsid w:val="00FB72B9"/>
    <w:rsid w:val="00FB72E5"/>
    <w:rsid w:val="00FC22E9"/>
    <w:rsid w:val="00FC7CB0"/>
    <w:rsid w:val="00FD07FE"/>
    <w:rsid w:val="00FD184D"/>
    <w:rsid w:val="00FE27FA"/>
    <w:rsid w:val="00FE427F"/>
    <w:rsid w:val="00FE6BEF"/>
    <w:rsid w:val="00FF081C"/>
    <w:rsid w:val="00FF2232"/>
    <w:rsid w:val="00FF4D79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7DD4"/>
    <w:pPr>
      <w:keepNext/>
      <w:pageBreakBefore/>
      <w:numPr>
        <w:numId w:val="6"/>
      </w:numPr>
      <w:shd w:val="clear" w:color="auto" w:fill="943634" w:themeFill="accent2" w:themeFillShade="BF"/>
      <w:tabs>
        <w:tab w:val="left" w:pos="1134"/>
      </w:tabs>
      <w:suppressAutoHyphens/>
      <w:spacing w:before="240" w:line="240" w:lineRule="auto"/>
      <w:ind w:left="1134" w:hanging="1134"/>
      <w:jc w:val="left"/>
      <w:outlineLvl w:val="0"/>
    </w:pPr>
    <w:rPr>
      <w:rFonts w:cs="Calibri"/>
      <w:b/>
      <w:bCs/>
      <w:color w:val="FFFFFF" w:themeColor="background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A22D2"/>
    <w:pPr>
      <w:keepNext/>
      <w:numPr>
        <w:ilvl w:val="2"/>
        <w:numId w:val="6"/>
      </w:numPr>
      <w:pBdr>
        <w:bottom w:val="single" w:sz="4" w:space="1" w:color="C00000"/>
      </w:pBdr>
      <w:suppressAutoHyphens/>
      <w:spacing w:before="360" w:after="60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27DD4"/>
    <w:pPr>
      <w:keepNext/>
      <w:numPr>
        <w:ilvl w:val="3"/>
        <w:numId w:val="6"/>
      </w:numPr>
      <w:suppressAutoHyphens/>
      <w:spacing w:before="360" w:after="0"/>
      <w:jc w:val="left"/>
      <w:outlineLvl w:val="3"/>
    </w:pPr>
    <w:rPr>
      <w:b/>
      <w:bCs/>
      <w:noProof/>
      <w:color w:val="943634" w:themeColor="accent2" w:themeShade="BF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3A22D2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427DD4"/>
    <w:rPr>
      <w:b/>
      <w:bCs/>
      <w:noProof/>
      <w:color w:val="943634" w:themeColor="accent2" w:themeShade="BF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Normal"/>
    <w:qFormat/>
    <w:rsid w:val="00427DD4"/>
    <w:pPr>
      <w:numPr>
        <w:numId w:val="3"/>
      </w:numPr>
      <w:spacing w:before="0" w:after="0"/>
      <w:ind w:left="1701" w:hanging="567"/>
    </w:pPr>
    <w:rPr>
      <w:rFonts w:cs="Calibri"/>
    </w:r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416C31"/>
    <w:pPr>
      <w:pageBreakBefore/>
      <w:numPr>
        <w:ilvl w:val="1"/>
      </w:numPr>
      <w:spacing w:line="276" w:lineRule="auto"/>
    </w:pPr>
    <w:rPr>
      <w:rFonts w:eastAsiaTheme="majorEastAsia"/>
      <w:b/>
      <w:iCs/>
      <w:smallCaps/>
      <w:color w:val="943634" w:themeColor="accent2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416C31"/>
    <w:rPr>
      <w:rFonts w:eastAsiaTheme="majorEastAsia"/>
      <w:b/>
      <w:iCs/>
      <w:smallCaps/>
      <w:color w:val="943634" w:themeColor="accent2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6C31"/>
    <w:pPr>
      <w:keepLines/>
      <w:numPr>
        <w:numId w:val="0"/>
      </w:numPr>
      <w:shd w:val="clear" w:color="auto" w:fill="auto"/>
      <w:spacing w:before="120" w:after="0" w:line="360" w:lineRule="auto"/>
      <w:outlineLvl w:val="9"/>
    </w:pPr>
    <w:rPr>
      <w:rFonts w:eastAsiaTheme="majorEastAsia" w:cs="Times New Roman"/>
      <w:smallCaps/>
      <w:color w:val="943634" w:themeColor="accent2" w:themeShade="BF"/>
      <w:kern w:val="0"/>
      <w:szCs w:val="28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TOC1">
    <w:name w:val="toc 1"/>
    <w:basedOn w:val="Normal"/>
    <w:next w:val="Normal"/>
    <w:autoRedefine/>
    <w:uiPriority w:val="39"/>
    <w:rsid w:val="000B2257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943634" w:themeColor="accent2" w:themeShade="BF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427DD4"/>
    <w:pPr>
      <w:numPr>
        <w:numId w:val="4"/>
      </w:numPr>
      <w:spacing w:before="80" w:after="80"/>
      <w:ind w:left="1134" w:hanging="567"/>
    </w:pPr>
  </w:style>
  <w:style w:type="paragraph" w:customStyle="1" w:styleId="notes">
    <w:name w:val="notes"/>
    <w:basedOn w:val="Normal"/>
    <w:rsid w:val="007056D3"/>
    <w:pPr>
      <w:pBdr>
        <w:top w:val="single" w:sz="2" w:space="1" w:color="C86432"/>
        <w:left w:val="single" w:sz="2" w:space="4" w:color="C86432"/>
        <w:bottom w:val="single" w:sz="2" w:space="1" w:color="C86432"/>
        <w:right w:val="single" w:sz="2" w:space="4" w:color="C86432"/>
      </w:pBdr>
      <w:tabs>
        <w:tab w:val="left" w:pos="567"/>
      </w:tabs>
      <w:suppressAutoHyphens/>
      <w:spacing w:before="9000"/>
      <w:ind w:right="1701" w:firstLine="0"/>
      <w:jc w:val="left"/>
    </w:pPr>
    <w:rPr>
      <w:i/>
      <w:iCs/>
      <w:sz w:val="20"/>
      <w:szCs w:val="20"/>
      <w:lang w:eastAsia="bg-BG"/>
    </w:rPr>
  </w:style>
  <w:style w:type="paragraph" w:styleId="Caption">
    <w:name w:val="caption"/>
    <w:basedOn w:val="Normal"/>
    <w:next w:val="Normal"/>
    <w:unhideWhenUsed/>
    <w:qFormat/>
    <w:rsid w:val="00D14511"/>
    <w:pPr>
      <w:keepNext/>
      <w:spacing w:before="360" w:line="240" w:lineRule="auto"/>
      <w:ind w:left="1134" w:hanging="1134"/>
      <w:jc w:val="left"/>
    </w:pPr>
    <w:rPr>
      <w:b/>
      <w:bCs/>
      <w:color w:val="943634" w:themeColor="accent2" w:themeShade="BF"/>
      <w:sz w:val="18"/>
      <w:szCs w:val="18"/>
    </w:rPr>
  </w:style>
  <w:style w:type="paragraph" w:customStyle="1" w:styleId="graff">
    <w:name w:val="graff"/>
    <w:basedOn w:val="Normal"/>
    <w:next w:val="sources"/>
    <w:qFormat/>
    <w:rsid w:val="007C0CD9"/>
    <w:pPr>
      <w:tabs>
        <w:tab w:val="left" w:pos="567"/>
      </w:tabs>
      <w:spacing w:before="0" w:after="0" w:line="240" w:lineRule="auto"/>
      <w:ind w:right="-142" w:firstLine="0"/>
      <w:jc w:val="left"/>
    </w:pPr>
    <w:rPr>
      <w:rFonts w:asciiTheme="minorHAnsi" w:hAnsiTheme="minorHAnsi"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33435C"/>
    <w:pPr>
      <w:tabs>
        <w:tab w:val="left" w:pos="1134"/>
        <w:tab w:val="right" w:leader="dot" w:pos="9061"/>
      </w:tabs>
      <w:spacing w:before="60" w:after="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table" w:styleId="LightList-Accent6">
    <w:name w:val="Light List Accent 6"/>
    <w:basedOn w:val="TableNormal"/>
    <w:uiPriority w:val="61"/>
    <w:rsid w:val="007056D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2">
    <w:name w:val="List 2"/>
    <w:basedOn w:val="Normal"/>
    <w:unhideWhenUsed/>
    <w:rsid w:val="00883D14"/>
    <w:pPr>
      <w:numPr>
        <w:numId w:val="15"/>
      </w:numPr>
      <w:contextualSpacing/>
    </w:pPr>
  </w:style>
  <w:style w:type="table" w:styleId="LightShading-Accent1">
    <w:name w:val="Light Shading Accent 1"/>
    <w:basedOn w:val="TableNormal"/>
    <w:uiPriority w:val="60"/>
    <w:rsid w:val="00883D14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E56E0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F26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10" w:lineRule="atLeast"/>
      <w:ind w:firstLine="0"/>
      <w:jc w:val="left"/>
    </w:pPr>
    <w:rPr>
      <w:rFonts w:ascii="Courier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6B85"/>
    <w:rPr>
      <w:rFonts w:ascii="Courier" w:hAnsi="Courier" w:cs="Courier New"/>
    </w:rPr>
  </w:style>
  <w:style w:type="table" w:customStyle="1" w:styleId="161">
    <w:name w:val="Таблица с мрежа 1 светла – акцентиране 61"/>
    <w:basedOn w:val="TableNormal"/>
    <w:uiPriority w:val="46"/>
    <w:rsid w:val="00765E7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1">
    <w:name w:val="Таблица със списък 6 цветна – акцентиране 61"/>
    <w:basedOn w:val="TableNormal"/>
    <w:uiPriority w:val="51"/>
    <w:rsid w:val="002B32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Accent2">
    <w:name w:val="Grid Table 1 Light Accent 2"/>
    <w:basedOn w:val="TableNormal"/>
    <w:uiPriority w:val="46"/>
    <w:rsid w:val="00427DD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2">
    <w:name w:val="List Table 6 Colorful Accent 2"/>
    <w:basedOn w:val="TableNormal"/>
    <w:uiPriority w:val="51"/>
    <w:rsid w:val="00427D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4">
    <w:name w:val="Grid Table 1 Light Accent 4"/>
    <w:basedOn w:val="TableNormal"/>
    <w:uiPriority w:val="46"/>
    <w:rsid w:val="00F86AB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7DD4"/>
    <w:pPr>
      <w:keepNext/>
      <w:pageBreakBefore/>
      <w:numPr>
        <w:numId w:val="6"/>
      </w:numPr>
      <w:shd w:val="clear" w:color="auto" w:fill="943634" w:themeFill="accent2" w:themeFillShade="BF"/>
      <w:tabs>
        <w:tab w:val="left" w:pos="1134"/>
      </w:tabs>
      <w:suppressAutoHyphens/>
      <w:spacing w:before="240" w:line="240" w:lineRule="auto"/>
      <w:ind w:left="1134" w:hanging="1134"/>
      <w:jc w:val="left"/>
      <w:outlineLvl w:val="0"/>
    </w:pPr>
    <w:rPr>
      <w:rFonts w:cs="Calibri"/>
      <w:b/>
      <w:bCs/>
      <w:color w:val="FFFFFF" w:themeColor="background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A22D2"/>
    <w:pPr>
      <w:keepNext/>
      <w:numPr>
        <w:ilvl w:val="2"/>
        <w:numId w:val="6"/>
      </w:numPr>
      <w:pBdr>
        <w:bottom w:val="single" w:sz="4" w:space="1" w:color="C00000"/>
      </w:pBdr>
      <w:suppressAutoHyphens/>
      <w:spacing w:before="360" w:after="60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27DD4"/>
    <w:pPr>
      <w:keepNext/>
      <w:numPr>
        <w:ilvl w:val="3"/>
        <w:numId w:val="6"/>
      </w:numPr>
      <w:suppressAutoHyphens/>
      <w:spacing w:before="360" w:after="0"/>
      <w:jc w:val="left"/>
      <w:outlineLvl w:val="3"/>
    </w:pPr>
    <w:rPr>
      <w:b/>
      <w:bCs/>
      <w:noProof/>
      <w:color w:val="943634" w:themeColor="accent2" w:themeShade="BF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3A22D2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427DD4"/>
    <w:rPr>
      <w:b/>
      <w:bCs/>
      <w:noProof/>
      <w:color w:val="943634" w:themeColor="accent2" w:themeShade="BF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Normal"/>
    <w:qFormat/>
    <w:rsid w:val="00427DD4"/>
    <w:pPr>
      <w:numPr>
        <w:numId w:val="3"/>
      </w:numPr>
      <w:spacing w:before="0" w:after="0"/>
      <w:ind w:left="1701" w:hanging="567"/>
    </w:pPr>
    <w:rPr>
      <w:rFonts w:cs="Calibri"/>
    </w:r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416C31"/>
    <w:pPr>
      <w:pageBreakBefore/>
      <w:numPr>
        <w:ilvl w:val="1"/>
      </w:numPr>
      <w:spacing w:line="276" w:lineRule="auto"/>
    </w:pPr>
    <w:rPr>
      <w:rFonts w:eastAsiaTheme="majorEastAsia"/>
      <w:b/>
      <w:iCs/>
      <w:smallCaps/>
      <w:color w:val="943634" w:themeColor="accent2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416C31"/>
    <w:rPr>
      <w:rFonts w:eastAsiaTheme="majorEastAsia"/>
      <w:b/>
      <w:iCs/>
      <w:smallCaps/>
      <w:color w:val="943634" w:themeColor="accent2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6C31"/>
    <w:pPr>
      <w:keepLines/>
      <w:numPr>
        <w:numId w:val="0"/>
      </w:numPr>
      <w:shd w:val="clear" w:color="auto" w:fill="auto"/>
      <w:spacing w:before="120" w:after="0" w:line="360" w:lineRule="auto"/>
      <w:outlineLvl w:val="9"/>
    </w:pPr>
    <w:rPr>
      <w:rFonts w:eastAsiaTheme="majorEastAsia" w:cs="Times New Roman"/>
      <w:smallCaps/>
      <w:color w:val="943634" w:themeColor="accent2" w:themeShade="BF"/>
      <w:kern w:val="0"/>
      <w:szCs w:val="28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TOC1">
    <w:name w:val="toc 1"/>
    <w:basedOn w:val="Normal"/>
    <w:next w:val="Normal"/>
    <w:autoRedefine/>
    <w:uiPriority w:val="39"/>
    <w:rsid w:val="000B2257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943634" w:themeColor="accent2" w:themeShade="BF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427DD4"/>
    <w:pPr>
      <w:numPr>
        <w:numId w:val="4"/>
      </w:numPr>
      <w:spacing w:before="80" w:after="80"/>
      <w:ind w:left="1134" w:hanging="567"/>
    </w:pPr>
  </w:style>
  <w:style w:type="paragraph" w:customStyle="1" w:styleId="notes">
    <w:name w:val="notes"/>
    <w:basedOn w:val="Normal"/>
    <w:rsid w:val="007056D3"/>
    <w:pPr>
      <w:pBdr>
        <w:top w:val="single" w:sz="2" w:space="1" w:color="C86432"/>
        <w:left w:val="single" w:sz="2" w:space="4" w:color="C86432"/>
        <w:bottom w:val="single" w:sz="2" w:space="1" w:color="C86432"/>
        <w:right w:val="single" w:sz="2" w:space="4" w:color="C86432"/>
      </w:pBdr>
      <w:tabs>
        <w:tab w:val="left" w:pos="567"/>
      </w:tabs>
      <w:suppressAutoHyphens/>
      <w:spacing w:before="9000"/>
      <w:ind w:right="1701" w:firstLine="0"/>
      <w:jc w:val="left"/>
    </w:pPr>
    <w:rPr>
      <w:i/>
      <w:iCs/>
      <w:sz w:val="20"/>
      <w:szCs w:val="20"/>
      <w:lang w:eastAsia="bg-BG"/>
    </w:rPr>
  </w:style>
  <w:style w:type="paragraph" w:styleId="Caption">
    <w:name w:val="caption"/>
    <w:basedOn w:val="Normal"/>
    <w:next w:val="Normal"/>
    <w:unhideWhenUsed/>
    <w:qFormat/>
    <w:rsid w:val="00D14511"/>
    <w:pPr>
      <w:keepNext/>
      <w:spacing w:before="360" w:line="240" w:lineRule="auto"/>
      <w:ind w:left="1134" w:hanging="1134"/>
      <w:jc w:val="left"/>
    </w:pPr>
    <w:rPr>
      <w:b/>
      <w:bCs/>
      <w:color w:val="943634" w:themeColor="accent2" w:themeShade="BF"/>
      <w:sz w:val="18"/>
      <w:szCs w:val="18"/>
    </w:rPr>
  </w:style>
  <w:style w:type="paragraph" w:customStyle="1" w:styleId="graff">
    <w:name w:val="graff"/>
    <w:basedOn w:val="Normal"/>
    <w:next w:val="sources"/>
    <w:qFormat/>
    <w:rsid w:val="007C0CD9"/>
    <w:pPr>
      <w:tabs>
        <w:tab w:val="left" w:pos="567"/>
      </w:tabs>
      <w:spacing w:before="0" w:after="0" w:line="240" w:lineRule="auto"/>
      <w:ind w:right="-142" w:firstLine="0"/>
      <w:jc w:val="left"/>
    </w:pPr>
    <w:rPr>
      <w:rFonts w:asciiTheme="minorHAnsi" w:hAnsiTheme="minorHAnsi"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33435C"/>
    <w:pPr>
      <w:tabs>
        <w:tab w:val="left" w:pos="1134"/>
        <w:tab w:val="right" w:leader="dot" w:pos="9061"/>
      </w:tabs>
      <w:spacing w:before="60" w:after="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table" w:styleId="LightList-Accent6">
    <w:name w:val="Light List Accent 6"/>
    <w:basedOn w:val="TableNormal"/>
    <w:uiPriority w:val="61"/>
    <w:rsid w:val="007056D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2">
    <w:name w:val="List 2"/>
    <w:basedOn w:val="Normal"/>
    <w:unhideWhenUsed/>
    <w:rsid w:val="00883D14"/>
    <w:pPr>
      <w:numPr>
        <w:numId w:val="15"/>
      </w:numPr>
      <w:contextualSpacing/>
    </w:pPr>
  </w:style>
  <w:style w:type="table" w:styleId="LightShading-Accent1">
    <w:name w:val="Light Shading Accent 1"/>
    <w:basedOn w:val="TableNormal"/>
    <w:uiPriority w:val="60"/>
    <w:rsid w:val="00883D14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E56E0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F26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10" w:lineRule="atLeast"/>
      <w:ind w:firstLine="0"/>
      <w:jc w:val="left"/>
    </w:pPr>
    <w:rPr>
      <w:rFonts w:ascii="Courier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6B85"/>
    <w:rPr>
      <w:rFonts w:ascii="Courier" w:hAnsi="Courier" w:cs="Courier New"/>
    </w:rPr>
  </w:style>
  <w:style w:type="table" w:customStyle="1" w:styleId="161">
    <w:name w:val="Таблица с мрежа 1 светла – акцентиране 61"/>
    <w:basedOn w:val="TableNormal"/>
    <w:uiPriority w:val="46"/>
    <w:rsid w:val="00765E7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1">
    <w:name w:val="Таблица със списък 6 цветна – акцентиране 61"/>
    <w:basedOn w:val="TableNormal"/>
    <w:uiPriority w:val="51"/>
    <w:rsid w:val="002B32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Accent2">
    <w:name w:val="Grid Table 1 Light Accent 2"/>
    <w:basedOn w:val="TableNormal"/>
    <w:uiPriority w:val="46"/>
    <w:rsid w:val="00427DD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2">
    <w:name w:val="List Table 6 Colorful Accent 2"/>
    <w:basedOn w:val="TableNormal"/>
    <w:uiPriority w:val="51"/>
    <w:rsid w:val="00427D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4">
    <w:name w:val="Grid Table 1 Light Accent 4"/>
    <w:basedOn w:val="TableNormal"/>
    <w:uiPriority w:val="46"/>
    <w:rsid w:val="00F86AB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8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9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0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2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26" Type="http://schemas.openxmlformats.org/officeDocument/2006/relationships/hyperlink" Target="http://umispublic.minfin.bg/" TargetMode="External"/><Relationship Id="rId3" Type="http://schemas.openxmlformats.org/officeDocument/2006/relationships/numbering" Target="numbering.xml"/><Relationship Id="rId21" Type="http://schemas.openxmlformats.org/officeDocument/2006/relationships/chart" Target="charts/chart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hyperlink" Target="http://eurostat.ec.europa.e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chart" Target="charts/chart9.xm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2.emf"/><Relationship Id="rId23" Type="http://schemas.openxmlformats.org/officeDocument/2006/relationships/chart" Target="charts/chart8.xml"/><Relationship Id="rId28" Type="http://schemas.openxmlformats.org/officeDocument/2006/relationships/hyperlink" Target="http://www.nsi.bg/" TargetMode="External"/><Relationship Id="rId10" Type="http://schemas.openxmlformats.org/officeDocument/2006/relationships/image" Target="media/image1.emf"/><Relationship Id="rId19" Type="http://schemas.openxmlformats.org/officeDocument/2006/relationships/chart" Target="charts/chart4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chart" Target="charts/chart7.xml"/><Relationship Id="rId27" Type="http://schemas.openxmlformats.org/officeDocument/2006/relationships/hyperlink" Target="http://2020.eufunds.bg/" TargetMode="External"/><Relationship Id="rId30" Type="http://schemas.openxmlformats.org/officeDocument/2006/relationships/hyperlink" Target="http://www.strategy.b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commission/white-paper-future-europe-reflections-and-scenarios-eu27_en" TargetMode="External"/><Relationship Id="rId1" Type="http://schemas.openxmlformats.org/officeDocument/2006/relationships/hyperlink" Target="http://iacs-online.dfz.bg/apex/f?p=100:43:434965765645332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working%20office%20documents\Active%20Projects\2017_009_MRRB%20RP\03_Implementation\NWR\Finansi%20NWR.xlsx" TargetMode="External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working%20office%20documents\Active%20Projects\2017_009_MRRB%20RP\03_Implementation\NWR\Finansi%20NWR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GDP!$B$62</c:f>
              <c:strCache>
                <c:ptCount val="1"/>
                <c:pt idx="0">
                  <c:v>България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59-49EE-8A9D-E508A136B79A}"/>
              </c:ext>
            </c:extLst>
          </c:dPt>
          <c:dPt>
            <c:idx val="14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A59-49EE-8A9D-E508A136B79A}"/>
              </c:ext>
            </c:extLst>
          </c:dPt>
          <c:dPt>
            <c:idx val="15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59-49EE-8A9D-E508A136B79A}"/>
              </c:ext>
            </c:extLst>
          </c:dPt>
          <c:dLbls>
            <c:dLbl>
              <c:idx val="4"/>
              <c:layout>
                <c:manualLayout>
                  <c:x val="1.4187297333964715E-2"/>
                  <c:y val="8.3306023742385114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59-49EE-8A9D-E508A136B79A}"/>
                </c:ext>
              </c:extLst>
            </c:dLbl>
            <c:dLbl>
              <c:idx val="5"/>
              <c:layout>
                <c:manualLayout>
                  <c:x val="-1.1620510086770433E-3"/>
                  <c:y val="4.4932114671801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59-49EE-8A9D-E508A136B79A}"/>
                </c:ext>
              </c:extLst>
            </c:dLbl>
            <c:dLbl>
              <c:idx val="7"/>
              <c:layout>
                <c:manualLayout>
                  <c:x val="-1.6643022750908173E-2"/>
                  <c:y val="-4.777330836273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59-49EE-8A9D-E508A136B79A}"/>
                </c:ext>
              </c:extLst>
            </c:dLbl>
            <c:dLbl>
              <c:idx val="9"/>
              <c:layout>
                <c:manualLayout>
                  <c:x val="3.3212685901088165E-3"/>
                  <c:y val="3.395275158895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8813652990224651E-2"/>
                      <c:h val="5.13703681029397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GDP!$C$62:$R$62</c:f>
              <c:numCache>
                <c:formatCode>0.0%</c:formatCode>
                <c:ptCount val="16"/>
                <c:pt idx="0">
                  <c:v>7.0999999999999994E-2</c:v>
                </c:pt>
                <c:pt idx="1">
                  <c:v>6.9000000000000006E-2</c:v>
                </c:pt>
                <c:pt idx="2">
                  <c:v>7.2999999999999995E-2</c:v>
                </c:pt>
                <c:pt idx="3">
                  <c:v>0.06</c:v>
                </c:pt>
                <c:pt idx="4">
                  <c:v>-3.5999999999999997E-2</c:v>
                </c:pt>
                <c:pt idx="5">
                  <c:v>1.2999999999999999E-2</c:v>
                </c:pt>
                <c:pt idx="6">
                  <c:v>1.9E-2</c:v>
                </c:pt>
                <c:pt idx="7">
                  <c:v>0</c:v>
                </c:pt>
                <c:pt idx="8">
                  <c:v>8.9999999999999993E-3</c:v>
                </c:pt>
                <c:pt idx="9">
                  <c:v>1.2999999999999999E-2</c:v>
                </c:pt>
                <c:pt idx="10">
                  <c:v>3.5999999999999997E-2</c:v>
                </c:pt>
                <c:pt idx="11">
                  <c:v>3.9E-2</c:v>
                </c:pt>
                <c:pt idx="12">
                  <c:v>0.04</c:v>
                </c:pt>
                <c:pt idx="13">
                  <c:v>3.9E-2</c:v>
                </c:pt>
                <c:pt idx="14">
                  <c:v>3.9E-2</c:v>
                </c:pt>
                <c:pt idx="15">
                  <c:v>3.9E-2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59-49EE-8A9D-E508A136B79A}"/>
            </c:ext>
          </c:extLst>
        </c:ser>
        <c:ser>
          <c:idx val="1"/>
          <c:order val="1"/>
          <c:tx>
            <c:strRef>
              <c:f>GDP!$B$63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59-49EE-8A9D-E508A136B79A}"/>
              </c:ext>
            </c:extLst>
          </c:dPt>
          <c:dLbls>
            <c:dLbl>
              <c:idx val="3"/>
              <c:layout>
                <c:manualLayout>
                  <c:x val="-7.051831352565896E-2"/>
                  <c:y val="4.52823940604851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59-49EE-8A9D-E508A136B79A}"/>
                </c:ext>
              </c:extLst>
            </c:dLbl>
            <c:dLbl>
              <c:idx val="5"/>
              <c:layout>
                <c:manualLayout>
                  <c:x val="-7.0518313525658918E-2"/>
                  <c:y val="-4.8483258940994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A59-49EE-8A9D-E508A136B79A}"/>
                </c:ext>
              </c:extLst>
            </c:dLbl>
            <c:dLbl>
              <c:idx val="6"/>
              <c:layout>
                <c:manualLayout>
                  <c:x val="7.1205972449627283E-3"/>
                  <c:y val="-4.30701031845857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A59-49EE-8A9D-E508A136B79A}"/>
                </c:ext>
              </c:extLst>
            </c:dLbl>
            <c:dLbl>
              <c:idx val="8"/>
              <c:layout>
                <c:manualLayout>
                  <c:x val="7.1205972449626467E-3"/>
                  <c:y val="1.778111399280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59-49EE-8A9D-E508A136B79A}"/>
                </c:ext>
              </c:extLst>
            </c:dLbl>
            <c:dLbl>
              <c:idx val="9"/>
              <c:layout>
                <c:manualLayout>
                  <c:x val="-4.6117512997749341E-2"/>
                  <c:y val="-5.29008838032480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GDP!$C$63:$R$63</c:f>
              <c:numCache>
                <c:formatCode>0.0%</c:formatCode>
                <c:ptCount val="16"/>
                <c:pt idx="0">
                  <c:v>2.1000000000000001E-2</c:v>
                </c:pt>
                <c:pt idx="1">
                  <c:v>3.3000000000000002E-2</c:v>
                </c:pt>
                <c:pt idx="2">
                  <c:v>0.03</c:v>
                </c:pt>
                <c:pt idx="3">
                  <c:v>4.0000000000000001E-3</c:v>
                </c:pt>
                <c:pt idx="4">
                  <c:v>-4.2999999999999997E-2</c:v>
                </c:pt>
                <c:pt idx="5">
                  <c:v>2.1000000000000001E-2</c:v>
                </c:pt>
                <c:pt idx="6">
                  <c:v>1.7000000000000001E-2</c:v>
                </c:pt>
                <c:pt idx="7">
                  <c:v>-4.0000000000000001E-3</c:v>
                </c:pt>
                <c:pt idx="8">
                  <c:v>3.0000000000000001E-3</c:v>
                </c:pt>
                <c:pt idx="9">
                  <c:v>1.7999999999999999E-2</c:v>
                </c:pt>
                <c:pt idx="10">
                  <c:v>2.3E-2</c:v>
                </c:pt>
                <c:pt idx="11">
                  <c:v>1.9E-2</c:v>
                </c:pt>
                <c:pt idx="12">
                  <c:v>1.95E-2</c:v>
                </c:pt>
                <c:pt idx="13">
                  <c:v>1.95E-2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59-49EE-8A9D-E508A136B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965760"/>
        <c:axId val="96967296"/>
      </c:lineChart>
      <c:catAx>
        <c:axId val="9696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96967296"/>
        <c:crosses val="autoZero"/>
        <c:auto val="1"/>
        <c:lblAlgn val="ctr"/>
        <c:lblOffset val="100"/>
        <c:noMultiLvlLbl val="0"/>
      </c:catAx>
      <c:valAx>
        <c:axId val="9696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9696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Sheet1!$C$22</c:f>
              <c:strCache>
                <c:ptCount val="1"/>
                <c:pt idx="0">
                  <c:v>договорени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Sheet1!$B$23:$B$33</c:f>
              <c:strCache>
                <c:ptCount val="11"/>
                <c:pt idx="0">
                  <c:v>СЗР</c:v>
                </c:pt>
                <c:pt idx="1">
                  <c:v>ОПТТИ</c:v>
                </c:pt>
                <c:pt idx="2">
                  <c:v>ОПОС</c:v>
                </c:pt>
                <c:pt idx="3">
                  <c:v>ОПРР</c:v>
                </c:pt>
                <c:pt idx="4">
                  <c:v>ОПИК</c:v>
                </c:pt>
                <c:pt idx="5">
                  <c:v>ОПНОИР</c:v>
                </c:pt>
                <c:pt idx="6">
                  <c:v>ОПРЧР</c:v>
                </c:pt>
                <c:pt idx="7">
                  <c:v>ОПДУ</c:v>
                </c:pt>
                <c:pt idx="8">
                  <c:v>ОПХ</c:v>
                </c:pt>
                <c:pt idx="9">
                  <c:v>ОПМДР</c:v>
                </c:pt>
                <c:pt idx="10">
                  <c:v>ПРСР</c:v>
                </c:pt>
              </c:strCache>
            </c:strRef>
          </c:cat>
          <c:val>
            <c:numRef>
              <c:f>Sheet1!$C$23:$C$33</c:f>
              <c:numCache>
                <c:formatCode>General</c:formatCode>
                <c:ptCount val="11"/>
                <c:pt idx="0">
                  <c:v>1266.8</c:v>
                </c:pt>
                <c:pt idx="1">
                  <c:v>8.3000000000000007</c:v>
                </c:pt>
                <c:pt idx="2">
                  <c:v>378.4</c:v>
                </c:pt>
                <c:pt idx="3">
                  <c:v>261</c:v>
                </c:pt>
                <c:pt idx="4">
                  <c:v>443</c:v>
                </c:pt>
                <c:pt idx="5">
                  <c:v>6.8</c:v>
                </c:pt>
                <c:pt idx="6">
                  <c:v>46.5</c:v>
                </c:pt>
                <c:pt idx="7">
                  <c:v>1.8</c:v>
                </c:pt>
                <c:pt idx="8">
                  <c:v>19.7</c:v>
                </c:pt>
                <c:pt idx="9">
                  <c:v>2.4</c:v>
                </c:pt>
                <c:pt idx="10">
                  <c:v>98.8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21-41AE-A2BA-134FC7853D36}"/>
            </c:ext>
          </c:extLst>
        </c:ser>
        <c:ser>
          <c:idx val="1"/>
          <c:order val="1"/>
          <c:tx>
            <c:strRef>
              <c:f>Sheet1!$D$22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Sheet1!$B$23:$B$33</c:f>
              <c:strCache>
                <c:ptCount val="11"/>
                <c:pt idx="0">
                  <c:v>СЗР</c:v>
                </c:pt>
                <c:pt idx="1">
                  <c:v>ОПТТИ</c:v>
                </c:pt>
                <c:pt idx="2">
                  <c:v>ОПОС</c:v>
                </c:pt>
                <c:pt idx="3">
                  <c:v>ОПРР</c:v>
                </c:pt>
                <c:pt idx="4">
                  <c:v>ОПИК</c:v>
                </c:pt>
                <c:pt idx="5">
                  <c:v>ОПНОИР</c:v>
                </c:pt>
                <c:pt idx="6">
                  <c:v>ОПРЧР</c:v>
                </c:pt>
                <c:pt idx="7">
                  <c:v>ОПДУ</c:v>
                </c:pt>
                <c:pt idx="8">
                  <c:v>ОПХ</c:v>
                </c:pt>
                <c:pt idx="9">
                  <c:v>ОПМДР</c:v>
                </c:pt>
                <c:pt idx="10">
                  <c:v>ПРСР</c:v>
                </c:pt>
              </c:strCache>
            </c:strRef>
          </c:cat>
          <c:val>
            <c:numRef>
              <c:f>Sheet1!$D$23:$D$33</c:f>
              <c:numCache>
                <c:formatCode>General</c:formatCode>
                <c:ptCount val="11"/>
                <c:pt idx="0">
                  <c:v>296.7</c:v>
                </c:pt>
                <c:pt idx="1">
                  <c:v>2.9</c:v>
                </c:pt>
                <c:pt idx="2">
                  <c:v>97</c:v>
                </c:pt>
                <c:pt idx="3">
                  <c:v>33.5</c:v>
                </c:pt>
                <c:pt idx="4">
                  <c:v>131.4</c:v>
                </c:pt>
                <c:pt idx="5">
                  <c:v>2</c:v>
                </c:pt>
                <c:pt idx="6">
                  <c:v>22.4</c:v>
                </c:pt>
                <c:pt idx="7">
                  <c:v>0.45</c:v>
                </c:pt>
                <c:pt idx="8">
                  <c:v>7.04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21-41AE-A2BA-134FC7853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66688"/>
        <c:axId val="126480768"/>
      </c:barChart>
      <c:catAx>
        <c:axId val="126466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480768"/>
        <c:crosses val="autoZero"/>
        <c:auto val="1"/>
        <c:lblAlgn val="ctr"/>
        <c:lblOffset val="100"/>
        <c:noMultiLvlLbl val="0"/>
      </c:catAx>
      <c:valAx>
        <c:axId val="12648076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64666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 w="6350">
      <a:solidFill>
        <a:schemeClr val="bg1">
          <a:lumMod val="75000"/>
        </a:schemeClr>
      </a:solidFill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Sheet0!$A$13</c:f>
              <c:strCache>
                <c:ptCount val="1"/>
                <c:pt idx="0">
                  <c:v>България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Sheet0!$B$13:$Q$13</c:f>
              <c:numCache>
                <c:formatCode>#,##0</c:formatCode>
                <c:ptCount val="16"/>
                <c:pt idx="0">
                  <c:v>27927.831999999995</c:v>
                </c:pt>
                <c:pt idx="1">
                  <c:v>30750.974999999999</c:v>
                </c:pt>
                <c:pt idx="2">
                  <c:v>33806.22</c:v>
                </c:pt>
                <c:pt idx="3">
                  <c:v>36356.654000000002</c:v>
                </c:pt>
                <c:pt idx="4">
                  <c:v>40886.399000000005</c:v>
                </c:pt>
                <c:pt idx="5">
                  <c:v>46651.01999999999</c:v>
                </c:pt>
                <c:pt idx="6">
                  <c:v>53219.10500000001</c:v>
                </c:pt>
                <c:pt idx="7">
                  <c:v>63463.978000000003</c:v>
                </c:pt>
                <c:pt idx="8">
                  <c:v>72755.865000000005</c:v>
                </c:pt>
                <c:pt idx="9">
                  <c:v>72985.881999999998</c:v>
                </c:pt>
                <c:pt idx="10">
                  <c:v>74771.255000000005</c:v>
                </c:pt>
                <c:pt idx="11">
                  <c:v>80758.967999999993</c:v>
                </c:pt>
                <c:pt idx="12">
                  <c:v>82040.409</c:v>
                </c:pt>
                <c:pt idx="13">
                  <c:v>82166.087</c:v>
                </c:pt>
                <c:pt idx="14">
                  <c:v>83634.323999999993</c:v>
                </c:pt>
                <c:pt idx="15">
                  <c:v>88571.323000000004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60224"/>
        <c:axId val="106658432"/>
      </c:barChart>
      <c:lineChart>
        <c:grouping val="standard"/>
        <c:varyColors val="0"/>
        <c:ser>
          <c:idx val="1"/>
          <c:order val="1"/>
          <c:tx>
            <c:strRef>
              <c:f>Sheet0!$A$14</c:f>
              <c:strCache>
                <c:ptCount val="1"/>
                <c:pt idx="0">
                  <c:v>СЗР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Sheet0!$B$14:$Q$14</c:f>
              <c:numCache>
                <c:formatCode>0.0%</c:formatCode>
                <c:ptCount val="16"/>
                <c:pt idx="0">
                  <c:v>0.1160973755499532</c:v>
                </c:pt>
                <c:pt idx="1">
                  <c:v>0.11431835901138096</c:v>
                </c:pt>
                <c:pt idx="2">
                  <c:v>0.1085023702738727</c:v>
                </c:pt>
                <c:pt idx="3">
                  <c:v>0.10238816256303454</c:v>
                </c:pt>
                <c:pt idx="4">
                  <c:v>9.7121514663103467E-2</c:v>
                </c:pt>
                <c:pt idx="5">
                  <c:v>9.3980003009580523E-2</c:v>
                </c:pt>
                <c:pt idx="6">
                  <c:v>8.5440914498656054E-2</c:v>
                </c:pt>
                <c:pt idx="7">
                  <c:v>8.1944658432851467E-2</c:v>
                </c:pt>
                <c:pt idx="8">
                  <c:v>7.8917720241522785E-2</c:v>
                </c:pt>
                <c:pt idx="9">
                  <c:v>7.5670237156276327E-2</c:v>
                </c:pt>
                <c:pt idx="10">
                  <c:v>7.2873592933541106E-2</c:v>
                </c:pt>
                <c:pt idx="11">
                  <c:v>7.2116944337376879E-2</c:v>
                </c:pt>
                <c:pt idx="12">
                  <c:v>7.1153728646087086E-2</c:v>
                </c:pt>
                <c:pt idx="13">
                  <c:v>7.0653139415048444E-2</c:v>
                </c:pt>
                <c:pt idx="14">
                  <c:v>7.1197538465188059E-2</c:v>
                </c:pt>
                <c:pt idx="15">
                  <c:v>6.7889818017057277E-2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3CC-4F0E-BC87-D62D93FA7686}"/>
            </c:ext>
          </c:extLst>
        </c:ser>
        <c:ser>
          <c:idx val="2"/>
          <c:order val="2"/>
          <c:tx>
            <c:strRef>
              <c:f>Sheet0!$A$15</c:f>
              <c:strCache>
                <c:ptCount val="1"/>
                <c:pt idx="0">
                  <c:v>СЦР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Sheet0!$B$15:$Q$15</c:f>
              <c:numCache>
                <c:formatCode>0.0%</c:formatCode>
                <c:ptCount val="16"/>
                <c:pt idx="0">
                  <c:v>0.10421113246456083</c:v>
                </c:pt>
                <c:pt idx="1">
                  <c:v>0.10601553284082864</c:v>
                </c:pt>
                <c:pt idx="2">
                  <c:v>0.10820399322964826</c:v>
                </c:pt>
                <c:pt idx="3">
                  <c:v>0.10038737338149986</c:v>
                </c:pt>
                <c:pt idx="4">
                  <c:v>9.6834328696934147E-2</c:v>
                </c:pt>
                <c:pt idx="5">
                  <c:v>9.5545284969117517E-2</c:v>
                </c:pt>
                <c:pt idx="6">
                  <c:v>8.9933342546816591E-2</c:v>
                </c:pt>
                <c:pt idx="7">
                  <c:v>8.6322480447097075E-2</c:v>
                </c:pt>
                <c:pt idx="8">
                  <c:v>8.3861472886069044E-2</c:v>
                </c:pt>
                <c:pt idx="9">
                  <c:v>8.2002996141089315E-2</c:v>
                </c:pt>
                <c:pt idx="10">
                  <c:v>7.929236977498906E-2</c:v>
                </c:pt>
                <c:pt idx="11">
                  <c:v>7.8752603673687374E-2</c:v>
                </c:pt>
                <c:pt idx="12">
                  <c:v>8.0242871534197249E-2</c:v>
                </c:pt>
                <c:pt idx="13">
                  <c:v>8.1790106421886694E-2</c:v>
                </c:pt>
                <c:pt idx="14">
                  <c:v>8.3457827673719231E-2</c:v>
                </c:pt>
                <c:pt idx="15">
                  <c:v>7.9916362997084281E-2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3CC-4F0E-BC87-D62D93FA7686}"/>
            </c:ext>
          </c:extLst>
        </c:ser>
        <c:ser>
          <c:idx val="3"/>
          <c:order val="3"/>
          <c:tx>
            <c:strRef>
              <c:f>Sheet0!$A$16</c:f>
              <c:strCache>
                <c:ptCount val="1"/>
                <c:pt idx="0">
                  <c:v>СИР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Sheet0!$B$16:$Q$16</c:f>
              <c:numCache>
                <c:formatCode>0.0%</c:formatCode>
                <c:ptCount val="16"/>
                <c:pt idx="0">
                  <c:v>0.11953419800004525</c:v>
                </c:pt>
                <c:pt idx="1">
                  <c:v>0.1154172184784385</c:v>
                </c:pt>
                <c:pt idx="2">
                  <c:v>0.11440980387632808</c:v>
                </c:pt>
                <c:pt idx="3">
                  <c:v>0.11413770365116657</c:v>
                </c:pt>
                <c:pt idx="4">
                  <c:v>0.11331587308532599</c:v>
                </c:pt>
                <c:pt idx="5">
                  <c:v>0.11202623222386136</c:v>
                </c:pt>
                <c:pt idx="6">
                  <c:v>0.11325647058514042</c:v>
                </c:pt>
                <c:pt idx="7">
                  <c:v>0.11124841559727</c:v>
                </c:pt>
                <c:pt idx="8">
                  <c:v>0.11252776666183541</c:v>
                </c:pt>
                <c:pt idx="9">
                  <c:v>0.10753046733065444</c:v>
                </c:pt>
                <c:pt idx="10">
                  <c:v>0.10586473371351061</c:v>
                </c:pt>
                <c:pt idx="11">
                  <c:v>0.10667991695981059</c:v>
                </c:pt>
                <c:pt idx="12">
                  <c:v>0.10912529702283665</c:v>
                </c:pt>
                <c:pt idx="13">
                  <c:v>0.10896942189786889</c:v>
                </c:pt>
                <c:pt idx="14">
                  <c:v>0.11152535889451325</c:v>
                </c:pt>
                <c:pt idx="15">
                  <c:v>0.10900540573386264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3CC-4F0E-BC87-D62D93FA7686}"/>
            </c:ext>
          </c:extLst>
        </c:ser>
        <c:ser>
          <c:idx val="4"/>
          <c:order val="4"/>
          <c:tx>
            <c:strRef>
              <c:f>Sheet0!$A$17</c:f>
              <c:strCache>
                <c:ptCount val="1"/>
                <c:pt idx="0">
                  <c:v>ЮИР</c:v>
                </c:pt>
              </c:strCache>
            </c:strRef>
          </c:tx>
          <c:spPr>
            <a:ln w="19050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Sheet0!$B$17:$Q$17</c:f>
              <c:numCache>
                <c:formatCode>0.0%</c:formatCode>
                <c:ptCount val="16"/>
                <c:pt idx="0">
                  <c:v>0.15261446001250659</c:v>
                </c:pt>
                <c:pt idx="1">
                  <c:v>0.13902245375959624</c:v>
                </c:pt>
                <c:pt idx="2">
                  <c:v>0.131784860892463</c:v>
                </c:pt>
                <c:pt idx="3">
                  <c:v>0.13532086863659123</c:v>
                </c:pt>
                <c:pt idx="4">
                  <c:v>0.13480005906120515</c:v>
                </c:pt>
                <c:pt idx="5">
                  <c:v>0.13702103405241733</c:v>
                </c:pt>
                <c:pt idx="6">
                  <c:v>0.12851580273663002</c:v>
                </c:pt>
                <c:pt idx="7">
                  <c:v>0.11971764518133421</c:v>
                </c:pt>
                <c:pt idx="8">
                  <c:v>0.12141122918406647</c:v>
                </c:pt>
                <c:pt idx="9">
                  <c:v>0.12268102754447771</c:v>
                </c:pt>
                <c:pt idx="10">
                  <c:v>0.11917785785459932</c:v>
                </c:pt>
                <c:pt idx="11">
                  <c:v>0.11780926918234023</c:v>
                </c:pt>
                <c:pt idx="12">
                  <c:v>0.1218387514377214</c:v>
                </c:pt>
                <c:pt idx="13">
                  <c:v>0.12404401100419933</c:v>
                </c:pt>
                <c:pt idx="14">
                  <c:v>0.12487118327159553</c:v>
                </c:pt>
                <c:pt idx="15">
                  <c:v>0.1222299908515536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3CC-4F0E-BC87-D62D93FA7686}"/>
            </c:ext>
          </c:extLst>
        </c:ser>
        <c:ser>
          <c:idx val="5"/>
          <c:order val="5"/>
          <c:tx>
            <c:strRef>
              <c:f>Sheet0!$A$18</c:f>
              <c:strCache>
                <c:ptCount val="1"/>
                <c:pt idx="0">
                  <c:v>ЮЗР</c:v>
                </c:pt>
              </c:strCache>
            </c:strRef>
          </c:tx>
          <c:spPr>
            <a:ln w="19050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Sheet0!$B$18:$Q$18</c:f>
              <c:numCache>
                <c:formatCode>0.0%</c:formatCode>
                <c:ptCount val="16"/>
                <c:pt idx="0">
                  <c:v>0.35282258930804222</c:v>
                </c:pt>
                <c:pt idx="1">
                  <c:v>0.3700647215250899</c:v>
                </c:pt>
                <c:pt idx="2">
                  <c:v>0.38658945010711038</c:v>
                </c:pt>
                <c:pt idx="3">
                  <c:v>0.39292119676359655</c:v>
                </c:pt>
                <c:pt idx="4">
                  <c:v>0.40140255442891903</c:v>
                </c:pt>
                <c:pt idx="5">
                  <c:v>0.40623531918487532</c:v>
                </c:pt>
                <c:pt idx="6">
                  <c:v>0.43133318382562053</c:v>
                </c:pt>
                <c:pt idx="7">
                  <c:v>0.45560561930107818</c:v>
                </c:pt>
                <c:pt idx="8">
                  <c:v>0.46248638511823076</c:v>
                </c:pt>
                <c:pt idx="9">
                  <c:v>0.47055483963323208</c:v>
                </c:pt>
                <c:pt idx="10">
                  <c:v>0.48079738664276805</c:v>
                </c:pt>
                <c:pt idx="11">
                  <c:v>0.48408211457085482</c:v>
                </c:pt>
                <c:pt idx="12">
                  <c:v>0.47535332253158313</c:v>
                </c:pt>
                <c:pt idx="13">
                  <c:v>0.47291232208733508</c:v>
                </c:pt>
                <c:pt idx="14">
                  <c:v>0.4720315788048936</c:v>
                </c:pt>
                <c:pt idx="15">
                  <c:v>0.47904715163845973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3CC-4F0E-BC87-D62D93FA7686}"/>
            </c:ext>
          </c:extLst>
        </c:ser>
        <c:ser>
          <c:idx val="6"/>
          <c:order val="6"/>
          <c:tx>
            <c:strRef>
              <c:f>Sheet0!$A$19</c:f>
              <c:strCache>
                <c:ptCount val="1"/>
                <c:pt idx="0">
                  <c:v>ЮЦР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Sheet0!$B$19:$Q$19</c:f>
              <c:numCache>
                <c:formatCode>0.0%</c:formatCode>
                <c:ptCount val="16"/>
                <c:pt idx="0">
                  <c:v>0.15472024466489201</c:v>
                </c:pt>
                <c:pt idx="1">
                  <c:v>0.15516171438466586</c:v>
                </c:pt>
                <c:pt idx="2">
                  <c:v>0.15050952162057751</c:v>
                </c:pt>
                <c:pt idx="3">
                  <c:v>0.15484469500411122</c:v>
                </c:pt>
                <c:pt idx="4">
                  <c:v>0.15652567006451215</c:v>
                </c:pt>
                <c:pt idx="5">
                  <c:v>0.15519212656014811</c:v>
                </c:pt>
                <c:pt idx="6">
                  <c:v>0.15152028580713633</c:v>
                </c:pt>
                <c:pt idx="7">
                  <c:v>0.14516118104036904</c:v>
                </c:pt>
                <c:pt idx="8">
                  <c:v>0.14079542590827554</c:v>
                </c:pt>
                <c:pt idx="9">
                  <c:v>0.14156043219427011</c:v>
                </c:pt>
                <c:pt idx="10">
                  <c:v>0.14199405908059184</c:v>
                </c:pt>
                <c:pt idx="11">
                  <c:v>0.14055915127593013</c:v>
                </c:pt>
                <c:pt idx="12">
                  <c:v>0.14228602882757449</c:v>
                </c:pt>
                <c:pt idx="13">
                  <c:v>0.14163099917366148</c:v>
                </c:pt>
                <c:pt idx="14">
                  <c:v>0.13691651289009044</c:v>
                </c:pt>
                <c:pt idx="15">
                  <c:v>0.1419112707619824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638720"/>
        <c:axId val="106656896"/>
      </c:lineChart>
      <c:catAx>
        <c:axId val="10663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06656896"/>
        <c:crosses val="autoZero"/>
        <c:auto val="1"/>
        <c:lblAlgn val="ctr"/>
        <c:lblOffset val="100"/>
        <c:noMultiLvlLbl val="0"/>
      </c:catAx>
      <c:valAx>
        <c:axId val="10665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06638720"/>
        <c:crosses val="autoZero"/>
        <c:crossBetween val="between"/>
      </c:valAx>
      <c:valAx>
        <c:axId val="106658432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06660224"/>
        <c:crosses val="max"/>
        <c:crossBetween val="between"/>
      </c:valAx>
      <c:catAx>
        <c:axId val="106660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6584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E2020'!$I$4</c:f>
              <c:strCache>
                <c:ptCount val="1"/>
                <c:pt idx="0">
                  <c:v>СЗР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5F1-40B3-AAAB-5476CCE91197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5F1-40B3-AAAB-5476CCE91197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E2020'!$I$5:$I$16</c:f>
              <c:numCache>
                <c:formatCode>General</c:formatCode>
                <c:ptCount val="12"/>
                <c:pt idx="0">
                  <c:v>64</c:v>
                </c:pt>
                <c:pt idx="1">
                  <c:v>65.900000000000006</c:v>
                </c:pt>
                <c:pt idx="2">
                  <c:v>63.9</c:v>
                </c:pt>
                <c:pt idx="3">
                  <c:v>60.1</c:v>
                </c:pt>
                <c:pt idx="4">
                  <c:v>58</c:v>
                </c:pt>
                <c:pt idx="5">
                  <c:v>58</c:v>
                </c:pt>
                <c:pt idx="6">
                  <c:v>58.7</c:v>
                </c:pt>
                <c:pt idx="7">
                  <c:v>58.9</c:v>
                </c:pt>
                <c:pt idx="8">
                  <c:v>60.1</c:v>
                </c:pt>
                <c:pt idx="9">
                  <c:v>64.8</c:v>
                </c:pt>
                <c:pt idx="10">
                  <c:v>59.1</c:v>
                </c:pt>
                <c:pt idx="11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5F1-40B3-AAAB-5476CCE91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06691200"/>
        <c:axId val="107086208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5F1-40B3-AAAB-5476CCE91197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E2020'!$B$5:$B$16</c:f>
              <c:numCache>
                <c:formatCode>General</c:formatCode>
                <c:ptCount val="12"/>
                <c:pt idx="0">
                  <c:v>69.8</c:v>
                </c:pt>
                <c:pt idx="1">
                  <c:v>70.3</c:v>
                </c:pt>
                <c:pt idx="2">
                  <c:v>69</c:v>
                </c:pt>
                <c:pt idx="3">
                  <c:v>68.599999999999994</c:v>
                </c:pt>
                <c:pt idx="4">
                  <c:v>68.599999999999994</c:v>
                </c:pt>
                <c:pt idx="5">
                  <c:v>68.400000000000006</c:v>
                </c:pt>
                <c:pt idx="6">
                  <c:v>68.400000000000006</c:v>
                </c:pt>
                <c:pt idx="7">
                  <c:v>69.2</c:v>
                </c:pt>
                <c:pt idx="8">
                  <c:v>70.099999999999994</c:v>
                </c:pt>
                <c:pt idx="9">
                  <c:v>70.099999999999994</c:v>
                </c:pt>
                <c:pt idx="10">
                  <c:v>71.099999999999994</c:v>
                </c:pt>
                <c:pt idx="11">
                  <c:v>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65F1-40B3-AAAB-5476CCE91197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5F1-40B3-AAAB-5476CCE91197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E2020'!$C$5:$C$16</c:f>
              <c:numCache>
                <c:formatCode>General</c:formatCode>
                <c:ptCount val="12"/>
                <c:pt idx="0">
                  <c:v>68.400000000000006</c:v>
                </c:pt>
                <c:pt idx="1">
                  <c:v>70.7</c:v>
                </c:pt>
                <c:pt idx="2">
                  <c:v>68.8</c:v>
                </c:pt>
                <c:pt idx="3">
                  <c:v>64.7</c:v>
                </c:pt>
                <c:pt idx="4">
                  <c:v>62.9</c:v>
                </c:pt>
                <c:pt idx="5">
                  <c:v>63</c:v>
                </c:pt>
                <c:pt idx="6">
                  <c:v>63.5</c:v>
                </c:pt>
                <c:pt idx="7">
                  <c:v>65.099999999999994</c:v>
                </c:pt>
                <c:pt idx="8">
                  <c:v>67.099999999999994</c:v>
                </c:pt>
                <c:pt idx="9">
                  <c:v>67.099999999999994</c:v>
                </c:pt>
                <c:pt idx="10">
                  <c:v>67.7</c:v>
                </c:pt>
                <c:pt idx="11">
                  <c:v>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65F1-40B3-AAAB-5476CCE91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691200"/>
        <c:axId val="107086208"/>
      </c:lineChart>
      <c:catAx>
        <c:axId val="10669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07086208"/>
        <c:crosses val="autoZero"/>
        <c:auto val="1"/>
        <c:lblAlgn val="ctr"/>
        <c:lblOffset val="100"/>
        <c:noMultiLvlLbl val="0"/>
      </c:catAx>
      <c:valAx>
        <c:axId val="10708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0669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E2020'!$I$4</c:f>
              <c:strCache>
                <c:ptCount val="1"/>
                <c:pt idx="0">
                  <c:v>СЗР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09-422B-9E02-DA8914235DBA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09-422B-9E02-DA8914235DBA}"/>
              </c:ext>
            </c:extLst>
          </c:dPt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E2020'!$I$20:$I$31</c:f>
              <c:numCache>
                <c:formatCode>General</c:formatCode>
                <c:ptCount val="12"/>
                <c:pt idx="0">
                  <c:v>38.200000000000003</c:v>
                </c:pt>
                <c:pt idx="1">
                  <c:v>41.4</c:v>
                </c:pt>
                <c:pt idx="2">
                  <c:v>41.4</c:v>
                </c:pt>
                <c:pt idx="3">
                  <c:v>39.9</c:v>
                </c:pt>
                <c:pt idx="4">
                  <c:v>39.799999999999997</c:v>
                </c:pt>
                <c:pt idx="5">
                  <c:v>40.9</c:v>
                </c:pt>
                <c:pt idx="6">
                  <c:v>42.3</c:v>
                </c:pt>
                <c:pt idx="7">
                  <c:v>44.2</c:v>
                </c:pt>
                <c:pt idx="8">
                  <c:v>49.2</c:v>
                </c:pt>
                <c:pt idx="9">
                  <c:v>41.2</c:v>
                </c:pt>
                <c:pt idx="10">
                  <c:v>48.8</c:v>
                </c:pt>
                <c:pt idx="11">
                  <c:v>45.6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09-422B-9E02-DA8914235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07135744"/>
        <c:axId val="107137664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E2020'!$B$20:$B$31</c:f>
              <c:numCache>
                <c:formatCode>General</c:formatCode>
                <c:ptCount val="12"/>
                <c:pt idx="0">
                  <c:v>44.5</c:v>
                </c:pt>
                <c:pt idx="1">
                  <c:v>45.5</c:v>
                </c:pt>
                <c:pt idx="2">
                  <c:v>45.9</c:v>
                </c:pt>
                <c:pt idx="3">
                  <c:v>46.2</c:v>
                </c:pt>
                <c:pt idx="4">
                  <c:v>47.2</c:v>
                </c:pt>
                <c:pt idx="5">
                  <c:v>48.7</c:v>
                </c:pt>
                <c:pt idx="6">
                  <c:v>50.1</c:v>
                </c:pt>
                <c:pt idx="7">
                  <c:v>51.8</c:v>
                </c:pt>
                <c:pt idx="8">
                  <c:v>53.3</c:v>
                </c:pt>
                <c:pt idx="9">
                  <c:v>53.3</c:v>
                </c:pt>
                <c:pt idx="10">
                  <c:v>55.3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A09-422B-9E02-DA8914235DBA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E2020'!$C$20:$C$31</c:f>
              <c:numCache>
                <c:formatCode>General</c:formatCode>
                <c:ptCount val="12"/>
                <c:pt idx="0">
                  <c:v>42.6</c:v>
                </c:pt>
                <c:pt idx="1">
                  <c:v>46</c:v>
                </c:pt>
                <c:pt idx="2">
                  <c:v>46.1</c:v>
                </c:pt>
                <c:pt idx="3">
                  <c:v>44.9</c:v>
                </c:pt>
                <c:pt idx="4">
                  <c:v>44.6</c:v>
                </c:pt>
                <c:pt idx="5">
                  <c:v>45.7</c:v>
                </c:pt>
                <c:pt idx="6">
                  <c:v>47.4</c:v>
                </c:pt>
                <c:pt idx="7">
                  <c:v>50</c:v>
                </c:pt>
                <c:pt idx="8">
                  <c:v>53</c:v>
                </c:pt>
                <c:pt idx="9">
                  <c:v>53</c:v>
                </c:pt>
                <c:pt idx="10">
                  <c:v>54.5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A09-422B-9E02-DA8914235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135744"/>
        <c:axId val="107137664"/>
      </c:lineChart>
      <c:catAx>
        <c:axId val="10713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07137664"/>
        <c:crosses val="autoZero"/>
        <c:auto val="1"/>
        <c:lblAlgn val="ctr"/>
        <c:lblOffset val="100"/>
        <c:noMultiLvlLbl val="0"/>
      </c:catAx>
      <c:valAx>
        <c:axId val="10713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0713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6"/>
          <c:order val="2"/>
          <c:tx>
            <c:strRef>
              <c:f>'indicators E2020'!$H$4</c:f>
              <c:strCache>
                <c:ptCount val="1"/>
                <c:pt idx="0">
                  <c:v>СЦР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CA-49D5-9220-206D42F2A72E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CA-49D5-9220-206D42F2A72E}"/>
              </c:ext>
            </c:extLst>
          </c:dPt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E2020'!$I$35:$I$48</c:f>
              <c:numCache>
                <c:formatCode>General</c:formatCode>
                <c:ptCount val="14"/>
                <c:pt idx="0">
                  <c:v>0.1</c:v>
                </c:pt>
                <c:pt idx="1">
                  <c:v>0.13</c:v>
                </c:pt>
                <c:pt idx="2">
                  <c:v>0.14000000000000001</c:v>
                </c:pt>
                <c:pt idx="3">
                  <c:v>0.11</c:v>
                </c:pt>
                <c:pt idx="4">
                  <c:v>0.15</c:v>
                </c:pt>
                <c:pt idx="5">
                  <c:v>0.12</c:v>
                </c:pt>
                <c:pt idx="6">
                  <c:v>0.12</c:v>
                </c:pt>
                <c:pt idx="7">
                  <c:v>0.16</c:v>
                </c:pt>
                <c:pt idx="8">
                  <c:v>0.18</c:v>
                </c:pt>
                <c:pt idx="9">
                  <c:v>0.2</c:v>
                </c:pt>
                <c:pt idx="10">
                  <c:v>0.55000000000000004</c:v>
                </c:pt>
                <c:pt idx="11">
                  <c:v>0.3</c:v>
                </c:pt>
                <c:pt idx="13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ACA-49D5-9220-206D42F2A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5969152"/>
        <c:axId val="125970688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E2020'!$B$35:$B$48</c:f>
              <c:numCache>
                <c:formatCode>General</c:formatCode>
                <c:ptCount val="14"/>
                <c:pt idx="0">
                  <c:v>1.76</c:v>
                </c:pt>
                <c:pt idx="1">
                  <c:v>1.78</c:v>
                </c:pt>
                <c:pt idx="2">
                  <c:v>1.78</c:v>
                </c:pt>
                <c:pt idx="3">
                  <c:v>1.85</c:v>
                </c:pt>
                <c:pt idx="4">
                  <c:v>1.94</c:v>
                </c:pt>
                <c:pt idx="5">
                  <c:v>1.93</c:v>
                </c:pt>
                <c:pt idx="6">
                  <c:v>1.97</c:v>
                </c:pt>
                <c:pt idx="7">
                  <c:v>2.0099999999999998</c:v>
                </c:pt>
                <c:pt idx="8">
                  <c:v>2.0299999999999998</c:v>
                </c:pt>
                <c:pt idx="9">
                  <c:v>2.04</c:v>
                </c:pt>
                <c:pt idx="10">
                  <c:v>2.0299999999999998</c:v>
                </c:pt>
                <c:pt idx="11">
                  <c:v>2.0299999999999998</c:v>
                </c:pt>
                <c:pt idx="13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ACA-49D5-9220-206D42F2A72E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3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ACA-49D5-9220-206D42F2A72E}"/>
              </c:ext>
            </c:extLst>
          </c:dPt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E2020'!$C$35:$C$48</c:f>
              <c:numCache>
                <c:formatCode>General</c:formatCode>
                <c:ptCount val="14"/>
                <c:pt idx="0">
                  <c:v>0.45</c:v>
                </c:pt>
                <c:pt idx="1">
                  <c:v>0.45</c:v>
                </c:pt>
                <c:pt idx="2">
                  <c:v>0.43</c:v>
                </c:pt>
                <c:pt idx="3">
                  <c:v>0.45</c:v>
                </c:pt>
                <c:pt idx="4">
                  <c:v>0.49</c:v>
                </c:pt>
                <c:pt idx="5">
                  <c:v>0.56000000000000005</c:v>
                </c:pt>
                <c:pt idx="6">
                  <c:v>0.53</c:v>
                </c:pt>
                <c:pt idx="7">
                  <c:v>0.6</c:v>
                </c:pt>
                <c:pt idx="8">
                  <c:v>0.63</c:v>
                </c:pt>
                <c:pt idx="9">
                  <c:v>0.79</c:v>
                </c:pt>
                <c:pt idx="10">
                  <c:v>0.96</c:v>
                </c:pt>
                <c:pt idx="11">
                  <c:v>0.96</c:v>
                </c:pt>
                <c:pt idx="12">
                  <c:v>0.78</c:v>
                </c:pt>
                <c:pt idx="13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5ACA-49D5-9220-206D42F2A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969152"/>
        <c:axId val="125970688"/>
      </c:lineChart>
      <c:catAx>
        <c:axId val="12596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5970688"/>
        <c:crosses val="autoZero"/>
        <c:auto val="1"/>
        <c:lblAlgn val="ctr"/>
        <c:lblOffset val="100"/>
        <c:noMultiLvlLbl val="0"/>
      </c:catAx>
      <c:valAx>
        <c:axId val="12597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596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E2020'!$I$4</c:f>
              <c:strCache>
                <c:ptCount val="1"/>
                <c:pt idx="0">
                  <c:v>СЗР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65-4708-B702-C0AF5386C48E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65-4708-B702-C0AF5386C48E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E2020'!$I$59:$I$70</c:f>
              <c:numCache>
                <c:formatCode>General</c:formatCode>
                <c:ptCount val="12"/>
                <c:pt idx="0">
                  <c:v>17.100000000000001</c:v>
                </c:pt>
                <c:pt idx="1">
                  <c:v>15.4</c:v>
                </c:pt>
                <c:pt idx="2">
                  <c:v>15.2</c:v>
                </c:pt>
                <c:pt idx="3">
                  <c:v>16.600000000000001</c:v>
                </c:pt>
                <c:pt idx="4">
                  <c:v>16.600000000000001</c:v>
                </c:pt>
                <c:pt idx="5">
                  <c:v>20.8</c:v>
                </c:pt>
                <c:pt idx="6">
                  <c:v>18.2</c:v>
                </c:pt>
                <c:pt idx="7">
                  <c:v>20.8</c:v>
                </c:pt>
                <c:pt idx="8">
                  <c:v>23.1</c:v>
                </c:pt>
                <c:pt idx="9">
                  <c:v>14.6</c:v>
                </c:pt>
                <c:pt idx="10">
                  <c:v>27.7</c:v>
                </c:pt>
                <c:pt idx="1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B65-4708-B702-C0AF5386C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6022400"/>
        <c:axId val="126023936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B65-4708-B702-C0AF5386C48E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E2020'!$B$59:$B$70</c:f>
              <c:numCache>
                <c:formatCode>General</c:formatCode>
                <c:ptCount val="12"/>
                <c:pt idx="0">
                  <c:v>14.9</c:v>
                </c:pt>
                <c:pt idx="1">
                  <c:v>14.7</c:v>
                </c:pt>
                <c:pt idx="2">
                  <c:v>14.2</c:v>
                </c:pt>
                <c:pt idx="3">
                  <c:v>13.9</c:v>
                </c:pt>
                <c:pt idx="4">
                  <c:v>13.4</c:v>
                </c:pt>
                <c:pt idx="5">
                  <c:v>12.7</c:v>
                </c:pt>
                <c:pt idx="6">
                  <c:v>11.9</c:v>
                </c:pt>
                <c:pt idx="7">
                  <c:v>11.2</c:v>
                </c:pt>
                <c:pt idx="8">
                  <c:v>11</c:v>
                </c:pt>
                <c:pt idx="9">
                  <c:v>11</c:v>
                </c:pt>
                <c:pt idx="11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B65-4708-B702-C0AF5386C48E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65-4708-B702-C0AF5386C48E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E2020'!$C$59:$C$70</c:f>
              <c:numCache>
                <c:formatCode>General</c:formatCode>
                <c:ptCount val="12"/>
                <c:pt idx="0">
                  <c:v>14.9</c:v>
                </c:pt>
                <c:pt idx="1">
                  <c:v>14.8</c:v>
                </c:pt>
                <c:pt idx="2">
                  <c:v>14.7</c:v>
                </c:pt>
                <c:pt idx="3">
                  <c:v>12.6</c:v>
                </c:pt>
                <c:pt idx="4">
                  <c:v>11.8</c:v>
                </c:pt>
                <c:pt idx="5">
                  <c:v>12.5</c:v>
                </c:pt>
                <c:pt idx="6">
                  <c:v>12.5</c:v>
                </c:pt>
                <c:pt idx="7">
                  <c:v>12.9</c:v>
                </c:pt>
                <c:pt idx="8">
                  <c:v>13.4</c:v>
                </c:pt>
                <c:pt idx="9">
                  <c:v>13.4</c:v>
                </c:pt>
                <c:pt idx="11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DB65-4708-B702-C0AF5386C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022400"/>
        <c:axId val="126023936"/>
      </c:lineChart>
      <c:catAx>
        <c:axId val="12602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6023936"/>
        <c:crosses val="autoZero"/>
        <c:auto val="1"/>
        <c:lblAlgn val="ctr"/>
        <c:lblOffset val="100"/>
        <c:noMultiLvlLbl val="0"/>
      </c:catAx>
      <c:valAx>
        <c:axId val="12602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602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E2020'!$I$4</c:f>
              <c:strCache>
                <c:ptCount val="1"/>
                <c:pt idx="0">
                  <c:v>СЗР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AD6-40AB-A990-F37ED9E10D69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D6-40AB-A990-F37ED9E10D69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E2020'!$I$81:$I$92</c:f>
              <c:numCache>
                <c:formatCode>General</c:formatCode>
                <c:ptCount val="12"/>
                <c:pt idx="0">
                  <c:v>18.3</c:v>
                </c:pt>
                <c:pt idx="1">
                  <c:v>21.8</c:v>
                </c:pt>
                <c:pt idx="2">
                  <c:v>20.8</c:v>
                </c:pt>
                <c:pt idx="3">
                  <c:v>21.8</c:v>
                </c:pt>
                <c:pt idx="4">
                  <c:v>17.600000000000001</c:v>
                </c:pt>
                <c:pt idx="5">
                  <c:v>18</c:v>
                </c:pt>
                <c:pt idx="6">
                  <c:v>20.7</c:v>
                </c:pt>
                <c:pt idx="7">
                  <c:v>23.8</c:v>
                </c:pt>
                <c:pt idx="8">
                  <c:v>22.5</c:v>
                </c:pt>
                <c:pt idx="9">
                  <c:v>25.5</c:v>
                </c:pt>
                <c:pt idx="10">
                  <c:v>19.100000000000001</c:v>
                </c:pt>
                <c:pt idx="11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AD6-40AB-A990-F37ED9E10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6206720"/>
        <c:axId val="126208256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AD6-40AB-A990-F37ED9E10D69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E2020'!$B$81:$B$92</c:f>
              <c:numCache>
                <c:formatCode>General</c:formatCode>
                <c:ptCount val="12"/>
                <c:pt idx="0">
                  <c:v>30.1</c:v>
                </c:pt>
                <c:pt idx="1">
                  <c:v>31.1</c:v>
                </c:pt>
                <c:pt idx="2">
                  <c:v>32.299999999999997</c:v>
                </c:pt>
                <c:pt idx="3">
                  <c:v>33.799999999999997</c:v>
                </c:pt>
                <c:pt idx="4">
                  <c:v>34.799999999999997</c:v>
                </c:pt>
                <c:pt idx="5">
                  <c:v>36</c:v>
                </c:pt>
                <c:pt idx="6">
                  <c:v>37.1</c:v>
                </c:pt>
                <c:pt idx="7">
                  <c:v>37.9</c:v>
                </c:pt>
                <c:pt idx="8">
                  <c:v>38.700000000000003</c:v>
                </c:pt>
                <c:pt idx="9">
                  <c:v>38.700000000000003</c:v>
                </c:pt>
                <c:pt idx="10">
                  <c:v>39.1</c:v>
                </c:pt>
                <c:pt idx="11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2AD6-40AB-A990-F37ED9E10D69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AD6-40AB-A990-F37ED9E10D69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E2020'!$C$81:$C$92</c:f>
              <c:numCache>
                <c:formatCode>General</c:formatCode>
                <c:ptCount val="12"/>
                <c:pt idx="0">
                  <c:v>26</c:v>
                </c:pt>
                <c:pt idx="1">
                  <c:v>27.1</c:v>
                </c:pt>
                <c:pt idx="2">
                  <c:v>27.9</c:v>
                </c:pt>
                <c:pt idx="3">
                  <c:v>28</c:v>
                </c:pt>
                <c:pt idx="4">
                  <c:v>27.3</c:v>
                </c:pt>
                <c:pt idx="5">
                  <c:v>26.9</c:v>
                </c:pt>
                <c:pt idx="6">
                  <c:v>29.4</c:v>
                </c:pt>
                <c:pt idx="7">
                  <c:v>30.9</c:v>
                </c:pt>
                <c:pt idx="8">
                  <c:v>32.1</c:v>
                </c:pt>
                <c:pt idx="9">
                  <c:v>32.1</c:v>
                </c:pt>
                <c:pt idx="10">
                  <c:v>33.799999999999997</c:v>
                </c:pt>
                <c:pt idx="11">
                  <c:v>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2AD6-40AB-A990-F37ED9E10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206720"/>
        <c:axId val="126208256"/>
      </c:lineChart>
      <c:catAx>
        <c:axId val="12620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6208256"/>
        <c:crosses val="autoZero"/>
        <c:auto val="1"/>
        <c:lblAlgn val="ctr"/>
        <c:lblOffset val="100"/>
        <c:noMultiLvlLbl val="0"/>
      </c:catAx>
      <c:valAx>
        <c:axId val="12620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620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E2020'!$I$4</c:f>
              <c:strCache>
                <c:ptCount val="1"/>
                <c:pt idx="0">
                  <c:v>СЗР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3E-4C14-BC8F-98A270DD0777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F3E-4C14-BC8F-98A270DD0777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F3E-4C14-BC8F-98A270DD0777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F3E-4C14-BC8F-98A270DD0777}"/>
              </c:ext>
            </c:extLst>
          </c:dPt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E2020'!$I$103:$I$113</c:f>
              <c:numCache>
                <c:formatCode>General</c:formatCode>
                <c:ptCount val="11"/>
                <c:pt idx="0">
                  <c:v>469.7</c:v>
                </c:pt>
                <c:pt idx="1">
                  <c:v>452.7</c:v>
                </c:pt>
                <c:pt idx="2">
                  <c:v>462.7</c:v>
                </c:pt>
                <c:pt idx="3">
                  <c:v>454.8</c:v>
                </c:pt>
                <c:pt idx="4">
                  <c:v>417.3</c:v>
                </c:pt>
                <c:pt idx="5">
                  <c:v>423.7</c:v>
                </c:pt>
                <c:pt idx="6">
                  <c:v>345.3</c:v>
                </c:pt>
                <c:pt idx="7">
                  <c:v>335.5</c:v>
                </c:pt>
                <c:pt idx="8">
                  <c:v>410.6</c:v>
                </c:pt>
                <c:pt idx="9">
                  <c:v>329.3</c:v>
                </c:pt>
                <c:pt idx="10">
                  <c:v>382.4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F3E-4C14-BC8F-98A270DD07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6311040"/>
        <c:axId val="126321024"/>
      </c:barChart>
      <c:lineChart>
        <c:grouping val="standard"/>
        <c:varyColors val="0"/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F3E-4C14-BC8F-98A270DD0777}"/>
              </c:ext>
            </c:extLst>
          </c:dPt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E2020'!$C$103:$C$113</c:f>
              <c:numCache>
                <c:formatCode>#,##0.0</c:formatCode>
                <c:ptCount val="11"/>
                <c:pt idx="0">
                  <c:v>3421</c:v>
                </c:pt>
                <c:pt idx="1">
                  <c:v>3511.2</c:v>
                </c:pt>
                <c:pt idx="2">
                  <c:v>3718.7</c:v>
                </c:pt>
                <c:pt idx="3">
                  <c:v>3693.2</c:v>
                </c:pt>
                <c:pt idx="4">
                  <c:v>3621.1</c:v>
                </c:pt>
                <c:pt idx="5">
                  <c:v>3493.4</c:v>
                </c:pt>
                <c:pt idx="6">
                  <c:v>2908.6</c:v>
                </c:pt>
                <c:pt idx="7">
                  <c:v>2981.7</c:v>
                </c:pt>
                <c:pt idx="8">
                  <c:v>2981.7</c:v>
                </c:pt>
                <c:pt idx="9">
                  <c:v>2890.3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DF3E-4C14-BC8F-98A270DD07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311040"/>
        <c:axId val="126321024"/>
      </c:line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DF3E-4C14-BC8F-98A270DD0777}"/>
              </c:ext>
            </c:extLst>
          </c:dPt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E2020'!$B$103:$B$113</c:f>
              <c:numCache>
                <c:formatCode>General</c:formatCode>
                <c:ptCount val="11"/>
                <c:pt idx="2">
                  <c:v>117678</c:v>
                </c:pt>
                <c:pt idx="3">
                  <c:v>120667</c:v>
                </c:pt>
                <c:pt idx="4">
                  <c:v>123614</c:v>
                </c:pt>
                <c:pt idx="5">
                  <c:v>122703</c:v>
                </c:pt>
                <c:pt idx="6">
                  <c:v>121910</c:v>
                </c:pt>
                <c:pt idx="7">
                  <c:v>119049</c:v>
                </c:pt>
                <c:pt idx="8">
                  <c:v>119049</c:v>
                </c:pt>
                <c:pt idx="9">
                  <c:v>117951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DF3E-4C14-BC8F-98A270DD07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324096"/>
        <c:axId val="126322560"/>
      </c:lineChart>
      <c:catAx>
        <c:axId val="12631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6321024"/>
        <c:crosses val="autoZero"/>
        <c:auto val="1"/>
        <c:lblAlgn val="ctr"/>
        <c:lblOffset val="100"/>
        <c:noMultiLvlLbl val="0"/>
      </c:catAx>
      <c:valAx>
        <c:axId val="12632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6311040"/>
        <c:crosses val="autoZero"/>
        <c:crossBetween val="between"/>
      </c:valAx>
      <c:valAx>
        <c:axId val="12632256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6324096"/>
        <c:crosses val="max"/>
        <c:crossBetween val="between"/>
      </c:valAx>
      <c:catAx>
        <c:axId val="126324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3225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Sheet2!$C$42</c:f>
              <c:strCache>
                <c:ptCount val="1"/>
                <c:pt idx="0">
                  <c:v>договорени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Sheet2!$B$43:$B$48</c:f>
              <c:strCache>
                <c:ptCount val="6"/>
                <c:pt idx="0">
                  <c:v>СЗР</c:v>
                </c:pt>
                <c:pt idx="1">
                  <c:v>Видин</c:v>
                </c:pt>
                <c:pt idx="2">
                  <c:v>Враца</c:v>
                </c:pt>
                <c:pt idx="3">
                  <c:v>Ловеч</c:v>
                </c:pt>
                <c:pt idx="4">
                  <c:v>Монтана</c:v>
                </c:pt>
                <c:pt idx="5">
                  <c:v>Плевен</c:v>
                </c:pt>
              </c:strCache>
            </c:strRef>
          </c:cat>
          <c:val>
            <c:numRef>
              <c:f>Sheet2!$C$43:$C$48</c:f>
              <c:numCache>
                <c:formatCode>_(* #,##0.00_);_(* \(#,##0.00\);_(* "-"??_);_(@_)</c:formatCode>
                <c:ptCount val="6"/>
                <c:pt idx="0">
                  <c:v>1222.8</c:v>
                </c:pt>
                <c:pt idx="1">
                  <c:v>102.53</c:v>
                </c:pt>
                <c:pt idx="2">
                  <c:v>311.7</c:v>
                </c:pt>
                <c:pt idx="3">
                  <c:v>114.4</c:v>
                </c:pt>
                <c:pt idx="4">
                  <c:v>197.85</c:v>
                </c:pt>
                <c:pt idx="5">
                  <c:v>496.4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DB-4DEB-B011-4ED47EC7F576}"/>
            </c:ext>
          </c:extLst>
        </c:ser>
        <c:ser>
          <c:idx val="1"/>
          <c:order val="1"/>
          <c:tx>
            <c:strRef>
              <c:f>Sheet2!$D$42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Sheet2!$B$43:$B$48</c:f>
              <c:strCache>
                <c:ptCount val="6"/>
                <c:pt idx="0">
                  <c:v>СЗР</c:v>
                </c:pt>
                <c:pt idx="1">
                  <c:v>Видин</c:v>
                </c:pt>
                <c:pt idx="2">
                  <c:v>Враца</c:v>
                </c:pt>
                <c:pt idx="3">
                  <c:v>Ловеч</c:v>
                </c:pt>
                <c:pt idx="4">
                  <c:v>Монтана</c:v>
                </c:pt>
                <c:pt idx="5">
                  <c:v>Плевен</c:v>
                </c:pt>
              </c:strCache>
            </c:strRef>
          </c:cat>
          <c:val>
            <c:numRef>
              <c:f>Sheet2!$D$43:$D$48</c:f>
              <c:numCache>
                <c:formatCode>_(* #,##0.00_);_(* \(#,##0.00\);_(* "-"??_);_(@_)</c:formatCode>
                <c:ptCount val="6"/>
                <c:pt idx="0">
                  <c:v>212.7</c:v>
                </c:pt>
                <c:pt idx="1">
                  <c:v>16.5</c:v>
                </c:pt>
                <c:pt idx="2">
                  <c:v>58.9</c:v>
                </c:pt>
                <c:pt idx="3">
                  <c:v>24.6</c:v>
                </c:pt>
                <c:pt idx="4">
                  <c:v>39</c:v>
                </c:pt>
                <c:pt idx="5">
                  <c:v>73.599999999999994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DB-4DEB-B011-4ED47EC7F5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35328"/>
        <c:axId val="126436864"/>
      </c:barChart>
      <c:lineChart>
        <c:grouping val="standard"/>
        <c:varyColors val="0"/>
        <c:ser>
          <c:idx val="2"/>
          <c:order val="2"/>
          <c:tx>
            <c:strRef>
              <c:f>Sheet2!$E$42</c:f>
              <c:strCache>
                <c:ptCount val="1"/>
                <c:pt idx="0">
                  <c:v>индикативен ресурс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cat>
            <c:strRef>
              <c:f>Sheet2!$B$43:$B$48</c:f>
              <c:strCache>
                <c:ptCount val="6"/>
                <c:pt idx="0">
                  <c:v>СЗР</c:v>
                </c:pt>
                <c:pt idx="1">
                  <c:v>Видин</c:v>
                </c:pt>
                <c:pt idx="2">
                  <c:v>Враца</c:v>
                </c:pt>
                <c:pt idx="3">
                  <c:v>Ловеч</c:v>
                </c:pt>
                <c:pt idx="4">
                  <c:v>Монтана</c:v>
                </c:pt>
                <c:pt idx="5">
                  <c:v>Плевен</c:v>
                </c:pt>
              </c:strCache>
            </c:strRef>
          </c:cat>
          <c:val>
            <c:numRef>
              <c:f>Sheet2!$E$43:$E$48</c:f>
              <c:numCache>
                <c:formatCode>General</c:formatCode>
                <c:ptCount val="6"/>
                <c:pt idx="0">
                  <c:v>2334.3000000000002</c:v>
                </c:pt>
                <c:pt idx="1">
                  <c:v>2334.3000000000002</c:v>
                </c:pt>
                <c:pt idx="2">
                  <c:v>2334.3000000000002</c:v>
                </c:pt>
                <c:pt idx="3">
                  <c:v>2334.3000000000002</c:v>
                </c:pt>
                <c:pt idx="4">
                  <c:v>2334.3000000000002</c:v>
                </c:pt>
                <c:pt idx="5">
                  <c:v>2334.3000000000002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0DB-4DEB-B011-4ED47EC7F5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448384"/>
        <c:axId val="126438400"/>
      </c:lineChart>
      <c:catAx>
        <c:axId val="12643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436864"/>
        <c:crosses val="autoZero"/>
        <c:auto val="1"/>
        <c:lblAlgn val="ctr"/>
        <c:lblOffset val="100"/>
        <c:noMultiLvlLbl val="0"/>
      </c:catAx>
      <c:valAx>
        <c:axId val="12643686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_(* #,##0.00_);_(* \(#,##0.00\);_(* &quot;-&quot;??_);_(@_)" sourceLinked="1"/>
        <c:majorTickMark val="out"/>
        <c:minorTickMark val="none"/>
        <c:tickLblPos val="nextTo"/>
        <c:crossAx val="126435328"/>
        <c:crosses val="autoZero"/>
        <c:crossBetween val="between"/>
      </c:valAx>
      <c:valAx>
        <c:axId val="12643840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26448384"/>
        <c:crosses val="max"/>
        <c:crossBetween val="between"/>
      </c:valAx>
      <c:catAx>
        <c:axId val="126448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438400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bg1">
          <a:lumMod val="75000"/>
        </a:schemeClr>
      </a:solidFill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>България, гр. София 1000, 
ул. Триадица № 4</CompanyAddress>
  <CompanyPhone>Агенция СТРАТЕГМА ООД България, гр. София 1000, ул. Триадица № 4 тел./факс: (+359 2) 981 4738 agency@strategma.bg</CompanyPhone>
  <CompanyFax>agency@strategma.bg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49E385-4337-430E-A6CA-31905C25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7147</Words>
  <Characters>40739</Characters>
  <Application>Microsoft Office Word</Application>
  <DocSecurity>0</DocSecurity>
  <Lines>339</Lines>
  <Paragraphs>95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2017, Междинна оценка за изпълнението на РПР на СЗР, 2014-2020 г.</vt:lpstr>
      <vt:lpstr>МЕЖДИННА ОЦЕНКА ЗА ИЗПЪЛНЕНИЕТО НА РЕГИОНАЛНИЯ ПЛАН ЗА РАЗВИТИЕ 2014-2020 Г. НА СЕВЕРОЗАПАДЕН РАЙОН ОТ НИВО 2</vt:lpstr>
    </vt:vector>
  </TitlesOfParts>
  <Company>Hewlett-Packard Company</Company>
  <LinksUpToDate>false</LinksUpToDate>
  <CharactersWithSpaces>47791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mailto:agency@strategma.bg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2017, Междинна оценка за изпълнението на РПР на СЗР, 2014-2020 г.</dc:title>
  <dc:creator>Агенция СТРАТЕГМА ООД</dc:creator>
  <cp:lastModifiedBy>Penyo Dyakov</cp:lastModifiedBy>
  <cp:revision>11</cp:revision>
  <cp:lastPrinted>2017-12-06T09:31:00Z</cp:lastPrinted>
  <dcterms:created xsi:type="dcterms:W3CDTF">2017-12-06T09:32:00Z</dcterms:created>
  <dcterms:modified xsi:type="dcterms:W3CDTF">2018-08-13T07:25:00Z</dcterms:modified>
</cp:coreProperties>
</file>