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B33891" w:rsidRDefault="00D02F15">
      <w:pPr>
        <w:spacing w:before="100" w:beforeAutospacing="1" w:after="100" w:afterAutospacing="1" w:line="240" w:lineRule="auto"/>
        <w:jc w:val="center"/>
        <w:textAlignment w:val="center"/>
        <w:divId w:val="2026706494"/>
        <w:rPr>
          <w:rFonts w:ascii="Times New Roman" w:hAnsi="Times New Roman" w:cs="Times New Roman"/>
          <w:b/>
          <w:bCs/>
          <w:color w:val="000000"/>
          <w:sz w:val="30"/>
          <w:szCs w:val="30"/>
          <w:lang w:val="bg-BG"/>
        </w:rPr>
      </w:pPr>
      <w:r w:rsidRPr="00B33891">
        <w:rPr>
          <w:rFonts w:ascii="Times New Roman" w:hAnsi="Times New Roman" w:cs="Times New Roman"/>
          <w:b/>
          <w:bCs/>
          <w:color w:val="000000"/>
          <w:sz w:val="30"/>
          <w:szCs w:val="30"/>
          <w:lang w:val="bg-BG"/>
        </w:rPr>
        <w:t>МЕТОДИКА ЗА ИЗМЕНЕНИЕ НА ЦЕНАТА НА ДОГОВОР ЗА ОБЩЕСТВЕНА ПОРЪЧКА В РЕЗУЛТАТ НА ИНФЛАЦИЯ</w:t>
      </w:r>
    </w:p>
    <w:p w:rsidR="00000000" w:rsidRPr="00B33891" w:rsidRDefault="00D02F15">
      <w:pPr>
        <w:spacing w:after="0" w:line="240" w:lineRule="auto"/>
        <w:ind w:firstLine="1155"/>
        <w:textAlignment w:val="center"/>
        <w:divId w:val="141944554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</w:pPr>
      <w:r w:rsidRPr="00B338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В сила от 30.09.2022 г.</w:t>
      </w:r>
    </w:p>
    <w:p w:rsidR="00000000" w:rsidRPr="00B33891" w:rsidRDefault="00D02F15">
      <w:pPr>
        <w:spacing w:after="0" w:line="240" w:lineRule="auto"/>
        <w:ind w:firstLine="1155"/>
        <w:textAlignment w:val="center"/>
        <w:divId w:val="146219217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</w:pPr>
      <w:r w:rsidRPr="00B338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Приета с ПМС № 290 от 27.09.2022 г.</w:t>
      </w:r>
    </w:p>
    <w:p w:rsidR="00000000" w:rsidRPr="00B33891" w:rsidRDefault="00D02F15">
      <w:pPr>
        <w:spacing w:before="100" w:beforeAutospacing="1" w:after="100" w:afterAutospacing="1" w:line="240" w:lineRule="auto"/>
        <w:ind w:firstLine="1155"/>
        <w:jc w:val="both"/>
        <w:textAlignment w:val="center"/>
        <w:divId w:val="302389795"/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</w:pPr>
      <w:proofErr w:type="spellStart"/>
      <w:r w:rsidRPr="00B33891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Обн</w:t>
      </w:r>
      <w:proofErr w:type="spellEnd"/>
      <w:r w:rsidRPr="00B33891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. ДВ. бр.78 от 30 септември 2022г.</w:t>
      </w:r>
      <w:r w:rsidRPr="00B33891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, </w:t>
      </w:r>
      <w:r w:rsidRPr="00B33891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изм. и доп. ДВ. бр.19 от 28 февруари 2023г.</w:t>
      </w:r>
      <w:r w:rsidRPr="00B33891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, </w:t>
      </w:r>
      <w:r w:rsidRPr="00B33891">
        <w:rPr>
          <w:rFonts w:ascii="Times New Roman" w:hAnsi="Times New Roman" w:cs="Times New Roman"/>
          <w:b/>
          <w:bCs/>
          <w:i/>
          <w:iCs/>
          <w:color w:val="0086C6"/>
          <w:sz w:val="24"/>
          <w:szCs w:val="24"/>
          <w:lang w:val="bg-BG"/>
        </w:rPr>
        <w:t>изм. и доп. ДВ. бр.104 от 15 декември 2023г.</w:t>
      </w:r>
    </w:p>
    <w:p w:rsidR="00000000" w:rsidRPr="00B33891" w:rsidRDefault="00D02F15">
      <w:pPr>
        <w:spacing w:after="0" w:line="240" w:lineRule="auto"/>
        <w:ind w:firstLine="1155"/>
        <w:jc w:val="both"/>
        <w:textAlignment w:val="center"/>
        <w:divId w:val="107262861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1. (1) (Изм. - ДВ, бр. 19 от 2023 г., в сила от 28.02.2023 г., предишен текст на чл. 1 - ДВ, бр. 104 от 2023 г., в сила от 01.01.2024 г.) С методиката се регламентира начинът за изменение на цената на догов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ор за обществена поръчка и рамково споразумение в резултат на инфлация, при която съществено са увеличени:</w:t>
      </w:r>
    </w:p>
    <w:p w:rsidR="00000000" w:rsidRPr="00B33891" w:rsidRDefault="00D02F15">
      <w:pPr>
        <w:spacing w:after="0" w:line="240" w:lineRule="auto"/>
        <w:ind w:firstLine="1155"/>
        <w:jc w:val="both"/>
        <w:textAlignment w:val="center"/>
        <w:divId w:val="13842458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цените на основните стоки и материали, формиращи стойността на договора за строителство и рамковото споразумение за строителство;</w:t>
      </w:r>
    </w:p>
    <w:p w:rsidR="00000000" w:rsidRPr="00B33891" w:rsidRDefault="00D02F15">
      <w:pPr>
        <w:spacing w:after="0" w:line="240" w:lineRule="auto"/>
        <w:ind w:firstLine="1155"/>
        <w:jc w:val="both"/>
        <w:textAlignment w:val="center"/>
        <w:divId w:val="10650736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цените на осн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овните стоки и материали, формиращи стойността на договора за доставка и рамковото споразумение за доставка, сключени от възложители, извършващи една или няколко секторни дейности, свързани с природен газ и топлинна енергия и/или електроенергия, когато дос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тавката е пряко </w:t>
      </w:r>
      <w:proofErr w:type="spellStart"/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относима</w:t>
      </w:r>
      <w:proofErr w:type="spellEnd"/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към осъществяването на съответната секторна дейност.</w:t>
      </w:r>
    </w:p>
    <w:p w:rsidR="00000000" w:rsidRPr="00B33891" w:rsidRDefault="00D02F15">
      <w:pPr>
        <w:spacing w:after="0" w:line="240" w:lineRule="auto"/>
        <w:ind w:firstLine="1155"/>
        <w:jc w:val="both"/>
        <w:textAlignment w:val="center"/>
        <w:divId w:val="88965159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(Нова - ДВ, бр. 104 от 2023 г., в сила от 01.01.2024 г.) Изменението на цената на договор за обществена поръчка и рамково споразумение цели да компенсира съществено увеличени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 на разходите за основни стоки и материали, формиращи стойността на договор или рамково споразумение, в резултат на инфлация, към момента на фактическото извършване на строително-монтажни работи и/или доставките.</w:t>
      </w:r>
    </w:p>
    <w:p w:rsidR="00000000" w:rsidRPr="00B33891" w:rsidRDefault="00D02F15">
      <w:pPr>
        <w:spacing w:after="120" w:line="240" w:lineRule="auto"/>
        <w:ind w:firstLine="1155"/>
        <w:jc w:val="both"/>
        <w:textAlignment w:val="center"/>
        <w:divId w:val="129390685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(Нова - ДВ, бр. 104 от 2023 г., в сила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от 01.01.2024 г.) За изменение на цената на строително-монтажни работи и доставки, извършени след като изпълнителят на договора или рамковото споразумение е изпаднал в забава поради причини, за които отговаря, се прилага по-ниският между тримесечния индек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 към датата на падежа на задължението и към датата на изпълнението.</w:t>
      </w:r>
    </w:p>
    <w:p w:rsidR="00000000" w:rsidRPr="00B33891" w:rsidRDefault="00D02F15">
      <w:pPr>
        <w:spacing w:before="100" w:beforeAutospacing="1" w:after="100" w:afterAutospacing="1" w:line="240" w:lineRule="auto"/>
        <w:jc w:val="center"/>
        <w:textAlignment w:val="center"/>
        <w:divId w:val="1996377138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B33891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Глава първа.</w:t>
      </w:r>
      <w:r w:rsidRPr="00B33891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ИЗМЕНЕНИЕ НА ЦЕНАТА НА ДОГОВОР ЗА ОБЩЕСТВЕНА ПОРЪЧКА И РАМКОВО СПОРАЗУМЕНИЕ ЗА СТРОИТЕЛСТВО (НОВА - ДВ, БР. 19 ОТ 2023 Г., В СИЛА ОТ 28.02.2023 Г.)</w:t>
      </w:r>
    </w:p>
    <w:p w:rsidR="00000000" w:rsidRPr="00B33891" w:rsidRDefault="00D02F15">
      <w:pPr>
        <w:spacing w:after="0" w:line="240" w:lineRule="auto"/>
        <w:ind w:firstLine="1155"/>
        <w:jc w:val="both"/>
        <w:textAlignment w:val="center"/>
        <w:divId w:val="124606341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2. (Доп. - ДВ, бр. 19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от 2023 г., в сила от 28.02.2023 г.) За изменение на цената на договор и рамково споразумение за строителство по чл. 1 се прилага коефициент на тежест на строителните материали в себестойността на различните видове строежи съгласно таблицата. Коефициентът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се прилага към стойността на целия договор и рамковото споразумение.</w:t>
      </w:r>
    </w:p>
    <w:p w:rsidR="00000000" w:rsidRPr="00B33891" w:rsidRDefault="00D02F15">
      <w:pPr>
        <w:spacing w:after="120" w:line="240" w:lineRule="auto"/>
        <w:ind w:firstLine="1155"/>
        <w:jc w:val="both"/>
        <w:textAlignment w:val="center"/>
        <w:divId w:val="114007159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bookmarkStart w:id="0" w:name="_GoBack"/>
      <w:bookmarkEnd w:id="0"/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8260"/>
        <w:gridCol w:w="857"/>
      </w:tblGrid>
      <w:tr w:rsidR="00000000" w:rsidRPr="00B33891">
        <w:trPr>
          <w:divId w:val="1140071595"/>
          <w:trHeight w:val="283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D0D1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D0D1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Тежест на строителните материали в себестойността на различните видове строежи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D0D1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Тежест</w:t>
            </w:r>
          </w:p>
        </w:tc>
      </w:tr>
      <w:tr w:rsidR="00000000" w:rsidRPr="00B33891">
        <w:trPr>
          <w:divId w:val="1140071595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Сградно строителство (жилищно, административно, обществено-обслужващо и прилежаща инфраструкт</w:t>
            </w: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ура)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58.00%</w:t>
            </w:r>
          </w:p>
        </w:tc>
      </w:tr>
      <w:tr w:rsidR="00000000" w:rsidRPr="00B33891">
        <w:trPr>
          <w:divId w:val="1140071595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Производствени сгради, инсталации, съоръжения в областта на енергийната инфраструктура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67.00%</w:t>
            </w:r>
          </w:p>
        </w:tc>
      </w:tr>
      <w:tr w:rsidR="00000000" w:rsidRPr="00B33891">
        <w:trPr>
          <w:divId w:val="1140071595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Индустриално строителство, в т.ч. производствени сгради, инсталации, съоръжения, прилежаща инфраструктура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62.00%</w:t>
            </w:r>
          </w:p>
        </w:tc>
      </w:tr>
      <w:tr w:rsidR="00000000" w:rsidRPr="00B33891">
        <w:trPr>
          <w:divId w:val="1140071595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Мрежи и съоръжения в областта на водоснабдяването и канализацията, пречиствателни станции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52.00%</w:t>
            </w:r>
          </w:p>
        </w:tc>
      </w:tr>
      <w:tr w:rsidR="00000000" w:rsidRPr="00B33891">
        <w:trPr>
          <w:divId w:val="1140071595"/>
          <w:trHeight w:val="13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Строителство на автомагистрали, скоростни пътища, РПМ, общински пътища, улици, пътни съоръжения, обекти от градска среда (паркове, междублокови пространств</w:t>
            </w: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а, детски и спортни площадки и друга прилежаща инфраструктура)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55.00% </w:t>
            </w:r>
          </w:p>
        </w:tc>
      </w:tr>
      <w:tr w:rsidR="00000000" w:rsidRPr="00B33891">
        <w:trPr>
          <w:divId w:val="1140071595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E2E3E4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3E4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Строителство на обекти на железопътна инфраструктура по § 1, т. 1 от допълнителните разпоредби на Закона за железопътния 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3E4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57.00%</w:t>
            </w:r>
          </w:p>
        </w:tc>
      </w:tr>
      <w:tr w:rsidR="00000000" w:rsidRPr="00B33891">
        <w:trPr>
          <w:divId w:val="1140071595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Строителство на хидротехнически съоръжени</w:t>
            </w: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я, криещи опасност от наводнения, в т.ч. язовири и прилежащите им съоръжения, и временно строителство, хидромелиоративни съоръжения, съоръжения за </w:t>
            </w:r>
            <w:proofErr w:type="spellStart"/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геозащита</w:t>
            </w:r>
            <w:proofErr w:type="spellEnd"/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и </w:t>
            </w:r>
            <w:proofErr w:type="spellStart"/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брегоукрепване</w:t>
            </w:r>
            <w:proofErr w:type="spellEnd"/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по реките и морския бряг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52.00 %</w:t>
            </w:r>
          </w:p>
        </w:tc>
      </w:tr>
    </w:tbl>
    <w:p w:rsidR="00000000" w:rsidRPr="00B33891" w:rsidRDefault="00D02F15">
      <w:pPr>
        <w:spacing w:after="120" w:line="240" w:lineRule="auto"/>
        <w:ind w:firstLine="1155"/>
        <w:jc w:val="both"/>
        <w:textAlignment w:val="center"/>
        <w:divId w:val="114007159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B33891" w:rsidRDefault="00D02F15">
      <w:pPr>
        <w:spacing w:after="120" w:line="240" w:lineRule="auto"/>
        <w:ind w:firstLine="1155"/>
        <w:jc w:val="both"/>
        <w:textAlignment w:val="center"/>
        <w:divId w:val="163636994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3. (Изм. - ДВ, бр. 19 от 2023 г., в сила от 28.02.2023 г.) За изменение цената на договор и рамково споразумение за строителство по чл. 1 се прилагат тримесечните индекси на цени на производител на вътрешния или на международния пазар на строителни мат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ериали, които съответно се публикуват 55 дни след края на отчетното тримесечие в информационната система "ИНФОСТАТ" на Националния статистически институт (НСИ) на адрес: https://infostat.nsi.bg/infostat/pages/reports/query.j-sf?x2=1930 или Евростат. Индекс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ите на цени на производител на вътрешния пазар на строителни материали за периода от 1 януари 2020 до 30 юни 2022 г. са посочени в таблицата на приложението.</w:t>
      </w:r>
    </w:p>
    <w:p w:rsidR="00000000" w:rsidRPr="00B33891" w:rsidRDefault="00D02F15">
      <w:pPr>
        <w:spacing w:after="0" w:line="240" w:lineRule="auto"/>
        <w:ind w:firstLine="1155"/>
        <w:jc w:val="both"/>
        <w:textAlignment w:val="center"/>
        <w:divId w:val="189708729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4. (Изм. и доп. - ДВ, бр. 19 от 2023 г., в сила от 28.02.2023 г., изм. - ДВ, бр. 104 от 2023 г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., в сила от 01.01.2024 г.) Размерът на изменението на цената на договор за обществена поръчка и рамково споразумение за строителство в резултат на инфлация се определя за всяко календарно тримесечие по формулата:</w:t>
      </w:r>
    </w:p>
    <w:p w:rsidR="00000000" w:rsidRPr="00B33891" w:rsidRDefault="00D02F15">
      <w:pPr>
        <w:spacing w:after="0" w:line="240" w:lineRule="auto"/>
        <w:ind w:firstLine="1155"/>
        <w:jc w:val="both"/>
        <w:textAlignment w:val="center"/>
        <w:divId w:val="66416824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K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bg-BG"/>
        </w:rPr>
        <w:t>n</w:t>
      </w:r>
      <w:proofErr w:type="spellEnd"/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= [(I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bg-BG"/>
        </w:rPr>
        <w:t>n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- </w:t>
      </w:r>
      <w:proofErr w:type="spellStart"/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I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bg-BG"/>
        </w:rPr>
        <w:t>o</w:t>
      </w:r>
      <w:proofErr w:type="spellEnd"/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)/</w:t>
      </w:r>
      <w:proofErr w:type="spellStart"/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I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bg-BG"/>
        </w:rPr>
        <w:t>o</w:t>
      </w:r>
      <w:proofErr w:type="spellEnd"/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]*100*</w:t>
      </w:r>
      <w:proofErr w:type="spellStart"/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Tn</w:t>
      </w:r>
      <w:proofErr w:type="spellEnd"/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където:</w:t>
      </w:r>
    </w:p>
    <w:p w:rsidR="00000000" w:rsidRPr="00B33891" w:rsidRDefault="00D02F15">
      <w:pPr>
        <w:spacing w:after="0" w:line="240" w:lineRule="auto"/>
        <w:ind w:firstLine="1155"/>
        <w:jc w:val="both"/>
        <w:textAlignment w:val="center"/>
        <w:divId w:val="140059155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K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bg-BG"/>
        </w:rPr>
        <w:t>n</w:t>
      </w:r>
      <w:proofErr w:type="spellEnd"/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е к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оефициент, представляващ изразената в проценти стойност, приложима към подлежащите на изменение стойности на строително-монтажни работи, изпълнени през съответното тримесечие (закръглена до втори знак след десетичната запетая);</w:t>
      </w:r>
    </w:p>
    <w:p w:rsidR="00000000" w:rsidRPr="00B33891" w:rsidRDefault="00D02F15">
      <w:pPr>
        <w:spacing w:after="0" w:line="240" w:lineRule="auto"/>
        <w:ind w:firstLine="1155"/>
        <w:jc w:val="both"/>
        <w:textAlignment w:val="center"/>
        <w:divId w:val="94712805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I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bg-BG"/>
        </w:rPr>
        <w:t>n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е стойността на индекса з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 тримесечието, в което са изпълнени дейностите по договора, или тримесечието, за което се индексира рамковото споразумение, определени в междинния тримесечен отчет, съгласно чл. 4; по отношение на авансови плащания I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bg-BG"/>
        </w:rPr>
        <w:t>n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е стойността на индекса към тримесечи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ето, в което е извършено авансовото плащане;</w:t>
      </w:r>
    </w:p>
    <w:p w:rsidR="00000000" w:rsidRPr="00B33891" w:rsidRDefault="00D02F15">
      <w:pPr>
        <w:spacing w:after="0" w:line="240" w:lineRule="auto"/>
        <w:ind w:firstLine="1155"/>
        <w:jc w:val="both"/>
        <w:textAlignment w:val="center"/>
        <w:divId w:val="28030572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I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bg-BG"/>
        </w:rPr>
        <w:t>o</w:t>
      </w:r>
      <w:proofErr w:type="spellEnd"/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е стойността на индекса към 31 декември 2020 г. за оферти, подадени преди 31 декември 2020 г., или към съответното тримесечие, в което е подадена офертата;</w:t>
      </w:r>
    </w:p>
    <w:p w:rsidR="00000000" w:rsidRPr="00B33891" w:rsidRDefault="00D02F15">
      <w:pPr>
        <w:spacing w:after="0" w:line="240" w:lineRule="auto"/>
        <w:ind w:firstLine="1155"/>
        <w:jc w:val="both"/>
        <w:textAlignment w:val="center"/>
        <w:divId w:val="99734540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T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bg-BG"/>
        </w:rPr>
        <w:t>n</w:t>
      </w:r>
      <w:proofErr w:type="spellEnd"/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е </w:t>
      </w:r>
      <w:proofErr w:type="spellStart"/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тежестният</w:t>
      </w:r>
      <w:proofErr w:type="spellEnd"/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коефициент за съответния вид строеж 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съгласно таблицата за тежест на строителните материали в себестойността на различните видове строежи.</w:t>
      </w:r>
    </w:p>
    <w:p w:rsidR="00000000" w:rsidRPr="00B33891" w:rsidRDefault="00D02F15">
      <w:pPr>
        <w:spacing w:after="120" w:line="240" w:lineRule="auto"/>
        <w:ind w:firstLine="1155"/>
        <w:jc w:val="both"/>
        <w:textAlignment w:val="center"/>
        <w:divId w:val="6738466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B33891" w:rsidRDefault="00D02F15">
      <w:pPr>
        <w:spacing w:after="0" w:line="240" w:lineRule="auto"/>
        <w:ind w:firstLine="1155"/>
        <w:jc w:val="both"/>
        <w:textAlignment w:val="center"/>
        <w:divId w:val="73748452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4а. (Нов - ДВ, бр. 104 от 2023 г., в сила от 01.01.2024 г.) (1) В 30-дневен срок от изтичането на съответното календарно тримесечие страните по дого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вор за обществена поръчка или рамково споразумение съставят междинен тримесечен отчет за нуждите на индексацията, в който се посочват видът, количеството и стойността на извършените през тримесечието строително-монтажни работи.</w:t>
      </w:r>
    </w:p>
    <w:p w:rsidR="00000000" w:rsidRPr="00B33891" w:rsidRDefault="00D02F15">
      <w:pPr>
        <w:spacing w:after="0" w:line="240" w:lineRule="auto"/>
        <w:ind w:firstLine="1155"/>
        <w:jc w:val="both"/>
        <w:textAlignment w:val="center"/>
        <w:divId w:val="7602673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Към отчета по ал. 1 се п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рилагат съставените актове и протоколи съгласно Наредба № 3 от 31 юли 2003 г. за съставяне на актове и протоколи по време на строителството (ДВ, бр. 72 от 2003 г.), както и други доказателства съгласно договора или рамковото споразумение, удостоверяващи из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вършване на дейностите.</w:t>
      </w:r>
    </w:p>
    <w:p w:rsidR="00000000" w:rsidRPr="00B33891" w:rsidRDefault="00D02F15">
      <w:pPr>
        <w:spacing w:after="0" w:line="240" w:lineRule="auto"/>
        <w:ind w:firstLine="1155"/>
        <w:jc w:val="both"/>
        <w:textAlignment w:val="center"/>
        <w:divId w:val="28731781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От общата стойност на отчета по ал. 1 се приспада съответната част от предоставените авансови плащания, подлежаща на удържане съгласно условията на договора и рамковото споразумение.</w:t>
      </w:r>
    </w:p>
    <w:p w:rsidR="00000000" w:rsidRPr="00B33891" w:rsidRDefault="00D02F15">
      <w:pPr>
        <w:spacing w:after="120" w:line="240" w:lineRule="auto"/>
        <w:ind w:firstLine="1155"/>
        <w:jc w:val="both"/>
        <w:textAlignment w:val="center"/>
        <w:divId w:val="195050305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(4) Изменението на цената на договора или рам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ковото споразумение за съответното тримесечие се изчислява чрез прилагане на коефициент (</w:t>
      </w:r>
      <w:proofErr w:type="spellStart"/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K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bg-BG"/>
        </w:rPr>
        <w:t>n</w:t>
      </w:r>
      <w:proofErr w:type="spellEnd"/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), изчислен съгласно чл. 4, към нетната стойност на съответния междинен тримесечен отчет (след приспадане на сумите по ал. 3). Получената стойност по изречение първо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се намалява със стойността на други изменения в цената на стоки, материали или строително-монтажни работи в резултат на инфлация, определени съгласно клаузите на договора или рамковото споразумение.</w:t>
      </w:r>
    </w:p>
    <w:p w:rsidR="00000000" w:rsidRPr="00B33891" w:rsidRDefault="00D02F15">
      <w:pPr>
        <w:spacing w:before="100" w:beforeAutospacing="1" w:after="100" w:afterAutospacing="1" w:line="240" w:lineRule="auto"/>
        <w:jc w:val="center"/>
        <w:textAlignment w:val="center"/>
        <w:divId w:val="429858958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B33891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Глава втора.</w:t>
      </w:r>
      <w:r w:rsidRPr="00B33891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ИЗМЕНЕНИЕ НА ЦЕНАТА НА ДОГОВОР ЗА ОБЩЕСТВЕН</w:t>
      </w:r>
      <w:r w:rsidRPr="00B33891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А ПОРЪЧКА И РАМКОВО СПОРАЗУМЕНИЕ ЗА ДОСТАВКА, СКЛЮЧЕНИ ОТ ВЪЗЛОЖИТЕЛИ, ИЗВЪРШВАЩИ ЕДНА ИЛИ НЯКОЛКО СЕКТОРНИ ДЕЙНОСТИ, СВЪРЗАНИ С ПРИРОДЕН ГАЗ И ТОПЛИННА ЕНЕРГИЯ И/ИЛИ ЕЛЕКТРОЕНЕРГИЯ (НОВА - ДВ, БР. 19 ОТ 2023 Г., В СИЛА ОТ 28.02.2023 Г.)</w:t>
      </w:r>
    </w:p>
    <w:p w:rsidR="00000000" w:rsidRPr="00B33891" w:rsidRDefault="00D02F15">
      <w:pPr>
        <w:spacing w:after="120" w:line="240" w:lineRule="auto"/>
        <w:ind w:firstLine="1155"/>
        <w:jc w:val="both"/>
        <w:textAlignment w:val="center"/>
        <w:divId w:val="213555793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5. (Нов - ДВ,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бр. 19 от 2023 г., в сила от 28.02.2023 г.) За изменение цената на договор и рамково споразумение за доставка по чл. 1 се прилагат индекси на цени на производител на вътрешния пазар (2015=100), които се публикуват всеки месец в информационната система "ИН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ФОСТАТ" на 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Националния статистически институт (НСИ) на адрес: https://infostat.nsi.bg/infostat/pages/reports/query.jsf?x_2=1107, или тримесечни индекси на цени на вноса - на адрес: https://www.nsi.bg/bg/node/7518/.</w:t>
      </w:r>
    </w:p>
    <w:p w:rsidR="00000000" w:rsidRPr="00B33891" w:rsidRDefault="00D02F15">
      <w:pPr>
        <w:spacing w:after="120" w:line="240" w:lineRule="auto"/>
        <w:ind w:firstLine="1155"/>
        <w:jc w:val="both"/>
        <w:textAlignment w:val="center"/>
        <w:divId w:val="67056665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6. (Нов - ДВ, бр. 19 от 2023 г., в си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ла от 28.02.2023 г.) Изменението на цената на договор и рамково споразумение за доставка по чл. 1 се прилага при разлика в стойността на индексите по чл. 7 в размер повече от 5 проценти пункта към момента на извършване на доставката по договора и рамковото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споразумение.</w:t>
      </w:r>
    </w:p>
    <w:p w:rsidR="00000000" w:rsidRPr="00B33891" w:rsidRDefault="00D02F15">
      <w:pPr>
        <w:spacing w:after="0" w:line="240" w:lineRule="auto"/>
        <w:ind w:firstLine="1155"/>
        <w:jc w:val="both"/>
        <w:textAlignment w:val="center"/>
        <w:divId w:val="167669164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7. (Нов - ДВ, бр. 19 от 2023 г., в сила от 28.02.2023 г., доп. - ДВ, бр. 104 от 2023 г., в сила от 01.01.2024 г.) Размерът на изменението на цената на договор за обществена поръчка и рамково споразумение за доставка в резултат на инфлаци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я се определя по формулата:</w:t>
      </w:r>
    </w:p>
    <w:p w:rsidR="00000000" w:rsidRPr="00B33891" w:rsidRDefault="00D02F15">
      <w:pPr>
        <w:spacing w:after="0" w:line="240" w:lineRule="auto"/>
        <w:ind w:firstLine="1155"/>
        <w:jc w:val="both"/>
        <w:textAlignment w:val="center"/>
        <w:divId w:val="208760773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B33891" w:rsidRDefault="00D02F15">
      <w:pPr>
        <w:spacing w:after="0" w:line="240" w:lineRule="auto"/>
        <w:ind w:firstLine="1155"/>
        <w:jc w:val="both"/>
        <w:textAlignment w:val="center"/>
        <w:divId w:val="41899107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bg-BG"/>
        </w:rPr>
        <w:t>n</w:t>
      </w:r>
      <w:proofErr w:type="spellEnd"/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= [(I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bg-BG"/>
        </w:rPr>
        <w:t>n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- </w:t>
      </w:r>
      <w:proofErr w:type="spellStart"/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I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bg-BG"/>
        </w:rPr>
        <w:t>o</w:t>
      </w:r>
      <w:proofErr w:type="spellEnd"/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)/ </w:t>
      </w:r>
      <w:proofErr w:type="spellStart"/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I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bg-BG"/>
        </w:rPr>
        <w:t>o</w:t>
      </w:r>
      <w:proofErr w:type="spellEnd"/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]*100, където:</w:t>
      </w:r>
    </w:p>
    <w:p w:rsidR="00000000" w:rsidRPr="00B33891" w:rsidRDefault="00D02F15">
      <w:pPr>
        <w:spacing w:after="0" w:line="240" w:lineRule="auto"/>
        <w:ind w:firstLine="1155"/>
        <w:jc w:val="both"/>
        <w:textAlignment w:val="center"/>
        <w:divId w:val="208760773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B33891" w:rsidRDefault="00D02F15">
      <w:pPr>
        <w:spacing w:after="0" w:line="240" w:lineRule="auto"/>
        <w:ind w:firstLine="1155"/>
        <w:jc w:val="both"/>
        <w:textAlignment w:val="center"/>
        <w:divId w:val="207646611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bg-BG"/>
        </w:rPr>
        <w:t>n</w:t>
      </w:r>
      <w:proofErr w:type="spellEnd"/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е коефициент, представляващ изразената в проценти стойност, приложима към подлежащите на изменение цени по договора и рамково споразумение за доставка (закръглена до втори знак след десет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ичната запетая);</w:t>
      </w:r>
    </w:p>
    <w:p w:rsidR="00000000" w:rsidRPr="00B33891" w:rsidRDefault="00D02F15">
      <w:pPr>
        <w:spacing w:after="0" w:line="240" w:lineRule="auto"/>
        <w:ind w:firstLine="1155"/>
        <w:jc w:val="both"/>
        <w:textAlignment w:val="center"/>
        <w:divId w:val="176522221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I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bg-BG"/>
        </w:rPr>
        <w:t>n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- стойността на индекса за съответната промишлена дейност съгласно КИД-2008, съобразно предмета на доставката в месеца, в който са извършени доставките по договор или рамковото споразумение за доставка по чл. 1;</w:t>
      </w:r>
    </w:p>
    <w:p w:rsidR="00000000" w:rsidRPr="00B33891" w:rsidRDefault="00D02F15">
      <w:pPr>
        <w:spacing w:after="120" w:line="240" w:lineRule="auto"/>
        <w:ind w:firstLine="1155"/>
        <w:jc w:val="both"/>
        <w:textAlignment w:val="center"/>
        <w:divId w:val="185240451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I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bg-BG"/>
        </w:rPr>
        <w:t>о</w:t>
      </w:r>
      <w:proofErr w:type="spellEnd"/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- стойността на индек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са за съответната промишлена дейност съгласно КИД-2008 за месеца, в който е подадена оферта за участие в поръчката, или стойността на индекс за съответната промишлена дейност съгласно КИД-2008 за декември 2020 г. за оферти, подадени преди 1 януари 2021 г.;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случаите на последващо индексиране </w:t>
      </w:r>
      <w:proofErr w:type="spellStart"/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I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bg-BG"/>
        </w:rPr>
        <w:t>о</w:t>
      </w:r>
      <w:proofErr w:type="spellEnd"/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е стойността на индекса към последно приложено изменение.</w:t>
      </w:r>
    </w:p>
    <w:p w:rsidR="00000000" w:rsidRPr="00B33891" w:rsidRDefault="00D02F15">
      <w:pPr>
        <w:spacing w:before="100" w:beforeAutospacing="1" w:after="100" w:afterAutospacing="1" w:line="240" w:lineRule="auto"/>
        <w:jc w:val="center"/>
        <w:textAlignment w:val="center"/>
        <w:divId w:val="1684093521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B33891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Преходни и Заключителни разпоредби</w:t>
      </w:r>
    </w:p>
    <w:p w:rsidR="00000000" w:rsidRPr="00B33891" w:rsidRDefault="00D02F15">
      <w:pPr>
        <w:spacing w:after="150" w:line="240" w:lineRule="auto"/>
        <w:ind w:firstLine="1155"/>
        <w:jc w:val="both"/>
        <w:textAlignment w:val="center"/>
        <w:divId w:val="152679243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1. Методиката се приема на основание чл. 117а, ал. 1 от Закона за обществените поръчки.</w:t>
      </w:r>
    </w:p>
    <w:p w:rsidR="00000000" w:rsidRPr="00B33891" w:rsidRDefault="00D02F15">
      <w:pPr>
        <w:spacing w:after="0" w:line="240" w:lineRule="auto"/>
        <w:ind w:firstLine="1155"/>
        <w:jc w:val="both"/>
        <w:textAlignment w:val="center"/>
        <w:divId w:val="67229941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§ 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За начална дата на наличие на инфлация се приема 31.12.2020 г.</w:t>
      </w:r>
    </w:p>
    <w:p w:rsidR="00000000" w:rsidRPr="00B33891" w:rsidRDefault="00D02F15">
      <w:pPr>
        <w:spacing w:after="150" w:line="240" w:lineRule="auto"/>
        <w:ind w:firstLine="1155"/>
        <w:jc w:val="both"/>
        <w:textAlignment w:val="center"/>
        <w:divId w:val="50890654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B33891" w:rsidRDefault="00D02F15">
      <w:pPr>
        <w:spacing w:after="150" w:line="240" w:lineRule="auto"/>
        <w:ind w:firstLine="1155"/>
        <w:jc w:val="both"/>
        <w:textAlignment w:val="center"/>
        <w:divId w:val="173331189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3. (Изм. - ДВ, бр. 19 от 2023 г., в сила от 28.02.2023 г.) Дата за определяне стойността на строително-монтажни работи, предмет на изменение на формиране на стойността на договора и рамк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овото споразумение, е датата на офертата за участие в обществена поръчка, но не по-рано от 31.12.2020 г. В случай на подадена оферта преди 01.01.2021 г., то тогава се прилага индексът за 31.12.2020 г.</w:t>
      </w:r>
    </w:p>
    <w:p w:rsidR="00000000" w:rsidRPr="00B33891" w:rsidRDefault="00D02F15">
      <w:pPr>
        <w:spacing w:after="150" w:line="240" w:lineRule="auto"/>
        <w:ind w:firstLine="1155"/>
        <w:jc w:val="both"/>
        <w:textAlignment w:val="center"/>
        <w:divId w:val="100227273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3а. (Нов - ДВ, бр. 19 от 2023 г., в сила от 28.02.202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3 г.) База за изменение на цената на договор и рамково споразумение за доставка по чл. 1 е стойността на индекса за съответната промишлена дейност съгласно КИД-2008 за месеца, в който е подадена офертата за участие в обществена поръчка. В случай на 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подаден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 оферта преди 1 януари 2021 г. се прилага стойността на индекса за съответната промишлена дейност съгласно КИД-2008 за декември 2020 г.</w:t>
      </w:r>
    </w:p>
    <w:p w:rsidR="00000000" w:rsidRPr="00B33891" w:rsidRDefault="00D02F15">
      <w:pPr>
        <w:spacing w:after="150" w:line="240" w:lineRule="auto"/>
        <w:ind w:firstLine="1155"/>
        <w:jc w:val="both"/>
        <w:textAlignment w:val="center"/>
        <w:divId w:val="30959760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4. (Изм. - ДВ, бр. 104 от 2023 г., в сила от 01.01.2024 г.) На изменение подлежат цените за строително-монтажни работ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 по договори за обществени поръчки и рамкови споразумения за строителство, извършени след 30 юни 2021 г.</w:t>
      </w:r>
    </w:p>
    <w:p w:rsidR="00000000" w:rsidRPr="00B33891" w:rsidRDefault="00D02F15">
      <w:pPr>
        <w:spacing w:after="150" w:line="240" w:lineRule="auto"/>
        <w:ind w:firstLine="1155"/>
        <w:jc w:val="both"/>
        <w:textAlignment w:val="center"/>
        <w:divId w:val="76692872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5. (Нов - ДВ, бр. 104 от 2023 г., в сила от 15.12.2023 г.) При индексиране на договори за обществени поръчки в изпълнение на проекти по оперативни п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рограми, финансирани със средства от Европейския съюз за периода 2014 - 2020 г. с приключващ период на допустимост на разходите на 31 декември 2023 г., по изключение само за четвърто тримесечие на 2023 година се прилага индексът за трето тримесечие, публик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уван на интернет страницата на НСИ - "Индекс на цени на производител на вътрешния пазар на строителни материали" https://mfostatnsi.bg/mfostat/pages/reports/resultjsf?x_2=1930.</w:t>
      </w:r>
    </w:p>
    <w:p w:rsidR="00000000" w:rsidRPr="00B33891" w:rsidRDefault="00D02F15">
      <w:pPr>
        <w:spacing w:before="100" w:beforeAutospacing="1" w:after="100" w:afterAutospacing="1" w:line="240" w:lineRule="auto"/>
        <w:jc w:val="center"/>
        <w:textAlignment w:val="center"/>
        <w:divId w:val="339085027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B33891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Заключителни разпоредби</w:t>
      </w:r>
      <w:r w:rsidRPr="00B33891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КЪМ ПОСТАНОВЛЕНИЕ № 31 ОТ 23 ФЕВРУАРИ 2023 Г. ЗА ИЗМЕНЕ</w:t>
      </w:r>
      <w:r w:rsidRPr="00B33891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 xml:space="preserve">НИЕ И ДОПЪЛНЕНИЕ НА МЕТОДИКАТА ЗА ИЗМЕНЕНИЕ НА ЦЕНАТА НА ДОГОВОР ЗА ОБЩЕСТВЕНА ПОРЪЧКА В РЕЗУЛТАТ НА ИНФЛАЦИЯ, ПРИЕТА С ПОСТАНОВЛЕНИЕ № 290 НА МИНИСТЕРСКИЯ СЪВЕТ ОТ 2022 Г. </w:t>
      </w:r>
    </w:p>
    <w:p w:rsidR="00000000" w:rsidRPr="00B33891" w:rsidRDefault="00D02F15">
      <w:pPr>
        <w:spacing w:after="0" w:line="240" w:lineRule="auto"/>
        <w:ind w:firstLine="1155"/>
        <w:jc w:val="both"/>
        <w:textAlignment w:val="center"/>
        <w:divId w:val="121831763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19 ОТ 2023 Г., В СИЛА ОТ 28.02.2023 Г.)</w:t>
      </w:r>
    </w:p>
    <w:p w:rsidR="00000000" w:rsidRPr="00B33891" w:rsidRDefault="00D02F15">
      <w:pPr>
        <w:spacing w:after="0" w:line="240" w:lineRule="auto"/>
        <w:ind w:firstLine="1155"/>
        <w:jc w:val="both"/>
        <w:textAlignment w:val="center"/>
        <w:divId w:val="142549633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B33891" w:rsidRDefault="00D02F15">
      <w:pPr>
        <w:spacing w:after="150" w:line="240" w:lineRule="auto"/>
        <w:ind w:firstLine="1155"/>
        <w:jc w:val="both"/>
        <w:textAlignment w:val="center"/>
        <w:divId w:val="89293413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10. Постановлението в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лиза в сила от деня на обнародването му в "Държавен вестник".</w:t>
      </w:r>
    </w:p>
    <w:p w:rsidR="00000000" w:rsidRPr="00B33891" w:rsidRDefault="00D02F15">
      <w:pPr>
        <w:spacing w:before="100" w:beforeAutospacing="1" w:after="100" w:afterAutospacing="1" w:line="240" w:lineRule="auto"/>
        <w:jc w:val="center"/>
        <w:textAlignment w:val="center"/>
        <w:divId w:val="1096974028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B33891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Заключителни разпоредби</w:t>
      </w:r>
      <w:r w:rsidRPr="00B33891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КЪМ ПОСТАНОВЛЕНИЕ № 275 ОТ 13 ДЕКЕМВРИ 2023 Г. ЗА ИЗМЕНЕНИЕ И ДОПЪЛНЕНИЕ НА МЕТОДИКАТА ЗА ИЗМЕНЕНИЕ НА ЦЕНАТА НА ДОГОВОР ЗА ОБЩЕСТВЕНА ПОРЪЧКА В РЕЗУЛТАТ НА ИНФЛАЦИЯ, ПРИ</w:t>
      </w:r>
      <w:r w:rsidRPr="00B33891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 xml:space="preserve">ЕТА С ПОСТАНОВЛЕНИЕ № 290 НА МИНИСТЕРСКИЯ СЪВЕТ ОТ 2022 Г. </w:t>
      </w:r>
    </w:p>
    <w:p w:rsidR="00000000" w:rsidRPr="00B33891" w:rsidRDefault="00D02F15">
      <w:pPr>
        <w:spacing w:after="0" w:line="240" w:lineRule="auto"/>
        <w:ind w:firstLine="1155"/>
        <w:jc w:val="both"/>
        <w:textAlignment w:val="center"/>
        <w:divId w:val="198993694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104 ОТ 2023 Г., В СИЛА ОТ 01.01.2024 Г.)</w:t>
      </w:r>
    </w:p>
    <w:p w:rsidR="00000000" w:rsidRPr="00B33891" w:rsidRDefault="00D02F15">
      <w:pPr>
        <w:spacing w:after="0" w:line="240" w:lineRule="auto"/>
        <w:ind w:firstLine="1155"/>
        <w:jc w:val="both"/>
        <w:textAlignment w:val="center"/>
        <w:divId w:val="29853261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B33891" w:rsidRDefault="00D02F15">
      <w:pPr>
        <w:spacing w:after="150" w:line="240" w:lineRule="auto"/>
        <w:ind w:firstLine="1155"/>
        <w:jc w:val="both"/>
        <w:textAlignment w:val="center"/>
        <w:divId w:val="21385322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7. Постановлението влиза в сила от 1 януари 2024 г., с изключение на § 6, който влиза в сила от деня на обнародването в "Държавен вест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ник".</w:t>
      </w:r>
    </w:p>
    <w:p w:rsidR="00000000" w:rsidRPr="00B33891" w:rsidRDefault="00D02F15">
      <w:pPr>
        <w:spacing w:after="0" w:line="240" w:lineRule="auto"/>
        <w:ind w:firstLine="1155"/>
        <w:jc w:val="both"/>
        <w:textAlignment w:val="center"/>
        <w:divId w:val="109500771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Приложение към чл. 3</w:t>
      </w:r>
    </w:p>
    <w:p w:rsidR="00000000" w:rsidRPr="00B33891" w:rsidRDefault="00D02F15">
      <w:pPr>
        <w:spacing w:after="0" w:line="240" w:lineRule="auto"/>
        <w:ind w:firstLine="1155"/>
        <w:jc w:val="both"/>
        <w:textAlignment w:val="center"/>
        <w:divId w:val="104576082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B33891" w:rsidRDefault="00D02F15">
      <w:pPr>
        <w:spacing w:after="0" w:line="240" w:lineRule="auto"/>
        <w:ind w:firstLine="1155"/>
        <w:jc w:val="both"/>
        <w:textAlignment w:val="center"/>
        <w:divId w:val="124992505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(Изм. - ДВ, бр. 19 от 2023 г., в сила от 28.02.2023 г.)</w:t>
      </w:r>
    </w:p>
    <w:p w:rsidR="00000000" w:rsidRPr="00B33891" w:rsidRDefault="00D02F15">
      <w:pPr>
        <w:spacing w:after="120" w:line="240" w:lineRule="auto"/>
        <w:ind w:firstLine="1155"/>
        <w:jc w:val="both"/>
        <w:textAlignment w:val="center"/>
        <w:divId w:val="104576082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1422"/>
        <w:gridCol w:w="1490"/>
        <w:gridCol w:w="1559"/>
        <w:gridCol w:w="1549"/>
        <w:gridCol w:w="2548"/>
      </w:tblGrid>
      <w:tr w:rsidR="00000000" w:rsidRPr="00B33891">
        <w:trPr>
          <w:divId w:val="1045760821"/>
          <w:trHeight w:val="340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Индекс на цени на производител на вътрешния пазар на строителни материали (2015=100)</w:t>
            </w:r>
          </w:p>
        </w:tc>
      </w:tr>
      <w:tr w:rsidR="00000000" w:rsidRPr="00B33891">
        <w:trPr>
          <w:divId w:val="1045760821"/>
          <w:trHeight w:val="3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lastRenderedPageBreak/>
              <w:t>Година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I тримесечие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II тримесечие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III тримесечие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IV тримесечие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Средногодишна стойност</w:t>
            </w:r>
          </w:p>
        </w:tc>
      </w:tr>
      <w:tr w:rsidR="00000000" w:rsidRPr="00B33891">
        <w:trPr>
          <w:divId w:val="1045760821"/>
          <w:trHeight w:val="3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104.2</w:t>
            </w:r>
          </w:p>
        </w:tc>
      </w:tr>
      <w:tr w:rsidR="00000000" w:rsidRPr="00B33891">
        <w:trPr>
          <w:divId w:val="1045760821"/>
          <w:trHeight w:val="3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110.4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116.3</w:t>
            </w:r>
          </w:p>
        </w:tc>
      </w:tr>
      <w:tr w:rsidR="00000000" w:rsidRPr="00B33891">
        <w:trPr>
          <w:divId w:val="1045760821"/>
          <w:trHeight w:val="3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140.1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197.8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B33891" w:rsidRDefault="00D02F1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3389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000000" w:rsidRPr="00B33891" w:rsidRDefault="00D02F15">
      <w:pPr>
        <w:spacing w:after="0" w:line="240" w:lineRule="auto"/>
        <w:ind w:firstLine="1155"/>
        <w:jc w:val="both"/>
        <w:textAlignment w:val="center"/>
        <w:divId w:val="104576082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D02F15" w:rsidRPr="00B33891" w:rsidRDefault="00D02F15">
      <w:pPr>
        <w:ind w:firstLine="1155"/>
        <w:jc w:val="both"/>
        <w:textAlignment w:val="center"/>
        <w:divId w:val="10648816"/>
        <w:rPr>
          <w:rFonts w:eastAsia="Times New Roman"/>
          <w:color w:val="000000"/>
          <w:lang w:val="bg-BG"/>
        </w:rPr>
      </w:pP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(изм. - ДВ, бр. 19 от 2023 г., в сила от 28.02.2023 г.) Забележка. Индексите са достъпни в информационната система "ИНФОСТАТ" на НСИ на адрес: (https://infostat.nsi.bg). Избира се следната последователност на раздели: От главното меню на информационната си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стема "ИНФОСТАТ" се избира "Бизнес статистика", след което от "Краткосрочна бизнес статистика" се избира "Строителство" и след това - "ИНДЕКСИ НА РАЗХОДИТЕ В СТРОИТЕЛСТВОТО". Избират се показател "Индекс на цени на производител на вътрешния пазар на строит</w:t>
      </w:r>
      <w:r w:rsidRPr="00B338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елни материали" и периодът, за който са необходими данните. Избор на поле "Заяви" в горния десен ъгъл ще отведе потребителите до необходимата информация.</w:t>
      </w:r>
    </w:p>
    <w:sectPr w:rsidR="00D02F15" w:rsidRPr="00B33891">
      <w:footerReference w:type="default" r:id="rId6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F15" w:rsidRDefault="00D02F15">
      <w:pPr>
        <w:spacing w:after="0" w:line="240" w:lineRule="auto"/>
      </w:pPr>
      <w:r>
        <w:separator/>
      </w:r>
    </w:p>
  </w:endnote>
  <w:endnote w:type="continuationSeparator" w:id="0">
    <w:p w:rsidR="00D02F15" w:rsidRDefault="00D0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891" w:rsidRDefault="00B33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F15" w:rsidRDefault="00D02F15">
      <w:pPr>
        <w:spacing w:after="0" w:line="240" w:lineRule="auto"/>
      </w:pPr>
      <w:r>
        <w:separator/>
      </w:r>
    </w:p>
  </w:footnote>
  <w:footnote w:type="continuationSeparator" w:id="0">
    <w:p w:rsidR="00D02F15" w:rsidRDefault="00D02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14EA"/>
    <w:rsid w:val="009914EA"/>
    <w:rsid w:val="00B33891"/>
    <w:rsid w:val="00D02F15"/>
    <w:rsid w:val="00E7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5E859E-CBE9-4473-ABAA-B1EE87FF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8">
    <w:name w:val="title18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Normal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22">
    <w:name w:val="title22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9">
    <w:name w:val="title29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0">
    <w:name w:val="title30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historyitem">
    <w:name w:val="historyitem"/>
    <w:basedOn w:val="DefaultParagraphFont"/>
  </w:style>
  <w:style w:type="character" w:customStyle="1" w:styleId="historyitemselected1">
    <w:name w:val="historyitemselected1"/>
    <w:basedOn w:val="DefaultParagraphFont"/>
    <w:rPr>
      <w:b/>
      <w:bCs/>
      <w:color w:val="0086C6"/>
    </w:rPr>
  </w:style>
  <w:style w:type="paragraph" w:styleId="Header">
    <w:name w:val="header"/>
    <w:basedOn w:val="Normal"/>
    <w:link w:val="HeaderChar"/>
    <w:uiPriority w:val="99"/>
    <w:unhideWhenUsed/>
    <w:rsid w:val="00B338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891"/>
  </w:style>
  <w:style w:type="paragraph" w:styleId="Footer">
    <w:name w:val="footer"/>
    <w:basedOn w:val="Normal"/>
    <w:link w:val="FooterChar"/>
    <w:uiPriority w:val="99"/>
    <w:unhideWhenUsed/>
    <w:rsid w:val="00B338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6174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5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5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71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15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96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46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111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589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1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077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93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06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5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91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5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850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74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60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DANIELA GEORGIEVA GYURDZHEKLIEVA</cp:lastModifiedBy>
  <cp:revision>3</cp:revision>
  <dcterms:created xsi:type="dcterms:W3CDTF">2024-07-05T13:32:00Z</dcterms:created>
  <dcterms:modified xsi:type="dcterms:W3CDTF">2024-07-05T13:33:00Z</dcterms:modified>
</cp:coreProperties>
</file>