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D7" w:rsidRPr="001218D6" w:rsidRDefault="00BC10D7" w:rsidP="00BC10D7">
      <w:pPr>
        <w:keepNext/>
        <w:keepLines/>
        <w:spacing w:line="360" w:lineRule="exact"/>
        <w:jc w:val="center"/>
        <w:rPr>
          <w:sz w:val="22"/>
          <w:szCs w:val="22"/>
        </w:rPr>
      </w:pPr>
      <w:bookmarkStart w:id="0" w:name="bookmark0"/>
      <w:bookmarkStart w:id="1" w:name="_GoBack"/>
      <w:bookmarkEnd w:id="1"/>
      <w:r w:rsidRPr="001218D6">
        <w:rPr>
          <w:rStyle w:val="Heading10"/>
          <w:rFonts w:eastAsia="Arial Unicode MS"/>
          <w:sz w:val="32"/>
          <w:szCs w:val="32"/>
        </w:rPr>
        <w:t>мотиви</w:t>
      </w:r>
      <w:bookmarkEnd w:id="0"/>
      <w:r w:rsidRPr="001218D6">
        <w:rPr>
          <w:rStyle w:val="Heading10"/>
          <w:rFonts w:eastAsia="Arial Unicode MS"/>
          <w:sz w:val="22"/>
          <w:szCs w:val="22"/>
        </w:rPr>
        <w:br/>
      </w:r>
      <w:r w:rsidRPr="001218D6">
        <w:rPr>
          <w:rStyle w:val="Bodytext2"/>
          <w:rFonts w:eastAsia="Arial Unicode MS"/>
          <w:sz w:val="22"/>
          <w:szCs w:val="22"/>
        </w:rPr>
        <w:t>към</w:t>
      </w:r>
    </w:p>
    <w:p w:rsidR="00165A29" w:rsidRDefault="00BC10D7" w:rsidP="004A007B">
      <w:pPr>
        <w:pStyle w:val="Bodytext20"/>
        <w:spacing w:before="0" w:line="360" w:lineRule="auto"/>
        <w:ind w:firstLine="709"/>
        <w:jc w:val="both"/>
        <w:rPr>
          <w:iCs/>
        </w:rPr>
      </w:pPr>
      <w:r w:rsidRPr="001218D6">
        <w:rPr>
          <w:lang w:val="bg-BG"/>
        </w:rPr>
        <w:t xml:space="preserve">Проект на </w:t>
      </w:r>
      <w:r w:rsidR="00165A29" w:rsidRPr="00165A29">
        <w:rPr>
          <w:iCs/>
          <w:lang w:val="bg-BG"/>
        </w:rPr>
        <w:t>Наредба за</w:t>
      </w:r>
      <w:r w:rsidR="00165A29" w:rsidRPr="00165A29">
        <w:rPr>
          <w:lang w:val="en-AU"/>
        </w:rPr>
        <w:t xml:space="preserve"> </w:t>
      </w:r>
      <w:r w:rsidR="00165A29" w:rsidRPr="00165A29">
        <w:rPr>
          <w:iCs/>
          <w:lang w:val="bg-BG"/>
        </w:rPr>
        <w:t>изменение и допълнение на Наредба № 3 от 2001 г. за водене и съхраняване на регистъра на лицата, правоспособни да извършват дейности по кадастъра</w:t>
      </w:r>
      <w:r w:rsidR="007E7B39">
        <w:rPr>
          <w:iCs/>
          <w:lang w:val="bg-BG"/>
        </w:rPr>
        <w:t xml:space="preserve"> </w:t>
      </w:r>
      <w:r w:rsidR="007E7B39" w:rsidRPr="00165A29">
        <w:rPr>
          <w:lang w:val="bg-BG"/>
        </w:rPr>
        <w:t>(</w:t>
      </w:r>
      <w:proofErr w:type="spellStart"/>
      <w:r w:rsidR="007E7B39" w:rsidRPr="00165A29">
        <w:rPr>
          <w:lang w:val="bg-BG"/>
        </w:rPr>
        <w:t>Обн</w:t>
      </w:r>
      <w:proofErr w:type="spellEnd"/>
      <w:r w:rsidR="007E7B39" w:rsidRPr="00165A29">
        <w:rPr>
          <w:lang w:val="bg-BG"/>
        </w:rPr>
        <w:t>.</w:t>
      </w:r>
      <w:r w:rsidR="007136F3">
        <w:rPr>
          <w:lang w:val="bg-BG"/>
        </w:rPr>
        <w:t>,</w:t>
      </w:r>
      <w:r w:rsidR="007E7B39" w:rsidRPr="00165A29">
        <w:rPr>
          <w:lang w:val="bg-BG"/>
        </w:rPr>
        <w:t xml:space="preserve"> ДВ</w:t>
      </w:r>
      <w:r w:rsidR="007136F3">
        <w:rPr>
          <w:lang w:val="bg-BG"/>
        </w:rPr>
        <w:t>,</w:t>
      </w:r>
      <w:r w:rsidR="007E7B39" w:rsidRPr="00165A29">
        <w:rPr>
          <w:lang w:val="bg-BG"/>
        </w:rPr>
        <w:t xml:space="preserve"> бр.</w:t>
      </w:r>
      <w:r w:rsidR="007E7B39">
        <w:rPr>
          <w:lang w:val="bg-BG"/>
        </w:rPr>
        <w:t xml:space="preserve"> 19 </w:t>
      </w:r>
      <w:r w:rsidR="007E7B39" w:rsidRPr="00165A29">
        <w:rPr>
          <w:lang w:val="bg-BG"/>
        </w:rPr>
        <w:t>от 20</w:t>
      </w:r>
      <w:r w:rsidR="007E7B39">
        <w:rPr>
          <w:lang w:val="bg-BG"/>
        </w:rPr>
        <w:t>0</w:t>
      </w:r>
      <w:r w:rsidR="007E7B39" w:rsidRPr="00165A29">
        <w:rPr>
          <w:lang w:val="bg-BG"/>
        </w:rPr>
        <w:t>1г.</w:t>
      </w:r>
      <w:r w:rsidR="007E7B39">
        <w:rPr>
          <w:lang w:val="bg-BG"/>
        </w:rPr>
        <w:t xml:space="preserve">, </w:t>
      </w:r>
      <w:r w:rsidR="007136F3" w:rsidRPr="007136F3">
        <w:rPr>
          <w:lang w:val="bg-BG"/>
        </w:rPr>
        <w:t>изм., бр. 15 от 2006 г., изм. и доп., бр. 81 от 2017 г.)</w:t>
      </w:r>
      <w:r w:rsidR="00165A29" w:rsidRPr="00165A29">
        <w:rPr>
          <w:iCs/>
          <w:lang w:val="bg-BG"/>
        </w:rPr>
        <w:t xml:space="preserve"> </w:t>
      </w:r>
    </w:p>
    <w:p w:rsidR="00165A29" w:rsidRPr="00165A29" w:rsidRDefault="00165A29" w:rsidP="004A007B">
      <w:pPr>
        <w:pStyle w:val="Bodytext20"/>
        <w:spacing w:before="0" w:line="360" w:lineRule="auto"/>
        <w:ind w:firstLine="709"/>
        <w:jc w:val="both"/>
        <w:rPr>
          <w:iCs/>
        </w:rPr>
      </w:pPr>
    </w:p>
    <w:p w:rsidR="00165A29" w:rsidRPr="001B0BD1" w:rsidRDefault="00165A29" w:rsidP="001B0BD1">
      <w:pPr>
        <w:pStyle w:val="Bodytext20"/>
        <w:spacing w:before="0" w:line="360" w:lineRule="auto"/>
        <w:ind w:firstLine="709"/>
        <w:jc w:val="both"/>
        <w:rPr>
          <w:iCs/>
          <w:lang w:val="bg-BG"/>
        </w:rPr>
      </w:pPr>
      <w:r>
        <w:rPr>
          <w:lang w:val="bg-BG"/>
        </w:rPr>
        <w:t xml:space="preserve">Проектът на </w:t>
      </w:r>
      <w:r w:rsidRPr="00165A29">
        <w:rPr>
          <w:iCs/>
          <w:lang w:val="bg-BG"/>
        </w:rPr>
        <w:t>Наредба за</w:t>
      </w:r>
      <w:r w:rsidRPr="00165A29">
        <w:rPr>
          <w:lang w:val="en-AU"/>
        </w:rPr>
        <w:t xml:space="preserve"> </w:t>
      </w:r>
      <w:r w:rsidRPr="00165A29">
        <w:rPr>
          <w:iCs/>
          <w:lang w:val="bg-BG"/>
        </w:rPr>
        <w:t xml:space="preserve">изменение и допълнение на Наредба № 3 от 2001 г. за водене и съхраняване на регистъра на лицата, правоспособни да извършват дейности по кадастъра </w:t>
      </w:r>
      <w:r w:rsidRPr="00165A29">
        <w:rPr>
          <w:lang w:val="bg-BG"/>
        </w:rPr>
        <w:t xml:space="preserve">е изготвен в изпълнение на § 28 от Преходни и заключителни разпоредби към Закона за изменение и допълнение на Закона за кадастъра и имотния регистър </w:t>
      </w:r>
      <w:r w:rsidR="00784E14" w:rsidRPr="002B748A">
        <w:rPr>
          <w:rFonts w:eastAsia="MS Mincho"/>
        </w:rPr>
        <w:t xml:space="preserve">(ЗИД ЗКИР) </w:t>
      </w:r>
      <w:r w:rsidRPr="00165A29">
        <w:rPr>
          <w:lang w:val="bg-BG"/>
        </w:rPr>
        <w:t>(</w:t>
      </w:r>
      <w:proofErr w:type="spellStart"/>
      <w:r w:rsidRPr="00165A29">
        <w:rPr>
          <w:lang w:val="bg-BG"/>
        </w:rPr>
        <w:t>Обн</w:t>
      </w:r>
      <w:proofErr w:type="spellEnd"/>
      <w:r w:rsidRPr="00165A29">
        <w:rPr>
          <w:lang w:val="bg-BG"/>
        </w:rPr>
        <w:t>.</w:t>
      </w:r>
      <w:r w:rsidR="00110412">
        <w:rPr>
          <w:lang w:val="bg-BG"/>
        </w:rPr>
        <w:t>,</w:t>
      </w:r>
      <w:r w:rsidRPr="00165A29">
        <w:rPr>
          <w:lang w:val="bg-BG"/>
        </w:rPr>
        <w:t xml:space="preserve"> ДВ</w:t>
      </w:r>
      <w:r w:rsidR="00110412">
        <w:rPr>
          <w:lang w:val="bg-BG"/>
        </w:rPr>
        <w:t>,</w:t>
      </w:r>
      <w:r w:rsidRPr="00165A29">
        <w:rPr>
          <w:lang w:val="bg-BG"/>
        </w:rPr>
        <w:t xml:space="preserve"> бр.41 от 2019г.). </w:t>
      </w:r>
    </w:p>
    <w:p w:rsidR="001B0BD1" w:rsidRPr="001B0BD1" w:rsidRDefault="001B0BD1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  <w:r w:rsidRPr="001B0BD1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С изменението на ЗКИР беше въведена правна възможност, лицата придобили правоспособност по кадастър, при желание от тяхна страна, да подпомагат службите по геодезия, картография и кадастър при административното обслужване, както и задължението правоспособните лица да преминават курсове за поддържане и повишаване на професионалната си квалификация. Тези изменения налагат съответните промени в текстовете на Наредба № 3 от </w:t>
      </w:r>
      <w:r w:rsidR="005B2DE0">
        <w:rPr>
          <w:rFonts w:ascii="Times New Roman" w:eastAsia="SimSun" w:hAnsi="Times New Roman" w:cs="Times New Roman"/>
          <w:color w:val="auto"/>
          <w:sz w:val="22"/>
          <w:szCs w:val="22"/>
          <w:lang w:val="en-US" w:eastAsia="zh-CN" w:bidi="ar-SA"/>
        </w:rPr>
        <w:t xml:space="preserve">      </w:t>
      </w:r>
      <w:r w:rsidRPr="001B0BD1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>2001 г., регламентиращи съдържанието на регистъра, партидите и партидните досиета на правоспособните лица.</w:t>
      </w:r>
    </w:p>
    <w:p w:rsidR="001B0BD1" w:rsidRPr="001B0BD1" w:rsidRDefault="001B0BD1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  <w:r w:rsidRPr="001B0BD1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>С проекта на наредба се извършват следните изменения:</w:t>
      </w:r>
    </w:p>
    <w:p w:rsidR="001B0BD1" w:rsidRPr="001B0BD1" w:rsidRDefault="001B0BD1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  <w:r w:rsidRPr="001B0BD1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Разпоредбата на чл. 3, ал. 2 се привежда в съответствие с чл. 17, ал.1, т.2 от ЗКИР, съгласно който в постоянния специализиран състав на юридическото лице е необходимо да има едно правоспособното физическо лице, а не едно лице на всеки 10 служители. В чл. 5 изрично се определя воденето в цифров вид на регистъра и на партидите на правоспособните лица, така както се извършва на практика. </w:t>
      </w:r>
      <w:r w:rsidR="00A16305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>И</w:t>
      </w:r>
      <w:r w:rsidRPr="001B0BD1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зречение второ се отразява на систематичното му място в чл. 7, ал.1. </w:t>
      </w:r>
    </w:p>
    <w:p w:rsidR="00C31C2C" w:rsidRDefault="00C31C2C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 w:rsidRPr="005A0EF4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Разпоредбата на чл. 6 се редактира, като </w:t>
      </w:r>
      <w:r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се определя съдържанието на партидата, което е задължително за всички правоспособни лица</w:t>
      </w:r>
      <w:r w:rsidR="007E7B39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и</w:t>
      </w:r>
      <w:r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се допълва с</w:t>
      </w:r>
      <w:r w:rsidR="001B0BD1" w:rsidRPr="005A0EF4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ъдържанието на партидата </w:t>
      </w:r>
      <w:r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което е задължително само за правоспособните лица, които извършват дейности по кадастър и/или дейността по</w:t>
      </w:r>
      <w:r w:rsidR="005A0EF4"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чл.</w:t>
      </w:r>
      <w:r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56 от ЗКИР. Съдържанието на партидата се допълва с </w:t>
      </w:r>
      <w:r w:rsidR="001B0BD1" w:rsidRPr="005A0EF4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данни за: датата на която правоспособното лице </w:t>
      </w:r>
      <w:r w:rsidR="001B0BD1"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започва дейността по административно обслужване, датата на която лицето прекратява дейността по административно обслужване, номер и датата, на документ за преминат курс за поддържане и повишаване на професионалната  квалификация и номер и дата на застрахователна полица за сключена застраховка „Професионална отговорност“.</w:t>
      </w:r>
      <w:r w:rsidR="00A16305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</w:t>
      </w:r>
    </w:p>
    <w:p w:rsidR="001B0BD1" w:rsidRPr="001B0BD1" w:rsidRDefault="00A16305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Допълва се и партидното досие </w:t>
      </w: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val="en-US" w:eastAsia="zh-CN" w:bidi="ar-SA"/>
        </w:rPr>
        <w:t>(</w:t>
      </w: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чл. 7</w:t>
      </w: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val="en-US" w:eastAsia="zh-CN" w:bidi="ar-SA"/>
        </w:rPr>
        <w:t>)</w:t>
      </w: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</w:t>
      </w:r>
      <w:r w:rsidR="001B0BD1"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със: заявление и документи към него за  извършване или за прекратяване на дейността по административно обслужване, и за промяна в обстоятелствата, документи, удостоверяващи, преминат курс за поддържане и повишаване на професионалната  квалификация на правоспособното лице и  застрахователни полици за сключена застраховка „Професионална отговорност“.</w:t>
      </w:r>
    </w:p>
    <w:p w:rsidR="001B0BD1" w:rsidRPr="001B0BD1" w:rsidRDefault="001B0BD1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 w:rsidRPr="005B2DE0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Поради дублиране на текстовете на </w:t>
      </w:r>
      <w:r w:rsidR="007E7B39" w:rsidRPr="005B2DE0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разпоредби, отпадат </w:t>
      </w:r>
      <w:r w:rsidRPr="005B2DE0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чл. 8 </w:t>
      </w:r>
      <w:r w:rsidR="007E7B39" w:rsidRPr="005B2DE0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и чл. 13, ал. 4</w:t>
      </w:r>
      <w:r w:rsidR="00A16305" w:rsidRPr="005B2DE0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.</w:t>
      </w:r>
    </w:p>
    <w:p w:rsidR="001B0BD1" w:rsidRPr="001B0BD1" w:rsidRDefault="001B0BD1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lastRenderedPageBreak/>
        <w:t>Чл</w:t>
      </w:r>
      <w:r w:rsidR="007E7B39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ен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9 се привежда в съответствие с изменението на чл. 97а от ЗКИР 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val="en-US" w:eastAsia="zh-CN" w:bidi="ar-SA"/>
        </w:rPr>
        <w:t>(</w:t>
      </w:r>
      <w:proofErr w:type="spellStart"/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обн</w:t>
      </w:r>
      <w:proofErr w:type="spellEnd"/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.</w:t>
      </w:r>
      <w:r w:rsidR="00110412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,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ДВ., бр. 41 от 2019 г.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val="en-US" w:eastAsia="zh-CN" w:bidi="ar-SA"/>
        </w:rPr>
        <w:t>)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, като се въвежда воденето на книга за наложените глоби и имуществени санкции по чл. 97а от ЗКИР.</w:t>
      </w:r>
    </w:p>
    <w:p w:rsidR="001B0BD1" w:rsidRPr="001B0BD1" w:rsidRDefault="00A16305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З</w:t>
      </w:r>
      <w:r w:rsidR="001B0BD1"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а лицето, което води регистъра на правоспособните лица </w:t>
      </w: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се въвежда задължение </w:t>
      </w:r>
      <w:r w:rsidR="001B0BD1"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да изисква от правоспособните лица данни за преминат курс за поддържане и повишаване на професионалната квалификация и данни за сключена застраховка „Професионална отговорност“.</w:t>
      </w: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Целта е поддържане на регистъра по чл. 12, т. 8 от ЗКИР в актуално състояние.</w:t>
      </w:r>
    </w:p>
    <w:p w:rsidR="00452BBB" w:rsidRPr="005A0EF4" w:rsidRDefault="00452BBB" w:rsidP="00452BBB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С редакцията на чл. 14 се конкретизират хипотезите, при които правоспособните лица са длъжни да уведомят АГКК при настъпване на промени в данните, подлежащи на записване в партидата на правоспособното лице. Във връзка с редакцията на чл. 14 се извършва и редакция на чл. 14а, ал. 1, т. 3.</w:t>
      </w:r>
    </w:p>
    <w:p w:rsidR="00452BBB" w:rsidRPr="00452BBB" w:rsidRDefault="00452BBB" w:rsidP="00452BBB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С цел прецизиране и разграничаване на задълженията на комисията по чл. 18, ал. 2 от ЗКИР и на длъжностното лице, което поддържа регистъра на правоспособните лица, се извършва редакция на чл. 16. Срокът, в който комисията по чл. 18, ал. 2 от ЗКИР за разглеждане на заявленията за придобиване на правоспособност и </w:t>
      </w:r>
      <w:r w:rsidR="007448E5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за</w:t>
      </w:r>
      <w:r w:rsidR="007448E5"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</w:t>
      </w:r>
      <w:r w:rsidRPr="005A0EF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произнасяне по тях се променя от 14 на 30 дни, така както е регламентирано в чл. 18, ал. 2 от ЗКИР.</w:t>
      </w:r>
      <w:r w:rsidRPr="00452BBB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</w:t>
      </w:r>
    </w:p>
    <w:p w:rsidR="001B0BD1" w:rsidRPr="001B0BD1" w:rsidRDefault="001B0BD1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Чл</w:t>
      </w:r>
      <w:r w:rsidR="007E7B39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ен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19 се прецизира с оглед спазване на </w:t>
      </w:r>
      <w:r w:rsidR="007448E5" w:rsidRPr="00547941">
        <w:rPr>
          <w:rFonts w:ascii="Times New Roman" w:eastAsia="MS Mincho" w:hAnsi="Times New Roman" w:cs="Times New Roman"/>
          <w:color w:val="auto"/>
          <w:lang w:eastAsia="en-US" w:bidi="ar-SA"/>
        </w:rPr>
        <w:t xml:space="preserve"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1B0BD1">
        <w:rPr>
          <w:rFonts w:ascii="Times New Roman" w:eastAsia="SimSun" w:hAnsi="Times New Roman" w:cs="Times New Roman"/>
          <w:bCs/>
          <w:iCs/>
          <w:color w:val="auto"/>
          <w:sz w:val="22"/>
          <w:szCs w:val="22"/>
          <w:lang w:eastAsia="zh-CN" w:bidi="ar-SA"/>
        </w:rPr>
        <w:t>(Общ регламент относно защитата на данните</w:t>
      </w:r>
      <w:r w:rsidRPr="001B0BD1">
        <w:rPr>
          <w:rFonts w:ascii="Times New Roman" w:eastAsia="SimSun" w:hAnsi="Times New Roman" w:cs="Times New Roman"/>
          <w:bCs/>
          <w:iCs/>
          <w:color w:val="auto"/>
          <w:sz w:val="22"/>
          <w:szCs w:val="22"/>
          <w:lang w:val="en-US" w:eastAsia="zh-CN" w:bidi="ar-SA"/>
        </w:rPr>
        <w:t>)</w:t>
      </w:r>
      <w:r w:rsidRPr="001B0BD1">
        <w:rPr>
          <w:rFonts w:ascii="Times New Roman" w:eastAsia="SimSun" w:hAnsi="Times New Roman" w:cs="Times New Roman"/>
          <w:bCs/>
          <w:iCs/>
          <w:color w:val="auto"/>
          <w:sz w:val="22"/>
          <w:szCs w:val="22"/>
          <w:lang w:eastAsia="zh-CN" w:bidi="ar-SA"/>
        </w:rPr>
        <w:t xml:space="preserve"> и на Закона за защита на личните данни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, като се посочва, кои данни за правоспособните лица, вписани в регистъра по чл. 12, т. 8 от ЗКИР подлежат на публикуване на електронната страница на АГКК и на разгласяването им в сградите на службите по геодезия, картография  и кадастър. </w:t>
      </w:r>
    </w:p>
    <w:p w:rsidR="001B0BD1" w:rsidRPr="001B0BD1" w:rsidRDefault="001B0BD1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В § 2 от Допълнителните разпоредби се прецизират текстовете относно дейностите, които правоспособните лица могат да извършват, като т. 2 се привежда в съответствие с чл. 16, ал. 3 от ЗКИР и се създава нова т. 3, с която се добавят дейностите по чл. 56, ал. 1 от ЗКИР- дейностите по административно обслужване.  </w:t>
      </w:r>
    </w:p>
    <w:p w:rsidR="001B0BD1" w:rsidRPr="00EC2301" w:rsidRDefault="006414E0" w:rsidP="001B0BD1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И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звършва </w:t>
      </w: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се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изменение на § 10 от Заключителните разпоредби към Наредба за</w:t>
      </w:r>
      <w:r w:rsidRPr="001B0BD1">
        <w:rPr>
          <w:rFonts w:ascii="Times New Roman" w:eastAsia="SimSun" w:hAnsi="Times New Roman" w:cs="Times New Roman"/>
          <w:color w:val="auto"/>
          <w:sz w:val="22"/>
          <w:szCs w:val="22"/>
          <w:lang w:val="en-AU" w:eastAsia="zh-CN" w:bidi="ar-SA"/>
        </w:rPr>
        <w:t xml:space="preserve"> 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изменение и допълнение на Наредба № 3 от 2001 г. за водене и съхраняване на регистъра на лицата, правоспособни да извършват дейности по кадастъра (</w:t>
      </w:r>
      <w:proofErr w:type="spellStart"/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обн</w:t>
      </w:r>
      <w:proofErr w:type="spellEnd"/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.</w:t>
      </w:r>
      <w:r w:rsidR="00110412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,</w:t>
      </w:r>
      <w:r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ДВ, бр. 81 от 2017 г</w:t>
      </w:r>
      <w:r w:rsidR="006A7575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.</w:t>
      </w:r>
      <w:r w:rsidR="006A7575">
        <w:rPr>
          <w:rFonts w:ascii="Times New Roman" w:eastAsia="SimSun" w:hAnsi="Times New Roman" w:cs="Times New Roman"/>
          <w:iCs/>
          <w:color w:val="auto"/>
          <w:sz w:val="22"/>
          <w:szCs w:val="22"/>
          <w:lang w:val="en-US" w:eastAsia="zh-CN" w:bidi="ar-SA"/>
        </w:rPr>
        <w:t>)</w:t>
      </w: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, като </w:t>
      </w:r>
      <w:r w:rsidR="00A16305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</w:t>
      </w:r>
      <w:r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в</w:t>
      </w:r>
      <w:r w:rsidR="005B2DE0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изпълнение на </w:t>
      </w:r>
      <w:r w:rsidR="00B22711" w:rsidRPr="00B22711">
        <w:rPr>
          <w:rFonts w:ascii="Times New Roman" w:eastAsia="SimSun" w:hAnsi="Times New Roman" w:cs="Times New Roman"/>
          <w:bCs/>
          <w:iCs/>
          <w:color w:val="auto"/>
          <w:sz w:val="22"/>
          <w:szCs w:val="22"/>
          <w:lang w:eastAsia="zh-CN" w:bidi="ar-SA"/>
        </w:rPr>
        <w:t xml:space="preserve">Решение № 704 на Министерския съвет от 2018 г. за приемане на мерки за трансформация на модела на административното обслужване </w:t>
      </w:r>
      <w:r w:rsidR="00B2271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се </w:t>
      </w:r>
      <w:r w:rsidR="005B2DE0" w:rsidRPr="00B2271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определя точна дата </w:t>
      </w:r>
      <w:r w:rsidR="00A16305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на влизане в сила на </w:t>
      </w:r>
      <w:r w:rsidR="00EC230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– </w:t>
      </w:r>
      <w:r w:rsidR="00E41BA4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разпоредбата - </w:t>
      </w:r>
      <w:r w:rsidR="00EC230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22.11.2018 г</w:t>
      </w:r>
      <w:r w:rsidR="001B0BD1" w:rsidRPr="001B0BD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.</w:t>
      </w:r>
      <w:r w:rsidR="00EC230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</w:t>
      </w:r>
      <w:r w:rsidR="00EC2301" w:rsidRPr="00EC230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Това е датата, на която Държавна Агенция „Електронно управление“ </w:t>
      </w:r>
      <w:r w:rsidR="00E05CE8" w:rsidRPr="00EC230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е предоставен достъп </w:t>
      </w:r>
      <w:r w:rsidR="00EC2301" w:rsidRPr="00EC230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на Агенцията по геодезия, картография и кадастър до </w:t>
      </w:r>
      <w:r w:rsidR="00370736" w:rsidRPr="00370736">
        <w:rPr>
          <w:rFonts w:ascii="Times New Roman" w:eastAsia="SimSun" w:hAnsi="Times New Roman" w:cs="Times New Roman"/>
          <w:bCs/>
          <w:iCs/>
          <w:color w:val="auto"/>
          <w:sz w:val="22"/>
          <w:szCs w:val="22"/>
          <w:lang w:eastAsia="zh-CN" w:bidi="ar-SA"/>
        </w:rPr>
        <w:t>данни от регистри на държавната администрация в</w:t>
      </w:r>
      <w:r w:rsidR="00370736" w:rsidRPr="00370736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</w:t>
      </w:r>
      <w:proofErr w:type="spellStart"/>
      <w:r w:rsidR="00EC2301" w:rsidRPr="00EC2301">
        <w:rPr>
          <w:rFonts w:ascii="Times New Roman" w:eastAsia="SimSun" w:hAnsi="Times New Roman" w:cs="Times New Roman"/>
          <w:iCs/>
          <w:color w:val="auto"/>
          <w:sz w:val="22"/>
          <w:szCs w:val="22"/>
          <w:lang w:val="en-US" w:eastAsia="zh-CN" w:bidi="ar-SA"/>
        </w:rPr>
        <w:t>RegiX</w:t>
      </w:r>
      <w:proofErr w:type="spellEnd"/>
      <w:r w:rsidR="00EC2301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.</w:t>
      </w:r>
    </w:p>
    <w:p w:rsidR="004564CE" w:rsidRPr="004564CE" w:rsidRDefault="004564CE" w:rsidP="004564CE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</w:pPr>
      <w:r w:rsidRPr="004564CE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При разработването на проекта на наредба са взети предвид бележки и предложения  на представители на браншовите организации: Съюз на геодезистите и земеустроителите в България, </w:t>
      </w:r>
      <w:r w:rsidRPr="004564CE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lastRenderedPageBreak/>
        <w:t xml:space="preserve">Камара на инженерите по геодезия и Асоциация на </w:t>
      </w:r>
      <w:proofErr w:type="spellStart"/>
      <w:r w:rsidRPr="004564CE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геодезическите</w:t>
      </w:r>
      <w:proofErr w:type="spellEnd"/>
      <w:r w:rsidRPr="004564CE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 xml:space="preserve"> фирми,  постъпили като писмени становища или изразени на проведените с тях работни срещи.</w:t>
      </w:r>
    </w:p>
    <w:p w:rsidR="00165A29" w:rsidRDefault="003C14AB" w:rsidP="004A007B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  <w:r w:rsidRPr="001218D6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>За прилагане на предложения проект на наредба не са необходими финансови и други средства.</w:t>
      </w:r>
      <w:r w:rsidR="00A94A7D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 </w:t>
      </w:r>
    </w:p>
    <w:p w:rsidR="003C14AB" w:rsidRPr="001218D6" w:rsidRDefault="003C14AB" w:rsidP="004A007B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  <w:r w:rsidRPr="001218D6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Проектът на Наредба за изменение </w:t>
      </w:r>
      <w:r w:rsidR="00165A29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и допълнение </w:t>
      </w:r>
      <w:r w:rsidRPr="001218D6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на </w:t>
      </w:r>
      <w:r w:rsidR="00165A29" w:rsidRPr="00165A29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Наредба № 3 от 2001 г. за водене и съхраняване на регистъра на лицата, правоспособни да извършват дейности по кадастъра </w:t>
      </w:r>
      <w:r w:rsidRPr="001218D6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 xml:space="preserve">не въвежда изисквания на </w:t>
      </w:r>
      <w:r w:rsidR="004564CE" w:rsidRPr="004564CE">
        <w:rPr>
          <w:rFonts w:ascii="Times New Roman" w:eastAsia="SimSun" w:hAnsi="Times New Roman" w:cs="Times New Roman"/>
          <w:iCs/>
          <w:color w:val="auto"/>
          <w:sz w:val="22"/>
          <w:szCs w:val="22"/>
          <w:lang w:eastAsia="zh-CN" w:bidi="ar-SA"/>
        </w:rPr>
        <w:t>правото на Европейския съюз</w:t>
      </w:r>
      <w:r w:rsidRPr="001218D6"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  <w:t>.</w:t>
      </w:r>
    </w:p>
    <w:p w:rsidR="004564CE" w:rsidRPr="004564CE" w:rsidRDefault="004564CE" w:rsidP="004A0F33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iCs/>
          <w:color w:val="auto"/>
          <w:sz w:val="22"/>
          <w:szCs w:val="22"/>
          <w:lang w:bidi="ar-SA"/>
        </w:rPr>
      </w:pPr>
      <w:r w:rsidRPr="004564CE">
        <w:rPr>
          <w:rFonts w:ascii="Times New Roman" w:eastAsia="MS Mincho" w:hAnsi="Times New Roman" w:cs="Times New Roman"/>
          <w:iCs/>
          <w:color w:val="auto"/>
          <w:sz w:val="22"/>
          <w:szCs w:val="22"/>
          <w:lang w:bidi="ar-SA"/>
        </w:rPr>
        <w:t xml:space="preserve">На основание Закона за нормативните актове, срокът за обществено обсъждане след публикуване на проекта на наредба и мотивите на Портала за обществени консултации, на интернет страниците на Министерството на регионалното развитие и благоустройството и на АГКК, е 30 дни. </w:t>
      </w:r>
    </w:p>
    <w:p w:rsidR="00165A29" w:rsidRPr="00165A29" w:rsidRDefault="00165A29" w:rsidP="003C14AB">
      <w:pPr>
        <w:widowControl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val="en-US" w:bidi="ar-SA"/>
        </w:rPr>
      </w:pPr>
    </w:p>
    <w:sectPr w:rsidR="00165A29" w:rsidRPr="00165A29" w:rsidSect="005B2DE0">
      <w:footerReference w:type="default" r:id="rId8"/>
      <w:pgSz w:w="11900" w:h="16840"/>
      <w:pgMar w:top="851" w:right="1191" w:bottom="1440" w:left="119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36" w:rsidRDefault="001D4C36">
      <w:r>
        <w:separator/>
      </w:r>
    </w:p>
  </w:endnote>
  <w:endnote w:type="continuationSeparator" w:id="0">
    <w:p w:rsidR="001D4C36" w:rsidRDefault="001D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68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7BB" w:rsidRDefault="00E167BB">
        <w:pPr>
          <w:pStyle w:val="Footer"/>
          <w:jc w:val="center"/>
        </w:pPr>
        <w:r w:rsidRPr="004340CA">
          <w:rPr>
            <w:sz w:val="18"/>
            <w:szCs w:val="18"/>
          </w:rPr>
          <w:fldChar w:fldCharType="begin"/>
        </w:r>
        <w:r w:rsidRPr="004340CA">
          <w:rPr>
            <w:sz w:val="18"/>
            <w:szCs w:val="18"/>
          </w:rPr>
          <w:instrText xml:space="preserve"> PAGE   \* MERGEFORMAT </w:instrText>
        </w:r>
        <w:r w:rsidRPr="004340CA">
          <w:rPr>
            <w:sz w:val="18"/>
            <w:szCs w:val="18"/>
          </w:rPr>
          <w:fldChar w:fldCharType="separate"/>
        </w:r>
        <w:r w:rsidR="00D73289">
          <w:rPr>
            <w:noProof/>
            <w:sz w:val="18"/>
            <w:szCs w:val="18"/>
          </w:rPr>
          <w:t>3</w:t>
        </w:r>
        <w:r w:rsidRPr="004340CA">
          <w:rPr>
            <w:noProof/>
            <w:sz w:val="18"/>
            <w:szCs w:val="18"/>
          </w:rPr>
          <w:fldChar w:fldCharType="end"/>
        </w:r>
      </w:p>
    </w:sdtContent>
  </w:sdt>
  <w:p w:rsidR="00A17690" w:rsidRDefault="001D4C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36" w:rsidRDefault="001D4C36">
      <w:r>
        <w:separator/>
      </w:r>
    </w:p>
  </w:footnote>
  <w:footnote w:type="continuationSeparator" w:id="0">
    <w:p w:rsidR="001D4C36" w:rsidRDefault="001D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86"/>
    <w:rsid w:val="000C6D7E"/>
    <w:rsid w:val="00110412"/>
    <w:rsid w:val="00111AD2"/>
    <w:rsid w:val="001218D6"/>
    <w:rsid w:val="00131A1B"/>
    <w:rsid w:val="00135076"/>
    <w:rsid w:val="00165A29"/>
    <w:rsid w:val="001B0BD1"/>
    <w:rsid w:val="001D18B1"/>
    <w:rsid w:val="001D4C36"/>
    <w:rsid w:val="001E153A"/>
    <w:rsid w:val="002069E0"/>
    <w:rsid w:val="00242C9B"/>
    <w:rsid w:val="00245D98"/>
    <w:rsid w:val="00335FC0"/>
    <w:rsid w:val="003518F7"/>
    <w:rsid w:val="003534D6"/>
    <w:rsid w:val="00357B1F"/>
    <w:rsid w:val="003665B5"/>
    <w:rsid w:val="00370736"/>
    <w:rsid w:val="003908DC"/>
    <w:rsid w:val="003B355D"/>
    <w:rsid w:val="003C14AB"/>
    <w:rsid w:val="003D0A0D"/>
    <w:rsid w:val="004159E4"/>
    <w:rsid w:val="004340CA"/>
    <w:rsid w:val="004346C1"/>
    <w:rsid w:val="00452BBB"/>
    <w:rsid w:val="004564CE"/>
    <w:rsid w:val="004A007B"/>
    <w:rsid w:val="004A0F33"/>
    <w:rsid w:val="004E0300"/>
    <w:rsid w:val="004F135E"/>
    <w:rsid w:val="005A0EF4"/>
    <w:rsid w:val="005A62C1"/>
    <w:rsid w:val="005B2DE0"/>
    <w:rsid w:val="005B38C0"/>
    <w:rsid w:val="005B6CE7"/>
    <w:rsid w:val="005D58E5"/>
    <w:rsid w:val="006126F0"/>
    <w:rsid w:val="00614B86"/>
    <w:rsid w:val="006414E0"/>
    <w:rsid w:val="00651C09"/>
    <w:rsid w:val="006603D4"/>
    <w:rsid w:val="00670158"/>
    <w:rsid w:val="00680ADE"/>
    <w:rsid w:val="006861CE"/>
    <w:rsid w:val="006A7575"/>
    <w:rsid w:val="006B099C"/>
    <w:rsid w:val="006C5F55"/>
    <w:rsid w:val="00706722"/>
    <w:rsid w:val="007136F3"/>
    <w:rsid w:val="007448E5"/>
    <w:rsid w:val="007631E3"/>
    <w:rsid w:val="00784E14"/>
    <w:rsid w:val="00786658"/>
    <w:rsid w:val="00795952"/>
    <w:rsid w:val="007A704E"/>
    <w:rsid w:val="007E7B39"/>
    <w:rsid w:val="007F37C9"/>
    <w:rsid w:val="00803CE6"/>
    <w:rsid w:val="00810389"/>
    <w:rsid w:val="0089720A"/>
    <w:rsid w:val="008D4017"/>
    <w:rsid w:val="008E7E5B"/>
    <w:rsid w:val="00917DD9"/>
    <w:rsid w:val="009469C8"/>
    <w:rsid w:val="00965323"/>
    <w:rsid w:val="00986AF2"/>
    <w:rsid w:val="009A4AF0"/>
    <w:rsid w:val="00A14D2E"/>
    <w:rsid w:val="00A16305"/>
    <w:rsid w:val="00A31699"/>
    <w:rsid w:val="00A31708"/>
    <w:rsid w:val="00A94A7D"/>
    <w:rsid w:val="00A960BE"/>
    <w:rsid w:val="00AB6467"/>
    <w:rsid w:val="00B22711"/>
    <w:rsid w:val="00BC10D7"/>
    <w:rsid w:val="00BE43BC"/>
    <w:rsid w:val="00C01A27"/>
    <w:rsid w:val="00C161AF"/>
    <w:rsid w:val="00C2586E"/>
    <w:rsid w:val="00C31C2C"/>
    <w:rsid w:val="00C81F46"/>
    <w:rsid w:val="00CB6F15"/>
    <w:rsid w:val="00CD307A"/>
    <w:rsid w:val="00D27DDF"/>
    <w:rsid w:val="00D4055D"/>
    <w:rsid w:val="00D652C8"/>
    <w:rsid w:val="00D72222"/>
    <w:rsid w:val="00D73289"/>
    <w:rsid w:val="00D97B71"/>
    <w:rsid w:val="00E0247A"/>
    <w:rsid w:val="00E05CE8"/>
    <w:rsid w:val="00E167BB"/>
    <w:rsid w:val="00E4067F"/>
    <w:rsid w:val="00E40E95"/>
    <w:rsid w:val="00E41BA4"/>
    <w:rsid w:val="00E555A0"/>
    <w:rsid w:val="00EC2301"/>
    <w:rsid w:val="00EF7A1F"/>
    <w:rsid w:val="00F23490"/>
    <w:rsid w:val="00F27FCD"/>
    <w:rsid w:val="00F46C13"/>
    <w:rsid w:val="00F65DCB"/>
    <w:rsid w:val="00FC00A2"/>
    <w:rsid w:val="00FD11F9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C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Heading10">
    <w:name w:val="Heading #1"/>
    <w:basedOn w:val="Heading1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BC10D7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BC10D7"/>
    <w:pPr>
      <w:shd w:val="clear" w:color="auto" w:fill="FFFFFF"/>
      <w:spacing w:before="360" w:line="40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CD"/>
    <w:rPr>
      <w:rFonts w:ascii="Tahoma" w:eastAsia="Arial Unicode MS" w:hAnsi="Tahoma" w:cs="Tahoma"/>
      <w:color w:val="000000"/>
      <w:sz w:val="16"/>
      <w:szCs w:val="16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2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CD"/>
    <w:rPr>
      <w:rFonts w:ascii="Arial Unicode MS" w:eastAsia="Arial Unicode MS" w:hAnsi="Arial Unicode MS" w:cs="Arial Unicode MS"/>
      <w:color w:val="000000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CD"/>
    <w:rPr>
      <w:rFonts w:ascii="Arial Unicode MS" w:eastAsia="Arial Unicode MS" w:hAnsi="Arial Unicode MS" w:cs="Arial Unicode MS"/>
      <w:b/>
      <w:bCs/>
      <w:color w:val="000000"/>
      <w:sz w:val="20"/>
      <w:szCs w:val="20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C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Heading10">
    <w:name w:val="Heading #1"/>
    <w:basedOn w:val="Heading1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BC10D7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BC10D7"/>
    <w:pPr>
      <w:shd w:val="clear" w:color="auto" w:fill="FFFFFF"/>
      <w:spacing w:before="360" w:line="40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CD"/>
    <w:rPr>
      <w:rFonts w:ascii="Tahoma" w:eastAsia="Arial Unicode MS" w:hAnsi="Tahoma" w:cs="Tahoma"/>
      <w:color w:val="000000"/>
      <w:sz w:val="16"/>
      <w:szCs w:val="16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2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CD"/>
    <w:rPr>
      <w:rFonts w:ascii="Arial Unicode MS" w:eastAsia="Arial Unicode MS" w:hAnsi="Arial Unicode MS" w:cs="Arial Unicode MS"/>
      <w:color w:val="000000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CD"/>
    <w:rPr>
      <w:rFonts w:ascii="Arial Unicode MS" w:eastAsia="Arial Unicode MS" w:hAnsi="Arial Unicode MS" w:cs="Arial Unicode MS"/>
      <w:b/>
      <w:bCs/>
      <w:color w:val="000000"/>
      <w:sz w:val="20"/>
      <w:szCs w:val="20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0F48-1F85-4A38-BA43-2E8396E6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Таранджийска</dc:creator>
  <cp:lastModifiedBy>Elisaveta Kissiova</cp:lastModifiedBy>
  <cp:revision>2</cp:revision>
  <cp:lastPrinted>2018-11-01T12:11:00Z</cp:lastPrinted>
  <dcterms:created xsi:type="dcterms:W3CDTF">2019-08-16T12:09:00Z</dcterms:created>
  <dcterms:modified xsi:type="dcterms:W3CDTF">2019-08-16T12:09:00Z</dcterms:modified>
</cp:coreProperties>
</file>