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4BDF" w14:textId="77777777" w:rsidR="00006A59" w:rsidRDefault="00006A59" w:rsidP="00391159">
      <w:pPr>
        <w:spacing w:before="200" w:after="120" w:line="360" w:lineRule="auto"/>
        <w:jc w:val="center"/>
        <w:rPr>
          <w:b/>
          <w:lang w:val="en-US"/>
        </w:rPr>
      </w:pPr>
      <w:r w:rsidRPr="00006A59">
        <w:rPr>
          <w:b/>
        </w:rPr>
        <w:t>М  О  Т  И  В  И</w:t>
      </w:r>
    </w:p>
    <w:p w14:paraId="3A6165E7" w14:textId="45A1421E" w:rsidR="008545CE" w:rsidRDefault="001B20C5" w:rsidP="00391159">
      <w:pPr>
        <w:pStyle w:val="Style"/>
        <w:spacing w:after="120" w:line="360" w:lineRule="auto"/>
        <w:ind w:left="0" w:firstLine="0"/>
        <w:jc w:val="center"/>
        <w:outlineLvl w:val="0"/>
        <w:rPr>
          <w:b/>
        </w:rPr>
      </w:pPr>
      <w:r w:rsidRPr="00844363">
        <w:rPr>
          <w:b/>
        </w:rPr>
        <w:t xml:space="preserve">за разработване на проекта </w:t>
      </w:r>
      <w:r w:rsidRPr="00AC343F">
        <w:rPr>
          <w:b/>
        </w:rPr>
        <w:t xml:space="preserve">на </w:t>
      </w:r>
      <w:r w:rsidR="00F56752">
        <w:rPr>
          <w:b/>
        </w:rPr>
        <w:t xml:space="preserve">Наредба </w:t>
      </w:r>
      <w:r w:rsidR="00ED4D0B" w:rsidRPr="00ED4D0B">
        <w:rPr>
          <w:b/>
        </w:rPr>
        <w:t>за организиране на движението по пътищата с пътни светофари</w:t>
      </w:r>
    </w:p>
    <w:p w14:paraId="458F25FC" w14:textId="77777777" w:rsidR="00A61749" w:rsidRPr="006F1D62" w:rsidRDefault="00A61749" w:rsidP="00E958A5">
      <w:pPr>
        <w:pStyle w:val="Style"/>
        <w:numPr>
          <w:ilvl w:val="0"/>
          <w:numId w:val="22"/>
        </w:numPr>
        <w:spacing w:after="120" w:line="360" w:lineRule="auto"/>
        <w:outlineLvl w:val="0"/>
        <w:rPr>
          <w:b/>
        </w:rPr>
      </w:pPr>
      <w:r w:rsidRPr="006F1D62">
        <w:rPr>
          <w:b/>
        </w:rPr>
        <w:t>Причини, които н</w:t>
      </w:r>
      <w:r w:rsidR="00B97B95">
        <w:rPr>
          <w:b/>
        </w:rPr>
        <w:t>а</w:t>
      </w:r>
      <w:r w:rsidR="00AC343F">
        <w:rPr>
          <w:b/>
        </w:rPr>
        <w:t>лагат приемането на нормативния</w:t>
      </w:r>
      <w:r w:rsidRPr="006F1D62">
        <w:rPr>
          <w:b/>
        </w:rPr>
        <w:t xml:space="preserve"> акт</w:t>
      </w:r>
    </w:p>
    <w:p w14:paraId="37F85D79" w14:textId="7ED55D9E" w:rsidR="00C70EC2" w:rsidRDefault="00C70EC2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Н</w:t>
      </w:r>
      <w:r w:rsidRPr="001B20C5">
        <w:t xml:space="preserve">а основание чл. 14, ал. 1 от Закона за движението по пътищата (ЗДвП), в редакцията ДВ, бр. 20 от 1999 г., министърът на </w:t>
      </w:r>
      <w:r>
        <w:t xml:space="preserve">регионалното развитие и благоустройството </w:t>
      </w:r>
      <w:r w:rsidRPr="001B20C5">
        <w:t>съгласувано с министъра на вътрешните работи и министъра на транспорта и съобщенията</w:t>
      </w:r>
      <w:r w:rsidRPr="00DA4073">
        <w:t xml:space="preserve"> </w:t>
      </w:r>
      <w:r>
        <w:t xml:space="preserve">е издал </w:t>
      </w:r>
      <w:r w:rsidR="00DA4073" w:rsidRPr="00DA4073">
        <w:t>Наредба № 17 от 23.07.2001 г. за регулиране на движението по пътищата със светлинни сигнали</w:t>
      </w:r>
      <w:r w:rsidR="001B20C5">
        <w:rPr>
          <w:lang w:val="en-US"/>
        </w:rPr>
        <w:t xml:space="preserve"> (</w:t>
      </w:r>
      <w:r w:rsidR="001B20C5" w:rsidRPr="00DA4073">
        <w:t>Наредба № 17 от</w:t>
      </w:r>
      <w:r w:rsidR="001B20C5">
        <w:rPr>
          <w:lang w:val="en-US"/>
        </w:rPr>
        <w:t xml:space="preserve"> </w:t>
      </w:r>
      <w:r w:rsidR="001B20C5" w:rsidRPr="00DA4073">
        <w:t>2001 г.</w:t>
      </w:r>
      <w:r w:rsidR="001B20C5">
        <w:rPr>
          <w:lang w:val="en-US"/>
        </w:rPr>
        <w:t>)</w:t>
      </w:r>
      <w:r>
        <w:t>, о</w:t>
      </w:r>
      <w:r w:rsidR="001B20C5" w:rsidRPr="001B20C5">
        <w:t>бн</w:t>
      </w:r>
      <w:r>
        <w:rPr>
          <w:lang w:val="en-US"/>
        </w:rPr>
        <w:t>.,</w:t>
      </w:r>
      <w:r w:rsidR="001B20C5" w:rsidRPr="001B20C5">
        <w:t xml:space="preserve"> </w:t>
      </w:r>
      <w:r>
        <w:t xml:space="preserve">ДВ, </w:t>
      </w:r>
      <w:r w:rsidR="001B20C5" w:rsidRPr="001B20C5">
        <w:t>бр. 7</w:t>
      </w:r>
      <w:r w:rsidR="001B20C5">
        <w:rPr>
          <w:lang w:val="en-US"/>
        </w:rPr>
        <w:t>2</w:t>
      </w:r>
      <w:r w:rsidR="001B20C5" w:rsidRPr="001B20C5">
        <w:t xml:space="preserve"> от 2001 г</w:t>
      </w:r>
      <w:r>
        <w:t>.</w:t>
      </w:r>
    </w:p>
    <w:p w14:paraId="1DDEFF09" w14:textId="42371BFA" w:rsidR="001B20C5" w:rsidRDefault="001B20C5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Със Закон за изменение и допълнение на З</w:t>
      </w:r>
      <w:r w:rsidR="00C70EC2">
        <w:t xml:space="preserve">акона за движението по пътищата </w:t>
      </w:r>
      <w:r>
        <w:t>(ДВ, бр. 60 от 2020 г.) разпоредбата на чл. 14, ал. 1 е изменена, като законодателят е възложил м</w:t>
      </w:r>
      <w:r w:rsidRPr="00424A7F">
        <w:t xml:space="preserve">инистърът </w:t>
      </w:r>
      <w:r w:rsidR="00265072" w:rsidRPr="001B20C5">
        <w:t xml:space="preserve">на </w:t>
      </w:r>
      <w:r w:rsidR="00265072">
        <w:t xml:space="preserve">регионалното развитие и благоустройството </w:t>
      </w:r>
      <w:r w:rsidR="00265072" w:rsidRPr="001B20C5">
        <w:t>съгласувано с министъра на вътрешните работи и министъра на транспорта и съобщенията</w:t>
      </w:r>
      <w:r w:rsidRPr="00424A7F">
        <w:t xml:space="preserve"> </w:t>
      </w:r>
      <w:r>
        <w:t xml:space="preserve">да </w:t>
      </w:r>
      <w:r w:rsidRPr="00424A7F">
        <w:t>определят с наредби условията и реда за използване на пътните светофари, пътните знаци, пътната маркировка и другите средства за сигнализиране при организиране на движението по пътищата, отворени за обществено ползване</w:t>
      </w:r>
      <w:r>
        <w:t>.</w:t>
      </w:r>
    </w:p>
    <w:p w14:paraId="577E9D60" w14:textId="6E31EEA4" w:rsidR="00CA1042" w:rsidRDefault="00CA1042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>С проекта на нормативния акт се определят условията, редът, местоположението, начинът за поставяне и изискванията към пътните светофари при организиране на движението по пътищата, отворени за обществено ползване, видовете светлинни сигнали, които се използват за регулиране движението на пътните превозни средства и на пешеходците, както и продължителността на междинните времена, преходните интервали, разрешителните сигнали и цикълът на светофарните уредби.</w:t>
      </w:r>
    </w:p>
    <w:p w14:paraId="66E3793D" w14:textId="2A35FAF3" w:rsidR="004B6E20" w:rsidRDefault="001B20C5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С проекта на</w:t>
      </w:r>
      <w:r w:rsidRPr="001B20C5">
        <w:t xml:space="preserve"> </w:t>
      </w:r>
      <w:r>
        <w:t>наредба се</w:t>
      </w:r>
      <w:r w:rsidRPr="001B20C5">
        <w:t xml:space="preserve"> прецизират, изменят и </w:t>
      </w:r>
      <w:r w:rsidRPr="00181896">
        <w:t xml:space="preserve">допълват текстове </w:t>
      </w:r>
      <w:r w:rsidR="002B3B2B" w:rsidRPr="00181896">
        <w:t xml:space="preserve">с оглед </w:t>
      </w:r>
      <w:r w:rsidRPr="00181896">
        <w:t xml:space="preserve">осигуряване на </w:t>
      </w:r>
      <w:r w:rsidR="002B3B2B" w:rsidRPr="00181896">
        <w:t xml:space="preserve">съвременни </w:t>
      </w:r>
      <w:r w:rsidRPr="00181896">
        <w:t>условия за прилагането на пътните светофари</w:t>
      </w:r>
      <w:r w:rsidR="00730904" w:rsidRPr="00181896">
        <w:t xml:space="preserve">, обобщаване на изисквания, </w:t>
      </w:r>
      <w:r w:rsidR="00045171">
        <w:t>заложени</w:t>
      </w:r>
      <w:r w:rsidR="00730904" w:rsidRPr="00181896">
        <w:t xml:space="preserve"> в различни нормативни актове</w:t>
      </w:r>
      <w:r w:rsidRPr="00181896">
        <w:t xml:space="preserve"> и постигане на по-висока безопасност на движението по пътищата.</w:t>
      </w:r>
      <w:r w:rsidR="009F2167" w:rsidRPr="00181896">
        <w:t xml:space="preserve"> Проектът </w:t>
      </w:r>
      <w:bookmarkStart w:id="0" w:name="_Hlk72931559"/>
      <w:r w:rsidR="009F2167" w:rsidRPr="00181896">
        <w:t>а</w:t>
      </w:r>
      <w:r w:rsidR="0076044C" w:rsidRPr="00181896">
        <w:t xml:space="preserve">ктуализира </w:t>
      </w:r>
      <w:r w:rsidR="009F2167" w:rsidRPr="00181896">
        <w:t xml:space="preserve">референции към </w:t>
      </w:r>
      <w:r w:rsidR="004B6E20" w:rsidRPr="00181896">
        <w:t>други нормативни актове, с цел отстраняване на несъответствия</w:t>
      </w:r>
      <w:r w:rsidR="004825C0">
        <w:t>,</w:t>
      </w:r>
      <w:r w:rsidR="004B6E20" w:rsidRPr="00181896">
        <w:t xml:space="preserve"> възникнали при </w:t>
      </w:r>
      <w:r w:rsidR="00C70EC2">
        <w:t>тяхното изменение и допълнение</w:t>
      </w:r>
      <w:r w:rsidR="00D150DF" w:rsidRPr="00181896">
        <w:t>.</w:t>
      </w:r>
      <w:bookmarkEnd w:id="0"/>
    </w:p>
    <w:p w14:paraId="1B4E6C28" w14:textId="2237289E" w:rsidR="00E20D14" w:rsidRPr="00181896" w:rsidRDefault="00E20D14" w:rsidP="008E0D34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B04402">
        <w:rPr>
          <w:color w:val="000000"/>
        </w:rPr>
        <w:t xml:space="preserve">С </w:t>
      </w:r>
      <w:r w:rsidRPr="00181896">
        <w:rPr>
          <w:color w:val="000000"/>
        </w:rPr>
        <w:t xml:space="preserve">проекта на </w:t>
      </w:r>
      <w:r w:rsidR="00046C12" w:rsidRPr="00181896">
        <w:rPr>
          <w:color w:val="000000"/>
        </w:rPr>
        <w:t>Наредба за организиране на движението по пътищата с пътни светофари</w:t>
      </w:r>
      <w:r w:rsidR="008B7787" w:rsidRPr="00181896">
        <w:rPr>
          <w:color w:val="000000"/>
        </w:rPr>
        <w:t xml:space="preserve"> се</w:t>
      </w:r>
      <w:r w:rsidRPr="00181896">
        <w:rPr>
          <w:color w:val="000000"/>
        </w:rPr>
        <w:t>:</w:t>
      </w:r>
    </w:p>
    <w:p w14:paraId="379B826E" w14:textId="42BD1E43" w:rsidR="00547232" w:rsidRPr="00181896" w:rsidRDefault="00E20D14" w:rsidP="008E0D3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/>
        </w:rPr>
      </w:pPr>
      <w:r w:rsidRPr="00181896">
        <w:rPr>
          <w:rFonts w:ascii="Times New Roman" w:hAnsi="Times New Roman"/>
          <w:sz w:val="24"/>
        </w:rPr>
        <w:t>о</w:t>
      </w:r>
      <w:r w:rsidR="00547232" w:rsidRPr="00181896">
        <w:rPr>
          <w:rFonts w:ascii="Times New Roman" w:hAnsi="Times New Roman"/>
          <w:sz w:val="24"/>
        </w:rPr>
        <w:t>пределя</w:t>
      </w:r>
      <w:r w:rsidRPr="00181896">
        <w:rPr>
          <w:rFonts w:ascii="Times New Roman" w:hAnsi="Times New Roman"/>
          <w:sz w:val="24"/>
        </w:rPr>
        <w:t xml:space="preserve"> </w:t>
      </w:r>
      <w:r w:rsidR="00547232" w:rsidRPr="00181896">
        <w:rPr>
          <w:rFonts w:ascii="Times New Roman" w:hAnsi="Times New Roman"/>
          <w:sz w:val="24"/>
        </w:rPr>
        <w:t xml:space="preserve">единен размер </w:t>
      </w:r>
      <w:r w:rsidR="00CC00A5" w:rsidRPr="00181896">
        <w:rPr>
          <w:rFonts w:ascii="Times New Roman" w:hAnsi="Times New Roman"/>
          <w:sz w:val="24"/>
        </w:rPr>
        <w:t xml:space="preserve">и вид </w:t>
      </w:r>
      <w:r w:rsidR="00547232" w:rsidRPr="00181896">
        <w:rPr>
          <w:rFonts w:ascii="Times New Roman" w:hAnsi="Times New Roman"/>
          <w:sz w:val="24"/>
        </w:rPr>
        <w:t>на трисекционния пътен светофар за регулиране на движението на велосипедисти. По-малкият диаметър</w:t>
      </w:r>
      <w:r w:rsidR="008E0D34" w:rsidRPr="00181896">
        <w:rPr>
          <w:rFonts w:ascii="Times New Roman" w:hAnsi="Times New Roman"/>
          <w:sz w:val="24"/>
        </w:rPr>
        <w:t xml:space="preserve">, определен за светофарните секции на </w:t>
      </w:r>
      <w:r w:rsidR="008E0D34" w:rsidRPr="00181896">
        <w:rPr>
          <w:rFonts w:ascii="Times New Roman" w:hAnsi="Times New Roman"/>
          <w:sz w:val="24"/>
        </w:rPr>
        <w:lastRenderedPageBreak/>
        <w:t>светофарите за регулиране на движението на велосипедисти</w:t>
      </w:r>
      <w:r w:rsidR="00471B61" w:rsidRPr="00181896">
        <w:rPr>
          <w:rFonts w:ascii="Times New Roman" w:hAnsi="Times New Roman"/>
          <w:sz w:val="24"/>
        </w:rPr>
        <w:t>,</w:t>
      </w:r>
      <w:r w:rsidR="00547232" w:rsidRPr="00181896">
        <w:rPr>
          <w:rFonts w:ascii="Times New Roman" w:hAnsi="Times New Roman"/>
          <w:sz w:val="24"/>
        </w:rPr>
        <w:t xml:space="preserve"> ще намали </w:t>
      </w:r>
      <w:r w:rsidR="008B7787" w:rsidRPr="00181896">
        <w:rPr>
          <w:rFonts w:ascii="Times New Roman" w:hAnsi="Times New Roman"/>
          <w:sz w:val="24"/>
        </w:rPr>
        <w:t xml:space="preserve">възможностите за </w:t>
      </w:r>
      <w:r w:rsidR="00360D9E" w:rsidRPr="00181896">
        <w:rPr>
          <w:rFonts w:ascii="Times New Roman" w:hAnsi="Times New Roman"/>
          <w:sz w:val="24"/>
        </w:rPr>
        <w:t>объркване на шофьорите</w:t>
      </w:r>
      <w:r w:rsidR="008B7787" w:rsidRPr="00181896">
        <w:rPr>
          <w:rFonts w:ascii="Times New Roman" w:hAnsi="Times New Roman"/>
          <w:sz w:val="24"/>
        </w:rPr>
        <w:t xml:space="preserve"> при възприемане на светлинните сигнали</w:t>
      </w:r>
      <w:r w:rsidR="00360D9E" w:rsidRPr="00181896">
        <w:rPr>
          <w:rFonts w:ascii="Times New Roman" w:hAnsi="Times New Roman"/>
          <w:sz w:val="24"/>
        </w:rPr>
        <w:t>;</w:t>
      </w:r>
      <w:r w:rsidR="00547232" w:rsidRPr="00181896">
        <w:rPr>
          <w:rFonts w:ascii="Times New Roman" w:hAnsi="Times New Roman"/>
          <w:sz w:val="24"/>
        </w:rPr>
        <w:t xml:space="preserve"> </w:t>
      </w:r>
    </w:p>
    <w:p w14:paraId="63E77D11" w14:textId="391DFF6E" w:rsidR="00547232" w:rsidRPr="00181896" w:rsidRDefault="00E20D14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>-</w:t>
      </w:r>
      <w:r w:rsidR="00547232" w:rsidRPr="00181896">
        <w:t xml:space="preserve"> </w:t>
      </w:r>
      <w:r w:rsidR="004825C0">
        <w:t>създава</w:t>
      </w:r>
      <w:r w:rsidR="00547232" w:rsidRPr="00181896">
        <w:t xml:space="preserve"> възможност за комбинирано регулиране на пешеходци и велосипедисти, </w:t>
      </w:r>
      <w:r w:rsidR="00FA1008" w:rsidRPr="00181896">
        <w:t>с оглед редуциране на евентуалния</w:t>
      </w:r>
      <w:r w:rsidR="00547232" w:rsidRPr="00181896">
        <w:t xml:space="preserve"> брой на използваните </w:t>
      </w:r>
      <w:r w:rsidR="00BE19C5" w:rsidRPr="00181896">
        <w:t>светофари</w:t>
      </w:r>
      <w:r w:rsidR="00360D9E" w:rsidRPr="00181896">
        <w:t>;</w:t>
      </w:r>
    </w:p>
    <w:p w14:paraId="529F16A8" w14:textId="0B2845D8" w:rsidR="00CC00A5" w:rsidRPr="00181896" w:rsidRDefault="00CC00A5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>- въвежда допълнителни светлинни секции</w:t>
      </w:r>
      <w:r w:rsidRPr="00181896">
        <w:rPr>
          <w:szCs w:val="28"/>
        </w:rPr>
        <w:t xml:space="preserve"> с мигаща жълта светлина за повишаване на вниманието на водачите, при извършване на ляв завой и </w:t>
      </w:r>
      <w:r w:rsidR="00D43025" w:rsidRPr="00181896">
        <w:rPr>
          <w:szCs w:val="28"/>
        </w:rPr>
        <w:t xml:space="preserve">при </w:t>
      </w:r>
      <w:r w:rsidRPr="00181896">
        <w:rPr>
          <w:szCs w:val="28"/>
        </w:rPr>
        <w:t>извършва</w:t>
      </w:r>
      <w:r w:rsidR="00382CBC" w:rsidRPr="00181896">
        <w:rPr>
          <w:szCs w:val="28"/>
        </w:rPr>
        <w:t>не на</w:t>
      </w:r>
      <w:r w:rsidRPr="00181896">
        <w:rPr>
          <w:szCs w:val="28"/>
        </w:rPr>
        <w:t xml:space="preserve"> десен завой, </w:t>
      </w:r>
      <w:r w:rsidR="00FB6214" w:rsidRPr="00181896">
        <w:rPr>
          <w:szCs w:val="28"/>
        </w:rPr>
        <w:t xml:space="preserve">когато </w:t>
      </w:r>
      <w:r w:rsidRPr="00181896">
        <w:rPr>
          <w:szCs w:val="28"/>
        </w:rPr>
        <w:t>трябва да пропуснат друг участник в движението (при пресичане на трамвайна, велосипедна и/или пешеходна инфраструктура)</w:t>
      </w:r>
      <w:r w:rsidR="00D43025" w:rsidRPr="00181896">
        <w:rPr>
          <w:szCs w:val="28"/>
        </w:rPr>
        <w:t>;</w:t>
      </w:r>
      <w:r w:rsidRPr="00181896">
        <w:t xml:space="preserve"> </w:t>
      </w:r>
    </w:p>
    <w:p w14:paraId="42B5DD7A" w14:textId="230C1503" w:rsidR="00BE19C5" w:rsidRPr="00181896" w:rsidRDefault="00435A91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>-</w:t>
      </w:r>
      <w:r w:rsidR="00391159" w:rsidRPr="00181896">
        <w:t xml:space="preserve"> въвежда</w:t>
      </w:r>
      <w:r w:rsidR="00181896" w:rsidRPr="00181896">
        <w:t xml:space="preserve"> </w:t>
      </w:r>
      <w:r w:rsidR="00391159" w:rsidRPr="00181896">
        <w:t>изисквания</w:t>
      </w:r>
      <w:r w:rsidR="00FB6214" w:rsidRPr="00181896">
        <w:t>, които улесняват</w:t>
      </w:r>
      <w:r w:rsidR="00391159" w:rsidRPr="00181896">
        <w:t xml:space="preserve"> използване</w:t>
      </w:r>
      <w:r w:rsidR="00FB6214" w:rsidRPr="00181896">
        <w:t>то</w:t>
      </w:r>
      <w:r w:rsidR="00391159" w:rsidRPr="00181896">
        <w:t xml:space="preserve"> на бутоните за пресичане по дадено направление от</w:t>
      </w:r>
      <w:r w:rsidR="00360D9E" w:rsidRPr="00181896">
        <w:t xml:space="preserve"> хора със зрителни увреждания</w:t>
      </w:r>
      <w:r w:rsidR="00FB6214" w:rsidRPr="00181896">
        <w:t>, като се създава възможност за предоставяне на допълнителна информация чрез тактилни знаци и/или брайлово писмо</w:t>
      </w:r>
      <w:r w:rsidR="00360D9E" w:rsidRPr="00181896">
        <w:t>;</w:t>
      </w:r>
    </w:p>
    <w:p w14:paraId="44459845" w14:textId="218EC7A5" w:rsidR="004B72A2" w:rsidRPr="00181896" w:rsidRDefault="004B72A2" w:rsidP="004B72A2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 xml:space="preserve">- определя височината на инсталиране, както и функционалностите на бутоните за пешеходци; </w:t>
      </w:r>
      <w:r w:rsidR="004825C0">
        <w:t>в</w:t>
      </w:r>
      <w:r w:rsidRPr="00181896">
        <w:t xml:space="preserve">ключена е забрана </w:t>
      </w:r>
      <w:r w:rsidR="002E4FF4" w:rsidRPr="00181896">
        <w:t xml:space="preserve">за </w:t>
      </w:r>
      <w:r w:rsidRPr="00181896">
        <w:t>използването на зелен и червен цвят на светлината, излъчвана от бутоните</w:t>
      </w:r>
      <w:r w:rsidR="006D0519" w:rsidRPr="00181896">
        <w:t>, за да не предизвиква объркване на участниците в движението</w:t>
      </w:r>
      <w:r w:rsidRPr="00181896">
        <w:t>;</w:t>
      </w:r>
    </w:p>
    <w:p w14:paraId="300D35D4" w14:textId="40BAB49D" w:rsidR="006C62E6" w:rsidRPr="00391159" w:rsidRDefault="005A5695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>- въвежда изискване</w:t>
      </w:r>
      <w:r w:rsidR="006C62E6" w:rsidRPr="00181896">
        <w:t xml:space="preserve"> звуковият сигнал</w:t>
      </w:r>
      <w:r w:rsidR="00FE6224" w:rsidRPr="00181896">
        <w:t>,</w:t>
      </w:r>
      <w:r w:rsidRPr="00181896">
        <w:t xml:space="preserve"> придружаващ разрешителния сигнал за пресичане</w:t>
      </w:r>
      <w:r w:rsidR="004825C0">
        <w:t>,</w:t>
      </w:r>
      <w:r w:rsidR="00181896" w:rsidRPr="00181896">
        <w:t xml:space="preserve"> </w:t>
      </w:r>
      <w:r w:rsidR="006C62E6" w:rsidRPr="00181896">
        <w:rPr>
          <w:shd w:val="clear" w:color="auto" w:fill="FEFEFE"/>
        </w:rPr>
        <w:t>да има различен звук и/или различна продължителност на звука и/или на паузата</w:t>
      </w:r>
      <w:r w:rsidR="00FE6224" w:rsidRPr="00181896">
        <w:rPr>
          <w:shd w:val="clear" w:color="auto" w:fill="FEFEFE"/>
        </w:rPr>
        <w:t xml:space="preserve"> в различните посоки на пресичане</w:t>
      </w:r>
      <w:r w:rsidR="006C62E6" w:rsidRPr="00181896">
        <w:rPr>
          <w:shd w:val="clear" w:color="auto" w:fill="FEFEFE"/>
        </w:rPr>
        <w:t>, което ще доведе до по</w:t>
      </w:r>
      <w:r w:rsidR="004825C0">
        <w:rPr>
          <w:shd w:val="clear" w:color="auto" w:fill="FEFEFE"/>
        </w:rPr>
        <w:t>-</w:t>
      </w:r>
      <w:r w:rsidR="006C62E6" w:rsidRPr="00181896">
        <w:rPr>
          <w:shd w:val="clear" w:color="auto" w:fill="FEFEFE"/>
        </w:rPr>
        <w:t>добра ориентация</w:t>
      </w:r>
      <w:r w:rsidR="00FE6224" w:rsidRPr="00181896">
        <w:rPr>
          <w:shd w:val="clear" w:color="auto" w:fill="FEFEFE"/>
        </w:rPr>
        <w:t xml:space="preserve"> на хората със зрителни увреждания при пресичане на кръстовище;</w:t>
      </w:r>
    </w:p>
    <w:p w14:paraId="7ECF4B2D" w14:textId="0A64AE79" w:rsidR="00AF6E76" w:rsidRPr="00181896" w:rsidRDefault="00435A91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 xml:space="preserve">- </w:t>
      </w:r>
      <w:r w:rsidR="008B7787" w:rsidRPr="00181896">
        <w:t xml:space="preserve">създава възможност за </w:t>
      </w:r>
      <w:r w:rsidR="00ED4D0B" w:rsidRPr="00181896">
        <w:rPr>
          <w:shd w:val="clear" w:color="auto" w:fill="FEFEFE"/>
        </w:rPr>
        <w:t>подобряване на видимостта на светлинните сигнали на пътния светофар</w:t>
      </w:r>
      <w:r w:rsidR="006457A4" w:rsidRPr="00181896">
        <w:rPr>
          <w:shd w:val="clear" w:color="auto" w:fill="FEFEFE"/>
        </w:rPr>
        <w:t>, като</w:t>
      </w:r>
      <w:r w:rsidR="00ED4D0B" w:rsidRPr="00181896">
        <w:rPr>
          <w:shd w:val="clear" w:color="auto" w:fill="FEFEFE"/>
        </w:rPr>
        <w:t xml:space="preserve"> се</w:t>
      </w:r>
      <w:r w:rsidR="00ED4D0B" w:rsidRPr="00181896">
        <w:t xml:space="preserve"> </w:t>
      </w:r>
      <w:r w:rsidR="006457A4" w:rsidRPr="00181896">
        <w:t xml:space="preserve">допуска околовръстната </w:t>
      </w:r>
      <w:r w:rsidR="006B00C5" w:rsidRPr="00181896">
        <w:t>ивица на контраст</w:t>
      </w:r>
      <w:r w:rsidR="006C62E6" w:rsidRPr="00181896">
        <w:t xml:space="preserve">ния екран да бъде </w:t>
      </w:r>
      <w:r w:rsidR="006457A4" w:rsidRPr="00181896">
        <w:t xml:space="preserve">оцветена освен в бял </w:t>
      </w:r>
      <w:r w:rsidR="006C62E6" w:rsidRPr="00181896">
        <w:t>и в жълт цвят</w:t>
      </w:r>
      <w:r w:rsidR="00ED4D0B" w:rsidRPr="00181896">
        <w:t>;</w:t>
      </w:r>
      <w:r w:rsidR="006457A4" w:rsidRPr="00181896">
        <w:t xml:space="preserve"> </w:t>
      </w:r>
    </w:p>
    <w:p w14:paraId="7183FCA6" w14:textId="55AFB9C9" w:rsidR="00AF6E76" w:rsidRPr="00181896" w:rsidRDefault="00435A91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 xml:space="preserve">- определя </w:t>
      </w:r>
      <w:r w:rsidR="00AF6E76" w:rsidRPr="00181896">
        <w:t>изисквания към техническите средства, използвани за регулиране на движението със светлинни сигнали</w:t>
      </w:r>
      <w:r w:rsidR="00F27042" w:rsidRPr="00181896">
        <w:t xml:space="preserve">, </w:t>
      </w:r>
      <w:r w:rsidR="00E2560A" w:rsidRPr="00181896">
        <w:t>които осигуряват</w:t>
      </w:r>
      <w:r w:rsidR="00F27042" w:rsidRPr="00181896">
        <w:t xml:space="preserve"> използването на посл</w:t>
      </w:r>
      <w:r w:rsidR="00360D9E" w:rsidRPr="00181896">
        <w:t>едните технологични подобрения;</w:t>
      </w:r>
    </w:p>
    <w:p w14:paraId="38678AB2" w14:textId="2155C202" w:rsidR="006B00C5" w:rsidRPr="00181896" w:rsidRDefault="00435A91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 xml:space="preserve">- въвежда </w:t>
      </w:r>
      <w:r w:rsidR="006B00C5" w:rsidRPr="00181896">
        <w:t>възможност стълбовете и конзолите, на които се монтират пътните светофари, както и средствата, използвани за закрепването им, да бъдат в жълт цвят</w:t>
      </w:r>
      <w:r w:rsidR="00E603DA" w:rsidRPr="00181896">
        <w:t>, което подобрява тяхната видимост</w:t>
      </w:r>
      <w:r w:rsidR="00360D9E" w:rsidRPr="00181896">
        <w:t>;</w:t>
      </w:r>
    </w:p>
    <w:p w14:paraId="6F805D85" w14:textId="51772A30" w:rsidR="00F27042" w:rsidRPr="00181896" w:rsidRDefault="00435A91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 xml:space="preserve">- </w:t>
      </w:r>
      <w:r w:rsidR="00E603DA" w:rsidRPr="00181896">
        <w:t xml:space="preserve">регламентира </w:t>
      </w:r>
      <w:r w:rsidR="00F27042" w:rsidRPr="00181896">
        <w:t xml:space="preserve">възможността за </w:t>
      </w:r>
      <w:r w:rsidR="000B46F5" w:rsidRPr="00181896">
        <w:t>управление</w:t>
      </w:r>
      <w:r w:rsidR="00F27042" w:rsidRPr="00181896">
        <w:t xml:space="preserve"> на светофарните контролери от специализиран централизиран софтуер за управление</w:t>
      </w:r>
      <w:r w:rsidR="009377EC" w:rsidRPr="00181896">
        <w:t>, прилага</w:t>
      </w:r>
      <w:r w:rsidR="001303E5" w:rsidRPr="00181896">
        <w:t>н</w:t>
      </w:r>
      <w:r w:rsidR="009377EC" w:rsidRPr="00181896">
        <w:t xml:space="preserve"> през последните години</w:t>
      </w:r>
      <w:r w:rsidR="00360D9E" w:rsidRPr="00181896">
        <w:t>;</w:t>
      </w:r>
    </w:p>
    <w:p w14:paraId="769A5B33" w14:textId="639A48EE" w:rsidR="003B5A06" w:rsidRPr="00181896" w:rsidRDefault="00E454B6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lastRenderedPageBreak/>
        <w:t>-</w:t>
      </w:r>
      <w:r w:rsidR="00FC52E8" w:rsidRPr="00181896">
        <w:t xml:space="preserve"> актуализира </w:t>
      </w:r>
      <w:r w:rsidR="004D6CA4" w:rsidRPr="00181896">
        <w:t>критерии</w:t>
      </w:r>
      <w:r w:rsidR="003555EA" w:rsidRPr="00181896">
        <w:t>те</w:t>
      </w:r>
      <w:r w:rsidR="003B5A06" w:rsidRPr="00181896">
        <w:t xml:space="preserve"> за въвеждане на отделна фаза за</w:t>
      </w:r>
      <w:r w:rsidR="00FC52E8" w:rsidRPr="00181896">
        <w:t xml:space="preserve"> регулиране движението на пешеходците в кръстовище</w:t>
      </w:r>
      <w:r w:rsidR="003B5A06" w:rsidRPr="00181896">
        <w:t xml:space="preserve"> </w:t>
      </w:r>
      <w:r w:rsidR="00FC52E8" w:rsidRPr="00181896">
        <w:t>и за въвеждане на пешеходна фаза по заявка</w:t>
      </w:r>
      <w:r w:rsidR="003555EA" w:rsidRPr="00181896">
        <w:t>. Очакваният ефект е да се повиши пропускателната способност на кръстовищата за всички участници в движението</w:t>
      </w:r>
      <w:r w:rsidR="00181896" w:rsidRPr="00181896">
        <w:t>;</w:t>
      </w:r>
    </w:p>
    <w:p w14:paraId="1AA9A62C" w14:textId="040DA6F7" w:rsidR="003B5A06" w:rsidRDefault="00E454B6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181896">
        <w:t xml:space="preserve">- </w:t>
      </w:r>
      <w:r w:rsidR="00486694" w:rsidRPr="00181896">
        <w:t xml:space="preserve">допълва с </w:t>
      </w:r>
      <w:r w:rsidR="003B5A06" w:rsidRPr="00181896">
        <w:t>нов алгоритъм за</w:t>
      </w:r>
      <w:r w:rsidR="00FB011A" w:rsidRPr="00181896">
        <w:t xml:space="preserve"> определяне на</w:t>
      </w:r>
      <w:r w:rsidR="003B5A06" w:rsidRPr="00181896">
        <w:t xml:space="preserve"> необходимостта</w:t>
      </w:r>
      <w:r w:rsidR="004D6CA4" w:rsidRPr="00181896">
        <w:t xml:space="preserve"> от въвеждане на</w:t>
      </w:r>
      <w:r w:rsidR="00D8603D" w:rsidRPr="00181896">
        <w:t xml:space="preserve"> отделен разрешителен сигнал за регулиране на движението на </w:t>
      </w:r>
      <w:r w:rsidR="00B91168">
        <w:t>пътните превозни средства</w:t>
      </w:r>
      <w:r w:rsidR="00D8603D" w:rsidRPr="00181896">
        <w:t>, завиващи наляво.</w:t>
      </w:r>
      <w:r w:rsidR="004D6CA4" w:rsidRPr="00181896">
        <w:t xml:space="preserve"> </w:t>
      </w:r>
      <w:r w:rsidR="00486694" w:rsidRPr="00181896">
        <w:t xml:space="preserve">Той определя ясен критерий за </w:t>
      </w:r>
      <w:r w:rsidR="00934A59" w:rsidRPr="00181896">
        <w:t xml:space="preserve">проектантите </w:t>
      </w:r>
      <w:r w:rsidR="00486694" w:rsidRPr="00181896">
        <w:t>при вземане на решение за отделяне на</w:t>
      </w:r>
      <w:r w:rsidR="00934A59" w:rsidRPr="00181896">
        <w:t xml:space="preserve"> левите завои в отделна фаза</w:t>
      </w:r>
      <w:r w:rsidR="004825C0">
        <w:t>,</w:t>
      </w:r>
      <w:r w:rsidR="00486694" w:rsidRPr="00181896">
        <w:t xml:space="preserve"> базиран</w:t>
      </w:r>
      <w:r w:rsidR="00934A59" w:rsidRPr="00181896">
        <w:t xml:space="preserve"> на статистика за </w:t>
      </w:r>
      <w:r w:rsidR="00B91168">
        <w:t>пътнотранспортните произшествия</w:t>
      </w:r>
      <w:r w:rsidR="00934A59" w:rsidRPr="00181896">
        <w:t xml:space="preserve"> и съотношението на конфликтните по</w:t>
      </w:r>
      <w:r w:rsidR="00360D9E" w:rsidRPr="00181896">
        <w:t>тоци на съответното кръстовище</w:t>
      </w:r>
      <w:r w:rsidR="002C6F47" w:rsidRPr="00181896">
        <w:t>.</w:t>
      </w:r>
    </w:p>
    <w:p w14:paraId="5EA0F57B" w14:textId="77777777" w:rsidR="00A61749" w:rsidRPr="007211C3" w:rsidRDefault="007211C3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/>
          <w:lang w:eastAsia="en-US"/>
        </w:rPr>
      </w:pPr>
      <w:r w:rsidRPr="007211C3">
        <w:rPr>
          <w:b/>
        </w:rPr>
        <w:t xml:space="preserve">2. </w:t>
      </w:r>
      <w:r w:rsidR="00A61749" w:rsidRPr="007211C3">
        <w:rPr>
          <w:b/>
          <w:lang w:eastAsia="en-US"/>
        </w:rPr>
        <w:t>Ц</w:t>
      </w:r>
      <w:r w:rsidR="00D64891" w:rsidRPr="007211C3">
        <w:rPr>
          <w:b/>
          <w:lang w:eastAsia="en-US"/>
        </w:rPr>
        <w:t>ели</w:t>
      </w:r>
      <w:r w:rsidR="00A61749" w:rsidRPr="007211C3">
        <w:rPr>
          <w:b/>
          <w:lang w:eastAsia="en-US"/>
        </w:rPr>
        <w:t>, които се пост</w:t>
      </w:r>
      <w:r w:rsidR="003C6EB5" w:rsidRPr="007211C3">
        <w:rPr>
          <w:b/>
          <w:lang w:eastAsia="en-US"/>
        </w:rPr>
        <w:t>а</w:t>
      </w:r>
      <w:r w:rsidR="00E25073">
        <w:rPr>
          <w:b/>
          <w:lang w:eastAsia="en-US"/>
        </w:rPr>
        <w:t>вят с приемането на нормативния</w:t>
      </w:r>
      <w:r w:rsidR="00A61749" w:rsidRPr="007211C3">
        <w:rPr>
          <w:b/>
          <w:lang w:eastAsia="en-US"/>
        </w:rPr>
        <w:t xml:space="preserve"> акт</w:t>
      </w:r>
    </w:p>
    <w:p w14:paraId="5FF661B9" w14:textId="4D39E005" w:rsidR="0090541E" w:rsidRPr="00181896" w:rsidRDefault="00CA4FCC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2B75CF">
        <w:rPr>
          <w:lang w:eastAsia="en-US"/>
        </w:rPr>
        <w:t xml:space="preserve">С проекта на </w:t>
      </w:r>
      <w:r w:rsidR="0051770B" w:rsidRPr="002B75CF">
        <w:rPr>
          <w:lang w:eastAsia="en-US"/>
        </w:rPr>
        <w:t>наредба</w:t>
      </w:r>
      <w:r w:rsidR="00ED7576" w:rsidRPr="002B75CF">
        <w:rPr>
          <w:lang w:eastAsia="en-US"/>
        </w:rPr>
        <w:t xml:space="preserve"> се цели</w:t>
      </w:r>
      <w:r w:rsidR="008A5DA4" w:rsidRPr="002B75CF">
        <w:rPr>
          <w:lang w:eastAsia="en-US"/>
        </w:rPr>
        <w:t xml:space="preserve"> </w:t>
      </w:r>
      <w:r w:rsidR="00691040" w:rsidRPr="002B75CF">
        <w:rPr>
          <w:lang w:eastAsia="en-US"/>
        </w:rPr>
        <w:t xml:space="preserve">постигане на изискванията на чл. </w:t>
      </w:r>
      <w:r w:rsidR="005B4265">
        <w:rPr>
          <w:lang w:eastAsia="en-US"/>
        </w:rPr>
        <w:t>14, ал. 1</w:t>
      </w:r>
      <w:r w:rsidR="00691040" w:rsidRPr="002B75CF">
        <w:rPr>
          <w:lang w:eastAsia="en-US"/>
        </w:rPr>
        <w:t xml:space="preserve"> от Закона за </w:t>
      </w:r>
      <w:r w:rsidR="005B4265">
        <w:rPr>
          <w:lang w:eastAsia="en-US"/>
        </w:rPr>
        <w:t xml:space="preserve">движението по пътищата, </w:t>
      </w:r>
      <w:r w:rsidR="00691040" w:rsidRPr="002B75CF">
        <w:rPr>
          <w:lang w:eastAsia="en-US"/>
        </w:rPr>
        <w:t xml:space="preserve">актуализиране на изискванията на </w:t>
      </w:r>
      <w:r w:rsidR="005B4265">
        <w:rPr>
          <w:lang w:eastAsia="en-US"/>
        </w:rPr>
        <w:t>нормативната уредба</w:t>
      </w:r>
      <w:r w:rsidR="00691040" w:rsidRPr="002B75CF">
        <w:rPr>
          <w:lang w:eastAsia="en-US"/>
        </w:rPr>
        <w:t xml:space="preserve"> в съответствие с развитието на технологиите и осигуряване на по-добра организация на движението по пътищата при използване на светлинни сигнали за регулирането м</w:t>
      </w:r>
      <w:r w:rsidR="00691040" w:rsidRPr="005B4265">
        <w:rPr>
          <w:lang w:eastAsia="en-US"/>
        </w:rPr>
        <w:t>у.</w:t>
      </w:r>
    </w:p>
    <w:p w14:paraId="0A0FE195" w14:textId="77777777" w:rsidR="00A61749" w:rsidRPr="00181896" w:rsidRDefault="00A61749" w:rsidP="00E958A5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181896">
        <w:rPr>
          <w:b/>
          <w:lang w:eastAsia="en-US"/>
        </w:rPr>
        <w:t>Ф</w:t>
      </w:r>
      <w:r w:rsidR="00EA413D" w:rsidRPr="00181896">
        <w:rPr>
          <w:b/>
          <w:lang w:eastAsia="en-US"/>
        </w:rPr>
        <w:t>инансови</w:t>
      </w:r>
      <w:r w:rsidRPr="00181896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14:paraId="1E4DCFC5" w14:textId="6B543648" w:rsidR="00A61749" w:rsidRPr="00181896" w:rsidRDefault="007D39E0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 w:rsidRPr="00181896">
        <w:rPr>
          <w:lang w:eastAsia="en-US"/>
        </w:rPr>
        <w:t>За прил</w:t>
      </w:r>
      <w:r w:rsidR="00F56752" w:rsidRPr="00181896">
        <w:rPr>
          <w:lang w:eastAsia="en-US"/>
        </w:rPr>
        <w:t xml:space="preserve">агане на предложения проект на </w:t>
      </w:r>
      <w:r w:rsidR="001976AE" w:rsidRPr="00181896">
        <w:rPr>
          <w:lang w:eastAsia="en-US"/>
        </w:rPr>
        <w:t>н</w:t>
      </w:r>
      <w:r w:rsidRPr="00181896">
        <w:rPr>
          <w:lang w:eastAsia="en-US"/>
        </w:rPr>
        <w:t>аредба не са необходими финансови и други средства.</w:t>
      </w:r>
      <w:bookmarkStart w:id="1" w:name="_GoBack"/>
      <w:bookmarkEnd w:id="1"/>
    </w:p>
    <w:p w14:paraId="2A288CB6" w14:textId="77777777" w:rsidR="00A61749" w:rsidRPr="00181896" w:rsidRDefault="00A61749" w:rsidP="00E958A5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181896">
        <w:rPr>
          <w:b/>
        </w:rPr>
        <w:t>Очаквани резулта</w:t>
      </w:r>
      <w:r w:rsidR="00431675" w:rsidRPr="00181896">
        <w:rPr>
          <w:b/>
        </w:rPr>
        <w:t>т</w:t>
      </w:r>
      <w:r w:rsidR="004A18DE" w:rsidRPr="00181896">
        <w:rPr>
          <w:b/>
        </w:rPr>
        <w:t>и от прилагането на нормативния</w:t>
      </w:r>
      <w:r w:rsidRPr="00181896">
        <w:rPr>
          <w:b/>
        </w:rPr>
        <w:t xml:space="preserve"> акт. </w:t>
      </w:r>
    </w:p>
    <w:p w14:paraId="70AAFB47" w14:textId="77647AF8" w:rsidR="007C15F7" w:rsidRDefault="001D7F77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 w:rsidRPr="00181896">
        <w:rPr>
          <w:lang w:eastAsia="en-US"/>
        </w:rPr>
        <w:t>С приемането на проекта на</w:t>
      </w:r>
      <w:r w:rsidR="002601C2" w:rsidRPr="00181896">
        <w:rPr>
          <w:lang w:eastAsia="en-US"/>
        </w:rPr>
        <w:t xml:space="preserve"> наредба</w:t>
      </w:r>
      <w:r w:rsidRPr="00181896">
        <w:rPr>
          <w:lang w:eastAsia="en-US"/>
        </w:rPr>
        <w:t xml:space="preserve"> </w:t>
      </w:r>
      <w:r w:rsidR="004951DD" w:rsidRPr="00181896">
        <w:rPr>
          <w:bCs/>
        </w:rPr>
        <w:t>ще се подобри</w:t>
      </w:r>
      <w:r w:rsidR="00ED5DC1" w:rsidRPr="00181896">
        <w:rPr>
          <w:bCs/>
        </w:rPr>
        <w:t xml:space="preserve"> </w:t>
      </w:r>
      <w:r w:rsidR="002030AC" w:rsidRPr="00181896">
        <w:rPr>
          <w:bCs/>
        </w:rPr>
        <w:t xml:space="preserve">организацията на движението по пътищата и улиците при регулирането му </w:t>
      </w:r>
      <w:r w:rsidR="00571408" w:rsidRPr="00181896">
        <w:rPr>
          <w:bCs/>
        </w:rPr>
        <w:t>със светлинни сигнали</w:t>
      </w:r>
      <w:r w:rsidR="004951DD" w:rsidRPr="00181896">
        <w:rPr>
          <w:bCs/>
        </w:rPr>
        <w:t xml:space="preserve">, ще се </w:t>
      </w:r>
      <w:r w:rsidR="002030AC" w:rsidRPr="00181896">
        <w:rPr>
          <w:bCs/>
        </w:rPr>
        <w:t xml:space="preserve">даде възможност за прилагане на съвременни технологии, както и да се </w:t>
      </w:r>
      <w:r w:rsidR="00E70DC5" w:rsidRPr="00181896">
        <w:rPr>
          <w:bCs/>
        </w:rPr>
        <w:t>уеднакв</w:t>
      </w:r>
      <w:r w:rsidR="004951DD" w:rsidRPr="00181896">
        <w:rPr>
          <w:bCs/>
        </w:rPr>
        <w:t>и</w:t>
      </w:r>
      <w:r w:rsidR="00E70DC5">
        <w:rPr>
          <w:bCs/>
        </w:rPr>
        <w:t xml:space="preserve"> проектантската практика</w:t>
      </w:r>
      <w:r w:rsidR="004951DD">
        <w:rPr>
          <w:bCs/>
        </w:rPr>
        <w:t>, с което ще се</w:t>
      </w:r>
      <w:r w:rsidR="004951DD" w:rsidRPr="004951DD">
        <w:rPr>
          <w:lang w:eastAsia="en-US"/>
        </w:rPr>
        <w:t xml:space="preserve"> </w:t>
      </w:r>
      <w:r w:rsidR="004951DD">
        <w:rPr>
          <w:lang w:eastAsia="en-US"/>
        </w:rPr>
        <w:t xml:space="preserve">постигне повишаване на </w:t>
      </w:r>
      <w:r w:rsidR="004951DD" w:rsidRPr="007C15F7">
        <w:rPr>
          <w:lang w:eastAsia="en-US"/>
        </w:rPr>
        <w:t xml:space="preserve"> безопасността на движението</w:t>
      </w:r>
      <w:r w:rsidR="004951DD">
        <w:rPr>
          <w:lang w:eastAsia="en-US"/>
        </w:rPr>
        <w:t xml:space="preserve"> по пътищата</w:t>
      </w:r>
      <w:r w:rsidR="00E70DC5">
        <w:rPr>
          <w:bCs/>
        </w:rPr>
        <w:t>.</w:t>
      </w:r>
    </w:p>
    <w:p w14:paraId="6A76D8D6" w14:textId="77777777" w:rsidR="00A61749" w:rsidRDefault="006F1D62" w:rsidP="00E958A5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>
        <w:rPr>
          <w:b/>
        </w:rPr>
        <w:t>А</w:t>
      </w:r>
      <w:r w:rsidRPr="006F1D62">
        <w:rPr>
          <w:b/>
        </w:rPr>
        <w:t>нализ за съответствие с правото на Европейския съюз.</w:t>
      </w:r>
    </w:p>
    <w:p w14:paraId="6C69884B" w14:textId="197EAB42" w:rsidR="003B37AA" w:rsidRPr="007115BD" w:rsidRDefault="004A18DE" w:rsidP="00E958A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Изготвеният</w:t>
      </w:r>
      <w:r w:rsidR="00A95DDD" w:rsidRPr="00A95DDD">
        <w:t xml:space="preserve"> проект </w:t>
      </w:r>
      <w:r w:rsidR="001D7F77">
        <w:t xml:space="preserve">на </w:t>
      </w:r>
      <w:r w:rsidR="002601C2">
        <w:t>н</w:t>
      </w:r>
      <w:r w:rsidR="008205A4" w:rsidRPr="008205A4">
        <w:t xml:space="preserve">аредба </w:t>
      </w:r>
      <w:r>
        <w:t>не въвежда</w:t>
      </w:r>
      <w:r w:rsidR="008205A4">
        <w:t xml:space="preserve"> изисквания на </w:t>
      </w:r>
      <w:r w:rsidR="00E70DC5">
        <w:t>правото на Е</w:t>
      </w:r>
      <w:r w:rsidR="008205A4">
        <w:t>вропейски</w:t>
      </w:r>
      <w:r w:rsidR="00E70DC5">
        <w:t>я съюз.</w:t>
      </w:r>
    </w:p>
    <w:sectPr w:rsidR="003B37AA" w:rsidRPr="007115BD" w:rsidSect="00505D1D">
      <w:footerReference w:type="first" r:id="rId8"/>
      <w:pgSz w:w="11906" w:h="16838" w:code="9"/>
      <w:pgMar w:top="1440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4331F" w14:textId="77777777" w:rsidR="0064475F" w:rsidRDefault="0064475F">
      <w:r>
        <w:separator/>
      </w:r>
    </w:p>
  </w:endnote>
  <w:endnote w:type="continuationSeparator" w:id="0">
    <w:p w14:paraId="29A69855" w14:textId="77777777" w:rsidR="0064475F" w:rsidRDefault="0064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8D1E" w14:textId="77777777" w:rsidR="00F56752" w:rsidRPr="00FA7B92" w:rsidRDefault="00F56752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06B6" w14:textId="77777777" w:rsidR="0064475F" w:rsidRDefault="0064475F">
      <w:r>
        <w:separator/>
      </w:r>
    </w:p>
  </w:footnote>
  <w:footnote w:type="continuationSeparator" w:id="0">
    <w:p w14:paraId="28557B78" w14:textId="77777777" w:rsidR="0064475F" w:rsidRDefault="0064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EC250FA"/>
    <w:multiLevelType w:val="hybridMultilevel"/>
    <w:tmpl w:val="088C6520"/>
    <w:lvl w:ilvl="0" w:tplc="0EB44A3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C6606"/>
    <w:multiLevelType w:val="hybridMultilevel"/>
    <w:tmpl w:val="0EF07F2A"/>
    <w:lvl w:ilvl="0" w:tplc="0A8E5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45150"/>
    <w:multiLevelType w:val="hybridMultilevel"/>
    <w:tmpl w:val="D99CADA4"/>
    <w:lvl w:ilvl="0" w:tplc="6D9C68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144B9"/>
    <w:multiLevelType w:val="hybridMultilevel"/>
    <w:tmpl w:val="3912E87C"/>
    <w:lvl w:ilvl="0" w:tplc="A2B689C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060" w:hanging="360"/>
      </w:pPr>
    </w:lvl>
    <w:lvl w:ilvl="2" w:tplc="0402001B">
      <w:start w:val="1"/>
      <w:numFmt w:val="lowerRoman"/>
      <w:lvlText w:val="%3."/>
      <w:lvlJc w:val="right"/>
      <w:pPr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1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12"/>
  </w:num>
  <w:num w:numId="9">
    <w:abstractNumId w:val="19"/>
  </w:num>
  <w:num w:numId="10">
    <w:abstractNumId w:val="9"/>
  </w:num>
  <w:num w:numId="11">
    <w:abstractNumId w:val="13"/>
  </w:num>
  <w:num w:numId="12">
    <w:abstractNumId w:val="10"/>
  </w:num>
  <w:num w:numId="13">
    <w:abstractNumId w:val="1"/>
  </w:num>
  <w:num w:numId="14">
    <w:abstractNumId w:val="21"/>
  </w:num>
  <w:num w:numId="15">
    <w:abstractNumId w:val="22"/>
  </w:num>
  <w:num w:numId="16">
    <w:abstractNumId w:val="17"/>
  </w:num>
  <w:num w:numId="17">
    <w:abstractNumId w:val="3"/>
  </w:num>
  <w:num w:numId="18">
    <w:abstractNumId w:val="7"/>
  </w:num>
  <w:num w:numId="19">
    <w:abstractNumId w:val="4"/>
  </w:num>
  <w:num w:numId="20">
    <w:abstractNumId w:val="20"/>
  </w:num>
  <w:num w:numId="21">
    <w:abstractNumId w:val="14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0861"/>
    <w:rsid w:val="00004467"/>
    <w:rsid w:val="00006A59"/>
    <w:rsid w:val="00010814"/>
    <w:rsid w:val="00010F88"/>
    <w:rsid w:val="00011EAB"/>
    <w:rsid w:val="00016D4B"/>
    <w:rsid w:val="00027A1C"/>
    <w:rsid w:val="00030865"/>
    <w:rsid w:val="00030CBD"/>
    <w:rsid w:val="000402E0"/>
    <w:rsid w:val="0004370C"/>
    <w:rsid w:val="000442AD"/>
    <w:rsid w:val="00045171"/>
    <w:rsid w:val="00045356"/>
    <w:rsid w:val="0004578E"/>
    <w:rsid w:val="00046C12"/>
    <w:rsid w:val="00047C5A"/>
    <w:rsid w:val="0005072A"/>
    <w:rsid w:val="00053A13"/>
    <w:rsid w:val="00060A60"/>
    <w:rsid w:val="00061015"/>
    <w:rsid w:val="0006213E"/>
    <w:rsid w:val="00066040"/>
    <w:rsid w:val="0006716E"/>
    <w:rsid w:val="000701C3"/>
    <w:rsid w:val="00070B9A"/>
    <w:rsid w:val="0007129F"/>
    <w:rsid w:val="00073A62"/>
    <w:rsid w:val="000745CB"/>
    <w:rsid w:val="00075D30"/>
    <w:rsid w:val="00076594"/>
    <w:rsid w:val="00083D6B"/>
    <w:rsid w:val="0008513C"/>
    <w:rsid w:val="000872C5"/>
    <w:rsid w:val="00087A20"/>
    <w:rsid w:val="000911C3"/>
    <w:rsid w:val="00095DBA"/>
    <w:rsid w:val="000A0DAB"/>
    <w:rsid w:val="000B3F10"/>
    <w:rsid w:val="000B46F5"/>
    <w:rsid w:val="000B7933"/>
    <w:rsid w:val="000C0778"/>
    <w:rsid w:val="000D3BEC"/>
    <w:rsid w:val="000D40FF"/>
    <w:rsid w:val="000D76E6"/>
    <w:rsid w:val="000E681A"/>
    <w:rsid w:val="000F0F60"/>
    <w:rsid w:val="000F13CE"/>
    <w:rsid w:val="000F2D87"/>
    <w:rsid w:val="000F3DBA"/>
    <w:rsid w:val="000F4A20"/>
    <w:rsid w:val="000F7A58"/>
    <w:rsid w:val="00111377"/>
    <w:rsid w:val="00111CB6"/>
    <w:rsid w:val="00116C7E"/>
    <w:rsid w:val="0012720A"/>
    <w:rsid w:val="001303E5"/>
    <w:rsid w:val="001373DD"/>
    <w:rsid w:val="00147086"/>
    <w:rsid w:val="00152EB1"/>
    <w:rsid w:val="00154FEC"/>
    <w:rsid w:val="00160510"/>
    <w:rsid w:val="00161E9B"/>
    <w:rsid w:val="00174D17"/>
    <w:rsid w:val="00181896"/>
    <w:rsid w:val="00190135"/>
    <w:rsid w:val="001976AE"/>
    <w:rsid w:val="001A1C8A"/>
    <w:rsid w:val="001A207E"/>
    <w:rsid w:val="001A2AB6"/>
    <w:rsid w:val="001A5B9C"/>
    <w:rsid w:val="001A5DFF"/>
    <w:rsid w:val="001B06CB"/>
    <w:rsid w:val="001B1BD7"/>
    <w:rsid w:val="001B20C5"/>
    <w:rsid w:val="001B2EAF"/>
    <w:rsid w:val="001B3721"/>
    <w:rsid w:val="001C26EA"/>
    <w:rsid w:val="001D796B"/>
    <w:rsid w:val="001D7F77"/>
    <w:rsid w:val="001E4819"/>
    <w:rsid w:val="001F0290"/>
    <w:rsid w:val="00200C35"/>
    <w:rsid w:val="00201BB0"/>
    <w:rsid w:val="002030AC"/>
    <w:rsid w:val="00211054"/>
    <w:rsid w:val="002129C9"/>
    <w:rsid w:val="0021561C"/>
    <w:rsid w:val="002165D4"/>
    <w:rsid w:val="002215CA"/>
    <w:rsid w:val="00223B2D"/>
    <w:rsid w:val="002258B3"/>
    <w:rsid w:val="0023297A"/>
    <w:rsid w:val="002401B1"/>
    <w:rsid w:val="002435E3"/>
    <w:rsid w:val="002455C6"/>
    <w:rsid w:val="00246112"/>
    <w:rsid w:val="00254C22"/>
    <w:rsid w:val="00255C0C"/>
    <w:rsid w:val="00256DDD"/>
    <w:rsid w:val="002601C2"/>
    <w:rsid w:val="00263A9D"/>
    <w:rsid w:val="00265072"/>
    <w:rsid w:val="0026744B"/>
    <w:rsid w:val="0027385F"/>
    <w:rsid w:val="00274263"/>
    <w:rsid w:val="002748A7"/>
    <w:rsid w:val="00277035"/>
    <w:rsid w:val="002935EA"/>
    <w:rsid w:val="00295F95"/>
    <w:rsid w:val="0029773A"/>
    <w:rsid w:val="002A3D3E"/>
    <w:rsid w:val="002B038D"/>
    <w:rsid w:val="002B0CA6"/>
    <w:rsid w:val="002B2F60"/>
    <w:rsid w:val="002B3B2B"/>
    <w:rsid w:val="002B4322"/>
    <w:rsid w:val="002B4795"/>
    <w:rsid w:val="002B75CF"/>
    <w:rsid w:val="002C4EF2"/>
    <w:rsid w:val="002C6F47"/>
    <w:rsid w:val="002D1C97"/>
    <w:rsid w:val="002D6A2F"/>
    <w:rsid w:val="002D730B"/>
    <w:rsid w:val="002E1186"/>
    <w:rsid w:val="002E2B51"/>
    <w:rsid w:val="002E374C"/>
    <w:rsid w:val="002E4FF4"/>
    <w:rsid w:val="002E782D"/>
    <w:rsid w:val="003039E5"/>
    <w:rsid w:val="0030414D"/>
    <w:rsid w:val="00312773"/>
    <w:rsid w:val="003169F1"/>
    <w:rsid w:val="00317E11"/>
    <w:rsid w:val="00320AEE"/>
    <w:rsid w:val="00323C31"/>
    <w:rsid w:val="00334F05"/>
    <w:rsid w:val="00340691"/>
    <w:rsid w:val="00347450"/>
    <w:rsid w:val="003505AC"/>
    <w:rsid w:val="00354016"/>
    <w:rsid w:val="00355584"/>
    <w:rsid w:val="003555EA"/>
    <w:rsid w:val="00355E36"/>
    <w:rsid w:val="00356B66"/>
    <w:rsid w:val="003606EB"/>
    <w:rsid w:val="00360B74"/>
    <w:rsid w:val="00360D9E"/>
    <w:rsid w:val="00370C51"/>
    <w:rsid w:val="00376A81"/>
    <w:rsid w:val="00381827"/>
    <w:rsid w:val="00382CBC"/>
    <w:rsid w:val="00386739"/>
    <w:rsid w:val="00391159"/>
    <w:rsid w:val="0039583D"/>
    <w:rsid w:val="003A6FA9"/>
    <w:rsid w:val="003B37AA"/>
    <w:rsid w:val="003B403C"/>
    <w:rsid w:val="003B5A06"/>
    <w:rsid w:val="003C6EB5"/>
    <w:rsid w:val="003C6EDF"/>
    <w:rsid w:val="003D2631"/>
    <w:rsid w:val="003D436B"/>
    <w:rsid w:val="003D5E54"/>
    <w:rsid w:val="003D7900"/>
    <w:rsid w:val="003E00B1"/>
    <w:rsid w:val="003E032C"/>
    <w:rsid w:val="003E20E9"/>
    <w:rsid w:val="003E5977"/>
    <w:rsid w:val="003F200D"/>
    <w:rsid w:val="003F380F"/>
    <w:rsid w:val="003F4F52"/>
    <w:rsid w:val="003F5CB9"/>
    <w:rsid w:val="003F7861"/>
    <w:rsid w:val="00410C93"/>
    <w:rsid w:val="00420390"/>
    <w:rsid w:val="00431675"/>
    <w:rsid w:val="00435A91"/>
    <w:rsid w:val="00435CD1"/>
    <w:rsid w:val="00436413"/>
    <w:rsid w:val="004368A6"/>
    <w:rsid w:val="004374D6"/>
    <w:rsid w:val="00446F47"/>
    <w:rsid w:val="00455DE9"/>
    <w:rsid w:val="00464041"/>
    <w:rsid w:val="00464189"/>
    <w:rsid w:val="00471B61"/>
    <w:rsid w:val="004818FF"/>
    <w:rsid w:val="004820D3"/>
    <w:rsid w:val="004825C0"/>
    <w:rsid w:val="00482B08"/>
    <w:rsid w:val="00486694"/>
    <w:rsid w:val="004931DE"/>
    <w:rsid w:val="004951DD"/>
    <w:rsid w:val="004956B7"/>
    <w:rsid w:val="00497168"/>
    <w:rsid w:val="004A18DE"/>
    <w:rsid w:val="004A3D10"/>
    <w:rsid w:val="004A4379"/>
    <w:rsid w:val="004B5AAC"/>
    <w:rsid w:val="004B64AE"/>
    <w:rsid w:val="004B6E20"/>
    <w:rsid w:val="004B72A2"/>
    <w:rsid w:val="004C46C8"/>
    <w:rsid w:val="004C7319"/>
    <w:rsid w:val="004D0257"/>
    <w:rsid w:val="004D57A8"/>
    <w:rsid w:val="004D6CA4"/>
    <w:rsid w:val="004E0DC5"/>
    <w:rsid w:val="004E1485"/>
    <w:rsid w:val="004E6A2C"/>
    <w:rsid w:val="004F022C"/>
    <w:rsid w:val="004F31CA"/>
    <w:rsid w:val="005017D0"/>
    <w:rsid w:val="00504B48"/>
    <w:rsid w:val="00505D1D"/>
    <w:rsid w:val="005068A8"/>
    <w:rsid w:val="00507C5D"/>
    <w:rsid w:val="00510C41"/>
    <w:rsid w:val="005131CE"/>
    <w:rsid w:val="0051477D"/>
    <w:rsid w:val="0051517A"/>
    <w:rsid w:val="00515BC0"/>
    <w:rsid w:val="00516518"/>
    <w:rsid w:val="0051770B"/>
    <w:rsid w:val="005231C4"/>
    <w:rsid w:val="00523B78"/>
    <w:rsid w:val="00524F58"/>
    <w:rsid w:val="00527BFF"/>
    <w:rsid w:val="005307C1"/>
    <w:rsid w:val="005332BE"/>
    <w:rsid w:val="005356E0"/>
    <w:rsid w:val="005378DD"/>
    <w:rsid w:val="00537BA3"/>
    <w:rsid w:val="00543A77"/>
    <w:rsid w:val="00546F2A"/>
    <w:rsid w:val="00547232"/>
    <w:rsid w:val="005561B9"/>
    <w:rsid w:val="00563C88"/>
    <w:rsid w:val="00566215"/>
    <w:rsid w:val="00570D77"/>
    <w:rsid w:val="00571408"/>
    <w:rsid w:val="00572029"/>
    <w:rsid w:val="00573202"/>
    <w:rsid w:val="005760A6"/>
    <w:rsid w:val="00576AF5"/>
    <w:rsid w:val="00581DC6"/>
    <w:rsid w:val="0058251E"/>
    <w:rsid w:val="00595991"/>
    <w:rsid w:val="00596982"/>
    <w:rsid w:val="00597C03"/>
    <w:rsid w:val="005A5695"/>
    <w:rsid w:val="005B376C"/>
    <w:rsid w:val="005B4265"/>
    <w:rsid w:val="005C61C2"/>
    <w:rsid w:val="005D1C6C"/>
    <w:rsid w:val="005D2303"/>
    <w:rsid w:val="005D42E7"/>
    <w:rsid w:val="005F5CA0"/>
    <w:rsid w:val="00607FFC"/>
    <w:rsid w:val="0061528C"/>
    <w:rsid w:val="006176C1"/>
    <w:rsid w:val="006334EB"/>
    <w:rsid w:val="00636FB5"/>
    <w:rsid w:val="0064083E"/>
    <w:rsid w:val="00643224"/>
    <w:rsid w:val="006433B2"/>
    <w:rsid w:val="00643D99"/>
    <w:rsid w:val="00644107"/>
    <w:rsid w:val="00644538"/>
    <w:rsid w:val="0064475F"/>
    <w:rsid w:val="006457A4"/>
    <w:rsid w:val="00656733"/>
    <w:rsid w:val="006602B7"/>
    <w:rsid w:val="0066398F"/>
    <w:rsid w:val="00665181"/>
    <w:rsid w:val="00675CF1"/>
    <w:rsid w:val="00691040"/>
    <w:rsid w:val="006A0D35"/>
    <w:rsid w:val="006B00C5"/>
    <w:rsid w:val="006B7F91"/>
    <w:rsid w:val="006C1B0B"/>
    <w:rsid w:val="006C62E6"/>
    <w:rsid w:val="006D02AB"/>
    <w:rsid w:val="006D0519"/>
    <w:rsid w:val="006D149D"/>
    <w:rsid w:val="006D64A0"/>
    <w:rsid w:val="006D650E"/>
    <w:rsid w:val="006E1166"/>
    <w:rsid w:val="006E4577"/>
    <w:rsid w:val="006E770D"/>
    <w:rsid w:val="006F0B70"/>
    <w:rsid w:val="006F1D62"/>
    <w:rsid w:val="006F7C5C"/>
    <w:rsid w:val="0070072C"/>
    <w:rsid w:val="00701C37"/>
    <w:rsid w:val="007025EB"/>
    <w:rsid w:val="00703BE3"/>
    <w:rsid w:val="00705CB9"/>
    <w:rsid w:val="007115BD"/>
    <w:rsid w:val="00711BEA"/>
    <w:rsid w:val="007164AB"/>
    <w:rsid w:val="007211C3"/>
    <w:rsid w:val="007224EC"/>
    <w:rsid w:val="0072604E"/>
    <w:rsid w:val="00730904"/>
    <w:rsid w:val="007338A1"/>
    <w:rsid w:val="00733E69"/>
    <w:rsid w:val="007448DF"/>
    <w:rsid w:val="00753C83"/>
    <w:rsid w:val="00753E82"/>
    <w:rsid w:val="0076044C"/>
    <w:rsid w:val="00761F26"/>
    <w:rsid w:val="0076358A"/>
    <w:rsid w:val="00771054"/>
    <w:rsid w:val="00771C43"/>
    <w:rsid w:val="00771CE2"/>
    <w:rsid w:val="00777D12"/>
    <w:rsid w:val="00777ECD"/>
    <w:rsid w:val="00781C5F"/>
    <w:rsid w:val="007A125B"/>
    <w:rsid w:val="007A5A3C"/>
    <w:rsid w:val="007A6C5D"/>
    <w:rsid w:val="007B375F"/>
    <w:rsid w:val="007B505A"/>
    <w:rsid w:val="007B5AD1"/>
    <w:rsid w:val="007B5B78"/>
    <w:rsid w:val="007C15F7"/>
    <w:rsid w:val="007D08CA"/>
    <w:rsid w:val="007D39E0"/>
    <w:rsid w:val="007E5306"/>
    <w:rsid w:val="007F3C66"/>
    <w:rsid w:val="007F7B37"/>
    <w:rsid w:val="008009BF"/>
    <w:rsid w:val="0080483D"/>
    <w:rsid w:val="008067D5"/>
    <w:rsid w:val="00807862"/>
    <w:rsid w:val="00811A23"/>
    <w:rsid w:val="008141E8"/>
    <w:rsid w:val="00816F7D"/>
    <w:rsid w:val="008179E0"/>
    <w:rsid w:val="008205A4"/>
    <w:rsid w:val="00827947"/>
    <w:rsid w:val="00830468"/>
    <w:rsid w:val="008322C6"/>
    <w:rsid w:val="008361DA"/>
    <w:rsid w:val="0084469A"/>
    <w:rsid w:val="00852835"/>
    <w:rsid w:val="008545CE"/>
    <w:rsid w:val="00864D16"/>
    <w:rsid w:val="00866DFD"/>
    <w:rsid w:val="008726B1"/>
    <w:rsid w:val="008737D4"/>
    <w:rsid w:val="00873E05"/>
    <w:rsid w:val="008759F7"/>
    <w:rsid w:val="00884C7B"/>
    <w:rsid w:val="00884E04"/>
    <w:rsid w:val="0089021A"/>
    <w:rsid w:val="008908FE"/>
    <w:rsid w:val="00895E3E"/>
    <w:rsid w:val="008A1DF0"/>
    <w:rsid w:val="008A330F"/>
    <w:rsid w:val="008A42C6"/>
    <w:rsid w:val="008A5DA4"/>
    <w:rsid w:val="008B0255"/>
    <w:rsid w:val="008B3057"/>
    <w:rsid w:val="008B7787"/>
    <w:rsid w:val="008C0DA0"/>
    <w:rsid w:val="008C2CB1"/>
    <w:rsid w:val="008D6250"/>
    <w:rsid w:val="008D7224"/>
    <w:rsid w:val="008E0D34"/>
    <w:rsid w:val="008E122D"/>
    <w:rsid w:val="008E2B89"/>
    <w:rsid w:val="008E3231"/>
    <w:rsid w:val="008F01EB"/>
    <w:rsid w:val="008F1DDC"/>
    <w:rsid w:val="008F2EC3"/>
    <w:rsid w:val="008F4F7E"/>
    <w:rsid w:val="008F5763"/>
    <w:rsid w:val="0090541E"/>
    <w:rsid w:val="00912835"/>
    <w:rsid w:val="009137E8"/>
    <w:rsid w:val="00924D49"/>
    <w:rsid w:val="009274BE"/>
    <w:rsid w:val="00934A59"/>
    <w:rsid w:val="009373D5"/>
    <w:rsid w:val="009377EC"/>
    <w:rsid w:val="00937CD1"/>
    <w:rsid w:val="009523A9"/>
    <w:rsid w:val="00952BA2"/>
    <w:rsid w:val="009544F7"/>
    <w:rsid w:val="009568AC"/>
    <w:rsid w:val="009643CA"/>
    <w:rsid w:val="009704C1"/>
    <w:rsid w:val="00972984"/>
    <w:rsid w:val="00972A16"/>
    <w:rsid w:val="00976840"/>
    <w:rsid w:val="00982738"/>
    <w:rsid w:val="00986E33"/>
    <w:rsid w:val="0098726A"/>
    <w:rsid w:val="009A25E9"/>
    <w:rsid w:val="009B3788"/>
    <w:rsid w:val="009C0158"/>
    <w:rsid w:val="009C413F"/>
    <w:rsid w:val="009D4D8C"/>
    <w:rsid w:val="009D5989"/>
    <w:rsid w:val="009D78F5"/>
    <w:rsid w:val="009E18FF"/>
    <w:rsid w:val="009E1BF4"/>
    <w:rsid w:val="009E381C"/>
    <w:rsid w:val="009F2167"/>
    <w:rsid w:val="00A10C28"/>
    <w:rsid w:val="00A13439"/>
    <w:rsid w:val="00A13833"/>
    <w:rsid w:val="00A13E81"/>
    <w:rsid w:val="00A1592E"/>
    <w:rsid w:val="00A212CC"/>
    <w:rsid w:val="00A21DE7"/>
    <w:rsid w:val="00A25EB4"/>
    <w:rsid w:val="00A30D86"/>
    <w:rsid w:val="00A321EC"/>
    <w:rsid w:val="00A3364E"/>
    <w:rsid w:val="00A469D8"/>
    <w:rsid w:val="00A477D7"/>
    <w:rsid w:val="00A51075"/>
    <w:rsid w:val="00A553AD"/>
    <w:rsid w:val="00A56504"/>
    <w:rsid w:val="00A5690A"/>
    <w:rsid w:val="00A60928"/>
    <w:rsid w:val="00A61749"/>
    <w:rsid w:val="00A661BC"/>
    <w:rsid w:val="00A715F6"/>
    <w:rsid w:val="00A74415"/>
    <w:rsid w:val="00A76425"/>
    <w:rsid w:val="00A923C0"/>
    <w:rsid w:val="00A95DDD"/>
    <w:rsid w:val="00A97F92"/>
    <w:rsid w:val="00AA18DD"/>
    <w:rsid w:val="00AA57A8"/>
    <w:rsid w:val="00AB4201"/>
    <w:rsid w:val="00AB673B"/>
    <w:rsid w:val="00AC0559"/>
    <w:rsid w:val="00AC343F"/>
    <w:rsid w:val="00AC488E"/>
    <w:rsid w:val="00AC785B"/>
    <w:rsid w:val="00AD0E43"/>
    <w:rsid w:val="00AD1568"/>
    <w:rsid w:val="00AD27FF"/>
    <w:rsid w:val="00AD2ECE"/>
    <w:rsid w:val="00AE2C52"/>
    <w:rsid w:val="00AE415A"/>
    <w:rsid w:val="00AE4705"/>
    <w:rsid w:val="00AE7A63"/>
    <w:rsid w:val="00AF0E68"/>
    <w:rsid w:val="00AF1588"/>
    <w:rsid w:val="00AF588D"/>
    <w:rsid w:val="00AF6E76"/>
    <w:rsid w:val="00AF73EE"/>
    <w:rsid w:val="00B01CD4"/>
    <w:rsid w:val="00B217A7"/>
    <w:rsid w:val="00B23A6B"/>
    <w:rsid w:val="00B24276"/>
    <w:rsid w:val="00B264EE"/>
    <w:rsid w:val="00B30117"/>
    <w:rsid w:val="00B312B1"/>
    <w:rsid w:val="00B409DF"/>
    <w:rsid w:val="00B45D08"/>
    <w:rsid w:val="00B46204"/>
    <w:rsid w:val="00B509F6"/>
    <w:rsid w:val="00B57654"/>
    <w:rsid w:val="00B6165C"/>
    <w:rsid w:val="00B620AF"/>
    <w:rsid w:val="00B6477B"/>
    <w:rsid w:val="00B6567E"/>
    <w:rsid w:val="00B67C6A"/>
    <w:rsid w:val="00B72DA8"/>
    <w:rsid w:val="00B752C6"/>
    <w:rsid w:val="00B90B27"/>
    <w:rsid w:val="00B91168"/>
    <w:rsid w:val="00B92F7C"/>
    <w:rsid w:val="00B93D4D"/>
    <w:rsid w:val="00B97B95"/>
    <w:rsid w:val="00BA41E0"/>
    <w:rsid w:val="00BA5E05"/>
    <w:rsid w:val="00BA5EC4"/>
    <w:rsid w:val="00BA7B65"/>
    <w:rsid w:val="00BC58D1"/>
    <w:rsid w:val="00BD03CE"/>
    <w:rsid w:val="00BD2F2C"/>
    <w:rsid w:val="00BD57FE"/>
    <w:rsid w:val="00BD6B75"/>
    <w:rsid w:val="00BD734C"/>
    <w:rsid w:val="00BE19C5"/>
    <w:rsid w:val="00BE33FD"/>
    <w:rsid w:val="00BF2A56"/>
    <w:rsid w:val="00BF39BB"/>
    <w:rsid w:val="00BF54B9"/>
    <w:rsid w:val="00C01C23"/>
    <w:rsid w:val="00C23485"/>
    <w:rsid w:val="00C250BF"/>
    <w:rsid w:val="00C25650"/>
    <w:rsid w:val="00C276B4"/>
    <w:rsid w:val="00C31B69"/>
    <w:rsid w:val="00C34D27"/>
    <w:rsid w:val="00C53C8E"/>
    <w:rsid w:val="00C636EE"/>
    <w:rsid w:val="00C70EC2"/>
    <w:rsid w:val="00C8335C"/>
    <w:rsid w:val="00C84FD8"/>
    <w:rsid w:val="00C94C29"/>
    <w:rsid w:val="00CA0A4F"/>
    <w:rsid w:val="00CA1042"/>
    <w:rsid w:val="00CA4FCC"/>
    <w:rsid w:val="00CA72D5"/>
    <w:rsid w:val="00CB0154"/>
    <w:rsid w:val="00CB0235"/>
    <w:rsid w:val="00CB5B35"/>
    <w:rsid w:val="00CC00A5"/>
    <w:rsid w:val="00CC23A3"/>
    <w:rsid w:val="00CC36CF"/>
    <w:rsid w:val="00CC3DBC"/>
    <w:rsid w:val="00CC461F"/>
    <w:rsid w:val="00CC6417"/>
    <w:rsid w:val="00CC6450"/>
    <w:rsid w:val="00CC714E"/>
    <w:rsid w:val="00CD3836"/>
    <w:rsid w:val="00CD6821"/>
    <w:rsid w:val="00CE6D0C"/>
    <w:rsid w:val="00CF495E"/>
    <w:rsid w:val="00CF77DA"/>
    <w:rsid w:val="00D030D0"/>
    <w:rsid w:val="00D1260D"/>
    <w:rsid w:val="00D14AFB"/>
    <w:rsid w:val="00D14B28"/>
    <w:rsid w:val="00D150DF"/>
    <w:rsid w:val="00D15B3F"/>
    <w:rsid w:val="00D16467"/>
    <w:rsid w:val="00D23E05"/>
    <w:rsid w:val="00D3034B"/>
    <w:rsid w:val="00D34E68"/>
    <w:rsid w:val="00D36D40"/>
    <w:rsid w:val="00D40CD8"/>
    <w:rsid w:val="00D43025"/>
    <w:rsid w:val="00D44929"/>
    <w:rsid w:val="00D53959"/>
    <w:rsid w:val="00D63873"/>
    <w:rsid w:val="00D64891"/>
    <w:rsid w:val="00D70816"/>
    <w:rsid w:val="00D72485"/>
    <w:rsid w:val="00D8603D"/>
    <w:rsid w:val="00D9221E"/>
    <w:rsid w:val="00DA2191"/>
    <w:rsid w:val="00DA4073"/>
    <w:rsid w:val="00DB5A3A"/>
    <w:rsid w:val="00DC015C"/>
    <w:rsid w:val="00DC61C9"/>
    <w:rsid w:val="00DC72EA"/>
    <w:rsid w:val="00DD3DFE"/>
    <w:rsid w:val="00DD4557"/>
    <w:rsid w:val="00DD4884"/>
    <w:rsid w:val="00DD6925"/>
    <w:rsid w:val="00DE150A"/>
    <w:rsid w:val="00DE3BD5"/>
    <w:rsid w:val="00DE4B14"/>
    <w:rsid w:val="00DE54D4"/>
    <w:rsid w:val="00DF2FD9"/>
    <w:rsid w:val="00E00261"/>
    <w:rsid w:val="00E0133C"/>
    <w:rsid w:val="00E014AE"/>
    <w:rsid w:val="00E05980"/>
    <w:rsid w:val="00E05AC4"/>
    <w:rsid w:val="00E17807"/>
    <w:rsid w:val="00E20D14"/>
    <w:rsid w:val="00E25073"/>
    <w:rsid w:val="00E2560A"/>
    <w:rsid w:val="00E454B6"/>
    <w:rsid w:val="00E47BAE"/>
    <w:rsid w:val="00E51576"/>
    <w:rsid w:val="00E603DA"/>
    <w:rsid w:val="00E63611"/>
    <w:rsid w:val="00E70DC5"/>
    <w:rsid w:val="00E72A43"/>
    <w:rsid w:val="00E72B52"/>
    <w:rsid w:val="00E84248"/>
    <w:rsid w:val="00E93A98"/>
    <w:rsid w:val="00E958A5"/>
    <w:rsid w:val="00E95C04"/>
    <w:rsid w:val="00EA413D"/>
    <w:rsid w:val="00EB5C0C"/>
    <w:rsid w:val="00EC6F5B"/>
    <w:rsid w:val="00ED4D0B"/>
    <w:rsid w:val="00ED5DC1"/>
    <w:rsid w:val="00ED7576"/>
    <w:rsid w:val="00EE11AF"/>
    <w:rsid w:val="00EE356F"/>
    <w:rsid w:val="00EE643D"/>
    <w:rsid w:val="00EE6444"/>
    <w:rsid w:val="00EE7E1B"/>
    <w:rsid w:val="00EE7FB5"/>
    <w:rsid w:val="00EF1679"/>
    <w:rsid w:val="00EF1E97"/>
    <w:rsid w:val="00EF3208"/>
    <w:rsid w:val="00EF6C0D"/>
    <w:rsid w:val="00F10FD9"/>
    <w:rsid w:val="00F13FE5"/>
    <w:rsid w:val="00F27042"/>
    <w:rsid w:val="00F31B9B"/>
    <w:rsid w:val="00F334DB"/>
    <w:rsid w:val="00F34F27"/>
    <w:rsid w:val="00F36E12"/>
    <w:rsid w:val="00F43D7A"/>
    <w:rsid w:val="00F46B85"/>
    <w:rsid w:val="00F5377D"/>
    <w:rsid w:val="00F56752"/>
    <w:rsid w:val="00F60F76"/>
    <w:rsid w:val="00F6309A"/>
    <w:rsid w:val="00F67DBE"/>
    <w:rsid w:val="00F71CD1"/>
    <w:rsid w:val="00F72EEB"/>
    <w:rsid w:val="00F73108"/>
    <w:rsid w:val="00F74119"/>
    <w:rsid w:val="00F754A3"/>
    <w:rsid w:val="00F76936"/>
    <w:rsid w:val="00F80D30"/>
    <w:rsid w:val="00F82094"/>
    <w:rsid w:val="00F82E38"/>
    <w:rsid w:val="00F85DFD"/>
    <w:rsid w:val="00F87D29"/>
    <w:rsid w:val="00F910E7"/>
    <w:rsid w:val="00F925F6"/>
    <w:rsid w:val="00F96C72"/>
    <w:rsid w:val="00FA1008"/>
    <w:rsid w:val="00FA10D2"/>
    <w:rsid w:val="00FA2D49"/>
    <w:rsid w:val="00FA5E7C"/>
    <w:rsid w:val="00FA7B92"/>
    <w:rsid w:val="00FB011A"/>
    <w:rsid w:val="00FB50C1"/>
    <w:rsid w:val="00FB6214"/>
    <w:rsid w:val="00FB7E33"/>
    <w:rsid w:val="00FC01EE"/>
    <w:rsid w:val="00FC52E8"/>
    <w:rsid w:val="00FD423C"/>
    <w:rsid w:val="00FE3B35"/>
    <w:rsid w:val="00FE6224"/>
    <w:rsid w:val="00FE645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E0ACB"/>
  <w15:docId w15:val="{3AA56FA8-2FBE-49BA-8BDE-02B26487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70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0E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70E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E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6772-7260-4990-95AF-C3CDBF82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>Grizli777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Hristina Adrianova Stancheva-Grigorova</cp:lastModifiedBy>
  <cp:revision>3</cp:revision>
  <cp:lastPrinted>2017-06-20T09:23:00Z</cp:lastPrinted>
  <dcterms:created xsi:type="dcterms:W3CDTF">2024-02-14T06:27:00Z</dcterms:created>
  <dcterms:modified xsi:type="dcterms:W3CDTF">2024-02-14T12:20:00Z</dcterms:modified>
</cp:coreProperties>
</file>