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900DE" w14:textId="3FC3175F" w:rsidR="00DF481A" w:rsidRDefault="00DF481A" w:rsidP="00DF481A">
      <w:pPr>
        <w:spacing w:before="240" w:line="240" w:lineRule="auto"/>
        <w:ind w:left="79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Проект!</w:t>
      </w:r>
    </w:p>
    <w:p w14:paraId="3A645F5E" w14:textId="77777777" w:rsidR="00DF481A" w:rsidRDefault="00DF481A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BC4DC1C" w14:textId="77777777" w:rsidR="004D161C" w:rsidRDefault="00326BCC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ПРИЛОЖЕНИЕ № 3: ПРОЕКТ НА ИДЕНТИФИЦИРАНИ ПОДПРИОРИТЕТИ И ОБЛАСТИ НА ВЪЗДЕЙСТВИЕ</w:t>
      </w:r>
    </w:p>
    <w:p w14:paraId="1A3CC7E9" w14:textId="77777777" w:rsidR="004D161C" w:rsidRDefault="00326BCC">
      <w:pPr>
        <w:spacing w:after="0"/>
        <w:jc w:val="both"/>
        <w:rPr>
          <w:rFonts w:ascii="Century Gothic" w:eastAsia="Century Gothic" w:hAnsi="Century Gothic" w:cs="Century Gothic"/>
          <w:color w:val="404040"/>
          <w:sz w:val="72"/>
          <w:szCs w:val="72"/>
        </w:rPr>
      </w:pPr>
      <w:r>
        <w:rPr>
          <w:rFonts w:ascii="Candara" w:eastAsia="Candara" w:hAnsi="Candara" w:cs="Candara"/>
          <w:color w:val="404040"/>
          <w:sz w:val="96"/>
          <w:szCs w:val="96"/>
        </w:rPr>
        <w:t xml:space="preserve">БЪЛГАРИЯ  </w:t>
      </w:r>
      <w:r>
        <w:rPr>
          <w:rFonts w:ascii="Century Gothic" w:eastAsia="Century Gothic" w:hAnsi="Century Gothic" w:cs="Century Gothic"/>
          <w:color w:val="404040"/>
          <w:sz w:val="72"/>
          <w:szCs w:val="72"/>
        </w:rPr>
        <w:t>2030</w:t>
      </w:r>
    </w:p>
    <w:p w14:paraId="28CDEFCA" w14:textId="77777777" w:rsidR="004D161C" w:rsidRDefault="00326BCC">
      <w:pPr>
        <w:spacing w:after="0"/>
        <w:jc w:val="both"/>
        <w:rPr>
          <w:rFonts w:ascii="Candara" w:eastAsia="Candara" w:hAnsi="Candara" w:cs="Candara"/>
          <w:color w:val="404040"/>
          <w:sz w:val="36"/>
          <w:szCs w:val="36"/>
        </w:rPr>
      </w:pPr>
      <w:r>
        <w:rPr>
          <w:rFonts w:ascii="Century Gothic" w:eastAsia="Century Gothic" w:hAnsi="Century Gothic" w:cs="Century Gothic"/>
          <w:color w:val="404040"/>
          <w:sz w:val="36"/>
          <w:szCs w:val="36"/>
        </w:rPr>
        <w:t>Бланка за подробно разписване на приоритет</w:t>
      </w:r>
    </w:p>
    <w:p w14:paraId="7F74F06C" w14:textId="77777777" w:rsidR="004D161C" w:rsidRDefault="004D161C">
      <w:pPr>
        <w:jc w:val="both"/>
      </w:pPr>
    </w:p>
    <w:tbl>
      <w:tblPr>
        <w:tblStyle w:val="14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643"/>
        <w:gridCol w:w="908"/>
        <w:gridCol w:w="907"/>
        <w:gridCol w:w="1814"/>
        <w:gridCol w:w="1815"/>
      </w:tblGrid>
      <w:tr w:rsidR="004D161C" w14:paraId="3E67E367" w14:textId="77777777"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4438497C" w14:textId="77777777" w:rsidR="004D161C" w:rsidRDefault="00326BCC">
            <w:pPr>
              <w:spacing w:before="120" w:after="120" w:line="240" w:lineRule="auto"/>
              <w:jc w:val="both"/>
              <w:rPr>
                <w:rFonts w:ascii="Century Gothic" w:eastAsia="Century Gothic" w:hAnsi="Century Gothic" w:cs="Century Gothic"/>
                <w:color w:val="404040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40"/>
                <w:szCs w:val="40"/>
              </w:rPr>
              <w:t xml:space="preserve">П[9] 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40"/>
                <w:szCs w:val="40"/>
              </w:rPr>
              <w:t>Местно развитие</w:t>
            </w:r>
          </w:p>
        </w:tc>
      </w:tr>
      <w:tr w:rsidR="004D161C" w14:paraId="355BA129" w14:textId="77777777">
        <w:tc>
          <w:tcPr>
            <w:tcW w:w="9072" w:type="dxa"/>
            <w:gridSpan w:val="6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2F2F2"/>
          </w:tcPr>
          <w:p w14:paraId="328BB997" w14:textId="061FDAC0" w:rsidR="004D161C" w:rsidRDefault="00326BCC">
            <w:pPr>
              <w:keepNext/>
              <w:keepLines/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  <w:color w:val="404040"/>
                <w:sz w:val="36"/>
                <w:szCs w:val="36"/>
              </w:rPr>
              <w:t>[9.1] Конкурентоспособност и развитие на регионите</w:t>
            </w:r>
          </w:p>
        </w:tc>
      </w:tr>
      <w:tr w:rsidR="004D161C" w14:paraId="69F9AAD7" w14:textId="77777777"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6305A43" w14:textId="77777777" w:rsidR="004D161C" w:rsidRDefault="00326BCC" w:rsidP="004C4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</w:pPr>
            <w:r>
              <w:rPr>
                <w:color w:val="000000"/>
              </w:rPr>
              <w:t>Цел на подприоритета е осигуряване на предпоставки за повишаването на конкурентоспособността и устойчивото развитие на регионите на страната, както и насърчаването на местното развитие, стъпвайки на специфичния местен потенциал</w:t>
            </w:r>
            <w:r w:rsidR="004C4032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</w:rPr>
              <w:t xml:space="preserve">и чрез адресиране на местните проблеми и предизвикателства. </w:t>
            </w:r>
            <w:r w:rsidR="00B5453C">
              <w:rPr>
                <w:color w:val="000000"/>
              </w:rPr>
              <w:t xml:space="preserve">Това </w:t>
            </w:r>
            <w:r w:rsidR="00F84E8C">
              <w:rPr>
                <w:color w:val="000000"/>
              </w:rPr>
              <w:t>ще се постигне чрез и</w:t>
            </w:r>
            <w:proofErr w:type="spellStart"/>
            <w:r w:rsidR="00F84E8C" w:rsidRPr="00F84E8C">
              <w:rPr>
                <w:color w:val="000000"/>
                <w:lang w:val="en-US"/>
              </w:rPr>
              <w:t>нтегрирано</w:t>
            </w:r>
            <w:proofErr w:type="spellEnd"/>
            <w:r w:rsidR="00F84E8C" w:rsidRPr="00F84E8C">
              <w:rPr>
                <w:color w:val="000000"/>
                <w:lang w:val="en-US"/>
              </w:rPr>
              <w:t xml:space="preserve"> </w:t>
            </w:r>
            <w:proofErr w:type="spellStart"/>
            <w:r w:rsidR="00F84E8C" w:rsidRPr="00F84E8C">
              <w:rPr>
                <w:color w:val="000000"/>
                <w:lang w:val="en-US"/>
              </w:rPr>
              <w:t>развитие</w:t>
            </w:r>
            <w:proofErr w:type="spellEnd"/>
            <w:r w:rsidR="00F84E8C" w:rsidRPr="00F84E8C">
              <w:rPr>
                <w:color w:val="000000"/>
                <w:lang w:val="en-US"/>
              </w:rPr>
              <w:t xml:space="preserve"> </w:t>
            </w:r>
            <w:proofErr w:type="spellStart"/>
            <w:r w:rsidR="00F84E8C" w:rsidRPr="00F84E8C">
              <w:rPr>
                <w:color w:val="000000"/>
                <w:lang w:val="en-US"/>
              </w:rPr>
              <w:t>на</w:t>
            </w:r>
            <w:proofErr w:type="spellEnd"/>
            <w:r w:rsidR="00F84E8C" w:rsidRPr="00F84E8C">
              <w:rPr>
                <w:color w:val="000000"/>
                <w:lang w:val="en-US"/>
              </w:rPr>
              <w:t xml:space="preserve"> </w:t>
            </w:r>
            <w:proofErr w:type="spellStart"/>
            <w:r w:rsidR="00F84E8C" w:rsidRPr="00F84E8C">
              <w:rPr>
                <w:color w:val="000000"/>
                <w:lang w:val="en-US"/>
              </w:rPr>
              <w:t>ресурсно</w:t>
            </w:r>
            <w:proofErr w:type="spellEnd"/>
            <w:r w:rsidR="00F84E8C" w:rsidRPr="00F84E8C">
              <w:rPr>
                <w:color w:val="000000"/>
                <w:lang w:val="en-US"/>
              </w:rPr>
              <w:t xml:space="preserve"> </w:t>
            </w:r>
            <w:proofErr w:type="spellStart"/>
            <w:r w:rsidR="00F84E8C" w:rsidRPr="00F84E8C">
              <w:rPr>
                <w:color w:val="000000"/>
                <w:lang w:val="en-US"/>
              </w:rPr>
              <w:t>обвързани</w:t>
            </w:r>
            <w:proofErr w:type="spellEnd"/>
            <w:r w:rsidR="00F84E8C" w:rsidRPr="00F84E8C">
              <w:rPr>
                <w:color w:val="000000"/>
                <w:lang w:val="en-US"/>
              </w:rPr>
              <w:t xml:space="preserve"> и </w:t>
            </w:r>
            <w:proofErr w:type="spellStart"/>
            <w:r w:rsidR="00F84E8C" w:rsidRPr="00F84E8C">
              <w:rPr>
                <w:color w:val="000000"/>
                <w:lang w:val="en-US"/>
              </w:rPr>
              <w:t>допълващи</w:t>
            </w:r>
            <w:proofErr w:type="spellEnd"/>
            <w:r w:rsidR="00F84E8C" w:rsidRPr="00F84E8C">
              <w:rPr>
                <w:color w:val="000000"/>
                <w:lang w:val="en-US"/>
              </w:rPr>
              <w:t xml:space="preserve"> </w:t>
            </w:r>
            <w:proofErr w:type="spellStart"/>
            <w:r w:rsidR="00F84E8C" w:rsidRPr="00F84E8C">
              <w:rPr>
                <w:color w:val="000000"/>
                <w:lang w:val="en-US"/>
              </w:rPr>
              <w:t>се</w:t>
            </w:r>
            <w:proofErr w:type="spellEnd"/>
            <w:r w:rsidR="00F84E8C" w:rsidRPr="00F84E8C">
              <w:rPr>
                <w:color w:val="000000"/>
                <w:lang w:val="en-US"/>
              </w:rPr>
              <w:t xml:space="preserve"> </w:t>
            </w:r>
            <w:proofErr w:type="spellStart"/>
            <w:r w:rsidR="00F84E8C" w:rsidRPr="00F84E8C">
              <w:rPr>
                <w:color w:val="000000"/>
                <w:lang w:val="en-US"/>
              </w:rPr>
              <w:t>икономически</w:t>
            </w:r>
            <w:proofErr w:type="spellEnd"/>
            <w:r w:rsidR="00F84E8C" w:rsidRPr="00F84E8C">
              <w:rPr>
                <w:color w:val="000000"/>
                <w:lang w:val="en-US"/>
              </w:rPr>
              <w:t xml:space="preserve"> </w:t>
            </w:r>
            <w:proofErr w:type="spellStart"/>
            <w:r w:rsidR="00F84E8C" w:rsidRPr="00F84E8C">
              <w:rPr>
                <w:color w:val="000000"/>
                <w:lang w:val="en-US"/>
              </w:rPr>
              <w:t>сектори</w:t>
            </w:r>
            <w:proofErr w:type="spellEnd"/>
            <w:r w:rsidR="00F84E8C" w:rsidRPr="00F84E8C">
              <w:rPr>
                <w:color w:val="000000"/>
                <w:lang w:val="en-US"/>
              </w:rPr>
              <w:t xml:space="preserve"> с </w:t>
            </w:r>
            <w:proofErr w:type="spellStart"/>
            <w:r w:rsidR="00F84E8C" w:rsidRPr="00F84E8C">
              <w:rPr>
                <w:color w:val="000000"/>
                <w:lang w:val="en-US"/>
              </w:rPr>
              <w:t>цел</w:t>
            </w:r>
            <w:proofErr w:type="spellEnd"/>
            <w:r w:rsidR="00F84E8C" w:rsidRPr="00F84E8C">
              <w:rPr>
                <w:color w:val="000000"/>
                <w:lang w:val="en-US"/>
              </w:rPr>
              <w:t xml:space="preserve"> </w:t>
            </w:r>
            <w:proofErr w:type="spellStart"/>
            <w:r w:rsidR="00F84E8C" w:rsidRPr="00F84E8C">
              <w:rPr>
                <w:color w:val="000000"/>
                <w:lang w:val="en-US"/>
              </w:rPr>
              <w:t>увеличаване</w:t>
            </w:r>
            <w:proofErr w:type="spellEnd"/>
            <w:r w:rsidR="00F84E8C" w:rsidRPr="00F84E8C">
              <w:rPr>
                <w:color w:val="000000"/>
                <w:lang w:val="en-US"/>
              </w:rPr>
              <w:t xml:space="preserve"> </w:t>
            </w:r>
            <w:proofErr w:type="spellStart"/>
            <w:r w:rsidR="00F84E8C" w:rsidRPr="00F84E8C">
              <w:rPr>
                <w:color w:val="000000"/>
                <w:lang w:val="en-US"/>
              </w:rPr>
              <w:t>добавената</w:t>
            </w:r>
            <w:proofErr w:type="spellEnd"/>
            <w:r w:rsidR="00F84E8C" w:rsidRPr="00F84E8C">
              <w:rPr>
                <w:color w:val="000000"/>
                <w:lang w:val="en-US"/>
              </w:rPr>
              <w:t xml:space="preserve"> </w:t>
            </w:r>
            <w:proofErr w:type="spellStart"/>
            <w:r w:rsidR="00F84E8C" w:rsidRPr="00F84E8C">
              <w:rPr>
                <w:color w:val="000000"/>
                <w:lang w:val="en-US"/>
              </w:rPr>
              <w:t>стойност</w:t>
            </w:r>
            <w:proofErr w:type="spellEnd"/>
            <w:r w:rsidR="00F84E8C" w:rsidRPr="00F84E8C">
              <w:rPr>
                <w:color w:val="000000"/>
                <w:lang w:val="en-US"/>
              </w:rPr>
              <w:t xml:space="preserve"> </w:t>
            </w:r>
            <w:proofErr w:type="spellStart"/>
            <w:r w:rsidR="00F84E8C" w:rsidRPr="00F84E8C">
              <w:rPr>
                <w:color w:val="000000"/>
                <w:lang w:val="en-US"/>
              </w:rPr>
              <w:t>за</w:t>
            </w:r>
            <w:proofErr w:type="spellEnd"/>
            <w:r w:rsidR="00F84E8C" w:rsidRPr="00F84E8C">
              <w:rPr>
                <w:color w:val="000000"/>
                <w:lang w:val="en-US"/>
              </w:rPr>
              <w:t xml:space="preserve"> </w:t>
            </w:r>
            <w:proofErr w:type="spellStart"/>
            <w:r w:rsidR="00F84E8C" w:rsidRPr="00F84E8C">
              <w:rPr>
                <w:color w:val="000000"/>
                <w:lang w:val="en-US"/>
              </w:rPr>
              <w:t>рег</w:t>
            </w:r>
            <w:r w:rsidR="001D32D9">
              <w:rPr>
                <w:color w:val="000000"/>
                <w:lang w:val="en-US"/>
              </w:rPr>
              <w:t>ионите</w:t>
            </w:r>
            <w:proofErr w:type="spellEnd"/>
            <w:r w:rsidR="001D32D9">
              <w:rPr>
                <w:color w:val="000000"/>
                <w:lang w:val="en-US"/>
              </w:rPr>
              <w:t xml:space="preserve"> и </w:t>
            </w:r>
            <w:proofErr w:type="spellStart"/>
            <w:r w:rsidR="001D32D9">
              <w:rPr>
                <w:color w:val="000000"/>
                <w:lang w:val="en-US"/>
              </w:rPr>
              <w:t>развитието</w:t>
            </w:r>
            <w:proofErr w:type="spellEnd"/>
            <w:r w:rsidR="001D32D9">
              <w:rPr>
                <w:color w:val="000000"/>
                <w:lang w:val="en-US"/>
              </w:rPr>
              <w:t xml:space="preserve"> </w:t>
            </w:r>
            <w:proofErr w:type="spellStart"/>
            <w:r w:rsidR="001D32D9">
              <w:rPr>
                <w:color w:val="000000"/>
                <w:lang w:val="en-US"/>
              </w:rPr>
              <w:t>на</w:t>
            </w:r>
            <w:proofErr w:type="spellEnd"/>
            <w:r w:rsidR="001D32D9">
              <w:rPr>
                <w:color w:val="000000"/>
                <w:lang w:val="en-US"/>
              </w:rPr>
              <w:t xml:space="preserve"> </w:t>
            </w:r>
            <w:proofErr w:type="spellStart"/>
            <w:r w:rsidR="001D32D9">
              <w:rPr>
                <w:color w:val="000000"/>
                <w:lang w:val="en-US"/>
              </w:rPr>
              <w:t>страната</w:t>
            </w:r>
            <w:proofErr w:type="spellEnd"/>
            <w:r w:rsidR="00B5453C">
              <w:rPr>
                <w:color w:val="000000"/>
              </w:rPr>
              <w:t xml:space="preserve"> и изпълнението на комбинирани мерки</w:t>
            </w:r>
            <w:r w:rsidR="001D32D9">
              <w:rPr>
                <w:color w:val="000000"/>
              </w:rPr>
              <w:t>, вкл.</w:t>
            </w:r>
            <w:r w:rsidR="00B5453C">
              <w:rPr>
                <w:color w:val="000000"/>
              </w:rPr>
              <w:t xml:space="preserve"> от сферата на </w:t>
            </w:r>
            <w:r w:rsidR="001D32D9">
              <w:rPr>
                <w:color w:val="000000"/>
              </w:rPr>
              <w:t>т</w:t>
            </w:r>
            <w:r w:rsidR="00B5453C">
              <w:rPr>
                <w:color w:val="000000"/>
              </w:rPr>
              <w:t>уриз</w:t>
            </w:r>
            <w:r w:rsidR="001D32D9">
              <w:rPr>
                <w:color w:val="000000"/>
              </w:rPr>
              <w:t>м</w:t>
            </w:r>
            <w:r w:rsidR="00B5453C">
              <w:rPr>
                <w:color w:val="000000"/>
              </w:rPr>
              <w:t>а</w:t>
            </w:r>
            <w:r w:rsidR="001D32D9">
              <w:rPr>
                <w:color w:val="000000"/>
              </w:rPr>
              <w:t xml:space="preserve">, </w:t>
            </w:r>
            <w:r w:rsidR="00B5453C">
              <w:rPr>
                <w:color w:val="000000"/>
              </w:rPr>
              <w:t xml:space="preserve">подкрепа за </w:t>
            </w:r>
            <w:r w:rsidR="001D32D9">
              <w:rPr>
                <w:color w:val="000000"/>
              </w:rPr>
              <w:t>културно-историческото наследство, м</w:t>
            </w:r>
            <w:r w:rsidR="001D32D9" w:rsidRPr="001D32D9">
              <w:t>одернизиране и осъвременяване на образователната инфраструктура</w:t>
            </w:r>
            <w:r w:rsidR="00142812">
              <w:t>,</w:t>
            </w:r>
            <w:r w:rsidR="00142812" w:rsidRPr="00142812">
              <w:rPr>
                <w:rFonts w:asciiTheme="minorHAnsi" w:hAnsiTheme="minorHAnsi" w:cstheme="minorBidi"/>
                <w:color w:val="1F497D"/>
              </w:rPr>
              <w:t xml:space="preserve"> </w:t>
            </w:r>
            <w:r w:rsidR="00142812">
              <w:t>р</w:t>
            </w:r>
            <w:r w:rsidR="00142812" w:rsidRPr="00142812">
              <w:t>азвитие на социална инфраструктура</w:t>
            </w:r>
            <w:r w:rsidR="001D32D9" w:rsidRPr="001D32D9">
              <w:t xml:space="preserve"> </w:t>
            </w:r>
            <w:r w:rsidR="00B5453C">
              <w:t xml:space="preserve">и др. </w:t>
            </w:r>
          </w:p>
          <w:p w14:paraId="17426A6E" w14:textId="45600A03" w:rsidR="00FE1AF0" w:rsidRDefault="00FE1AF0" w:rsidP="004C4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Century Gothic" w:eastAsia="Century Gothic" w:hAnsi="Century Gothic" w:cs="Century Gothic"/>
                <w:color w:val="404040"/>
                <w:sz w:val="36"/>
                <w:szCs w:val="36"/>
              </w:rPr>
            </w:pPr>
            <w:r w:rsidRPr="00AD42E6">
              <w:t>Целите на политиката на ЕС до 2050 г. за модерна, ресурсно-ефективна, конкурентоспособна и климатично неутрална икономика ще окажат силно влияние върху развитието на определени територии от страната поради специфичната насоченост и характеристики на развиващите се там индустриални отрасли. В отговор на тези предизвикателства, ще се работи в посока координация на планираните мерки за подпомагане на най-засегнатите области от енергийния преход (в т.ч. и ангажиментите по Зелената сделка на ЕС и Фонда за справедлив преход) с изпълнението на интегрираните териториални инвестиции на регионално ниво.</w:t>
            </w:r>
          </w:p>
        </w:tc>
      </w:tr>
      <w:tr w:rsidR="004D161C" w14:paraId="0D3C2770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1BF2BE" w14:textId="77777777" w:rsidR="004D161C" w:rsidRDefault="00326BCC">
            <w:pPr>
              <w:spacing w:before="120" w:after="0" w:line="240" w:lineRule="auto"/>
              <w:ind w:left="738"/>
              <w:jc w:val="both"/>
              <w:rPr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Индикатори за изпълнение</w:t>
            </w:r>
          </w:p>
        </w:tc>
      </w:tr>
      <w:tr w:rsidR="004D161C" w14:paraId="21CDBD87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7C1A0F1" w14:textId="77777777" w:rsidR="004D161C" w:rsidRDefault="00326BCC">
            <w:pPr>
              <w:spacing w:before="120" w:after="12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наименование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A4832AA" w14:textId="77777777" w:rsidR="004D161C" w:rsidRDefault="00326BCC">
            <w:pPr>
              <w:spacing w:before="120" w:after="12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източник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ECC79EC" w14:textId="77777777" w:rsidR="004D161C" w:rsidRDefault="00326BCC">
            <w:pPr>
              <w:spacing w:before="120" w:after="12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 xml:space="preserve">текуща </w:t>
            </w:r>
            <w:r>
              <w:rPr>
                <w:rFonts w:ascii="Century Gothic" w:eastAsia="Century Gothic" w:hAnsi="Century Gothic" w:cs="Century Gothic"/>
                <w:b/>
                <w:color w:val="404040"/>
              </w:rPr>
              <w:br/>
              <w:t>стойност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56E4E98" w14:textId="77777777" w:rsidR="004D161C" w:rsidRDefault="00326BCC">
            <w:pPr>
              <w:spacing w:before="120" w:after="12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 xml:space="preserve">целева </w:t>
            </w:r>
            <w:r>
              <w:rPr>
                <w:rFonts w:ascii="Century Gothic" w:eastAsia="Century Gothic" w:hAnsi="Century Gothic" w:cs="Century Gothic"/>
                <w:b/>
                <w:color w:val="404040"/>
              </w:rPr>
              <w:br/>
              <w:t>стойност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3C9DA6F" w14:textId="77777777" w:rsidR="004D161C" w:rsidRDefault="00326BCC">
            <w:pPr>
              <w:spacing w:before="120" w:after="12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средна стойност в ЕС</w:t>
            </w:r>
          </w:p>
        </w:tc>
      </w:tr>
      <w:tr w:rsidR="004D161C" w14:paraId="38CB4424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A01970" w14:textId="2BB23CCE" w:rsidR="004D161C" w:rsidRPr="00764F3B" w:rsidRDefault="00385734">
            <w:pPr>
              <w:spacing w:after="0" w:line="240" w:lineRule="auto"/>
              <w:jc w:val="both"/>
            </w:pPr>
            <w:proofErr w:type="spellStart"/>
            <w:r w:rsidRPr="00764F3B">
              <w:rPr>
                <w:lang w:val="en-US"/>
              </w:rPr>
              <w:t>Вариация</w:t>
            </w:r>
            <w:proofErr w:type="spellEnd"/>
            <w:r w:rsidRPr="00764F3B">
              <w:rPr>
                <w:lang w:val="en-US"/>
              </w:rPr>
              <w:t xml:space="preserve"> </w:t>
            </w:r>
            <w:proofErr w:type="spellStart"/>
            <w:r w:rsidRPr="00764F3B">
              <w:rPr>
                <w:lang w:val="en-US"/>
              </w:rPr>
              <w:t>на</w:t>
            </w:r>
            <w:proofErr w:type="spellEnd"/>
            <w:r w:rsidRPr="00764F3B">
              <w:rPr>
                <w:lang w:val="en-US"/>
              </w:rPr>
              <w:t xml:space="preserve"> БВП </w:t>
            </w:r>
            <w:proofErr w:type="spellStart"/>
            <w:r w:rsidRPr="00764F3B">
              <w:rPr>
                <w:lang w:val="en-US"/>
              </w:rPr>
              <w:t>на</w:t>
            </w:r>
            <w:proofErr w:type="spellEnd"/>
            <w:r w:rsidRPr="00764F3B">
              <w:rPr>
                <w:lang w:val="en-US"/>
              </w:rPr>
              <w:t xml:space="preserve"> </w:t>
            </w:r>
            <w:proofErr w:type="spellStart"/>
            <w:r w:rsidRPr="00764F3B">
              <w:rPr>
                <w:lang w:val="en-US"/>
              </w:rPr>
              <w:t>глава</w:t>
            </w:r>
            <w:proofErr w:type="spellEnd"/>
            <w:r w:rsidRPr="00764F3B">
              <w:rPr>
                <w:lang w:val="en-US"/>
              </w:rPr>
              <w:t xml:space="preserve"> </w:t>
            </w:r>
            <w:proofErr w:type="spellStart"/>
            <w:r w:rsidRPr="00764F3B">
              <w:rPr>
                <w:lang w:val="en-US"/>
              </w:rPr>
              <w:t>от</w:t>
            </w:r>
            <w:proofErr w:type="spellEnd"/>
            <w:r w:rsidRPr="00764F3B">
              <w:rPr>
                <w:lang w:val="en-US"/>
              </w:rPr>
              <w:t xml:space="preserve"> </w:t>
            </w:r>
            <w:proofErr w:type="spellStart"/>
            <w:r w:rsidRPr="00764F3B">
              <w:rPr>
                <w:lang w:val="en-US"/>
              </w:rPr>
              <w:t>населението</w:t>
            </w:r>
            <w:proofErr w:type="spellEnd"/>
            <w:r w:rsidRPr="00764F3B">
              <w:rPr>
                <w:lang w:val="en-US"/>
              </w:rPr>
              <w:t xml:space="preserve"> (в СПС) </w:t>
            </w:r>
            <w:proofErr w:type="spellStart"/>
            <w:r w:rsidRPr="00764F3B">
              <w:rPr>
                <w:lang w:val="en-US"/>
              </w:rPr>
              <w:t>по</w:t>
            </w:r>
            <w:proofErr w:type="spellEnd"/>
            <w:r w:rsidRPr="00764F3B">
              <w:rPr>
                <w:lang w:val="en-US"/>
              </w:rPr>
              <w:t xml:space="preserve"> </w:t>
            </w:r>
            <w:proofErr w:type="spellStart"/>
            <w:r w:rsidRPr="00764F3B">
              <w:rPr>
                <w:lang w:val="en-US"/>
              </w:rPr>
              <w:t>райони</w:t>
            </w:r>
            <w:proofErr w:type="spellEnd"/>
            <w:r w:rsidRPr="00764F3B">
              <w:rPr>
                <w:lang w:val="en-US"/>
              </w:rPr>
              <w:t xml:space="preserve">, </w:t>
            </w:r>
            <w:r w:rsidR="000B0380" w:rsidRPr="00764F3B">
              <w:rPr>
                <w:lang w:val="en-US"/>
              </w:rPr>
              <w:t>%</w:t>
            </w:r>
            <w:r w:rsidR="000B0380">
              <w:t xml:space="preserve"> от ЕС 28 (ЕС 27)</w:t>
            </w:r>
            <w:r w:rsidR="000B0380" w:rsidRPr="00764F3B" w:rsidDel="000B0380">
              <w:rPr>
                <w:lang w:val="en-US"/>
              </w:rPr>
              <w:t xml:space="preserve"> </w:t>
            </w:r>
            <w:r w:rsidRPr="00764F3B">
              <w:rPr>
                <w:lang w:val="en-US"/>
              </w:rPr>
              <w:t>“.</w:t>
            </w:r>
          </w:p>
          <w:tbl>
            <w:tblPr>
              <w:tblStyle w:val="13"/>
              <w:tblW w:w="232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29"/>
            </w:tblGrid>
            <w:tr w:rsidR="004D161C" w14:paraId="5F7F383E" w14:textId="77777777">
              <w:trPr>
                <w:trHeight w:val="319"/>
              </w:trPr>
              <w:tc>
                <w:tcPr>
                  <w:tcW w:w="2329" w:type="dxa"/>
                </w:tcPr>
                <w:p w14:paraId="57FCAC23" w14:textId="77777777" w:rsidR="004D161C" w:rsidRDefault="004D161C">
                  <w:pPr>
                    <w:spacing w:after="0" w:line="240" w:lineRule="auto"/>
                    <w:ind w:left="-113" w:right="386"/>
                    <w:jc w:val="both"/>
                    <w:rPr>
                      <w:highlight w:val="yellow"/>
                    </w:rPr>
                  </w:pPr>
                </w:p>
                <w:p w14:paraId="15A9717E" w14:textId="77777777" w:rsidR="004D161C" w:rsidRPr="00764F3B" w:rsidRDefault="004D161C">
                  <w:pPr>
                    <w:spacing w:after="0" w:line="240" w:lineRule="auto"/>
                    <w:ind w:left="-113" w:right="386"/>
                    <w:jc w:val="both"/>
                  </w:pPr>
                </w:p>
                <w:p w14:paraId="5FE13D9E" w14:textId="77777777" w:rsidR="007D57CB" w:rsidRDefault="007D57CB">
                  <w:pPr>
                    <w:spacing w:after="0" w:line="240" w:lineRule="auto"/>
                    <w:ind w:left="-113" w:right="386"/>
                    <w:jc w:val="both"/>
                  </w:pPr>
                </w:p>
                <w:p w14:paraId="2073AA6B" w14:textId="6AABEEA3" w:rsidR="004D161C" w:rsidRPr="00764F3B" w:rsidRDefault="00385734">
                  <w:pPr>
                    <w:spacing w:after="0" w:line="240" w:lineRule="auto"/>
                    <w:ind w:left="-113" w:right="386"/>
                    <w:jc w:val="both"/>
                  </w:pPr>
                  <w:r w:rsidRPr="00764F3B">
                    <w:t xml:space="preserve">брой </w:t>
                  </w:r>
                  <w:r w:rsidR="00AA6429">
                    <w:t xml:space="preserve">български </w:t>
                  </w:r>
                  <w:r w:rsidRPr="00764F3B">
                    <w:t>райони (NUTS</w:t>
                  </w:r>
                  <w:r w:rsidR="00764F3B">
                    <w:t xml:space="preserve"> </w:t>
                  </w:r>
                  <w:r w:rsidRPr="00764F3B">
                    <w:t xml:space="preserve">2), </w:t>
                  </w:r>
                  <w:r w:rsidRPr="00764F3B">
                    <w:lastRenderedPageBreak/>
                    <w:t>които са извън групата на 20-те региона с най-нисък БВП на глава от населението в ЕС</w:t>
                  </w:r>
                </w:p>
                <w:p w14:paraId="10A4D3BB" w14:textId="77777777" w:rsidR="00AA6429" w:rsidRDefault="00326BCC" w:rsidP="00764F3B">
                  <w:pPr>
                    <w:spacing w:after="0" w:line="240" w:lineRule="auto"/>
                    <w:ind w:left="-113" w:right="386"/>
                    <w:jc w:val="both"/>
                    <w:rPr>
                      <w:lang w:val="en-GB"/>
                    </w:rPr>
                  </w:pPr>
                  <w:r w:rsidRPr="00764F3B">
                    <w:t>2</w:t>
                  </w:r>
                  <w:r w:rsidR="00AA6429">
                    <w:rPr>
                      <w:lang w:val="en-GB"/>
                    </w:rPr>
                    <w:t>8</w:t>
                  </w:r>
                </w:p>
                <w:p w14:paraId="32800E77" w14:textId="77777777" w:rsidR="00AA6429" w:rsidRPr="00BE4C17" w:rsidRDefault="00AA6429" w:rsidP="00764F3B">
                  <w:pPr>
                    <w:spacing w:after="0" w:line="240" w:lineRule="auto"/>
                    <w:ind w:left="-113" w:right="386"/>
                    <w:jc w:val="both"/>
                    <w:rPr>
                      <w:lang w:val="en-GB"/>
                    </w:rPr>
                  </w:pPr>
                </w:p>
                <w:p w14:paraId="716F8CF3" w14:textId="6FD385A5" w:rsidR="004D161C" w:rsidRPr="00764F3B" w:rsidRDefault="00B65DD0" w:rsidP="00764F3B">
                  <w:pPr>
                    <w:spacing w:after="0" w:line="240" w:lineRule="auto"/>
                    <w:ind w:left="-113" w:right="386"/>
                    <w:jc w:val="both"/>
                  </w:pPr>
                  <w:r w:rsidRPr="00BE4C17">
                    <w:t>Индекс за р</w:t>
                  </w:r>
                  <w:r w:rsidR="00AA6429" w:rsidRPr="00BE4C17">
                    <w:t>егионална конкурентноспособност – разлики спрямо ЮЗР</w:t>
                  </w:r>
                  <w:r w:rsidR="00326BCC" w:rsidRPr="00BE4C17">
                    <w:t xml:space="preserve"> </w:t>
                  </w:r>
                </w:p>
              </w:tc>
            </w:tr>
          </w:tbl>
          <w:p w14:paraId="7CC7B1A9" w14:textId="616839DE" w:rsidR="004D161C" w:rsidRDefault="004D161C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7F6C65" w14:textId="60D461D1" w:rsidR="004D161C" w:rsidRPr="00764F3B" w:rsidRDefault="00EE2A93">
            <w:pPr>
              <w:spacing w:after="0" w:line="240" w:lineRule="auto"/>
              <w:jc w:val="both"/>
            </w:pPr>
            <w:r>
              <w:lastRenderedPageBreak/>
              <w:t>Еврост</w:t>
            </w:r>
            <w:r w:rsidR="00764F3B">
              <w:t>ат</w:t>
            </w:r>
          </w:p>
          <w:p w14:paraId="4124BE97" w14:textId="77777777" w:rsidR="00177D3E" w:rsidRDefault="00177D3E" w:rsidP="00177D3E">
            <w:pPr>
              <w:spacing w:after="0" w:line="240" w:lineRule="auto"/>
              <w:jc w:val="both"/>
            </w:pPr>
            <w:r>
              <w:t xml:space="preserve">НСИ </w:t>
            </w:r>
          </w:p>
          <w:p w14:paraId="766E27AB" w14:textId="77777777" w:rsidR="004D161C" w:rsidRDefault="004D161C">
            <w:pPr>
              <w:spacing w:after="0" w:line="240" w:lineRule="auto"/>
              <w:jc w:val="both"/>
            </w:pPr>
          </w:p>
          <w:p w14:paraId="7AF4C82C" w14:textId="77777777" w:rsidR="004D161C" w:rsidRDefault="004D161C">
            <w:pPr>
              <w:spacing w:after="0" w:line="240" w:lineRule="auto"/>
              <w:jc w:val="both"/>
            </w:pPr>
          </w:p>
          <w:p w14:paraId="1BB04655" w14:textId="77777777" w:rsidR="004D161C" w:rsidRDefault="004D161C">
            <w:pPr>
              <w:spacing w:after="0" w:line="240" w:lineRule="auto"/>
              <w:jc w:val="both"/>
            </w:pPr>
          </w:p>
          <w:p w14:paraId="5486F894" w14:textId="77777777" w:rsidR="004D161C" w:rsidRDefault="004D161C">
            <w:pPr>
              <w:spacing w:after="0" w:line="240" w:lineRule="auto"/>
              <w:jc w:val="both"/>
            </w:pPr>
          </w:p>
          <w:p w14:paraId="58FB2D77" w14:textId="77777777" w:rsidR="004D161C" w:rsidRDefault="004D161C">
            <w:pPr>
              <w:spacing w:after="0" w:line="240" w:lineRule="auto"/>
              <w:jc w:val="both"/>
            </w:pPr>
          </w:p>
          <w:p w14:paraId="7D03EF41" w14:textId="77777777" w:rsidR="007D57CB" w:rsidRDefault="007D57CB">
            <w:pPr>
              <w:spacing w:after="0" w:line="240" w:lineRule="auto"/>
              <w:jc w:val="both"/>
            </w:pPr>
          </w:p>
          <w:p w14:paraId="76ACE723" w14:textId="5F05CFDB" w:rsidR="004D161C" w:rsidRDefault="00326BCC">
            <w:pPr>
              <w:spacing w:after="0" w:line="240" w:lineRule="auto"/>
              <w:jc w:val="both"/>
            </w:pPr>
            <w:r>
              <w:t>Евростат</w:t>
            </w:r>
          </w:p>
          <w:p w14:paraId="622C1C81" w14:textId="77777777" w:rsidR="004D161C" w:rsidRDefault="00326BCC">
            <w:pPr>
              <w:spacing w:after="0" w:line="240" w:lineRule="auto"/>
              <w:jc w:val="both"/>
            </w:pPr>
            <w:r>
              <w:t>НСИ</w:t>
            </w:r>
          </w:p>
          <w:p w14:paraId="514E6531" w14:textId="77777777" w:rsidR="004D161C" w:rsidRDefault="004D161C">
            <w:pPr>
              <w:spacing w:after="0" w:line="240" w:lineRule="auto"/>
              <w:jc w:val="both"/>
            </w:pPr>
          </w:p>
          <w:tbl>
            <w:tblPr>
              <w:tblStyle w:val="12"/>
              <w:tblW w:w="34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43"/>
              <w:gridCol w:w="1815"/>
            </w:tblGrid>
            <w:tr w:rsidR="004D161C" w14:paraId="23A97D81" w14:textId="77777777"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478CEAF5" w14:textId="77777777" w:rsidR="004D161C" w:rsidRDefault="004D161C">
                  <w:pPr>
                    <w:spacing w:after="0" w:line="240" w:lineRule="auto"/>
                    <w:jc w:val="both"/>
                  </w:pP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041E90E6" w14:textId="77777777" w:rsidR="004D161C" w:rsidRDefault="004D161C">
                  <w:pPr>
                    <w:spacing w:after="0" w:line="240" w:lineRule="auto"/>
                    <w:jc w:val="both"/>
                  </w:pPr>
                </w:p>
              </w:tc>
            </w:tr>
          </w:tbl>
          <w:p w14:paraId="38408F50" w14:textId="77777777" w:rsidR="004D161C" w:rsidRDefault="004D161C">
            <w:pPr>
              <w:spacing w:after="0" w:line="240" w:lineRule="auto"/>
              <w:jc w:val="both"/>
            </w:pPr>
          </w:p>
          <w:p w14:paraId="1FC6B48D" w14:textId="77777777" w:rsidR="004D161C" w:rsidRDefault="004D161C">
            <w:pPr>
              <w:spacing w:after="0" w:line="240" w:lineRule="auto"/>
              <w:jc w:val="both"/>
            </w:pPr>
          </w:p>
          <w:p w14:paraId="58629E86" w14:textId="77777777" w:rsidR="004D161C" w:rsidRDefault="004D161C">
            <w:pPr>
              <w:spacing w:after="0" w:line="240" w:lineRule="auto"/>
              <w:jc w:val="both"/>
            </w:pPr>
          </w:p>
          <w:p w14:paraId="716ACDDF" w14:textId="77777777" w:rsidR="00AA6429" w:rsidRDefault="00AA6429">
            <w:pPr>
              <w:spacing w:after="0" w:line="240" w:lineRule="auto"/>
              <w:jc w:val="both"/>
            </w:pPr>
          </w:p>
          <w:p w14:paraId="35D75CDF" w14:textId="77777777" w:rsidR="00AA6429" w:rsidRDefault="00AA6429">
            <w:pPr>
              <w:spacing w:after="0" w:line="240" w:lineRule="auto"/>
              <w:jc w:val="both"/>
            </w:pPr>
          </w:p>
          <w:p w14:paraId="5ED44E45" w14:textId="4381D25C" w:rsidR="00AA6429" w:rsidRPr="00BE4C17" w:rsidRDefault="00B65DD0" w:rsidP="00AA6429">
            <w:pPr>
              <w:spacing w:after="0" w:line="240" w:lineRule="auto"/>
              <w:jc w:val="both"/>
            </w:pPr>
            <w:r w:rsidRPr="00BE4C17">
              <w:t>ЕК</w:t>
            </w:r>
          </w:p>
          <w:p w14:paraId="6F6FDC26" w14:textId="2968D59B" w:rsidR="00AA6429" w:rsidRDefault="00AA6429">
            <w:pPr>
              <w:spacing w:after="0" w:line="240" w:lineRule="auto"/>
              <w:jc w:val="both"/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EB4830" w14:textId="18C210B2" w:rsidR="004D161C" w:rsidRPr="00BE4C17" w:rsidRDefault="007D57CB">
            <w:pPr>
              <w:spacing w:after="0" w:line="240" w:lineRule="auto"/>
              <w:jc w:val="both"/>
            </w:pPr>
            <w:r w:rsidRPr="00BE4C17">
              <w:lastRenderedPageBreak/>
              <w:t>2017</w:t>
            </w:r>
            <w:r w:rsidR="000D7F28">
              <w:t xml:space="preserve"> г.</w:t>
            </w:r>
          </w:p>
          <w:p w14:paraId="63A22C73" w14:textId="77777777" w:rsidR="007D57CB" w:rsidRPr="00BE4C17" w:rsidRDefault="007D57CB" w:rsidP="007D57CB">
            <w:pPr>
              <w:spacing w:after="0" w:line="240" w:lineRule="auto"/>
              <w:jc w:val="both"/>
            </w:pPr>
            <w:r w:rsidRPr="00BE4C17">
              <w:t>СЗР – 29,1%</w:t>
            </w:r>
          </w:p>
          <w:p w14:paraId="5F902552" w14:textId="77777777" w:rsidR="007D57CB" w:rsidRPr="00BE4C17" w:rsidRDefault="007D57CB" w:rsidP="007D57CB">
            <w:pPr>
              <w:spacing w:after="0" w:line="240" w:lineRule="auto"/>
              <w:jc w:val="both"/>
            </w:pPr>
            <w:r w:rsidRPr="00BE4C17">
              <w:t>СЦР – 32,6%</w:t>
            </w:r>
          </w:p>
          <w:p w14:paraId="37F4AA0F" w14:textId="77777777" w:rsidR="007D57CB" w:rsidRPr="00BE4C17" w:rsidRDefault="007D57CB" w:rsidP="007D57CB">
            <w:pPr>
              <w:spacing w:after="0" w:line="240" w:lineRule="auto"/>
              <w:jc w:val="both"/>
            </w:pPr>
            <w:r w:rsidRPr="00BE4C17">
              <w:t>СИР – 38,0%</w:t>
            </w:r>
          </w:p>
          <w:p w14:paraId="402CD12C" w14:textId="77777777" w:rsidR="007D57CB" w:rsidRPr="00BE4C17" w:rsidRDefault="007D57CB" w:rsidP="007D57CB">
            <w:pPr>
              <w:spacing w:after="0" w:line="240" w:lineRule="auto"/>
              <w:jc w:val="both"/>
            </w:pPr>
            <w:r w:rsidRPr="00BE4C17">
              <w:t>ЮИР – 38,3%</w:t>
            </w:r>
          </w:p>
          <w:p w14:paraId="12616904" w14:textId="77777777" w:rsidR="007D57CB" w:rsidRPr="00BE4C17" w:rsidRDefault="007D57CB" w:rsidP="007D57CB">
            <w:pPr>
              <w:spacing w:after="0" w:line="240" w:lineRule="auto"/>
              <w:jc w:val="both"/>
            </w:pPr>
            <w:r w:rsidRPr="00BE4C17">
              <w:t>ЮЦР – 32,6%</w:t>
            </w:r>
          </w:p>
          <w:p w14:paraId="3E0684BC" w14:textId="77777777" w:rsidR="007D57CB" w:rsidRPr="00BE4C17" w:rsidRDefault="007D57CB" w:rsidP="007D57CB">
            <w:pPr>
              <w:spacing w:after="0" w:line="240" w:lineRule="auto"/>
              <w:jc w:val="both"/>
            </w:pPr>
            <w:r w:rsidRPr="00BE4C17">
              <w:t>ЮЗР – 74,1%</w:t>
            </w:r>
          </w:p>
          <w:p w14:paraId="446F95E2" w14:textId="77777777" w:rsidR="007D57CB" w:rsidRPr="00BE4C17" w:rsidRDefault="007D57CB">
            <w:pPr>
              <w:spacing w:after="0" w:line="240" w:lineRule="auto"/>
              <w:jc w:val="both"/>
            </w:pPr>
          </w:p>
          <w:p w14:paraId="23BEDAFB" w14:textId="77777777" w:rsidR="00AA6429" w:rsidRPr="00BE4C17" w:rsidRDefault="00AA6429">
            <w:pPr>
              <w:spacing w:after="0" w:line="240" w:lineRule="auto"/>
              <w:jc w:val="both"/>
            </w:pPr>
            <w:r w:rsidRPr="00BE4C17">
              <w:t>1</w:t>
            </w:r>
          </w:p>
          <w:p w14:paraId="16EF5E55" w14:textId="77777777" w:rsidR="00AA6429" w:rsidRPr="00BE4C17" w:rsidRDefault="00AA6429">
            <w:pPr>
              <w:spacing w:after="0" w:line="240" w:lineRule="auto"/>
              <w:jc w:val="both"/>
            </w:pPr>
          </w:p>
          <w:p w14:paraId="18E9D4BB" w14:textId="77777777" w:rsidR="00AA6429" w:rsidRPr="00BE4C17" w:rsidRDefault="00AA6429">
            <w:pPr>
              <w:spacing w:after="0" w:line="240" w:lineRule="auto"/>
              <w:jc w:val="both"/>
            </w:pPr>
          </w:p>
          <w:p w14:paraId="61E0B229" w14:textId="77777777" w:rsidR="00AA6429" w:rsidRPr="00BE4C17" w:rsidRDefault="00AA6429">
            <w:pPr>
              <w:spacing w:after="0" w:line="240" w:lineRule="auto"/>
              <w:jc w:val="both"/>
            </w:pPr>
          </w:p>
          <w:p w14:paraId="4E4B3DF3" w14:textId="77777777" w:rsidR="00AA6429" w:rsidRPr="00BE4C17" w:rsidRDefault="00AA6429">
            <w:pPr>
              <w:spacing w:after="0" w:line="240" w:lineRule="auto"/>
              <w:jc w:val="both"/>
            </w:pPr>
          </w:p>
          <w:p w14:paraId="560DD3D8" w14:textId="77777777" w:rsidR="00AA6429" w:rsidRPr="00BE4C17" w:rsidRDefault="00AA6429">
            <w:pPr>
              <w:spacing w:after="0" w:line="240" w:lineRule="auto"/>
              <w:jc w:val="both"/>
            </w:pPr>
          </w:p>
          <w:p w14:paraId="63216F40" w14:textId="77777777" w:rsidR="00AA6429" w:rsidRPr="00BE4C17" w:rsidRDefault="00AA6429">
            <w:pPr>
              <w:spacing w:after="0" w:line="240" w:lineRule="auto"/>
              <w:jc w:val="both"/>
            </w:pPr>
          </w:p>
          <w:p w14:paraId="1D66EA10" w14:textId="77777777" w:rsidR="00AA6429" w:rsidRPr="00BE4C17" w:rsidRDefault="00AA6429">
            <w:pPr>
              <w:spacing w:after="0" w:line="240" w:lineRule="auto"/>
              <w:jc w:val="both"/>
            </w:pPr>
          </w:p>
          <w:p w14:paraId="5612DDF2" w14:textId="77777777" w:rsidR="00AA6429" w:rsidRPr="00BE4C17" w:rsidRDefault="00AA6429">
            <w:pPr>
              <w:spacing w:after="0" w:line="240" w:lineRule="auto"/>
              <w:jc w:val="both"/>
            </w:pPr>
          </w:p>
          <w:p w14:paraId="584328DF" w14:textId="2DC39987" w:rsidR="00917129" w:rsidRPr="002162BC" w:rsidRDefault="00917129" w:rsidP="00AA6429">
            <w:pPr>
              <w:spacing w:after="0" w:line="240" w:lineRule="auto"/>
              <w:jc w:val="both"/>
            </w:pPr>
            <w:r w:rsidRPr="00BE4C17">
              <w:rPr>
                <w:lang w:val="en-US"/>
              </w:rPr>
              <w:t>2019</w:t>
            </w:r>
            <w:r w:rsidR="000D7F28">
              <w:t xml:space="preserve"> г.</w:t>
            </w:r>
          </w:p>
          <w:p w14:paraId="4823C9FE" w14:textId="666FED7C" w:rsidR="00AA6429" w:rsidRPr="00BE4C17" w:rsidRDefault="00AA6429" w:rsidP="00AA6429">
            <w:pPr>
              <w:spacing w:after="0" w:line="240" w:lineRule="auto"/>
              <w:jc w:val="both"/>
            </w:pPr>
            <w:r w:rsidRPr="00BE4C17">
              <w:t>СЗР– - 0,</w:t>
            </w:r>
            <w:r w:rsidR="00917129" w:rsidRPr="00BE4C17">
              <w:rPr>
                <w:lang w:val="en-US"/>
              </w:rPr>
              <w:t>98</w:t>
            </w:r>
            <w:r w:rsidRPr="00BE4C17">
              <w:t xml:space="preserve">; </w:t>
            </w:r>
          </w:p>
          <w:p w14:paraId="2008EB71" w14:textId="6EF6949F" w:rsidR="00AA6429" w:rsidRPr="00BE4C17" w:rsidRDefault="00AA6429" w:rsidP="00AA6429">
            <w:pPr>
              <w:spacing w:after="0" w:line="240" w:lineRule="auto"/>
              <w:jc w:val="both"/>
            </w:pPr>
            <w:r w:rsidRPr="00BE4C17">
              <w:t>СЦР –  - 0,6</w:t>
            </w:r>
            <w:r w:rsidR="00917129" w:rsidRPr="00BE4C17">
              <w:rPr>
                <w:lang w:val="en-US"/>
              </w:rPr>
              <w:t>7</w:t>
            </w:r>
            <w:r w:rsidRPr="00BE4C17">
              <w:t>;</w:t>
            </w:r>
          </w:p>
          <w:p w14:paraId="113D238C" w14:textId="04B08B28" w:rsidR="00AA6429" w:rsidRPr="00BE4C17" w:rsidRDefault="00AA6429" w:rsidP="00AA6429">
            <w:pPr>
              <w:spacing w:after="0" w:line="240" w:lineRule="auto"/>
              <w:jc w:val="both"/>
            </w:pPr>
            <w:r w:rsidRPr="00BE4C17">
              <w:t>СИР –  -0,</w:t>
            </w:r>
            <w:r w:rsidR="00917129" w:rsidRPr="00BE4C17">
              <w:rPr>
                <w:lang w:val="en-US"/>
              </w:rPr>
              <w:t>65</w:t>
            </w:r>
            <w:r w:rsidRPr="00BE4C17">
              <w:t>;</w:t>
            </w:r>
          </w:p>
          <w:p w14:paraId="71896F00" w14:textId="03D72685" w:rsidR="00AA6429" w:rsidRPr="00BE4C17" w:rsidRDefault="00AA6429" w:rsidP="00AA6429">
            <w:pPr>
              <w:spacing w:after="0" w:line="240" w:lineRule="auto"/>
              <w:jc w:val="both"/>
            </w:pPr>
            <w:r w:rsidRPr="00BE4C17">
              <w:t>ЮИР – - 0,</w:t>
            </w:r>
            <w:r w:rsidR="00917129" w:rsidRPr="00BE4C17">
              <w:rPr>
                <w:lang w:val="en-US"/>
              </w:rPr>
              <w:t>82</w:t>
            </w:r>
            <w:r w:rsidRPr="00BE4C17">
              <w:t>;</w:t>
            </w:r>
          </w:p>
          <w:p w14:paraId="6808C538" w14:textId="6FED7D80" w:rsidR="00AA6429" w:rsidRPr="00BE4C17" w:rsidRDefault="00AA6429" w:rsidP="00AA6429">
            <w:pPr>
              <w:spacing w:after="0" w:line="240" w:lineRule="auto"/>
              <w:jc w:val="both"/>
            </w:pPr>
            <w:r w:rsidRPr="00BE4C17">
              <w:t xml:space="preserve">ЮЦР – </w:t>
            </w:r>
            <w:r w:rsidR="00A87BCA" w:rsidRPr="00BE4C17">
              <w:t xml:space="preserve">- </w:t>
            </w:r>
            <w:r w:rsidRPr="00BE4C17">
              <w:t>0,</w:t>
            </w:r>
            <w:r w:rsidR="00917129" w:rsidRPr="00BE4C17">
              <w:rPr>
                <w:lang w:val="en-US"/>
              </w:rPr>
              <w:t>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126C486" w14:textId="6307598C" w:rsidR="009C4EBC" w:rsidRPr="00BE4C17" w:rsidRDefault="009C4EBC">
            <w:pPr>
              <w:spacing w:after="0" w:line="240" w:lineRule="auto"/>
              <w:jc w:val="both"/>
            </w:pPr>
            <w:r w:rsidRPr="00BE4C17">
              <w:lastRenderedPageBreak/>
              <w:t>2030</w:t>
            </w:r>
            <w:r w:rsidR="000D7F28">
              <w:t xml:space="preserve"> г.</w:t>
            </w:r>
          </w:p>
          <w:p w14:paraId="0C6AADAA" w14:textId="77777777" w:rsidR="009C4EBC" w:rsidRPr="00BE4C17" w:rsidRDefault="009C4EBC" w:rsidP="009C4EBC">
            <w:pPr>
              <w:spacing w:after="0" w:line="240" w:lineRule="auto"/>
              <w:jc w:val="both"/>
            </w:pPr>
            <w:r w:rsidRPr="00BE4C17">
              <w:t>СЗР – 45%</w:t>
            </w:r>
          </w:p>
          <w:p w14:paraId="73951537" w14:textId="77777777" w:rsidR="009C4EBC" w:rsidRPr="00BE4C17" w:rsidRDefault="009C4EBC" w:rsidP="009C4EBC">
            <w:pPr>
              <w:spacing w:after="0" w:line="240" w:lineRule="auto"/>
              <w:jc w:val="both"/>
            </w:pPr>
            <w:r w:rsidRPr="00BE4C17">
              <w:t>СЦР – 47%</w:t>
            </w:r>
          </w:p>
          <w:p w14:paraId="395BE39B" w14:textId="77777777" w:rsidR="009C4EBC" w:rsidRPr="00BE4C17" w:rsidRDefault="009C4EBC" w:rsidP="009C4EBC">
            <w:pPr>
              <w:spacing w:after="0" w:line="240" w:lineRule="auto"/>
              <w:jc w:val="both"/>
            </w:pPr>
            <w:r w:rsidRPr="00BE4C17">
              <w:t>СИР – 50%</w:t>
            </w:r>
          </w:p>
          <w:p w14:paraId="15377845" w14:textId="77777777" w:rsidR="009C4EBC" w:rsidRPr="00BE4C17" w:rsidRDefault="009C4EBC" w:rsidP="009C4EBC">
            <w:pPr>
              <w:spacing w:after="0" w:line="240" w:lineRule="auto"/>
              <w:jc w:val="both"/>
            </w:pPr>
            <w:r w:rsidRPr="00BE4C17">
              <w:t>ЮИР – 50%</w:t>
            </w:r>
          </w:p>
          <w:p w14:paraId="0C0DA312" w14:textId="77777777" w:rsidR="009C4EBC" w:rsidRPr="00BE4C17" w:rsidRDefault="009C4EBC" w:rsidP="009C4EBC">
            <w:pPr>
              <w:spacing w:after="0" w:line="240" w:lineRule="auto"/>
              <w:jc w:val="both"/>
            </w:pPr>
            <w:r w:rsidRPr="00BE4C17">
              <w:t>ЮЦР – 47%</w:t>
            </w:r>
          </w:p>
          <w:p w14:paraId="02359F44" w14:textId="77777777" w:rsidR="009C4EBC" w:rsidRPr="00BE4C17" w:rsidRDefault="009C4EBC" w:rsidP="009C4EBC">
            <w:pPr>
              <w:spacing w:after="0" w:line="240" w:lineRule="auto"/>
              <w:jc w:val="both"/>
            </w:pPr>
            <w:r w:rsidRPr="00BE4C17">
              <w:t>ЮЗР – 90%</w:t>
            </w:r>
          </w:p>
          <w:p w14:paraId="452F9F5E" w14:textId="77777777" w:rsidR="009C4EBC" w:rsidRPr="00BE4C17" w:rsidRDefault="009C4EBC">
            <w:pPr>
              <w:spacing w:after="0" w:line="240" w:lineRule="auto"/>
              <w:jc w:val="both"/>
            </w:pPr>
          </w:p>
          <w:p w14:paraId="1541F4C2" w14:textId="591ADAFE" w:rsidR="00AA6429" w:rsidRPr="00BE4C17" w:rsidRDefault="00AD2453">
            <w:pPr>
              <w:spacing w:after="0" w:line="240" w:lineRule="auto"/>
              <w:jc w:val="both"/>
            </w:pPr>
            <w:r w:rsidRPr="00BE4C17">
              <w:t>&gt;</w:t>
            </w:r>
            <w:r w:rsidR="00AA6429" w:rsidRPr="00BE4C17">
              <w:t>1</w:t>
            </w:r>
          </w:p>
          <w:p w14:paraId="1CC76D73" w14:textId="77777777" w:rsidR="00AA6429" w:rsidRPr="00BE4C17" w:rsidRDefault="00AA6429">
            <w:pPr>
              <w:spacing w:after="0" w:line="240" w:lineRule="auto"/>
              <w:jc w:val="both"/>
            </w:pPr>
          </w:p>
          <w:p w14:paraId="106395EC" w14:textId="77777777" w:rsidR="00AA6429" w:rsidRPr="00BE4C17" w:rsidRDefault="00AA6429">
            <w:pPr>
              <w:spacing w:after="0" w:line="240" w:lineRule="auto"/>
              <w:jc w:val="both"/>
            </w:pPr>
          </w:p>
          <w:p w14:paraId="2DD4812F" w14:textId="77777777" w:rsidR="00AA6429" w:rsidRPr="00BE4C17" w:rsidRDefault="00AA6429">
            <w:pPr>
              <w:spacing w:after="0" w:line="240" w:lineRule="auto"/>
              <w:jc w:val="both"/>
            </w:pPr>
          </w:p>
          <w:p w14:paraId="030D430C" w14:textId="77777777" w:rsidR="00AA6429" w:rsidRPr="00BE4C17" w:rsidRDefault="00AA6429">
            <w:pPr>
              <w:spacing w:after="0" w:line="240" w:lineRule="auto"/>
              <w:jc w:val="both"/>
            </w:pPr>
          </w:p>
          <w:p w14:paraId="41E9AFE7" w14:textId="77777777" w:rsidR="00AA6429" w:rsidRPr="00BE4C17" w:rsidRDefault="00AA6429">
            <w:pPr>
              <w:spacing w:after="0" w:line="240" w:lineRule="auto"/>
              <w:jc w:val="both"/>
            </w:pPr>
          </w:p>
          <w:p w14:paraId="5C8EFF5E" w14:textId="77777777" w:rsidR="00AA6429" w:rsidRPr="00BE4C17" w:rsidRDefault="00AA6429">
            <w:pPr>
              <w:spacing w:after="0" w:line="240" w:lineRule="auto"/>
              <w:jc w:val="both"/>
            </w:pPr>
          </w:p>
          <w:p w14:paraId="729FE9D9" w14:textId="77777777" w:rsidR="00AA6429" w:rsidRPr="00BE4C17" w:rsidRDefault="00AA6429">
            <w:pPr>
              <w:spacing w:after="0" w:line="240" w:lineRule="auto"/>
              <w:jc w:val="both"/>
            </w:pPr>
          </w:p>
          <w:p w14:paraId="1F3C4BCC" w14:textId="77777777" w:rsidR="00AA6429" w:rsidRPr="00BE4C17" w:rsidRDefault="00AA6429">
            <w:pPr>
              <w:spacing w:after="0" w:line="240" w:lineRule="auto"/>
              <w:jc w:val="both"/>
            </w:pPr>
          </w:p>
          <w:p w14:paraId="765F2892" w14:textId="0423ED77" w:rsidR="00917129" w:rsidRPr="002162BC" w:rsidRDefault="0081470F" w:rsidP="00AA6429">
            <w:pPr>
              <w:spacing w:after="0" w:line="240" w:lineRule="auto"/>
              <w:jc w:val="both"/>
            </w:pPr>
            <w:r w:rsidRPr="00BE4C17">
              <w:rPr>
                <w:lang w:val="en-US"/>
              </w:rPr>
              <w:t>2030</w:t>
            </w:r>
            <w:r w:rsidR="000D7F28">
              <w:t xml:space="preserve"> г.</w:t>
            </w:r>
          </w:p>
          <w:p w14:paraId="5FE97AAE" w14:textId="74D3A49E" w:rsidR="00AA6429" w:rsidRPr="00BE4C17" w:rsidRDefault="00AA6429" w:rsidP="00AA6429">
            <w:pPr>
              <w:spacing w:after="0" w:line="240" w:lineRule="auto"/>
              <w:jc w:val="both"/>
            </w:pPr>
            <w:r w:rsidRPr="00BE4C17">
              <w:t xml:space="preserve">СЗР– - 0,50; </w:t>
            </w:r>
          </w:p>
          <w:p w14:paraId="1B1450F6" w14:textId="77777777" w:rsidR="00AA6429" w:rsidRPr="00BE4C17" w:rsidRDefault="00AA6429" w:rsidP="00AA6429">
            <w:pPr>
              <w:spacing w:after="0" w:line="240" w:lineRule="auto"/>
              <w:jc w:val="both"/>
            </w:pPr>
            <w:r w:rsidRPr="00BE4C17">
              <w:t>СЦР – - 0,40;</w:t>
            </w:r>
          </w:p>
          <w:p w14:paraId="7572A87C" w14:textId="77777777" w:rsidR="00AA6429" w:rsidRPr="00BE4C17" w:rsidRDefault="00AA6429" w:rsidP="00AA6429">
            <w:pPr>
              <w:spacing w:after="0" w:line="240" w:lineRule="auto"/>
              <w:jc w:val="both"/>
            </w:pPr>
            <w:r w:rsidRPr="00BE4C17">
              <w:t>СИР – - 0,30;</w:t>
            </w:r>
          </w:p>
          <w:p w14:paraId="4AB682F3" w14:textId="77777777" w:rsidR="00AA6429" w:rsidRPr="00BE4C17" w:rsidRDefault="00AA6429" w:rsidP="00AA6429">
            <w:pPr>
              <w:spacing w:after="0" w:line="240" w:lineRule="auto"/>
              <w:jc w:val="both"/>
            </w:pPr>
            <w:r w:rsidRPr="00BE4C17">
              <w:t>ЮИР – - 0,45;</w:t>
            </w:r>
          </w:p>
          <w:p w14:paraId="4C2DCEEB" w14:textId="56CA7F50" w:rsidR="00AA6429" w:rsidRPr="00BE4C17" w:rsidRDefault="00AA6429" w:rsidP="00AA6429">
            <w:pPr>
              <w:spacing w:after="0" w:line="240" w:lineRule="auto"/>
              <w:jc w:val="both"/>
            </w:pPr>
            <w:r w:rsidRPr="00BE4C17">
              <w:t>ЮЦР – - 0,35.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343A04" w14:textId="77777777" w:rsidR="009C4EBC" w:rsidRPr="00BE4C17" w:rsidRDefault="009C4EBC" w:rsidP="009C4EBC">
            <w:pPr>
              <w:spacing w:after="0" w:line="240" w:lineRule="auto"/>
              <w:jc w:val="both"/>
            </w:pPr>
          </w:p>
          <w:p w14:paraId="4F481D0C" w14:textId="55F6E175" w:rsidR="009C4EBC" w:rsidRPr="00BE4C17" w:rsidRDefault="009C4EBC" w:rsidP="009C4EBC">
            <w:pPr>
              <w:spacing w:after="0" w:line="240" w:lineRule="auto"/>
              <w:jc w:val="both"/>
            </w:pPr>
            <w:r w:rsidRPr="00BE4C17">
              <w:t>100%</w:t>
            </w:r>
          </w:p>
          <w:p w14:paraId="1C8F2E3A" w14:textId="77777777" w:rsidR="009C4EBC" w:rsidRPr="00BE4C17" w:rsidRDefault="009C4EBC" w:rsidP="009C4EBC">
            <w:pPr>
              <w:spacing w:after="0" w:line="240" w:lineRule="auto"/>
              <w:jc w:val="both"/>
            </w:pPr>
            <w:r w:rsidRPr="00BE4C17">
              <w:t>100%</w:t>
            </w:r>
          </w:p>
          <w:p w14:paraId="3BED2AE2" w14:textId="77777777" w:rsidR="009C4EBC" w:rsidRPr="00BE4C17" w:rsidRDefault="009C4EBC" w:rsidP="009C4EBC">
            <w:pPr>
              <w:spacing w:after="0" w:line="240" w:lineRule="auto"/>
              <w:jc w:val="both"/>
            </w:pPr>
            <w:r w:rsidRPr="00BE4C17">
              <w:t>100%</w:t>
            </w:r>
          </w:p>
          <w:p w14:paraId="1492E257" w14:textId="77777777" w:rsidR="009C4EBC" w:rsidRPr="00BE4C17" w:rsidRDefault="009C4EBC" w:rsidP="009C4EBC">
            <w:pPr>
              <w:spacing w:after="0" w:line="240" w:lineRule="auto"/>
              <w:jc w:val="both"/>
            </w:pPr>
            <w:r w:rsidRPr="00BE4C17">
              <w:t>100%</w:t>
            </w:r>
          </w:p>
          <w:p w14:paraId="6201ECF5" w14:textId="77777777" w:rsidR="009C4EBC" w:rsidRPr="00BE4C17" w:rsidRDefault="009C4EBC" w:rsidP="009C4EBC">
            <w:pPr>
              <w:spacing w:after="0" w:line="240" w:lineRule="auto"/>
              <w:jc w:val="both"/>
            </w:pPr>
            <w:r w:rsidRPr="00BE4C17">
              <w:t>100%</w:t>
            </w:r>
          </w:p>
          <w:p w14:paraId="7A020ACA" w14:textId="77777777" w:rsidR="004D161C" w:rsidRPr="00BE4C17" w:rsidRDefault="009C4EBC" w:rsidP="009C4EBC">
            <w:pPr>
              <w:spacing w:after="0" w:line="240" w:lineRule="auto"/>
              <w:jc w:val="both"/>
            </w:pPr>
            <w:r w:rsidRPr="00BE4C17">
              <w:t>100%</w:t>
            </w:r>
          </w:p>
          <w:p w14:paraId="2660767C" w14:textId="77777777" w:rsidR="00AA6429" w:rsidRPr="00BE4C17" w:rsidRDefault="00AA6429" w:rsidP="009C4EBC">
            <w:pPr>
              <w:spacing w:after="0" w:line="240" w:lineRule="auto"/>
              <w:jc w:val="both"/>
            </w:pPr>
          </w:p>
          <w:p w14:paraId="0130CD19" w14:textId="04F498C1" w:rsidR="00AA6429" w:rsidRPr="00BE4C17" w:rsidRDefault="00823998" w:rsidP="009C4EBC">
            <w:pPr>
              <w:spacing w:after="0" w:line="240" w:lineRule="auto"/>
              <w:jc w:val="both"/>
              <w:rPr>
                <w:lang w:val="en-GB"/>
              </w:rPr>
            </w:pPr>
            <w:r w:rsidRPr="00BE4C17">
              <w:rPr>
                <w:lang w:val="en-GB"/>
              </w:rPr>
              <w:t>-</w:t>
            </w:r>
          </w:p>
          <w:p w14:paraId="4AF3BBA6" w14:textId="77777777" w:rsidR="00AA6429" w:rsidRPr="00BE4C17" w:rsidRDefault="00AA6429" w:rsidP="009C4EBC">
            <w:pPr>
              <w:spacing w:after="0" w:line="240" w:lineRule="auto"/>
              <w:jc w:val="both"/>
              <w:rPr>
                <w:lang w:val="en-GB"/>
              </w:rPr>
            </w:pPr>
          </w:p>
          <w:p w14:paraId="5FC18E45" w14:textId="77777777" w:rsidR="00AA6429" w:rsidRPr="00BE4C17" w:rsidRDefault="00AA6429" w:rsidP="009C4EBC">
            <w:pPr>
              <w:spacing w:after="0" w:line="240" w:lineRule="auto"/>
              <w:jc w:val="both"/>
              <w:rPr>
                <w:lang w:val="en-GB"/>
              </w:rPr>
            </w:pPr>
          </w:p>
          <w:p w14:paraId="6B08FE43" w14:textId="77777777" w:rsidR="00AA6429" w:rsidRPr="00BE4C17" w:rsidRDefault="00AA6429" w:rsidP="009C4EBC">
            <w:pPr>
              <w:spacing w:after="0" w:line="240" w:lineRule="auto"/>
              <w:jc w:val="both"/>
              <w:rPr>
                <w:lang w:val="en-GB"/>
              </w:rPr>
            </w:pPr>
          </w:p>
          <w:p w14:paraId="09532722" w14:textId="77777777" w:rsidR="00AA6429" w:rsidRPr="00BE4C17" w:rsidRDefault="00AA6429" w:rsidP="009C4EBC">
            <w:pPr>
              <w:spacing w:after="0" w:line="240" w:lineRule="auto"/>
              <w:jc w:val="both"/>
              <w:rPr>
                <w:lang w:val="en-GB"/>
              </w:rPr>
            </w:pPr>
          </w:p>
          <w:p w14:paraId="628F638F" w14:textId="77777777" w:rsidR="00AA6429" w:rsidRPr="00BE4C17" w:rsidRDefault="00AA6429" w:rsidP="009C4EBC">
            <w:pPr>
              <w:spacing w:after="0" w:line="240" w:lineRule="auto"/>
              <w:jc w:val="both"/>
              <w:rPr>
                <w:lang w:val="en-GB"/>
              </w:rPr>
            </w:pPr>
          </w:p>
          <w:p w14:paraId="2ACBA66D" w14:textId="77777777" w:rsidR="00AA6429" w:rsidRPr="00BE4C17" w:rsidRDefault="00AA6429" w:rsidP="009C4EBC">
            <w:pPr>
              <w:spacing w:after="0" w:line="240" w:lineRule="auto"/>
              <w:jc w:val="both"/>
              <w:rPr>
                <w:lang w:val="en-GB"/>
              </w:rPr>
            </w:pPr>
          </w:p>
          <w:p w14:paraId="127C1908" w14:textId="77777777" w:rsidR="00AA6429" w:rsidRPr="00BE4C17" w:rsidRDefault="00AA6429" w:rsidP="009C4EBC">
            <w:pPr>
              <w:spacing w:after="0" w:line="240" w:lineRule="auto"/>
              <w:jc w:val="both"/>
              <w:rPr>
                <w:lang w:val="en-GB"/>
              </w:rPr>
            </w:pPr>
          </w:p>
          <w:p w14:paraId="4B752AA4" w14:textId="77777777" w:rsidR="00AA6429" w:rsidRPr="00BE4C17" w:rsidRDefault="00AA6429" w:rsidP="009C4EBC">
            <w:pPr>
              <w:spacing w:after="0" w:line="240" w:lineRule="auto"/>
              <w:jc w:val="both"/>
              <w:rPr>
                <w:lang w:val="en-GB"/>
              </w:rPr>
            </w:pPr>
          </w:p>
          <w:p w14:paraId="41B2C815" w14:textId="0B17E13A" w:rsidR="00AA6429" w:rsidRPr="00BE4C17" w:rsidRDefault="00AA6429" w:rsidP="009C4EBC">
            <w:pPr>
              <w:spacing w:after="0" w:line="240" w:lineRule="auto"/>
              <w:jc w:val="both"/>
              <w:rPr>
                <w:lang w:val="en-GB"/>
              </w:rPr>
            </w:pPr>
            <w:r w:rsidRPr="00BE4C17">
              <w:rPr>
                <w:lang w:val="en-GB"/>
              </w:rPr>
              <w:t>1</w:t>
            </w:r>
          </w:p>
          <w:p w14:paraId="7330F8F2" w14:textId="25A5AC06" w:rsidR="00AA6429" w:rsidRPr="00BE4C17" w:rsidRDefault="00AA6429" w:rsidP="009C4EBC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D372D8" w14:paraId="3E08D3D7" w14:textId="77777777" w:rsidTr="00385734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50F780" w14:textId="77777777" w:rsidR="00D372D8" w:rsidRDefault="00D372D8" w:rsidP="00385734">
            <w:pPr>
              <w:jc w:val="both"/>
              <w:rPr>
                <w:rFonts w:ascii="Century Gothic" w:eastAsia="Century Gothic" w:hAnsi="Century Gothic" w:cs="Century Gothic"/>
                <w:b/>
                <w:color w:val="404040"/>
                <w:sz w:val="36"/>
                <w:szCs w:val="36"/>
              </w:rPr>
            </w:pPr>
          </w:p>
          <w:p w14:paraId="04E8075F" w14:textId="097D7728" w:rsidR="00D372D8" w:rsidRDefault="00D372D8" w:rsidP="00385734">
            <w:pPr>
              <w:jc w:val="both"/>
              <w:rPr>
                <w:rFonts w:ascii="Century Gothic" w:eastAsia="Century Gothic" w:hAnsi="Century Gothic" w:cs="Century Gothic"/>
                <w:color w:val="40404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36"/>
                <w:szCs w:val="36"/>
              </w:rPr>
              <w:t>Област на въздействие</w:t>
            </w:r>
          </w:p>
          <w:p w14:paraId="546F8D45" w14:textId="100A4E0E" w:rsidR="00D372D8" w:rsidRDefault="00D372D8" w:rsidP="00385734">
            <w:pPr>
              <w:numPr>
                <w:ilvl w:val="1"/>
                <w:numId w:val="2"/>
              </w:numPr>
              <w:ind w:left="0" w:firstLine="0"/>
              <w:jc w:val="both"/>
            </w:pPr>
            <w:r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 xml:space="preserve"> [9.1.а]</w:t>
            </w:r>
            <w:r>
              <w:rPr>
                <w:b/>
              </w:rPr>
              <w:t xml:space="preserve"> </w:t>
            </w:r>
            <w:r w:rsidRPr="00280771"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И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нтегрирано развитие на р</w:t>
            </w:r>
            <w:r w:rsidR="006A5C4A"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егионите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 xml:space="preserve"> </w:t>
            </w:r>
            <w:r w:rsidR="00D87637"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 xml:space="preserve">за планиране 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от ниво 2</w:t>
            </w:r>
          </w:p>
          <w:p w14:paraId="568B6E07" w14:textId="3D99A69B" w:rsidR="00D372D8" w:rsidRDefault="00D372D8" w:rsidP="0023359B">
            <w:pPr>
              <w:jc w:val="both"/>
            </w:pPr>
            <w:r>
              <w:t>Основа за прилагане на подхода</w:t>
            </w:r>
            <w:r w:rsidRPr="009B5319">
              <w:t xml:space="preserve"> за интегрирано териториално развитие/инвестиции </w:t>
            </w:r>
            <w:r w:rsidR="0023359B">
              <w:t>в</w:t>
            </w:r>
            <w:r w:rsidRPr="009B5319">
              <w:t xml:space="preserve"> р</w:t>
            </w:r>
            <w:r w:rsidR="0023359B">
              <w:t>егионите за планиране</w:t>
            </w:r>
            <w:r w:rsidRPr="009B5319">
              <w:t xml:space="preserve"> от ниво 2</w:t>
            </w:r>
            <w:r>
              <w:t xml:space="preserve">  са интегрираните териториални стратегии за развитие на р</w:t>
            </w:r>
            <w:r w:rsidR="0023359B">
              <w:t xml:space="preserve">егионите </w:t>
            </w:r>
            <w:r>
              <w:t xml:space="preserve">от ниво 2 (2021-2027г.). В основата на подхода е промяна на фокуса от подкрепа на населените места към подкрепа на територии и от секторно ориентирани инвестиции към интегрирани териториални инвестиции. Мерките, които ще получат подкрепа в рамките на тази област на въздействие, ще бъдат определени на базата на приоритетите, целите, дейностите и мерките, заложени в стратегическите документи за регионално и пространствено развитие на ниво регион за планиране ниво 2 (Интегрираните териториални стратегии за развитие на регионите за планиране ниво 2), както и на база на </w:t>
            </w:r>
            <w:r w:rsidRPr="001B6F63">
              <w:rPr>
                <w:szCs w:val="24"/>
              </w:rPr>
              <w:t xml:space="preserve">картиране на нуждите на национално ниво </w:t>
            </w:r>
            <w:r>
              <w:rPr>
                <w:szCs w:val="24"/>
              </w:rPr>
              <w:t>по отношение на секторните политики</w:t>
            </w:r>
            <w:r w:rsidRPr="001B6F63">
              <w:rPr>
                <w:szCs w:val="24"/>
              </w:rPr>
              <w:t>,</w:t>
            </w:r>
            <w:r>
              <w:rPr>
                <w:szCs w:val="24"/>
              </w:rPr>
              <w:t xml:space="preserve"> изготвяно</w:t>
            </w:r>
            <w:r w:rsidRPr="001B6F63">
              <w:rPr>
                <w:szCs w:val="24"/>
              </w:rPr>
              <w:t xml:space="preserve"> от</w:t>
            </w:r>
            <w:r>
              <w:rPr>
                <w:szCs w:val="24"/>
              </w:rPr>
              <w:t xml:space="preserve"> отговорните за разработването им</w:t>
            </w:r>
            <w:r w:rsidRPr="001B6F63">
              <w:rPr>
                <w:szCs w:val="24"/>
              </w:rPr>
              <w:t xml:space="preserve"> държавни институции и агенции</w:t>
            </w:r>
            <w:r>
              <w:rPr>
                <w:szCs w:val="24"/>
              </w:rPr>
              <w:t xml:space="preserve">. </w:t>
            </w:r>
            <w:r>
              <w:t xml:space="preserve">  </w:t>
            </w:r>
          </w:p>
        </w:tc>
      </w:tr>
      <w:tr w:rsidR="00D372D8" w14:paraId="5140C848" w14:textId="77777777" w:rsidTr="00385734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B3BC04" w14:textId="77777777" w:rsidR="00D372D8" w:rsidRDefault="00D372D8" w:rsidP="00385734">
            <w:pPr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Съотносими Цели за устойчиво развитие на ООН</w:t>
            </w:r>
          </w:p>
        </w:tc>
      </w:tr>
      <w:tr w:rsidR="00D372D8" w14:paraId="4FDEA083" w14:textId="77777777" w:rsidTr="00385734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506279" w14:textId="77777777" w:rsidR="00D372D8" w:rsidRDefault="00D372D8" w:rsidP="00385734">
            <w:pPr>
              <w:jc w:val="both"/>
            </w:pPr>
            <w:r>
              <w:t>Цел 11 „Превръщане на градовете и селищата в приобщаващи, безопасни, адаптивни и устойчиви места за живеене“</w:t>
            </w:r>
          </w:p>
        </w:tc>
      </w:tr>
      <w:tr w:rsidR="00D372D8" w14:paraId="38B8EC69" w14:textId="77777777" w:rsidTr="00385734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C0924A" w14:textId="77777777" w:rsidR="00D372D8" w:rsidRDefault="00D372D8" w:rsidP="00385734">
            <w:pPr>
              <w:jc w:val="both"/>
            </w:pPr>
          </w:p>
        </w:tc>
      </w:tr>
      <w:tr w:rsidR="00D372D8" w14:paraId="5235D27C" w14:textId="77777777" w:rsidTr="00385734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525595" w14:textId="77777777" w:rsidR="00D372D8" w:rsidRDefault="00D372D8" w:rsidP="009376C1">
            <w:pPr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Оценка на необходим финансов ресурс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A9FC03" w14:textId="77777777" w:rsidR="00D372D8" w:rsidRDefault="00D372D8" w:rsidP="00385734">
            <w:pPr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Източници на финансиране</w:t>
            </w:r>
          </w:p>
        </w:tc>
      </w:tr>
      <w:tr w:rsidR="00D372D8" w14:paraId="134CB125" w14:textId="77777777" w:rsidTr="00385734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D8BF40" w14:textId="17C6A8FF" w:rsidR="00D372D8" w:rsidRDefault="00D87637" w:rsidP="009376C1">
            <w:pPr>
              <w:jc w:val="both"/>
            </w:pPr>
            <w:r>
              <w:t>Н</w:t>
            </w:r>
            <w:r w:rsidR="001615A7">
              <w:t>еуточнен</w:t>
            </w:r>
            <w:r w:rsidR="009376C1">
              <w:t>о на този етап</w:t>
            </w:r>
            <w:r w:rsidR="00D372D8">
              <w:t xml:space="preserve">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3B76E2" w14:textId="07394F7E" w:rsidR="00D372D8" w:rsidRDefault="00D372D8" w:rsidP="0038279D">
            <w:pPr>
              <w:jc w:val="both"/>
              <w:rPr>
                <w:highlight w:val="yellow"/>
              </w:rPr>
            </w:pPr>
          </w:p>
        </w:tc>
      </w:tr>
      <w:tr w:rsidR="004D161C" w14:paraId="75B9A130" w14:textId="77777777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8A234A5" w14:textId="77777777" w:rsidR="0088784F" w:rsidRDefault="0088784F" w:rsidP="0088784F">
            <w:pPr>
              <w:jc w:val="both"/>
              <w:rPr>
                <w:rFonts w:ascii="Century Gothic" w:eastAsia="Century Gothic" w:hAnsi="Century Gothic" w:cs="Century Gothic"/>
                <w:b/>
                <w:color w:val="404040"/>
                <w:sz w:val="36"/>
                <w:szCs w:val="36"/>
              </w:rPr>
            </w:pPr>
          </w:p>
          <w:p w14:paraId="08E2894A" w14:textId="799A2EA9" w:rsidR="004D161C" w:rsidRDefault="00326BCC" w:rsidP="002E4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Century Gothic" w:eastAsia="Century Gothic" w:hAnsi="Century Gothic" w:cs="Century Gothic"/>
                <w:color w:val="40404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36"/>
                <w:szCs w:val="36"/>
              </w:rPr>
              <w:t>Област на въздействие:</w:t>
            </w:r>
          </w:p>
        </w:tc>
      </w:tr>
      <w:tr w:rsidR="004D161C" w14:paraId="294DDACD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69AF50" w14:textId="3975B9D7" w:rsidR="004D161C" w:rsidRDefault="00326BC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67" w:hanging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>[9.1.</w:t>
            </w:r>
            <w:r w:rsidR="00D768A1"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>б</w:t>
            </w:r>
            <w:r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 xml:space="preserve">] 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 xml:space="preserve">Стратегическо </w:t>
            </w:r>
            <w:r w:rsidR="00775B6C"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 xml:space="preserve">планиране  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 xml:space="preserve">на регионалното и пространственото развитие </w:t>
            </w:r>
          </w:p>
          <w:p w14:paraId="0A777A17" w14:textId="77777777" w:rsidR="004D161C" w:rsidRDefault="004D1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both"/>
              <w:rPr>
                <w:color w:val="000000"/>
              </w:rPr>
            </w:pPr>
          </w:p>
          <w:p w14:paraId="7E2D0684" w14:textId="3701365A" w:rsidR="00082D09" w:rsidRPr="00F41A14" w:rsidRDefault="00326BCC" w:rsidP="00082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</w:rPr>
              <w:lastRenderedPageBreak/>
              <w:t>Разработване, прилагане, наблюдение и оценка на системата от документи за стратегическо планиране на регионалното и пространственото развитие. Прилагане на пътна карта за нов подход в държавната политика за регионално развитие. Стратегическо планиране на мерки, отчитащи местните специфики в различни сектори на икономиката, както и създаване и/или подобряване на нормативните условия за осигуряване на зелена инфраструктура</w:t>
            </w:r>
            <w:r w:rsidR="0099618B">
              <w:rPr>
                <w:color w:val="000000"/>
              </w:rPr>
              <w:t xml:space="preserve"> </w:t>
            </w:r>
            <w:r w:rsidR="0099618B">
              <w:t>и п</w:t>
            </w:r>
            <w:r w:rsidR="0099618B" w:rsidRPr="007658FB">
              <w:t>одобряване на правилата и нормите за проектиране, изграждане и експлоатация на водос</w:t>
            </w:r>
            <w:r w:rsidR="0099618B">
              <w:t>набдителните и канализационните</w:t>
            </w:r>
            <w:r w:rsidR="0099618B" w:rsidRPr="007658FB">
              <w:t xml:space="preserve"> системи</w:t>
            </w:r>
            <w:r>
              <w:rPr>
                <w:color w:val="000000"/>
              </w:rPr>
              <w:t>.</w:t>
            </w:r>
            <w:r w:rsidR="00082D09" w:rsidRPr="00082D09">
              <w:t xml:space="preserve"> </w:t>
            </w:r>
            <w:r w:rsidR="00082D09" w:rsidRPr="00082D09">
              <w:rPr>
                <w:color w:val="000000"/>
              </w:rPr>
              <w:t>Ще се подкрепят мерки, свързани с насърчаване на безопасна, здравословна, приобщаваща и сигурна среда в градовете и населените места</w:t>
            </w:r>
            <w:r w:rsidR="00F84E8C">
              <w:rPr>
                <w:color w:val="000000"/>
              </w:rPr>
              <w:t xml:space="preserve">. </w:t>
            </w:r>
            <w:r w:rsidR="00F84E8C" w:rsidRPr="00B43DC5">
              <w:rPr>
                <w:color w:val="000000"/>
              </w:rPr>
              <w:t>Неправителственият сектор и местните общности ще бъдат широко въвлечени при формиране и изпълнение на местните политики</w:t>
            </w:r>
            <w:r w:rsidR="00D44F0D" w:rsidRPr="00B43DC5">
              <w:rPr>
                <w:color w:val="000000"/>
                <w:lang w:val="en-GB"/>
              </w:rPr>
              <w:t>.</w:t>
            </w:r>
            <w:r w:rsidR="00F84E8C" w:rsidRPr="00B43DC5">
              <w:t xml:space="preserve"> </w:t>
            </w:r>
            <w:r w:rsidR="00F84E8C" w:rsidRPr="00B43DC5">
              <w:rPr>
                <w:color w:val="000000"/>
              </w:rPr>
              <w:t>Ще се разшири междуобщинското сътрудничество</w:t>
            </w:r>
            <w:r w:rsidR="00575A91">
              <w:rPr>
                <w:color w:val="000000"/>
                <w:lang w:val="en-GB"/>
              </w:rPr>
              <w:t xml:space="preserve">, </w:t>
            </w:r>
            <w:r w:rsidR="00575A91">
              <w:rPr>
                <w:color w:val="000000"/>
              </w:rPr>
              <w:t>както и ПЧП</w:t>
            </w:r>
            <w:r w:rsidR="00F84E8C" w:rsidRPr="00B43DC5">
              <w:rPr>
                <w:color w:val="000000"/>
              </w:rPr>
              <w:t xml:space="preserve"> за съвместно изпълнение на инфраструктурни, социални и културни проекти, както и за улесняване и подкрепа на контактите и инициативите на местния бизнес</w:t>
            </w:r>
            <w:r w:rsidR="00F41A14" w:rsidRPr="00B43DC5">
              <w:rPr>
                <w:color w:val="000000"/>
                <w:lang w:val="en-GB"/>
              </w:rPr>
              <w:t>.</w:t>
            </w:r>
          </w:p>
          <w:p w14:paraId="249378BB" w14:textId="77777777" w:rsidR="004D161C" w:rsidRDefault="004D161C" w:rsidP="00A45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  <w:p w14:paraId="488B7680" w14:textId="77777777" w:rsidR="004D161C" w:rsidRDefault="004D1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D161C" w14:paraId="7E99EF04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CFBD32" w14:textId="77777777" w:rsidR="004D161C" w:rsidRDefault="00326BCC" w:rsidP="00A45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lastRenderedPageBreak/>
              <w:t>Съотносими Цели за устойчиво развитие на ООН</w:t>
            </w:r>
          </w:p>
        </w:tc>
      </w:tr>
      <w:tr w:rsidR="004D161C" w14:paraId="5238CE0D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737412" w14:textId="77777777" w:rsidR="004D161C" w:rsidRDefault="00326BCC" w:rsidP="00A45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color w:val="000000"/>
              </w:rPr>
              <w:t>Цел 11 Превръщане на градовете и селищата в приобщаващи, безопасни, адаптивни и устойчиви места за живеене“</w:t>
            </w:r>
          </w:p>
        </w:tc>
      </w:tr>
      <w:tr w:rsidR="004D161C" w14:paraId="2F59EFAF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4597C5" w14:textId="77777777" w:rsidR="004D161C" w:rsidRDefault="00326BCC" w:rsidP="00434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Оценка на необходим финансов ресурс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DC529B" w14:textId="77777777" w:rsidR="004D161C" w:rsidRDefault="00326BCC">
            <w:pPr>
              <w:spacing w:before="120" w:after="12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Източници на финансиране</w:t>
            </w:r>
          </w:p>
        </w:tc>
      </w:tr>
      <w:tr w:rsidR="004D161C" w14:paraId="7C7A3B19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CCB37" w14:textId="664E1704" w:rsidR="004D161C" w:rsidRPr="00D651BC" w:rsidRDefault="0015443A" w:rsidP="00EE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color w:val="000000"/>
                <w:u w:val="single"/>
              </w:rPr>
            </w:pPr>
            <w:r>
              <w:t xml:space="preserve">Неуточнено на този етап </w:t>
            </w:r>
          </w:p>
          <w:p w14:paraId="03FFAE4C" w14:textId="5C2FC927" w:rsidR="004D161C" w:rsidRPr="00D651BC" w:rsidRDefault="004D161C" w:rsidP="00D6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7B47B2" w14:textId="479E1BA4" w:rsidR="004D161C" w:rsidRDefault="004D161C" w:rsidP="0038279D">
            <w:pPr>
              <w:spacing w:before="120" w:after="120" w:line="240" w:lineRule="auto"/>
              <w:jc w:val="both"/>
            </w:pPr>
          </w:p>
        </w:tc>
      </w:tr>
      <w:tr w:rsidR="004D161C" w14:paraId="7744BA7F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8388B5" w14:textId="77777777" w:rsidR="00D768A1" w:rsidRDefault="00D768A1" w:rsidP="00D768A1">
            <w:pPr>
              <w:jc w:val="both"/>
              <w:rPr>
                <w:rFonts w:ascii="Century Gothic" w:eastAsia="Century Gothic" w:hAnsi="Century Gothic" w:cs="Century Gothic"/>
                <w:color w:val="40404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36"/>
                <w:szCs w:val="36"/>
              </w:rPr>
              <w:t>Област на въздействие</w:t>
            </w:r>
          </w:p>
          <w:p w14:paraId="362049B1" w14:textId="21D148C8" w:rsidR="00D768A1" w:rsidRPr="00CC1DAB" w:rsidRDefault="00D768A1" w:rsidP="00CC1DAB">
            <w:pPr>
              <w:pStyle w:val="ListParagraph"/>
              <w:numPr>
                <w:ilvl w:val="0"/>
                <w:numId w:val="7"/>
              </w:numPr>
              <w:ind w:left="0" w:firstLine="0"/>
              <w:jc w:val="both"/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</w:pPr>
            <w:r w:rsidRPr="00CC1DAB"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 xml:space="preserve">[9.1.в] </w:t>
            </w:r>
            <w:r w:rsidRPr="00CC1DAB"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 xml:space="preserve"> Водено от общностите местно развитие</w:t>
            </w:r>
            <w:r w:rsidRPr="00CC1DAB"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 xml:space="preserve"> </w:t>
            </w:r>
          </w:p>
          <w:p w14:paraId="0FB7DF26" w14:textId="77777777" w:rsidR="00D768A1" w:rsidRDefault="00D768A1" w:rsidP="00D768A1">
            <w:pPr>
              <w:jc w:val="both"/>
            </w:pPr>
            <w:r>
              <w:t>Воденото от общностите местно развитие (ВОМР) се извършва чрез интегрирани и многосекторни стратегии за местно развитие, основани на характеристиките на конкретната територия и разработени въз основа на местните потребности и потенциал. Териториалният обхват на тази област на въздействие включва всички селски райони и други територии на страната, които ще бъдат включени в нормативния акт за прилагането на ВОМР. Ще бъдат подкрепяни мерки, свързани с н</w:t>
            </w:r>
            <w:r w:rsidRPr="0005250C">
              <w:t>асърчаване на социалното приобщаване</w:t>
            </w:r>
            <w:r>
              <w:t xml:space="preserve">, </w:t>
            </w:r>
            <w:r w:rsidRPr="0005250C">
              <w:t>съхраняване и опазване на околната среда и насърчаване на ресурсната ефективност, вкл. дейности за превенция и управление на риска и за използване потенциала на културното наследство</w:t>
            </w:r>
            <w:r>
              <w:t xml:space="preserve">, </w:t>
            </w:r>
            <w:r w:rsidRPr="0005250C">
              <w:t xml:space="preserve">насърчаване на въвеждането </w:t>
            </w:r>
            <w:r>
              <w:t xml:space="preserve">на иновации </w:t>
            </w:r>
            <w:r w:rsidRPr="0005250C">
              <w:t>в практиката</w:t>
            </w:r>
            <w:r>
              <w:t xml:space="preserve">, </w:t>
            </w:r>
            <w:r w:rsidRPr="0005250C">
              <w:t>устойчива и качествена заетост и мобилност</w:t>
            </w:r>
            <w:r>
              <w:t xml:space="preserve"> на</w:t>
            </w:r>
            <w:r w:rsidRPr="0005250C">
              <w:t xml:space="preserve"> работната сила</w:t>
            </w:r>
            <w:r>
              <w:t>, п</w:t>
            </w:r>
            <w:r w:rsidRPr="0005250C">
              <w:t>овишаване на конкурентоспособността на местните икономики и възможности за създаване на местен бизнес,</w:t>
            </w:r>
            <w:r>
              <w:t xml:space="preserve"> п</w:t>
            </w:r>
            <w:r w:rsidRPr="0005250C">
              <w:t>одобряване на качеството на образование и повишаване квалификацията на населението</w:t>
            </w:r>
            <w:r>
              <w:t xml:space="preserve">. </w:t>
            </w:r>
          </w:p>
          <w:p w14:paraId="1BF87219" w14:textId="77777777" w:rsidR="00D768A1" w:rsidRDefault="00D768A1" w:rsidP="00D768A1"/>
          <w:tbl>
            <w:tblPr>
              <w:tblStyle w:val="11"/>
              <w:tblW w:w="90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6"/>
              <w:gridCol w:w="4536"/>
            </w:tblGrid>
            <w:tr w:rsidR="00D768A1" w14:paraId="549BC515" w14:textId="77777777" w:rsidTr="00244D37">
              <w:tc>
                <w:tcPr>
                  <w:tcW w:w="90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DF2E3" w14:textId="77777777" w:rsidR="00D768A1" w:rsidRDefault="00D768A1" w:rsidP="00D768A1">
                  <w:r>
                    <w:rPr>
                      <w:rFonts w:ascii="Century Gothic" w:eastAsia="Century Gothic" w:hAnsi="Century Gothic" w:cs="Century Gothic"/>
                      <w:b/>
                      <w:color w:val="404040"/>
                    </w:rPr>
                    <w:t>Съотносими Цели за устойчиво развитие на ООН</w:t>
                  </w:r>
                </w:p>
              </w:tc>
            </w:tr>
            <w:tr w:rsidR="00D768A1" w14:paraId="642D9C8D" w14:textId="77777777" w:rsidTr="00244D37">
              <w:tc>
                <w:tcPr>
                  <w:tcW w:w="90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48F91" w14:textId="77777777" w:rsidR="00D768A1" w:rsidRDefault="00D768A1" w:rsidP="00D768A1">
                  <w:pPr>
                    <w:jc w:val="both"/>
                  </w:pPr>
                  <w:r>
                    <w:t xml:space="preserve">Цел 11 „Превръщане на градовете и селищата в приобщаващи, безопасни, адаптивни и устойчиви места за живеене“  </w:t>
                  </w:r>
                </w:p>
                <w:p w14:paraId="39649ED1" w14:textId="77777777" w:rsidR="00D768A1" w:rsidRDefault="00D768A1" w:rsidP="00D768A1">
                  <w:pPr>
                    <w:jc w:val="both"/>
                  </w:pPr>
                </w:p>
              </w:tc>
            </w:tr>
            <w:tr w:rsidR="00D768A1" w14:paraId="146B51A1" w14:textId="77777777" w:rsidTr="00244D37"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BCB41" w14:textId="77777777" w:rsidR="00D768A1" w:rsidRDefault="00D768A1" w:rsidP="00D768A1">
                  <w:r>
                    <w:rPr>
                      <w:rFonts w:ascii="Century Gothic" w:eastAsia="Century Gothic" w:hAnsi="Century Gothic" w:cs="Century Gothic"/>
                      <w:b/>
                      <w:color w:val="404040"/>
                    </w:rPr>
                    <w:lastRenderedPageBreak/>
                    <w:t>Оценка на необходим финансов ресурс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14405" w14:textId="77777777" w:rsidR="00D768A1" w:rsidRDefault="00D768A1" w:rsidP="00D768A1">
                  <w:r>
                    <w:rPr>
                      <w:rFonts w:ascii="Century Gothic" w:eastAsia="Century Gothic" w:hAnsi="Century Gothic" w:cs="Century Gothic"/>
                      <w:b/>
                      <w:color w:val="404040"/>
                    </w:rPr>
                    <w:t>Източници на финансиране</w:t>
                  </w:r>
                </w:p>
              </w:tc>
            </w:tr>
            <w:tr w:rsidR="00D768A1" w14:paraId="21359AC8" w14:textId="77777777" w:rsidTr="00244D37"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750D9" w14:textId="77777777" w:rsidR="00D768A1" w:rsidRDefault="00D768A1" w:rsidP="00D768A1">
                  <w:r>
                    <w:t>Неуточнено на този етап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579FD" w14:textId="291B1966" w:rsidR="00D768A1" w:rsidRDefault="00D768A1" w:rsidP="00D768A1"/>
              </w:tc>
            </w:tr>
          </w:tbl>
          <w:p w14:paraId="783A1A33" w14:textId="2AB9EBBB" w:rsidR="004D161C" w:rsidRDefault="004D161C">
            <w:pPr>
              <w:jc w:val="both"/>
              <w:rPr>
                <w:rFonts w:ascii="Century Gothic" w:eastAsia="Century Gothic" w:hAnsi="Century Gothic" w:cs="Century Gothic"/>
                <w:color w:val="404040"/>
                <w:sz w:val="36"/>
                <w:szCs w:val="36"/>
              </w:rPr>
            </w:pPr>
          </w:p>
          <w:p w14:paraId="6F8648E3" w14:textId="77777777" w:rsidR="00C018AC" w:rsidRDefault="00326BCC" w:rsidP="00C018AC">
            <w:pPr>
              <w:jc w:val="both"/>
              <w:rPr>
                <w:rFonts w:ascii="Century Gothic" w:eastAsia="Century Gothic" w:hAnsi="Century Gothic" w:cs="Century Gothic"/>
                <w:b/>
                <w:color w:val="40404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36"/>
                <w:szCs w:val="36"/>
              </w:rPr>
              <w:t>Област на въздействие</w:t>
            </w:r>
          </w:p>
          <w:p w14:paraId="3371CE70" w14:textId="10F3AED1" w:rsidR="004D161C" w:rsidRDefault="00326BCC" w:rsidP="00C018AC">
            <w:pPr>
              <w:jc w:val="both"/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>[9.1.</w:t>
            </w:r>
            <w:r w:rsidR="00092702"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>г</w:t>
            </w:r>
            <w:r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>]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 xml:space="preserve"> </w:t>
            </w:r>
            <w:r w:rsidR="00A45D78"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  <w:lang w:val="en-GB"/>
              </w:rPr>
              <w:t>[</w:t>
            </w:r>
            <w:r w:rsidR="00434A92" w:rsidRPr="00A45D78"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Т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рансгранично (ТГС), транснационално (ТНС) и междурегионално (МРС)  сътрудничество]</w:t>
            </w:r>
          </w:p>
          <w:p w14:paraId="2D1FA21A" w14:textId="77777777" w:rsidR="00F61FFA" w:rsidRDefault="00F61FFA" w:rsidP="00F61FFA">
            <w:pPr>
              <w:jc w:val="both"/>
            </w:pPr>
            <w:r>
              <w:t xml:space="preserve">Програмите за ТГС, ТНС и МРС подкрепят съвместни инициативи на партньори от две или повече държави от и извън Европейския съюз за намирането на общи решения на проблеми, надхвърлящи националните граници, и развиват потенциала на различните територии, попадащи в техния географски обхват. Освен към петте цели на политиката на сближаване на ЕС (политически цели), те допринасят и към специфичните цели за Интеррег „по-добро управление на Интеррег” и „по-безопасна и по-сигурна Европа”. Тези програми се разработват и реализират съобразно принципа на партньорството от съвместни структури за управление, изпълнение и наблюдение, а задължителните критерии при избора на проекти са: съвместно разработване, изпълнение, финансиране, осигуряване на съвместен екип, както и –  трансграничен ефект на дейностите.  Програмите за ТГС, в които участва Република България са насочени към разнообразие от мерки за насърчаване на трансграничните връзки, конкурентоспособността и иновативността на икономиката; опазване на околната среда, адаптация към и смекчаване на последиците от климатичните промени, съвместно управление и наблюдение на природни ресурси, включително речни и морски басейни; управление и предотвратяване на риска, и подобряване на способността за защита на населението от природни бедствия и бедствия, предизвикани от човешката дейност; подобряване на транспортната и комуникационната свързаност; повишаване привлекателността на трансграничните райони чрез подобрени социални, обучителни, младежки дейности, оползотворяване на природните и културни дадености, и създаване на интегрирани туристически продукти; </w:t>
            </w:r>
            <w:r w:rsidRPr="00640FBB">
              <w:t>партньорства между университети, изследователски центрове и</w:t>
            </w:r>
            <w:r>
              <w:t xml:space="preserve"> стопански предприятия; </w:t>
            </w:r>
            <w:r w:rsidRPr="00640FBB">
              <w:t>разнообразни дейности от типа „хора за хора“</w:t>
            </w:r>
            <w:r>
              <w:t xml:space="preserve"> и други дейности, насочени към засилена социална интеграция на програмната територия чрез преодоляване на физическите и културни бариери пред сътрудничеството. Програмите за ТГС по външните граници на ЕС допринасят за развиването на добросъседски отношения,  повишаване на доверието и улесняване процеса на разширяване на ЕС, като подкрепят проекти за насърчаване на икономическото и социално развитие, околна среда, въпроси на сигурността. Програмите за ТНС и МРС подкрепят съвместното разработване и прилагане на политики, обмяната на опит и добри практики и други дейности на макрорегионално и европейско ниво.</w:t>
            </w:r>
          </w:p>
          <w:p w14:paraId="30097E72" w14:textId="188015BB" w:rsidR="004D161C" w:rsidRDefault="004D161C">
            <w:pPr>
              <w:jc w:val="both"/>
            </w:pPr>
          </w:p>
        </w:tc>
      </w:tr>
      <w:tr w:rsidR="004D161C" w14:paraId="5C57CE41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B3873C" w14:textId="77777777" w:rsidR="004D161C" w:rsidRDefault="00326BCC">
            <w:pPr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lastRenderedPageBreak/>
              <w:t>Съотносими Цели за устойчиво развитие на ООН</w:t>
            </w:r>
          </w:p>
        </w:tc>
      </w:tr>
      <w:tr w:rsidR="004D161C" w14:paraId="54F45398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907C11" w14:textId="77777777" w:rsidR="004D161C" w:rsidRDefault="00326BCC">
            <w:pPr>
              <w:jc w:val="both"/>
            </w:pPr>
            <w:r>
              <w:t>Цел 11 Превръщане на градовете и селищата в приобщаващи, безопасни, адаптивни и устойчиви места за живеене“</w:t>
            </w:r>
          </w:p>
        </w:tc>
      </w:tr>
      <w:tr w:rsidR="004D161C" w14:paraId="752F7026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4D7141" w14:textId="77777777" w:rsidR="004D161C" w:rsidRDefault="00326BCC">
            <w:pPr>
              <w:jc w:val="both"/>
              <w:rPr>
                <w:rFonts w:ascii="Century Gothic" w:eastAsia="Century Gothic" w:hAnsi="Century Gothic" w:cs="Century Gothic"/>
                <w:b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Оценка на необходим финансов ресурс</w:t>
            </w:r>
          </w:p>
          <w:p w14:paraId="3C37C9A2" w14:textId="407B0FE7" w:rsidR="00986A42" w:rsidRDefault="00FF0368">
            <w:pPr>
              <w:jc w:val="both"/>
            </w:pPr>
            <w:r>
              <w:lastRenderedPageBreak/>
              <w:t xml:space="preserve">Неуточнено на този етап 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3F1668" w14:textId="77777777" w:rsidR="004D161C" w:rsidRDefault="00326BCC">
            <w:pPr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lastRenderedPageBreak/>
              <w:t>Източници на финансиране</w:t>
            </w:r>
          </w:p>
          <w:p w14:paraId="664B635A" w14:textId="77777777" w:rsidR="004D161C" w:rsidRDefault="004D161C">
            <w:pPr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</w:p>
        </w:tc>
      </w:tr>
    </w:tbl>
    <w:p w14:paraId="69749062" w14:textId="625DA6FF" w:rsidR="00D768A1" w:rsidRDefault="00D768A1">
      <w:pPr>
        <w:jc w:val="both"/>
        <w:rPr>
          <w:rFonts w:ascii="Century Gothic" w:eastAsia="Century Gothic" w:hAnsi="Century Gothic" w:cs="Century Gothic"/>
          <w:color w:val="404040"/>
          <w:sz w:val="28"/>
          <w:szCs w:val="28"/>
          <w:highlight w:val="white"/>
        </w:rPr>
      </w:pPr>
    </w:p>
    <w:tbl>
      <w:tblPr>
        <w:tblStyle w:val="1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643"/>
        <w:gridCol w:w="908"/>
        <w:gridCol w:w="907"/>
        <w:gridCol w:w="1814"/>
        <w:gridCol w:w="2349"/>
      </w:tblGrid>
      <w:tr w:rsidR="004D161C" w14:paraId="7CEDB52C" w14:textId="77777777">
        <w:tc>
          <w:tcPr>
            <w:tcW w:w="960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85D435B" w14:textId="6D3CD32F" w:rsidR="004D161C" w:rsidRDefault="00326BCC">
            <w:pPr>
              <w:jc w:val="both"/>
            </w:pPr>
            <w:r>
              <w:rPr>
                <w:rFonts w:ascii="Century Gothic" w:eastAsia="Century Gothic" w:hAnsi="Century Gothic" w:cs="Century Gothic"/>
                <w:color w:val="404040"/>
                <w:sz w:val="36"/>
                <w:szCs w:val="36"/>
              </w:rPr>
              <w:t xml:space="preserve">[9.2] </w:t>
            </w:r>
            <w:r w:rsidRPr="00400B34">
              <w:rPr>
                <w:rFonts w:ascii="Century Gothic" w:eastAsia="Century Gothic" w:hAnsi="Century Gothic" w:cs="Century Gothic"/>
                <w:b/>
                <w:color w:val="404040"/>
                <w:sz w:val="36"/>
                <w:szCs w:val="36"/>
              </w:rPr>
              <w:t>Г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36"/>
                <w:szCs w:val="36"/>
              </w:rPr>
              <w:t xml:space="preserve">радско развитие и полицентрична мрежа на градовете </w:t>
            </w:r>
          </w:p>
        </w:tc>
      </w:tr>
      <w:tr w:rsidR="004D161C" w14:paraId="7BD52349" w14:textId="77777777">
        <w:tc>
          <w:tcPr>
            <w:tcW w:w="960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64C6540" w14:textId="4BB138C9" w:rsidR="004D161C" w:rsidRDefault="0002310E" w:rsidP="007A0C8E">
            <w:pPr>
              <w:jc w:val="both"/>
            </w:pPr>
            <w:r>
              <w:t>Основн</w:t>
            </w:r>
            <w:r w:rsidR="00A71A3F">
              <w:t>ите</w:t>
            </w:r>
            <w:r>
              <w:t xml:space="preserve"> цел</w:t>
            </w:r>
            <w:r w:rsidR="00A71A3F">
              <w:t>и</w:t>
            </w:r>
            <w:r>
              <w:t xml:space="preserve"> на подприоритета </w:t>
            </w:r>
            <w:r w:rsidR="00A71A3F">
              <w:t>включват</w:t>
            </w:r>
            <w:r>
              <w:t xml:space="preserve"> </w:t>
            </w:r>
            <w:r w:rsidR="00326BCC">
              <w:t>постигането на устойчиво градско развитие на най-</w:t>
            </w:r>
            <w:r w:rsidR="00770526">
              <w:t xml:space="preserve">важните за </w:t>
            </w:r>
            <w:r w:rsidR="00A71A3F">
              <w:t>развитието на</w:t>
            </w:r>
            <w:r w:rsidR="00770526">
              <w:t xml:space="preserve"> балансиран</w:t>
            </w:r>
            <w:r w:rsidR="00A71A3F">
              <w:t xml:space="preserve"> полицентричен модел </w:t>
            </w:r>
            <w:r w:rsidR="00770526">
              <w:t>градски общини</w:t>
            </w:r>
            <w:r w:rsidR="00A71A3F">
              <w:t xml:space="preserve"> чрез </w:t>
            </w:r>
            <w:r w:rsidR="00A71A3F" w:rsidRPr="00EE2A93">
              <w:t xml:space="preserve">създаване на конкурентни на столицата София </w:t>
            </w:r>
            <w:r w:rsidR="00A71A3F">
              <w:t xml:space="preserve">градски </w:t>
            </w:r>
            <w:r w:rsidR="00A71A3F" w:rsidRPr="00EE2A93">
              <w:t xml:space="preserve">центрове </w:t>
            </w:r>
            <w:r w:rsidR="00A71A3F">
              <w:t xml:space="preserve">с атрактивни възможности </w:t>
            </w:r>
            <w:r w:rsidR="00A71A3F" w:rsidRPr="00EE2A93">
              <w:t>за инвестиции, заетост, образование, отдих, жизнена кариера</w:t>
            </w:r>
            <w:r w:rsidR="00326BCC">
              <w:t>. В обхвата на подприоритета попадат градските общини С</w:t>
            </w:r>
            <w:r w:rsidR="007A0C8E">
              <w:t>толична</w:t>
            </w:r>
            <w:r w:rsidR="00326BCC">
              <w:t>, Пловдив, Варна, Бургас, Русе, Стара Загора</w:t>
            </w:r>
            <w:r w:rsidR="00770526">
              <w:t xml:space="preserve">, </w:t>
            </w:r>
            <w:r w:rsidR="00326BCC">
              <w:t xml:space="preserve">Плевен, В. Търново, Благоевград и Видин.  Фокусираните интервенции ще отчетат специфичните местни нужди и потенциали на базата на интеграция на мерките от различните секторни политики, многостепенно управление, включването на широк кръг заинтересовани страни и активно гражданско участие. </w:t>
            </w:r>
            <w:r w:rsidR="00420A68">
              <w:t>Мерките, които ще получат подкрепа в рамките на този подприоритет, ще бъдат определени на базата на приоритети</w:t>
            </w:r>
            <w:r w:rsidR="00041462">
              <w:t>те</w:t>
            </w:r>
            <w:r w:rsidR="00420A68">
              <w:t>, цели</w:t>
            </w:r>
            <w:r w:rsidR="00041462">
              <w:t>те</w:t>
            </w:r>
            <w:r w:rsidR="00420A68">
              <w:t>, дейности</w:t>
            </w:r>
            <w:r w:rsidR="00041462">
              <w:t>те</w:t>
            </w:r>
            <w:r w:rsidR="00420A68">
              <w:t xml:space="preserve"> и мерки</w:t>
            </w:r>
            <w:r w:rsidR="00041462">
              <w:t>те</w:t>
            </w:r>
            <w:r w:rsidR="00420A68">
              <w:t xml:space="preserve">, заложени </w:t>
            </w:r>
            <w:r w:rsidR="00041462">
              <w:t xml:space="preserve">от местните власти </w:t>
            </w:r>
            <w:r w:rsidR="00420A68">
              <w:t xml:space="preserve">в стратегическите документи за регионално и пространствено развитие на </w:t>
            </w:r>
            <w:r w:rsidR="00041462">
              <w:t xml:space="preserve">общинско ниво, както и на база на </w:t>
            </w:r>
            <w:r w:rsidR="00041462" w:rsidRPr="001B6F63">
              <w:rPr>
                <w:szCs w:val="24"/>
              </w:rPr>
              <w:t xml:space="preserve">картиране на нуждите на национално ниво </w:t>
            </w:r>
            <w:r w:rsidR="00041462">
              <w:rPr>
                <w:szCs w:val="24"/>
              </w:rPr>
              <w:t>по отношение на секторните политики</w:t>
            </w:r>
            <w:r w:rsidR="00041462" w:rsidRPr="001B6F63">
              <w:rPr>
                <w:szCs w:val="24"/>
              </w:rPr>
              <w:t>,</w:t>
            </w:r>
            <w:r w:rsidR="00041462">
              <w:rPr>
                <w:szCs w:val="24"/>
              </w:rPr>
              <w:t xml:space="preserve"> изготвяно</w:t>
            </w:r>
            <w:r w:rsidR="00041462" w:rsidRPr="001B6F63">
              <w:rPr>
                <w:szCs w:val="24"/>
              </w:rPr>
              <w:t xml:space="preserve"> от</w:t>
            </w:r>
            <w:r w:rsidR="00041462">
              <w:rPr>
                <w:szCs w:val="24"/>
              </w:rPr>
              <w:t xml:space="preserve"> отговорните за разработването им</w:t>
            </w:r>
            <w:r w:rsidR="00041462" w:rsidRPr="001B6F63">
              <w:rPr>
                <w:szCs w:val="24"/>
              </w:rPr>
              <w:t xml:space="preserve"> държавни институции и агенции</w:t>
            </w:r>
            <w:r w:rsidR="00041462">
              <w:rPr>
                <w:szCs w:val="24"/>
              </w:rPr>
              <w:t xml:space="preserve">. </w:t>
            </w:r>
            <w:r w:rsidR="00420A68">
              <w:t xml:space="preserve"> </w:t>
            </w:r>
          </w:p>
        </w:tc>
      </w:tr>
      <w:tr w:rsidR="004D161C" w14:paraId="30E6EA56" w14:textId="77777777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AB79BF5" w14:textId="77777777" w:rsidR="004D161C" w:rsidRDefault="00326BCC">
            <w:pPr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Индикатори за изпълнение</w:t>
            </w:r>
          </w:p>
        </w:tc>
      </w:tr>
      <w:tr w:rsidR="004D161C" w14:paraId="42CF79F7" w14:textId="77777777">
        <w:trPr>
          <w:trHeight w:val="50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5B8A109" w14:textId="77777777" w:rsidR="004D161C" w:rsidRDefault="00326BCC">
            <w:pPr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наименование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706AE29" w14:textId="77777777" w:rsidR="004D161C" w:rsidRDefault="00326BCC">
            <w:pPr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източник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6543736" w14:textId="77777777" w:rsidR="004D161C" w:rsidRDefault="00326BCC">
            <w:pPr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 xml:space="preserve">текуща </w:t>
            </w:r>
            <w:r>
              <w:rPr>
                <w:rFonts w:ascii="Century Gothic" w:eastAsia="Century Gothic" w:hAnsi="Century Gothic" w:cs="Century Gothic"/>
                <w:b/>
                <w:color w:val="404040"/>
              </w:rPr>
              <w:br/>
              <w:t>стойност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7D6BDB4" w14:textId="77777777" w:rsidR="004D161C" w:rsidRDefault="00326BCC">
            <w:pPr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 xml:space="preserve">целева </w:t>
            </w:r>
            <w:r>
              <w:rPr>
                <w:rFonts w:ascii="Century Gothic" w:eastAsia="Century Gothic" w:hAnsi="Century Gothic" w:cs="Century Gothic"/>
                <w:b/>
                <w:color w:val="404040"/>
              </w:rPr>
              <w:br/>
              <w:t>стойност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43866E0" w14:textId="77777777" w:rsidR="004D161C" w:rsidRDefault="00326BCC">
            <w:pPr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средна стойност в ЕС</w:t>
            </w:r>
          </w:p>
        </w:tc>
      </w:tr>
      <w:tr w:rsidR="004D161C" w14:paraId="4FA14E13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6C9118" w14:textId="09A7794A" w:rsidR="00862D80" w:rsidRPr="00FB33F3" w:rsidRDefault="00EA2BDB" w:rsidP="00FB33F3">
            <w:pPr>
              <w:jc w:val="both"/>
            </w:pPr>
            <w:r>
              <w:t xml:space="preserve">Темп </w:t>
            </w:r>
            <w:r w:rsidR="00731E34">
              <w:t xml:space="preserve">на </w:t>
            </w:r>
            <w:r w:rsidRPr="00EA2BDB">
              <w:t>прираст на икономически активното населени</w:t>
            </w:r>
            <w:r>
              <w:t>е спрямо предходната година (%)</w:t>
            </w:r>
          </w:p>
          <w:p w14:paraId="583DB3B3" w14:textId="77777777" w:rsidR="004D161C" w:rsidRDefault="004D161C" w:rsidP="00236E97"/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223CF4A" w14:textId="77777777" w:rsidR="004D161C" w:rsidRDefault="00326BCC">
            <w:r>
              <w:t>НСИ</w:t>
            </w:r>
          </w:p>
          <w:p w14:paraId="42D42DFD" w14:textId="77777777" w:rsidR="004D161C" w:rsidRDefault="004D161C"/>
          <w:p w14:paraId="60F51029" w14:textId="77777777" w:rsidR="004D161C" w:rsidRDefault="004D161C"/>
          <w:p w14:paraId="3479D926" w14:textId="77777777" w:rsidR="004D161C" w:rsidRDefault="004D161C"/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044FAF" w14:textId="4D1993F7" w:rsidR="00191E30" w:rsidRDefault="002E77A2">
            <w:r>
              <w:t>2018</w:t>
            </w:r>
            <w:r w:rsidR="00191E30">
              <w:t xml:space="preserve"> г.</w:t>
            </w:r>
            <w:r>
              <w:t xml:space="preserve"> </w:t>
            </w:r>
          </w:p>
          <w:p w14:paraId="29BEF75A" w14:textId="694E46AA" w:rsidR="00191E30" w:rsidRPr="00EE2A93" w:rsidRDefault="00191E30">
            <w:pPr>
              <w:rPr>
                <w:lang w:val="en-US"/>
              </w:rPr>
            </w:pPr>
            <w:r>
              <w:t>София:</w:t>
            </w:r>
            <w:r w:rsidR="00B97D27">
              <w:t xml:space="preserve"> - </w:t>
            </w:r>
            <w:r w:rsidR="005A6384">
              <w:t xml:space="preserve"> </w:t>
            </w:r>
            <w:r w:rsidR="00D56074">
              <w:rPr>
                <w:lang w:val="en-US"/>
              </w:rPr>
              <w:t>1.4%</w:t>
            </w:r>
          </w:p>
          <w:p w14:paraId="05775022" w14:textId="7AF9E316" w:rsidR="00191E30" w:rsidRPr="00EE2A93" w:rsidRDefault="00191E30">
            <w:pPr>
              <w:rPr>
                <w:lang w:val="en-US"/>
              </w:rPr>
            </w:pPr>
            <w:r>
              <w:t>Пловдив:</w:t>
            </w:r>
            <w:r w:rsidR="005A6384">
              <w:t xml:space="preserve"> </w:t>
            </w:r>
            <w:r w:rsidR="00B97D27">
              <w:t>-</w:t>
            </w:r>
            <w:r w:rsidR="005A6384">
              <w:rPr>
                <w:lang w:val="en-US"/>
              </w:rPr>
              <w:t xml:space="preserve"> </w:t>
            </w:r>
            <w:r w:rsidR="00D56074">
              <w:rPr>
                <w:lang w:val="en-US"/>
              </w:rPr>
              <w:t>1%</w:t>
            </w:r>
          </w:p>
          <w:p w14:paraId="77C27C2F" w14:textId="5F89C272" w:rsidR="002E77A2" w:rsidRPr="00EE2A93" w:rsidRDefault="00191E30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0F0F0"/>
                <w:lang w:val="en-US"/>
              </w:rPr>
            </w:pPr>
            <w:r>
              <w:t>Варна:</w:t>
            </w:r>
            <w:r w:rsidR="002E77A2" w:rsidRPr="002E77A2">
              <w:rPr>
                <w:rFonts w:ascii="Tahoma" w:hAnsi="Tahoma" w:cs="Tahoma"/>
                <w:color w:val="000000"/>
                <w:sz w:val="20"/>
                <w:szCs w:val="20"/>
                <w:shd w:val="clear" w:color="auto" w:fill="F0F0F0"/>
              </w:rPr>
              <w:t xml:space="preserve"> </w:t>
            </w:r>
            <w:r w:rsidR="00B97D27">
              <w:rPr>
                <w:rFonts w:ascii="Tahoma" w:hAnsi="Tahoma" w:cs="Tahoma"/>
                <w:color w:val="000000"/>
                <w:sz w:val="20"/>
                <w:szCs w:val="20"/>
                <w:shd w:val="clear" w:color="auto" w:fill="F0F0F0"/>
              </w:rPr>
              <w:t>-</w:t>
            </w:r>
            <w:r w:rsidR="00B97D27">
              <w:t xml:space="preserve"> </w:t>
            </w:r>
            <w:r w:rsidR="00D56074">
              <w:rPr>
                <w:rFonts w:ascii="Tahoma" w:hAnsi="Tahoma" w:cs="Tahoma"/>
                <w:color w:val="000000"/>
                <w:sz w:val="20"/>
                <w:szCs w:val="20"/>
                <w:shd w:val="clear" w:color="auto" w:fill="F0F0F0"/>
                <w:lang w:val="en-US"/>
              </w:rPr>
              <w:t>1.4%</w:t>
            </w:r>
          </w:p>
          <w:p w14:paraId="2FD7817A" w14:textId="42F56834" w:rsidR="00866CE6" w:rsidRPr="00EE2A93" w:rsidRDefault="00866CE6">
            <w:pPr>
              <w:rPr>
                <w:lang w:val="en-US"/>
              </w:rPr>
            </w:pPr>
            <w:r>
              <w:t>Бургас:</w:t>
            </w:r>
            <w:r w:rsidR="002E77A2">
              <w:t xml:space="preserve"> </w:t>
            </w:r>
            <w:r w:rsidR="00B97D27">
              <w:t>-</w:t>
            </w:r>
            <w:r w:rsidR="005A6384" w:rsidRPr="005A6384">
              <w:rPr>
                <w:lang w:val="en-US"/>
              </w:rPr>
              <w:t xml:space="preserve"> </w:t>
            </w:r>
            <w:r w:rsidR="00D56074">
              <w:rPr>
                <w:lang w:val="en-US"/>
              </w:rPr>
              <w:t>1.7%</w:t>
            </w:r>
          </w:p>
          <w:p w14:paraId="710E2C1A" w14:textId="5BAB7618" w:rsidR="00866CE6" w:rsidRPr="00EE2A93" w:rsidRDefault="00866CE6">
            <w:pPr>
              <w:rPr>
                <w:lang w:val="en-US"/>
              </w:rPr>
            </w:pPr>
            <w:r>
              <w:t>Русе:</w:t>
            </w:r>
            <w:r w:rsidR="00FE2E20" w:rsidRPr="00FE2E20">
              <w:rPr>
                <w:rFonts w:ascii="Tahoma" w:hAnsi="Tahoma" w:cs="Tahoma"/>
                <w:color w:val="000000"/>
                <w:sz w:val="20"/>
                <w:szCs w:val="20"/>
                <w:shd w:val="clear" w:color="auto" w:fill="F0F0F0"/>
              </w:rPr>
              <w:t xml:space="preserve"> </w:t>
            </w:r>
            <w:r w:rsidR="00B97D27">
              <w:rPr>
                <w:rFonts w:ascii="Tahoma" w:hAnsi="Tahoma" w:cs="Tahoma"/>
                <w:color w:val="000000"/>
                <w:sz w:val="20"/>
                <w:szCs w:val="20"/>
                <w:shd w:val="clear" w:color="auto" w:fill="F0F0F0"/>
              </w:rPr>
              <w:t>-</w:t>
            </w:r>
            <w:r w:rsidR="005A6384">
              <w:rPr>
                <w:rFonts w:ascii="Tahoma" w:hAnsi="Tahoma" w:cs="Tahoma"/>
                <w:color w:val="000000"/>
                <w:sz w:val="20"/>
                <w:szCs w:val="20"/>
                <w:shd w:val="clear" w:color="auto" w:fill="F0F0F0"/>
                <w:lang w:val="en-US"/>
              </w:rPr>
              <w:t xml:space="preserve"> </w:t>
            </w:r>
            <w:r w:rsidR="00D56074">
              <w:rPr>
                <w:lang w:val="en-US"/>
              </w:rPr>
              <w:t>2.0%</w:t>
            </w:r>
          </w:p>
          <w:p w14:paraId="7DA7944B" w14:textId="0BDC9C9A" w:rsidR="00866CE6" w:rsidRPr="005A6384" w:rsidRDefault="00191E30">
            <w:r w:rsidRPr="00191E30">
              <w:t>Стара Загора</w:t>
            </w:r>
            <w:r w:rsidR="00866CE6">
              <w:t>:</w:t>
            </w:r>
            <w:r w:rsidR="005A6384" w:rsidRPr="005A6384">
              <w:t xml:space="preserve"> </w:t>
            </w:r>
            <w:r w:rsidR="00B97D27">
              <w:t>-</w:t>
            </w:r>
            <w:r w:rsidR="00D56074">
              <w:rPr>
                <w:lang w:val="en-US"/>
              </w:rPr>
              <w:t>1.9%</w:t>
            </w:r>
          </w:p>
          <w:p w14:paraId="1B8A6AC9" w14:textId="29707991" w:rsidR="00866CE6" w:rsidRPr="00EE2A93" w:rsidRDefault="00866CE6">
            <w:pPr>
              <w:rPr>
                <w:lang w:val="en-US"/>
              </w:rPr>
            </w:pPr>
            <w:r>
              <w:t>Плевен:</w:t>
            </w:r>
            <w:r w:rsidR="00FE2E20">
              <w:t xml:space="preserve"> </w:t>
            </w:r>
            <w:r w:rsidR="00B97D27">
              <w:t>-</w:t>
            </w:r>
            <w:r w:rsidR="005A6384">
              <w:t xml:space="preserve"> </w:t>
            </w:r>
            <w:r w:rsidR="00D56074">
              <w:rPr>
                <w:lang w:val="en-US"/>
              </w:rPr>
              <w:t>1.0%</w:t>
            </w:r>
          </w:p>
          <w:p w14:paraId="3038731E" w14:textId="5AF47D4D" w:rsidR="00D56074" w:rsidRDefault="00866CE6">
            <w:r>
              <w:t>В. Търново:</w:t>
            </w:r>
            <w:r w:rsidR="00191E30" w:rsidRPr="00191E30">
              <w:t xml:space="preserve"> </w:t>
            </w:r>
            <w:r w:rsidR="00AC2319">
              <w:t xml:space="preserve"> </w:t>
            </w:r>
            <w:r w:rsidR="00D56074">
              <w:t>1.1%</w:t>
            </w:r>
          </w:p>
          <w:p w14:paraId="02CC0B93" w14:textId="7077D3B4" w:rsidR="00866CE6" w:rsidRPr="00EE2A93" w:rsidRDefault="00191E30">
            <w:pPr>
              <w:rPr>
                <w:lang w:val="en-US"/>
              </w:rPr>
            </w:pPr>
            <w:r w:rsidRPr="00191E30">
              <w:t xml:space="preserve">Благоевград </w:t>
            </w:r>
            <w:r w:rsidR="00FE2E20">
              <w:t>:</w:t>
            </w:r>
            <w:r w:rsidR="00FE2E20" w:rsidRPr="00FE2E20">
              <w:rPr>
                <w:rFonts w:ascii="Tahoma" w:hAnsi="Tahoma" w:cs="Tahoma"/>
                <w:color w:val="000000"/>
                <w:sz w:val="20"/>
                <w:szCs w:val="20"/>
                <w:shd w:val="clear" w:color="auto" w:fill="F0F0F0"/>
              </w:rPr>
              <w:t xml:space="preserve"> </w:t>
            </w:r>
            <w:r w:rsidR="00B97D27">
              <w:rPr>
                <w:rFonts w:ascii="Tahoma" w:hAnsi="Tahoma" w:cs="Tahoma"/>
                <w:color w:val="000000"/>
                <w:sz w:val="20"/>
                <w:szCs w:val="20"/>
                <w:shd w:val="clear" w:color="auto" w:fill="F0F0F0"/>
              </w:rPr>
              <w:t>-</w:t>
            </w:r>
            <w:r w:rsidR="00AC2319" w:rsidRPr="00AC2319">
              <w:rPr>
                <w:rFonts w:ascii="Tahoma" w:hAnsi="Tahoma" w:cs="Tahoma"/>
                <w:color w:val="000000"/>
                <w:sz w:val="20"/>
                <w:szCs w:val="20"/>
                <w:shd w:val="clear" w:color="auto" w:fill="F0F0F0"/>
              </w:rPr>
              <w:t xml:space="preserve"> </w:t>
            </w:r>
            <w:r w:rsidR="00D56074">
              <w:rPr>
                <w:lang w:val="en-US"/>
              </w:rPr>
              <w:t>1.6%</w:t>
            </w:r>
          </w:p>
          <w:p w14:paraId="5F515E31" w14:textId="40018D56" w:rsidR="00191E30" w:rsidRPr="00493E29" w:rsidRDefault="00191E30">
            <w:pPr>
              <w:rPr>
                <w:lang w:val="en-US"/>
              </w:rPr>
            </w:pPr>
            <w:r w:rsidRPr="00191E30">
              <w:t>Видин</w:t>
            </w:r>
            <w:r w:rsidR="00FE2E20">
              <w:t xml:space="preserve">: </w:t>
            </w:r>
            <w:r w:rsidR="00B97D27">
              <w:t>-</w:t>
            </w:r>
            <w:r w:rsidR="00AC2319" w:rsidRPr="00AC2319">
              <w:t xml:space="preserve"> </w:t>
            </w:r>
            <w:r w:rsidR="00D56074">
              <w:rPr>
                <w:lang w:val="en-US"/>
              </w:rPr>
              <w:t>0.3%</w:t>
            </w:r>
          </w:p>
          <w:p w14:paraId="0574B176" w14:textId="77777777" w:rsidR="004D161C" w:rsidRDefault="004D161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C0B4FDE" w14:textId="77777777" w:rsidR="00D87637" w:rsidRDefault="00D56074">
            <w:pPr>
              <w:jc w:val="both"/>
            </w:pPr>
            <w:r>
              <w:t>До 2030:</w:t>
            </w:r>
          </w:p>
          <w:p w14:paraId="68C8AA78" w14:textId="5F694E0F" w:rsidR="004D161C" w:rsidRDefault="00535734">
            <w:pPr>
              <w:jc w:val="both"/>
            </w:pPr>
            <w:r>
              <w:t>Положителен темп на прираст на ИАН за всички изброени градските общини</w:t>
            </w:r>
            <w:r w:rsidR="00DB649F">
              <w:t xml:space="preserve"> </w:t>
            </w:r>
            <w:r>
              <w:t>спрямо предходната година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540BD0B" w14:textId="77777777" w:rsidR="004D161C" w:rsidRDefault="00326BCC">
            <w:pPr>
              <w:jc w:val="both"/>
            </w:pPr>
            <w:r>
              <w:t>НП</w:t>
            </w:r>
          </w:p>
        </w:tc>
      </w:tr>
      <w:tr w:rsidR="004D161C" w14:paraId="1CCD9264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A3D0B23" w14:textId="1F852F68" w:rsidR="00493E29" w:rsidRDefault="00BF5F24" w:rsidP="00221493">
            <w:pPr>
              <w:jc w:val="both"/>
            </w:pPr>
            <w:r>
              <w:lastRenderedPageBreak/>
              <w:t xml:space="preserve">Часове </w:t>
            </w:r>
            <w:r w:rsidR="00AF6979">
              <w:t>прекарани в задръстване годишно</w:t>
            </w:r>
            <w:r w:rsidRPr="00437B5E" w:rsidDel="002A0033">
              <w:t xml:space="preserve"> 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2E12E8F" w14:textId="53785CDB" w:rsidR="00FB7C4F" w:rsidRDefault="00BF5F24">
            <w:r>
              <w:t>ЕК</w:t>
            </w:r>
            <w:r w:rsidDel="002A0033">
              <w:t xml:space="preserve"> 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55523BA" w14:textId="0AB6DE2E" w:rsidR="00AF6979" w:rsidRDefault="00704A9D" w:rsidP="00BF5F24">
            <w:r>
              <w:t>2</w:t>
            </w:r>
            <w:r w:rsidR="00AF6979">
              <w:t>017</w:t>
            </w:r>
            <w:r>
              <w:t xml:space="preserve"> г.</w:t>
            </w:r>
            <w:r w:rsidR="00AF6979">
              <w:t xml:space="preserve"> </w:t>
            </w:r>
          </w:p>
          <w:p w14:paraId="63C3ECB4" w14:textId="4B8F209D" w:rsidR="00920844" w:rsidRDefault="00127C3B" w:rsidP="00BF5F24">
            <w:r>
              <w:t>34.1</w:t>
            </w:r>
            <w:r w:rsidR="005339F3"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5C9D8A" w14:textId="2C6A0E77" w:rsidR="004D161C" w:rsidRDefault="00127C3B">
            <w:pPr>
              <w:jc w:val="both"/>
            </w:pPr>
            <w:r>
              <w:t xml:space="preserve">Достигане до средноевропейската стойност към 2030 г. 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04CD892" w14:textId="57403BB7" w:rsidR="00704A9D" w:rsidRDefault="00704A9D">
            <w:pPr>
              <w:jc w:val="both"/>
            </w:pPr>
            <w:r>
              <w:t>2017 г.</w:t>
            </w:r>
          </w:p>
          <w:p w14:paraId="7214A367" w14:textId="23FC476D" w:rsidR="004D161C" w:rsidRDefault="005339F3">
            <w:pPr>
              <w:jc w:val="both"/>
            </w:pPr>
            <w:r>
              <w:t>30.15</w:t>
            </w:r>
          </w:p>
        </w:tc>
      </w:tr>
      <w:tr w:rsidR="004D161C" w14:paraId="4BE2533D" w14:textId="77777777">
        <w:tc>
          <w:tcPr>
            <w:tcW w:w="960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996FD2" w14:textId="77777777" w:rsidR="004D161C" w:rsidRDefault="004D161C">
            <w:pPr>
              <w:jc w:val="both"/>
              <w:rPr>
                <w:rFonts w:ascii="Century Gothic" w:eastAsia="Century Gothic" w:hAnsi="Century Gothic" w:cs="Century Gothic"/>
                <w:color w:val="404040"/>
                <w:sz w:val="36"/>
                <w:szCs w:val="36"/>
              </w:rPr>
            </w:pPr>
          </w:p>
          <w:p w14:paraId="2A63A5F4" w14:textId="77777777" w:rsidR="004D161C" w:rsidRDefault="00326BCC">
            <w:pPr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36"/>
                <w:szCs w:val="36"/>
              </w:rPr>
              <w:t>Област на въздействие</w:t>
            </w:r>
          </w:p>
        </w:tc>
      </w:tr>
      <w:tr w:rsidR="004D161C" w14:paraId="4D9BAF79" w14:textId="77777777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A01D95" w14:textId="165549F4" w:rsidR="004D161C" w:rsidRDefault="00326BCC">
            <w:pPr>
              <w:numPr>
                <w:ilvl w:val="1"/>
                <w:numId w:val="2"/>
              </w:numPr>
              <w:ind w:left="0" w:firstLine="0"/>
              <w:jc w:val="both"/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 xml:space="preserve">[9.2.а] </w:t>
            </w:r>
            <w:r w:rsidRPr="00021BEB"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  <w:highlight w:val="white"/>
              </w:rPr>
              <w:t>Градска среда</w:t>
            </w:r>
            <w:r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 xml:space="preserve"> </w:t>
            </w:r>
          </w:p>
        </w:tc>
      </w:tr>
      <w:tr w:rsidR="004D161C" w14:paraId="25C23A2B" w14:textId="77777777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A7A6B2" w14:textId="30EAA9AC" w:rsidR="004D161C" w:rsidRDefault="00326BCC">
            <w:pPr>
              <w:jc w:val="both"/>
            </w:pPr>
            <w:r>
              <w:t>Ще се реализират комбинации от мерки за развитие на инфраструктурата за икономически дейности и публични услуги, енергийна ефективност, градска мобилност, градска среда,</w:t>
            </w:r>
            <w:r w:rsidR="007B3FEC">
              <w:t xml:space="preserve"> туризъм</w:t>
            </w:r>
            <w:r w:rsidR="001A09AF">
              <w:t>,</w:t>
            </w:r>
            <w:r>
              <w:t xml:space="preserve"> модернизиране на образователната инфраструктура и др., изпълнението на които цели насърчено развитие и укрепване на култура на партньорство на заинтересовани страни на местно и регионално ниво. </w:t>
            </w:r>
          </w:p>
          <w:p w14:paraId="02B2F088" w14:textId="77777777" w:rsidR="004D161C" w:rsidRDefault="004D161C">
            <w:pPr>
              <w:jc w:val="both"/>
            </w:pPr>
          </w:p>
        </w:tc>
      </w:tr>
      <w:tr w:rsidR="004D161C" w14:paraId="1D806CF6" w14:textId="77777777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3E5645" w14:textId="77777777" w:rsidR="004D161C" w:rsidRDefault="00326BCC">
            <w:pPr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Съотносими Цели за устойчиво развитие на ООН</w:t>
            </w:r>
          </w:p>
        </w:tc>
      </w:tr>
      <w:tr w:rsidR="004D161C" w14:paraId="33CC80DC" w14:textId="77777777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E0CF50" w14:textId="77777777" w:rsidR="004D161C" w:rsidRDefault="00326BCC">
            <w:pPr>
              <w:jc w:val="both"/>
            </w:pPr>
            <w:r>
              <w:t xml:space="preserve">Цел 11 „Превръщане на градовете и селищата в приобщаващи, безопасни, адаптивни и устойчиви места за живеене“ </w:t>
            </w:r>
          </w:p>
          <w:p w14:paraId="657E27DF" w14:textId="77777777" w:rsidR="004D161C" w:rsidRDefault="004D161C">
            <w:pPr>
              <w:jc w:val="both"/>
            </w:pPr>
          </w:p>
        </w:tc>
      </w:tr>
      <w:tr w:rsidR="004D161C" w14:paraId="65E6D8E2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785283" w14:textId="77777777" w:rsidR="004D161C" w:rsidRDefault="00326BCC">
            <w:pPr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Оценка на необходим финансов ресурс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023637" w14:textId="77777777" w:rsidR="004D161C" w:rsidRDefault="00326BCC">
            <w:pPr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Източници на финансиране</w:t>
            </w:r>
          </w:p>
        </w:tc>
      </w:tr>
      <w:tr w:rsidR="004D161C" w14:paraId="267213CE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99E17D" w14:textId="6FE8AB4C" w:rsidR="004D161C" w:rsidRDefault="00FF0368">
            <w:pPr>
              <w:jc w:val="both"/>
            </w:pPr>
            <w:r>
              <w:t xml:space="preserve">Неуточнено на този етап </w:t>
            </w:r>
          </w:p>
          <w:p w14:paraId="196C460A" w14:textId="77777777" w:rsidR="004D161C" w:rsidRDefault="00326BCC">
            <w:pPr>
              <w:jc w:val="both"/>
            </w:pPr>
            <w:r>
              <w:t xml:space="preserve"> </w:t>
            </w: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B5C5CD" w14:textId="77777777" w:rsidR="004D161C" w:rsidRDefault="004D161C" w:rsidP="00310DBC">
            <w:pPr>
              <w:jc w:val="both"/>
            </w:pPr>
          </w:p>
        </w:tc>
      </w:tr>
    </w:tbl>
    <w:tbl>
      <w:tblPr>
        <w:tblStyle w:val="7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D161C" w14:paraId="7CBE834E" w14:textId="77777777">
        <w:tc>
          <w:tcPr>
            <w:tcW w:w="90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9AD352A" w14:textId="2A55C136" w:rsidR="004D161C" w:rsidRDefault="00326BCC">
            <w:pPr>
              <w:jc w:val="both"/>
              <w:rPr>
                <w:rFonts w:ascii="Century Gothic" w:eastAsia="Century Gothic" w:hAnsi="Century Gothic" w:cs="Century Gothic"/>
                <w:color w:val="40404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color w:val="404040"/>
                <w:sz w:val="36"/>
                <w:szCs w:val="36"/>
              </w:rPr>
              <w:t xml:space="preserve">[9.3] </w:t>
            </w:r>
            <w:r w:rsidRPr="000E3B47">
              <w:rPr>
                <w:rFonts w:ascii="Century Gothic" w:eastAsia="Century Gothic" w:hAnsi="Century Gothic" w:cs="Century Gothic"/>
                <w:b/>
                <w:bCs/>
                <w:color w:val="404040"/>
                <w:sz w:val="36"/>
                <w:szCs w:val="36"/>
              </w:rPr>
              <w:t>Ка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36"/>
                <w:szCs w:val="36"/>
              </w:rPr>
              <w:t>чество на живот в селските райони</w:t>
            </w:r>
          </w:p>
          <w:p w14:paraId="04DD7CCE" w14:textId="4745765A" w:rsidR="004D161C" w:rsidRDefault="00326BCC">
            <w:pPr>
              <w:spacing w:after="0" w:line="240" w:lineRule="auto"/>
              <w:jc w:val="both"/>
            </w:pPr>
            <w:r>
              <w:t xml:space="preserve">Чрез изпълнението на този подприоритет се цели социално-икономическо развитие на селските райони, осигуряващо нови работни места, намаляване на бедността, социално включване и по-добро качество на живот, </w:t>
            </w:r>
            <w:r w:rsidR="0045497A">
              <w:t xml:space="preserve">както и </w:t>
            </w:r>
            <w:r w:rsidR="008C4B07">
              <w:t>опазване на екосистемите и осигуряване на устойчиво управление и използване на природните ресурси</w:t>
            </w:r>
            <w:r>
              <w:t>.</w:t>
            </w:r>
          </w:p>
          <w:p w14:paraId="4B0E401D" w14:textId="73CDA81F" w:rsidR="004D161C" w:rsidRPr="00781C7C" w:rsidRDefault="00326BCC" w:rsidP="00781C7C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D161C" w14:paraId="30A855ED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3C04152" w14:textId="77777777" w:rsidR="004D161C" w:rsidRDefault="004D1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tbl>
            <w:tblPr>
              <w:tblStyle w:val="6"/>
              <w:tblW w:w="90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1643"/>
              <w:gridCol w:w="1815"/>
              <w:gridCol w:w="1814"/>
              <w:gridCol w:w="1815"/>
            </w:tblGrid>
            <w:tr w:rsidR="004D161C" w14:paraId="3DBF454D" w14:textId="77777777">
              <w:tc>
                <w:tcPr>
                  <w:tcW w:w="907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7196B589" w14:textId="77777777" w:rsidR="004D161C" w:rsidRDefault="00326BCC">
                  <w:pPr>
                    <w:jc w:val="both"/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404040"/>
                      <w:sz w:val="28"/>
                      <w:szCs w:val="28"/>
                    </w:rPr>
                    <w:t>Индикатори за изпълнение</w:t>
                  </w:r>
                </w:p>
              </w:tc>
            </w:tr>
            <w:tr w:rsidR="004D161C" w14:paraId="7C94D735" w14:textId="77777777"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6DD2709D" w14:textId="77777777" w:rsidR="004D161C" w:rsidRDefault="00326BCC">
                  <w:pPr>
                    <w:spacing w:after="0"/>
                    <w:jc w:val="both"/>
                    <w:rPr>
                      <w:rFonts w:ascii="Century Gothic" w:eastAsia="Century Gothic" w:hAnsi="Century Gothic" w:cs="Century Gothic"/>
                      <w:color w:val="40404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404040"/>
                    </w:rPr>
                    <w:t>наименование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3D37287A" w14:textId="77777777" w:rsidR="004D161C" w:rsidRDefault="00326BCC">
                  <w:pPr>
                    <w:spacing w:after="0"/>
                    <w:jc w:val="both"/>
                    <w:rPr>
                      <w:rFonts w:ascii="Century Gothic" w:eastAsia="Century Gothic" w:hAnsi="Century Gothic" w:cs="Century Gothic"/>
                      <w:color w:val="40404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404040"/>
                    </w:rPr>
                    <w:t>източник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0818AA76" w14:textId="77777777" w:rsidR="004D161C" w:rsidRDefault="00326BCC">
                  <w:pPr>
                    <w:spacing w:after="0"/>
                    <w:jc w:val="both"/>
                    <w:rPr>
                      <w:rFonts w:ascii="Century Gothic" w:eastAsia="Century Gothic" w:hAnsi="Century Gothic" w:cs="Century Gothic"/>
                      <w:color w:val="40404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404040"/>
                    </w:rPr>
                    <w:t xml:space="preserve">текуща 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404040"/>
                    </w:rPr>
                    <w:br/>
                    <w:t>стойност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3550380D" w14:textId="77777777" w:rsidR="004D161C" w:rsidRDefault="00326BCC">
                  <w:pPr>
                    <w:spacing w:after="0"/>
                    <w:jc w:val="both"/>
                    <w:rPr>
                      <w:rFonts w:ascii="Century Gothic" w:eastAsia="Century Gothic" w:hAnsi="Century Gothic" w:cs="Century Gothic"/>
                      <w:color w:val="40404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404040"/>
                    </w:rPr>
                    <w:t xml:space="preserve">целева 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404040"/>
                    </w:rPr>
                    <w:br/>
                    <w:t>стойност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vAlign w:val="center"/>
                </w:tcPr>
                <w:p w14:paraId="618313A0" w14:textId="77777777" w:rsidR="004D161C" w:rsidRDefault="00326BCC">
                  <w:pPr>
                    <w:spacing w:after="0"/>
                    <w:jc w:val="both"/>
                    <w:rPr>
                      <w:rFonts w:ascii="Century Gothic" w:eastAsia="Century Gothic" w:hAnsi="Century Gothic" w:cs="Century Gothic"/>
                      <w:color w:val="40404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404040"/>
                    </w:rPr>
                    <w:t>средна стойност в ЕС</w:t>
                  </w:r>
                </w:p>
              </w:tc>
            </w:tr>
            <w:tr w:rsidR="004D161C" w14:paraId="03373ED6" w14:textId="77777777"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751116A5" w14:textId="77777777" w:rsidR="004D161C" w:rsidRDefault="004D161C">
                  <w:pPr>
                    <w:jc w:val="both"/>
                  </w:pPr>
                </w:p>
                <w:p w14:paraId="074C99B1" w14:textId="4197ED5C" w:rsidR="004D161C" w:rsidRDefault="002D5EB1" w:rsidP="00696F09">
                  <w:pPr>
                    <w:jc w:val="both"/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Относителен дял на населението в селските райони с подобрен достъп до изградена и/или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lastRenderedPageBreak/>
                    <w:t xml:space="preserve">реконструирана инфраструктура 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20B0DA65" w14:textId="77777777" w:rsidR="004D161C" w:rsidRDefault="004D161C">
                  <w:pPr>
                    <w:jc w:val="both"/>
                  </w:pPr>
                </w:p>
                <w:p w14:paraId="776AEF2B" w14:textId="77777777" w:rsidR="004D161C" w:rsidRDefault="00326BCC">
                  <w:pPr>
                    <w:jc w:val="both"/>
                  </w:pPr>
                  <w:r>
                    <w:t xml:space="preserve">Представени данни от Управляващия орган на Стратегическият план по Обща </w:t>
                  </w:r>
                  <w:r>
                    <w:lastRenderedPageBreak/>
                    <w:t>селскостопанска политика на Република България за 2021 – 2027 г.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5C664CEA" w14:textId="77777777" w:rsidR="004D161C" w:rsidRDefault="004D161C">
                  <w:pPr>
                    <w:jc w:val="both"/>
                  </w:pPr>
                </w:p>
                <w:p w14:paraId="2AB3BD39" w14:textId="7C79ABEC" w:rsidR="00696F09" w:rsidRDefault="007F4126" w:rsidP="00696F09">
                  <w:pPr>
                    <w:jc w:val="both"/>
                  </w:pPr>
                  <w:r>
                    <w:t>-</w:t>
                  </w:r>
                </w:p>
                <w:p w14:paraId="508A9003" w14:textId="77777777" w:rsidR="004D161C" w:rsidRDefault="004D161C">
                  <w:pPr>
                    <w:jc w:val="both"/>
                  </w:pPr>
                </w:p>
                <w:p w14:paraId="6EC3B19B" w14:textId="77777777" w:rsidR="004D161C" w:rsidRDefault="004D161C">
                  <w:pPr>
                    <w:jc w:val="both"/>
                  </w:pPr>
                </w:p>
                <w:p w14:paraId="64818470" w14:textId="77777777" w:rsidR="004D161C" w:rsidRDefault="004D161C">
                  <w:pPr>
                    <w:jc w:val="both"/>
                  </w:pPr>
                </w:p>
                <w:p w14:paraId="3C4FC7ED" w14:textId="271D0369" w:rsidR="004D161C" w:rsidRDefault="004D161C">
                  <w:pPr>
                    <w:jc w:val="both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5BB594DB" w14:textId="77777777" w:rsidR="004D161C" w:rsidRDefault="004D161C">
                  <w:pPr>
                    <w:jc w:val="both"/>
                  </w:pPr>
                </w:p>
                <w:p w14:paraId="3C3A53BF" w14:textId="0FCEAE9B" w:rsidR="004D161C" w:rsidRDefault="002D5EB1">
                  <w:pPr>
                    <w:jc w:val="both"/>
                  </w:pPr>
                  <w:r>
                    <w:rPr>
                      <w:rFonts w:eastAsia="Times New Roman" w:cs="Tahoma"/>
                      <w:color w:val="000000"/>
                    </w:rPr>
                    <w:t>Увеличение на относителния дя</w:t>
                  </w:r>
                  <w:r w:rsidR="00697E24">
                    <w:rPr>
                      <w:rFonts w:eastAsia="Times New Roman" w:cs="Tahoma"/>
                      <w:color w:val="000000"/>
                    </w:rPr>
                    <w:t>л</w:t>
                  </w:r>
                  <w:r>
                    <w:rPr>
                      <w:rFonts w:eastAsia="Times New Roman" w:cs="Tahoma"/>
                      <w:color w:val="000000"/>
                    </w:rPr>
                    <w:t xml:space="preserve"> на населението в селските райони, ползващо </w:t>
                  </w:r>
                  <w:r>
                    <w:rPr>
                      <w:rFonts w:eastAsia="Times New Roman" w:cs="Tahoma"/>
                      <w:color w:val="000000"/>
                    </w:rPr>
                    <w:lastRenderedPageBreak/>
                    <w:t>подобрен достъп до услуги и инфраструктура чрез мерките за подпомагане</w:t>
                  </w:r>
                </w:p>
                <w:p w14:paraId="429011B4" w14:textId="5747F0AB" w:rsidR="004D161C" w:rsidRDefault="004D161C">
                  <w:pPr>
                    <w:jc w:val="both"/>
                  </w:pP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2C03F18C" w14:textId="77777777" w:rsidR="004D161C" w:rsidRDefault="004D161C">
                  <w:pPr>
                    <w:jc w:val="both"/>
                  </w:pPr>
                </w:p>
                <w:p w14:paraId="3E4037A1" w14:textId="44FF7EF5" w:rsidR="004D161C" w:rsidRDefault="00696F09">
                  <w:pPr>
                    <w:jc w:val="both"/>
                  </w:pPr>
                  <w:r>
                    <w:t>НП</w:t>
                  </w:r>
                </w:p>
                <w:p w14:paraId="40A2ED03" w14:textId="77777777" w:rsidR="004D161C" w:rsidRDefault="004D161C">
                  <w:pPr>
                    <w:jc w:val="both"/>
                  </w:pPr>
                </w:p>
                <w:p w14:paraId="456B578B" w14:textId="77777777" w:rsidR="004D161C" w:rsidRDefault="004D161C">
                  <w:pPr>
                    <w:jc w:val="both"/>
                  </w:pPr>
                </w:p>
                <w:p w14:paraId="420A45F7" w14:textId="77777777" w:rsidR="004D161C" w:rsidRDefault="004D161C">
                  <w:pPr>
                    <w:jc w:val="both"/>
                  </w:pPr>
                </w:p>
                <w:p w14:paraId="1F2ADFBC" w14:textId="77777777" w:rsidR="004D161C" w:rsidRDefault="004D161C">
                  <w:pPr>
                    <w:jc w:val="both"/>
                  </w:pPr>
                </w:p>
                <w:p w14:paraId="4AD60251" w14:textId="77777777" w:rsidR="004D161C" w:rsidRDefault="004D161C">
                  <w:pPr>
                    <w:jc w:val="both"/>
                  </w:pPr>
                </w:p>
                <w:p w14:paraId="0F23C129" w14:textId="77777777" w:rsidR="004D161C" w:rsidRDefault="004D161C">
                  <w:pPr>
                    <w:jc w:val="both"/>
                  </w:pPr>
                </w:p>
                <w:p w14:paraId="69B5EC4D" w14:textId="1F188965" w:rsidR="004D161C" w:rsidRDefault="004D161C">
                  <w:pPr>
                    <w:jc w:val="both"/>
                  </w:pPr>
                </w:p>
              </w:tc>
            </w:tr>
          </w:tbl>
          <w:p w14:paraId="79724AB1" w14:textId="77777777" w:rsidR="004D161C" w:rsidRDefault="004D161C">
            <w:pPr>
              <w:tabs>
                <w:tab w:val="center" w:pos="4428"/>
              </w:tabs>
              <w:jc w:val="both"/>
            </w:pPr>
          </w:p>
        </w:tc>
      </w:tr>
    </w:tbl>
    <w:p w14:paraId="44F5259C" w14:textId="77777777" w:rsidR="004D161C" w:rsidRDefault="004D16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after="0" w:line="276" w:lineRule="auto"/>
        <w:rPr>
          <w:rFonts w:ascii="Century Gothic" w:eastAsia="Century Gothic" w:hAnsi="Century Gothic" w:cs="Century Gothic"/>
          <w:color w:val="404040"/>
          <w:sz w:val="36"/>
          <w:szCs w:val="36"/>
        </w:rPr>
      </w:pPr>
    </w:p>
    <w:tbl>
      <w:tblPr>
        <w:tblStyle w:val="5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D161C" w14:paraId="6AFF3858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BB0BA93" w14:textId="77777777" w:rsidR="004D161C" w:rsidRDefault="004D161C">
            <w:pPr>
              <w:jc w:val="both"/>
            </w:pPr>
          </w:p>
          <w:p w14:paraId="15F25845" w14:textId="77777777" w:rsidR="004D161C" w:rsidRDefault="00326BCC">
            <w:pPr>
              <w:jc w:val="both"/>
              <w:rPr>
                <w:rFonts w:ascii="Century Gothic" w:eastAsia="Century Gothic" w:hAnsi="Century Gothic" w:cs="Century Gothic"/>
                <w:color w:val="40404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36"/>
                <w:szCs w:val="36"/>
              </w:rPr>
              <w:t>Област на въздействие</w:t>
            </w:r>
          </w:p>
          <w:p w14:paraId="0D3111C2" w14:textId="30625352" w:rsidR="004D161C" w:rsidRDefault="00326BCC">
            <w:pPr>
              <w:jc w:val="both"/>
            </w:pPr>
            <w:r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>o</w:t>
            </w:r>
            <w:r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ab/>
              <w:t xml:space="preserve">[9.3.а] </w:t>
            </w:r>
            <w:r w:rsidRPr="00EA5ED7"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Инфраструктура и публични услуги</w:t>
            </w:r>
            <w:r>
              <w:rPr>
                <w:rFonts w:asciiTheme="minorHAnsi" w:eastAsia="Century Gothic" w:hAnsiTheme="minorHAnsi" w:cs="Century Gothic"/>
                <w:color w:val="404040"/>
                <w:sz w:val="28"/>
                <w:szCs w:val="2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в селските райони</w:t>
            </w:r>
          </w:p>
          <w:p w14:paraId="30D2BD6B" w14:textId="77777777" w:rsidR="00BC4425" w:rsidRDefault="00862C57">
            <w:pPr>
              <w:jc w:val="both"/>
            </w:pPr>
            <w:r>
              <w:t xml:space="preserve">Фокусираните интервенции в общините в селските райони ще адресират инвестиции в изграждане и/или реконструкция на техническа инфраструктура, общинската пътна и улична мрежа, реконструкция и модернизация на водопроводната мрежа, както и в друга публична инфраструктура. Изброените по-горе инвестиционни мерки целят да подобрят  достъпа до публичните услуги и качеството на образованието в селските райони на страната. </w:t>
            </w:r>
          </w:p>
          <w:p w14:paraId="6EBB22D0" w14:textId="35559F73" w:rsidR="004D161C" w:rsidRDefault="00326BCC">
            <w:pPr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Съотносими Цели за устойчиво развитие на ООН</w:t>
            </w:r>
          </w:p>
          <w:p w14:paraId="1C33797B" w14:textId="77777777" w:rsidR="004D161C" w:rsidRDefault="00326BCC">
            <w:pPr>
              <w:jc w:val="both"/>
            </w:pPr>
            <w:r>
              <w:t xml:space="preserve">Цел 11 „Превръщане на градовете и селищата в приобщаващи, безопасни, адаптивни и устойчиви места за живеене“ </w:t>
            </w:r>
          </w:p>
          <w:p w14:paraId="7DC81728" w14:textId="77777777" w:rsidR="004D161C" w:rsidRDefault="00326BCC">
            <w:pPr>
              <w:jc w:val="both"/>
            </w:pPr>
            <w:r>
              <w:t xml:space="preserve">Цел 6 „Осигуряване на достъпност и устойчиво управление на водата и канализацията за всички“ </w:t>
            </w:r>
          </w:p>
          <w:p w14:paraId="002D5192" w14:textId="77777777" w:rsidR="004D161C" w:rsidRDefault="004D161C">
            <w:pPr>
              <w:jc w:val="both"/>
            </w:pPr>
          </w:p>
          <w:tbl>
            <w:tblPr>
              <w:tblStyle w:val="4"/>
              <w:tblW w:w="96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03"/>
              <w:gridCol w:w="4803"/>
            </w:tblGrid>
            <w:tr w:rsidR="004D161C" w14:paraId="1A0875FA" w14:textId="77777777"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F0137" w14:textId="77777777" w:rsidR="004D161C" w:rsidRDefault="00326BCC">
                  <w:pPr>
                    <w:jc w:val="both"/>
                    <w:rPr>
                      <w:rFonts w:ascii="Century Gothic" w:eastAsia="Century Gothic" w:hAnsi="Century Gothic" w:cs="Century Gothic"/>
                      <w:color w:val="40404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404040"/>
                    </w:rPr>
                    <w:t>Оценка на необходим финансов ресурс</w:t>
                  </w:r>
                </w:p>
                <w:p w14:paraId="556E0FCE" w14:textId="77777777" w:rsidR="004D161C" w:rsidRDefault="00A612B8">
                  <w:pPr>
                    <w:jc w:val="both"/>
                  </w:pPr>
                  <w:r>
                    <w:t xml:space="preserve">Неуточнено на този етап </w:t>
                  </w:r>
                </w:p>
                <w:p w14:paraId="002D9858" w14:textId="059237A9" w:rsidR="00A612B8" w:rsidRDefault="00A612B8">
                  <w:pPr>
                    <w:jc w:val="both"/>
                    <w:rPr>
                      <w:rFonts w:ascii="Century Gothic" w:eastAsia="Century Gothic" w:hAnsi="Century Gothic" w:cs="Century Gothic"/>
                      <w:color w:val="404040"/>
                    </w:rPr>
                  </w:pPr>
                </w:p>
              </w:tc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A0989" w14:textId="77777777" w:rsidR="004D161C" w:rsidRDefault="00326BCC">
                  <w:pPr>
                    <w:jc w:val="both"/>
                    <w:rPr>
                      <w:rFonts w:ascii="Century Gothic" w:eastAsia="Century Gothic" w:hAnsi="Century Gothic" w:cs="Century Gothic"/>
                      <w:color w:val="40404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404040"/>
                    </w:rPr>
                    <w:t>Източници на финансиране</w:t>
                  </w:r>
                </w:p>
                <w:p w14:paraId="7D8CB4FE" w14:textId="448D4023" w:rsidR="004D161C" w:rsidRDefault="004D161C">
                  <w:pPr>
                    <w:jc w:val="both"/>
                    <w:rPr>
                      <w:rFonts w:ascii="Century Gothic" w:eastAsia="Century Gothic" w:hAnsi="Century Gothic" w:cs="Century Gothic"/>
                      <w:color w:val="404040"/>
                    </w:rPr>
                  </w:pPr>
                </w:p>
              </w:tc>
            </w:tr>
          </w:tbl>
          <w:p w14:paraId="51A2BB7B" w14:textId="77777777" w:rsidR="004D161C" w:rsidRDefault="004D161C">
            <w:pPr>
              <w:jc w:val="both"/>
              <w:rPr>
                <w:rFonts w:ascii="Century Gothic" w:eastAsia="Century Gothic" w:hAnsi="Century Gothic" w:cs="Century Gothic"/>
                <w:color w:val="404040"/>
                <w:sz w:val="36"/>
                <w:szCs w:val="36"/>
              </w:rPr>
            </w:pPr>
          </w:p>
        </w:tc>
      </w:tr>
    </w:tbl>
    <w:p w14:paraId="0C359FF6" w14:textId="77777777" w:rsidR="004D161C" w:rsidRDefault="00326B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after="0" w:line="276" w:lineRule="auto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Century Gothic" w:eastAsia="Century Gothic" w:hAnsi="Century Gothic" w:cs="Century Gothic"/>
          <w:b/>
          <w:color w:val="404040"/>
          <w:sz w:val="36"/>
          <w:szCs w:val="36"/>
        </w:rPr>
        <w:t>Област на въздействие</w:t>
      </w:r>
    </w:p>
    <w:p w14:paraId="24F7380C" w14:textId="24DA2C86" w:rsidR="004D161C" w:rsidRPr="00C018AC" w:rsidRDefault="00326BCC" w:rsidP="00EA5ED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1" w:after="0" w:line="276" w:lineRule="auto"/>
        <w:ind w:left="0" w:firstLine="0"/>
        <w:jc w:val="both"/>
        <w:rPr>
          <w:rFonts w:ascii="Century Gothic" w:eastAsia="Century Gothic" w:hAnsi="Century Gothic" w:cs="Century Gothic"/>
          <w:color w:val="404040"/>
          <w:sz w:val="28"/>
          <w:szCs w:val="28"/>
        </w:rPr>
      </w:pPr>
      <w:r>
        <w:rPr>
          <w:rFonts w:ascii="Century Gothic" w:eastAsia="Century Gothic" w:hAnsi="Century Gothic" w:cs="Century Gothic"/>
          <w:color w:val="404040"/>
          <w:sz w:val="28"/>
          <w:szCs w:val="28"/>
        </w:rPr>
        <w:t>[9.3.</w:t>
      </w:r>
      <w:r w:rsidR="00DD0AA6">
        <w:rPr>
          <w:rFonts w:ascii="Century Gothic" w:eastAsia="Century Gothic" w:hAnsi="Century Gothic" w:cs="Century Gothic"/>
          <w:color w:val="404040"/>
          <w:sz w:val="28"/>
          <w:szCs w:val="28"/>
        </w:rPr>
        <w:t>б</w:t>
      </w:r>
      <w:r>
        <w:rPr>
          <w:rFonts w:ascii="Century Gothic" w:eastAsia="Century Gothic" w:hAnsi="Century Gothic" w:cs="Century Gothic"/>
          <w:color w:val="404040"/>
          <w:sz w:val="28"/>
          <w:szCs w:val="28"/>
        </w:rPr>
        <w:t xml:space="preserve">] </w:t>
      </w:r>
      <w:r w:rsidRPr="00EA5ED7">
        <w:rPr>
          <w:rFonts w:ascii="Century Gothic" w:eastAsia="Century Gothic" w:hAnsi="Century Gothic" w:cs="Century Gothic"/>
          <w:b/>
          <w:color w:val="404040"/>
          <w:sz w:val="28"/>
          <w:szCs w:val="28"/>
        </w:rPr>
        <w:t>Умения и заетост</w:t>
      </w:r>
      <w:r w:rsidRPr="00EE2A93">
        <w:rPr>
          <w:rFonts w:ascii="Century Gothic" w:eastAsia="Century Gothic" w:hAnsi="Century Gothic" w:cs="Century Gothic"/>
          <w:b/>
          <w:color w:val="404040"/>
          <w:sz w:val="28"/>
          <w:szCs w:val="28"/>
        </w:rPr>
        <w:t xml:space="preserve"> </w:t>
      </w:r>
      <w:r w:rsidR="00196CBF" w:rsidRPr="00EE2A93">
        <w:rPr>
          <w:rFonts w:ascii="Century Gothic" w:eastAsia="Century Gothic" w:hAnsi="Century Gothic" w:cs="Century Gothic"/>
          <w:b/>
          <w:color w:val="404040"/>
          <w:sz w:val="28"/>
          <w:szCs w:val="28"/>
        </w:rPr>
        <w:t xml:space="preserve">за младежите </w:t>
      </w:r>
      <w:r>
        <w:rPr>
          <w:rFonts w:ascii="Century Gothic" w:eastAsia="Century Gothic" w:hAnsi="Century Gothic" w:cs="Century Gothic"/>
          <w:b/>
          <w:color w:val="404040"/>
          <w:sz w:val="28"/>
          <w:szCs w:val="28"/>
        </w:rPr>
        <w:t xml:space="preserve">в селските райони </w:t>
      </w:r>
    </w:p>
    <w:p w14:paraId="60EAE353" w14:textId="77777777" w:rsidR="00C018AC" w:rsidRPr="00EA5ED7" w:rsidRDefault="00C018AC" w:rsidP="00C01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after="0" w:line="276" w:lineRule="auto"/>
        <w:jc w:val="both"/>
        <w:rPr>
          <w:rFonts w:ascii="Century Gothic" w:eastAsia="Century Gothic" w:hAnsi="Century Gothic" w:cs="Century Gothic"/>
          <w:color w:val="404040"/>
          <w:sz w:val="28"/>
          <w:szCs w:val="28"/>
        </w:rPr>
      </w:pPr>
    </w:p>
    <w:p w14:paraId="3B2DF43C" w14:textId="4550C1D0" w:rsidR="004D161C" w:rsidRDefault="00B143F7">
      <w:pPr>
        <w:jc w:val="both"/>
      </w:pPr>
      <w:r>
        <w:t xml:space="preserve">Целенасочените действия в тази област ще са насочени към предоставяне на иновативни и алтернативни форми на мобилна младежка работа за достигане до всички младежи в селските райони за формиране на умения за заетост и предприемачество. Ще се адресират проблемите, свързани с достъпа на младите хора в селските райони  до интернет и цифрови технологии и изграждане на умения за ползването им, включително и за осигуряване на възможности за гражданско участие. </w:t>
      </w:r>
      <w:r w:rsidR="00326BCC">
        <w:t xml:space="preserve"> </w:t>
      </w:r>
    </w:p>
    <w:p w14:paraId="6CFF7BC9" w14:textId="77777777" w:rsidR="004D161C" w:rsidRDefault="00326BCC">
      <w:pPr>
        <w:jc w:val="both"/>
        <w:rPr>
          <w:rFonts w:ascii="Century Gothic" w:eastAsia="Century Gothic" w:hAnsi="Century Gothic" w:cs="Century Gothic"/>
          <w:color w:val="404040"/>
        </w:rPr>
      </w:pPr>
      <w:r>
        <w:rPr>
          <w:rFonts w:ascii="Century Gothic" w:eastAsia="Century Gothic" w:hAnsi="Century Gothic" w:cs="Century Gothic"/>
          <w:b/>
          <w:color w:val="404040"/>
        </w:rPr>
        <w:t>Съотносими Цели за устойчиво развитие на ООН</w:t>
      </w:r>
    </w:p>
    <w:p w14:paraId="203CADA1" w14:textId="77777777" w:rsidR="004D161C" w:rsidRDefault="00326B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after="0" w:line="276" w:lineRule="auto"/>
      </w:pPr>
      <w:r>
        <w:lastRenderedPageBreak/>
        <w:t>Цел 11 „Превръщане на градовете и селищата в приобщаващи, безопасни, адаптивни и устойчиви места за живеене“</w:t>
      </w:r>
    </w:p>
    <w:p w14:paraId="52DDCAA3" w14:textId="77777777" w:rsidR="004D161C" w:rsidRDefault="00326B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after="0" w:line="276" w:lineRule="auto"/>
      </w:pPr>
      <w:r>
        <w:t>Цел 9 „Изграждане на гъвкава</w:t>
      </w:r>
      <w:r>
        <w:rPr>
          <w:b/>
        </w:rPr>
        <w:t xml:space="preserve"> </w:t>
      </w:r>
      <w:r>
        <w:t>инфраструктура, насърчаване на приобщаваща и устойчива индустриализация и стимулиране на иновациите“</w:t>
      </w:r>
    </w:p>
    <w:p w14:paraId="21B39E31" w14:textId="77777777" w:rsidR="004D161C" w:rsidRDefault="004D16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after="0" w:line="276" w:lineRule="auto"/>
        <w:ind w:left="360"/>
      </w:pPr>
    </w:p>
    <w:tbl>
      <w:tblPr>
        <w:tblStyle w:val="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3"/>
        <w:gridCol w:w="4803"/>
      </w:tblGrid>
      <w:tr w:rsidR="004D161C" w14:paraId="581A541A" w14:textId="77777777"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02C88284" w14:textId="77777777" w:rsidR="004D161C" w:rsidRDefault="0032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after="0" w:line="276" w:lineRule="auto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Оценка на необходим финансов ресурс</w:t>
            </w:r>
          </w:p>
          <w:p w14:paraId="6143A4B8" w14:textId="77777777" w:rsidR="004D161C" w:rsidRDefault="0032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after="0" w:line="276" w:lineRule="auto"/>
              <w:rPr>
                <w:rFonts w:ascii="Century Gothic" w:eastAsia="Century Gothic" w:hAnsi="Century Gothic" w:cs="Century Gothic"/>
                <w:color w:val="404040"/>
              </w:rPr>
            </w:pPr>
            <w:r>
              <w:t xml:space="preserve">Неуточнено на този етап 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7B130B79" w14:textId="77777777" w:rsidR="004D161C" w:rsidRDefault="0032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after="0" w:line="276" w:lineRule="auto"/>
              <w:ind w:left="360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Източници на финансиране</w:t>
            </w:r>
          </w:p>
          <w:p w14:paraId="24AC0FA1" w14:textId="77777777" w:rsidR="004D161C" w:rsidRDefault="004D1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after="0" w:line="276" w:lineRule="auto"/>
              <w:ind w:left="360"/>
              <w:rPr>
                <w:rFonts w:ascii="Century Gothic" w:eastAsia="Century Gothic" w:hAnsi="Century Gothic" w:cs="Century Gothic"/>
                <w:color w:val="404040"/>
              </w:rPr>
            </w:pPr>
          </w:p>
          <w:p w14:paraId="73B2F085" w14:textId="77777777" w:rsidR="004D161C" w:rsidRDefault="004D1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after="0" w:line="276" w:lineRule="auto"/>
              <w:ind w:left="360"/>
              <w:rPr>
                <w:rFonts w:ascii="Century Gothic" w:eastAsia="Century Gothic" w:hAnsi="Century Gothic" w:cs="Century Gothic"/>
                <w:color w:val="404040"/>
              </w:rPr>
            </w:pPr>
          </w:p>
          <w:p w14:paraId="32C203D8" w14:textId="77777777" w:rsidR="004D161C" w:rsidRDefault="004D16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after="0" w:line="276" w:lineRule="auto"/>
              <w:ind w:left="360"/>
              <w:rPr>
                <w:rFonts w:ascii="Century Gothic" w:eastAsia="Century Gothic" w:hAnsi="Century Gothic" w:cs="Century Gothic"/>
                <w:color w:val="404040"/>
              </w:rPr>
            </w:pPr>
          </w:p>
        </w:tc>
      </w:tr>
    </w:tbl>
    <w:p w14:paraId="05195319" w14:textId="77777777" w:rsidR="004D161C" w:rsidRDefault="004D16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after="0" w:line="276" w:lineRule="auto"/>
      </w:pPr>
    </w:p>
    <w:tbl>
      <w:tblPr>
        <w:tblStyle w:val="2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643"/>
        <w:gridCol w:w="908"/>
        <w:gridCol w:w="907"/>
        <w:gridCol w:w="1814"/>
        <w:gridCol w:w="1815"/>
      </w:tblGrid>
      <w:tr w:rsidR="004D161C" w14:paraId="01D78D20" w14:textId="77777777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37959DE8" w14:textId="75C5600C" w:rsidR="004D161C" w:rsidRDefault="00326BCC">
            <w:pPr>
              <w:jc w:val="both"/>
            </w:pPr>
            <w:r>
              <w:rPr>
                <w:rFonts w:ascii="Century Gothic" w:eastAsia="Century Gothic" w:hAnsi="Century Gothic" w:cs="Century Gothic"/>
                <w:color w:val="404040"/>
                <w:sz w:val="36"/>
                <w:szCs w:val="36"/>
              </w:rPr>
              <w:t xml:space="preserve">[9.4.] </w:t>
            </w:r>
            <w:r w:rsidRPr="00EA5ED7">
              <w:rPr>
                <w:rFonts w:ascii="Century Gothic" w:eastAsia="Century Gothic" w:hAnsi="Century Gothic" w:cs="Century Gothic"/>
                <w:b/>
                <w:color w:val="404040"/>
                <w:sz w:val="36"/>
                <w:szCs w:val="36"/>
              </w:rPr>
              <w:t>У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36"/>
                <w:szCs w:val="36"/>
              </w:rPr>
              <w:t>правление на водите и  на рисковете от природни бедствия</w:t>
            </w:r>
          </w:p>
        </w:tc>
      </w:tr>
      <w:tr w:rsidR="004D161C" w14:paraId="50381F28" w14:textId="77777777"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54DAECF" w14:textId="22257546" w:rsidR="004D161C" w:rsidRDefault="003F17BF" w:rsidP="00DA6307">
            <w:pPr>
              <w:spacing w:before="120" w:after="120" w:line="240" w:lineRule="auto"/>
              <w:jc w:val="both"/>
            </w:pPr>
            <w:r>
              <w:t>Основната цел на подприоритета е постигането на</w:t>
            </w:r>
            <w:r w:rsidR="00326BCC">
              <w:t xml:space="preserve"> интегрирано и устойчиво управление на водите: опазване и подобряване състоянието на водите, постигане и поддържане на добро количествено, химично и екологично състояние на водните тела на територията на България и добро състояние на околната среда в морските води, както и предотвратяване или намаляване на неблагоприятните последици от вредното въздействие на водите. </w:t>
            </w:r>
            <w:r w:rsidR="00DA6307">
              <w:t xml:space="preserve">Същевременно, цел на политиката ще бъде и </w:t>
            </w:r>
            <w:r w:rsidR="00326BCC">
              <w:t xml:space="preserve">предотвратяване и намаляване на степента на ерозионно-свлачищната опасност, ограничаване и бързо ликвидиране на последствията от тези процеси, защита и опазване на населението, материалните фондове и околната среда от техните въздействия. </w:t>
            </w:r>
          </w:p>
        </w:tc>
      </w:tr>
      <w:tr w:rsidR="004D161C" w14:paraId="486FC343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41017DA" w14:textId="77777777" w:rsidR="004D161C" w:rsidRDefault="00326BCC">
            <w:pPr>
              <w:spacing w:before="120" w:after="0" w:line="240" w:lineRule="auto"/>
              <w:jc w:val="both"/>
              <w:rPr>
                <w:color w:val="2E74B5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Индикатори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br/>
            </w:r>
          </w:p>
        </w:tc>
      </w:tr>
      <w:tr w:rsidR="004D161C" w14:paraId="54C4FA3F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2A2BC9B" w14:textId="77777777" w:rsidR="004D161C" w:rsidRDefault="00326BC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наименование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82A42ED" w14:textId="77777777" w:rsidR="004D161C" w:rsidRDefault="00326BC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източник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85655EA" w14:textId="77777777" w:rsidR="004D161C" w:rsidRDefault="00326BC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 xml:space="preserve">текуща </w:t>
            </w:r>
            <w:r>
              <w:rPr>
                <w:rFonts w:ascii="Century Gothic" w:eastAsia="Century Gothic" w:hAnsi="Century Gothic" w:cs="Century Gothic"/>
                <w:b/>
                <w:color w:val="404040"/>
              </w:rPr>
              <w:br/>
              <w:t>стойност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32ADE5B" w14:textId="77777777" w:rsidR="004D161C" w:rsidRDefault="00326BC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 xml:space="preserve">целева </w:t>
            </w:r>
            <w:r>
              <w:rPr>
                <w:rFonts w:ascii="Century Gothic" w:eastAsia="Century Gothic" w:hAnsi="Century Gothic" w:cs="Century Gothic"/>
                <w:b/>
                <w:color w:val="404040"/>
              </w:rPr>
              <w:br/>
              <w:t>стойност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EA11590" w14:textId="77777777" w:rsidR="004D161C" w:rsidRDefault="00326BC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средна стойност в ЕС</w:t>
            </w:r>
          </w:p>
        </w:tc>
      </w:tr>
      <w:tr w:rsidR="004D161C" w14:paraId="7312C25B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C120EC" w14:textId="0B7BB844" w:rsidR="004D161C" w:rsidRDefault="00951C1E" w:rsidP="00487E59">
            <w:pPr>
              <w:spacing w:before="120" w:after="120" w:line="240" w:lineRule="auto"/>
              <w:jc w:val="both"/>
            </w:pPr>
            <w:r>
              <w:t>Дял на загубите</w:t>
            </w:r>
            <w:r w:rsidR="00487E59">
              <w:t xml:space="preserve"> на вода</w:t>
            </w:r>
            <w:r>
              <w:t xml:space="preserve"> при транспорта от подадената вода, %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318D600" w14:textId="77777777" w:rsidR="004D161C" w:rsidRDefault="00326BCC">
            <w:pPr>
              <w:spacing w:before="120" w:after="120" w:line="240" w:lineRule="auto"/>
              <w:jc w:val="both"/>
            </w:pPr>
            <w:r>
              <w:t>НСИ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21A677" w14:textId="771B2087" w:rsidR="00F03C58" w:rsidRDefault="00326BCC" w:rsidP="00F03C58">
            <w:pPr>
              <w:spacing w:before="120" w:after="120" w:line="240" w:lineRule="auto"/>
              <w:jc w:val="both"/>
            </w:pPr>
            <w:r>
              <w:t>2018</w:t>
            </w:r>
            <w:r w:rsidR="00F03C58">
              <w:t xml:space="preserve"> г.</w:t>
            </w:r>
          </w:p>
          <w:p w14:paraId="1E9597DF" w14:textId="51246ACA" w:rsidR="00F03C58" w:rsidRPr="00BE4C17" w:rsidRDefault="00F03C58" w:rsidP="00F03C58">
            <w:pPr>
              <w:spacing w:before="120" w:after="12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  <w:p w14:paraId="0563A697" w14:textId="77777777" w:rsidR="004D161C" w:rsidRDefault="004D161C">
            <w:pPr>
              <w:spacing w:before="120" w:after="120" w:line="240" w:lineRule="auto"/>
              <w:jc w:val="both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14D75E" w14:textId="33BB2055" w:rsidR="00F03C58" w:rsidRDefault="00326BCC" w:rsidP="00F03C58">
            <w:pPr>
              <w:spacing w:before="120" w:after="120" w:line="240" w:lineRule="auto"/>
              <w:jc w:val="both"/>
            </w:pPr>
            <w:r>
              <w:t>2030</w:t>
            </w:r>
            <w:r w:rsidR="00F03C58">
              <w:t xml:space="preserve"> г.</w:t>
            </w:r>
          </w:p>
          <w:p w14:paraId="6FB8B335" w14:textId="796941F9" w:rsidR="00F03C58" w:rsidRDefault="00F03C58" w:rsidP="00F03C58">
            <w:pPr>
              <w:spacing w:before="120" w:after="120" w:line="240" w:lineRule="auto"/>
              <w:jc w:val="both"/>
            </w:pPr>
            <w:r>
              <w:t>4</w:t>
            </w:r>
            <w:r>
              <w:rPr>
                <w:lang w:val="en-US"/>
              </w:rPr>
              <w:t>0</w:t>
            </w:r>
          </w:p>
          <w:p w14:paraId="5F06C7F6" w14:textId="77777777" w:rsidR="004D161C" w:rsidRDefault="004D161C">
            <w:pPr>
              <w:spacing w:before="120" w:after="120" w:line="240" w:lineRule="auto"/>
              <w:jc w:val="both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31FF10" w14:textId="74C0D2AB" w:rsidR="004D161C" w:rsidRDefault="00526006">
            <w:pPr>
              <w:spacing w:before="120" w:after="120" w:line="240" w:lineRule="auto"/>
              <w:jc w:val="both"/>
            </w:pPr>
            <w:r>
              <w:rPr>
                <w:lang w:val="en-US"/>
              </w:rPr>
              <w:t>26</w:t>
            </w:r>
          </w:p>
        </w:tc>
      </w:tr>
      <w:tr w:rsidR="004D161C" w14:paraId="2957474D" w14:textId="7777777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CAF956" w14:textId="3C0C72C0" w:rsidR="004D161C" w:rsidRDefault="00326BCC">
            <w:pPr>
              <w:spacing w:before="120" w:after="120" w:line="240" w:lineRule="auto"/>
              <w:jc w:val="both"/>
            </w:pPr>
            <w:r>
              <w:t xml:space="preserve">Население в риск от наводнение, което </w:t>
            </w:r>
            <w:r w:rsidR="00D4188C">
              <w:t>ще</w:t>
            </w:r>
            <w:r>
              <w:t xml:space="preserve"> се ползва от </w:t>
            </w:r>
            <w:r w:rsidR="00D4188C">
              <w:t xml:space="preserve">предвидени </w:t>
            </w:r>
            <w:r>
              <w:t>мерки за защита и информация, бр. жители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7EE1936" w14:textId="2C273507" w:rsidR="004D161C" w:rsidRDefault="00D4188C">
            <w:pPr>
              <w:spacing w:before="120" w:after="120" w:line="240" w:lineRule="auto"/>
              <w:jc w:val="both"/>
            </w:pPr>
            <w:r>
              <w:t>Планове за управление на риска от наводнения</w:t>
            </w:r>
          </w:p>
          <w:p w14:paraId="644A0F39" w14:textId="77777777" w:rsidR="004D161C" w:rsidRDefault="004D161C">
            <w:pPr>
              <w:spacing w:before="120" w:after="120" w:line="240" w:lineRule="auto"/>
              <w:jc w:val="both"/>
            </w:pPr>
          </w:p>
          <w:p w14:paraId="0836D90C" w14:textId="77777777" w:rsidR="004D161C" w:rsidRDefault="004D161C">
            <w:pPr>
              <w:spacing w:before="120" w:after="120" w:line="240" w:lineRule="auto"/>
              <w:jc w:val="both"/>
            </w:pPr>
          </w:p>
          <w:p w14:paraId="70FA6B9B" w14:textId="772A1D90" w:rsidR="004D161C" w:rsidRDefault="004D161C">
            <w:pPr>
              <w:spacing w:before="120" w:after="120" w:line="240" w:lineRule="auto"/>
              <w:jc w:val="both"/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1FF1564" w14:textId="5023C557" w:rsidR="004D161C" w:rsidRDefault="00A84F76">
            <w:pPr>
              <w:spacing w:before="120" w:after="120" w:line="240" w:lineRule="auto"/>
              <w:jc w:val="both"/>
            </w:pPr>
            <w:r>
              <w:t>-</w:t>
            </w:r>
          </w:p>
          <w:p w14:paraId="41E46F60" w14:textId="6316A337" w:rsidR="004D161C" w:rsidRDefault="00326BCC">
            <w:pPr>
              <w:spacing w:before="120" w:after="120" w:line="240" w:lineRule="auto"/>
              <w:jc w:val="both"/>
            </w:pPr>
            <w:r>
              <w:br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7E5678D" w14:textId="65A2206D" w:rsidR="00C8197F" w:rsidRDefault="00C8197F" w:rsidP="00D4188C">
            <w:pPr>
              <w:spacing w:before="120" w:after="120" w:line="240" w:lineRule="auto"/>
              <w:jc w:val="both"/>
            </w:pPr>
            <w:r>
              <w:t xml:space="preserve">2030 г. </w:t>
            </w:r>
          </w:p>
          <w:p w14:paraId="4BB3CA60" w14:textId="0398CC61" w:rsidR="00D4188C" w:rsidRDefault="00D4188C" w:rsidP="00D4188C">
            <w:pPr>
              <w:spacing w:before="120" w:after="120" w:line="240" w:lineRule="auto"/>
              <w:jc w:val="both"/>
            </w:pPr>
            <w:r>
              <w:t>4 702 881</w:t>
            </w:r>
          </w:p>
          <w:p w14:paraId="31AAD802" w14:textId="12C9985E" w:rsidR="004D161C" w:rsidRDefault="004D161C">
            <w:pPr>
              <w:spacing w:before="120" w:after="120" w:line="240" w:lineRule="auto"/>
              <w:jc w:val="both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22D926E" w14:textId="77777777" w:rsidR="004D161C" w:rsidRDefault="00326BCC">
            <w:pPr>
              <w:spacing w:before="120" w:after="120" w:line="240" w:lineRule="auto"/>
              <w:jc w:val="both"/>
            </w:pPr>
            <w:r>
              <w:t>-</w:t>
            </w:r>
            <w:r>
              <w:br/>
            </w:r>
          </w:p>
        </w:tc>
      </w:tr>
      <w:tr w:rsidR="004D161C" w14:paraId="46A94899" w14:textId="77777777"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571770" w14:textId="77777777" w:rsidR="004D161C" w:rsidRDefault="004D161C">
            <w:pPr>
              <w:spacing w:before="120" w:after="0" w:line="240" w:lineRule="auto"/>
              <w:jc w:val="both"/>
              <w:rPr>
                <w:rFonts w:ascii="Century Gothic" w:eastAsia="Century Gothic" w:hAnsi="Century Gothic" w:cs="Century Gothic"/>
                <w:color w:val="404040"/>
                <w:sz w:val="36"/>
                <w:szCs w:val="36"/>
              </w:rPr>
            </w:pPr>
          </w:p>
          <w:p w14:paraId="6C2AF296" w14:textId="77777777" w:rsidR="004D161C" w:rsidRDefault="00326BCC">
            <w:pPr>
              <w:spacing w:after="120" w:line="240" w:lineRule="auto"/>
              <w:jc w:val="both"/>
              <w:rPr>
                <w:rFonts w:ascii="Century Gothic" w:eastAsia="Century Gothic" w:hAnsi="Century Gothic" w:cs="Century Gothic"/>
                <w:color w:val="40404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36"/>
                <w:szCs w:val="36"/>
              </w:rPr>
              <w:t>Област на въздействие</w:t>
            </w:r>
          </w:p>
        </w:tc>
      </w:tr>
      <w:tr w:rsidR="004D161C" w14:paraId="71D4E9A1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52E2D5" w14:textId="136EB979" w:rsidR="004D161C" w:rsidRDefault="00326BCC" w:rsidP="00CC2543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both"/>
            </w:pPr>
            <w:r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lastRenderedPageBreak/>
              <w:t xml:space="preserve">[9.4.а] </w:t>
            </w:r>
            <w:r w:rsidRPr="00EA5ED7"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В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одоснабдяване и пречистване на отпадъчни води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br/>
            </w:r>
          </w:p>
        </w:tc>
      </w:tr>
      <w:tr w:rsidR="004D161C" w14:paraId="61C7A6B8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13C70B" w14:textId="27DFE3D3" w:rsidR="004D161C" w:rsidRDefault="00251F65">
            <w:pPr>
              <w:spacing w:before="120" w:after="120" w:line="240" w:lineRule="auto"/>
              <w:jc w:val="both"/>
            </w:pPr>
            <w:r>
              <w:t xml:space="preserve">Целта на мерките е постигане на устойчиво потребление на водите за нуждите на населението и икономиката на страната, намаляване неефективното използване на водните ресурси и на замърсяването на подземните и повърхностните води от заустване на отпадъчни води, и подобряване на екологичното и  химично състояние на повърхностните води. </w:t>
            </w:r>
            <w:r w:rsidRPr="005A2378">
              <w:t>Предвижда се да продължи изграждането и реконструкцията на ВиК инфраструктура в съответствие с нормативната база, приоритетно в агломерации с над 10 000 екв. ж. и там където е възможно и в агломерации под 10 000 екв. ж.</w:t>
            </w:r>
            <w:r>
              <w:t xml:space="preserve"> </w:t>
            </w:r>
          </w:p>
        </w:tc>
      </w:tr>
      <w:tr w:rsidR="004D161C" w14:paraId="7F896D98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53C3C0" w14:textId="77777777" w:rsidR="004D161C" w:rsidRDefault="00326BCC">
            <w:pPr>
              <w:spacing w:before="120" w:after="120" w:line="240" w:lineRule="auto"/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Съотносими Цели за устойчиво развитие на ООН</w:t>
            </w:r>
          </w:p>
        </w:tc>
      </w:tr>
      <w:tr w:rsidR="004D161C" w14:paraId="31F781B4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3E600C" w14:textId="77777777" w:rsidR="004D161C" w:rsidRDefault="00326BCC">
            <w:pPr>
              <w:spacing w:before="120" w:after="120" w:line="240" w:lineRule="auto"/>
              <w:jc w:val="both"/>
            </w:pPr>
            <w:r>
              <w:t>Цел 6 „Осигуряване на достъпност и устойчиво управление на водата и канализацията за всички“</w:t>
            </w:r>
          </w:p>
        </w:tc>
      </w:tr>
      <w:tr w:rsidR="004D161C" w14:paraId="30F6DA2A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37ABF5" w14:textId="77777777" w:rsidR="004D161C" w:rsidRDefault="00326BCC">
            <w:pPr>
              <w:spacing w:before="120" w:after="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Оценка на необходим финансов ресурс</w:t>
            </w:r>
          </w:p>
          <w:p w14:paraId="72CE63FA" w14:textId="77777777" w:rsidR="0022678D" w:rsidRDefault="0022678D">
            <w:pPr>
              <w:spacing w:after="120" w:line="240" w:lineRule="auto"/>
              <w:jc w:val="both"/>
            </w:pPr>
          </w:p>
          <w:p w14:paraId="15CCC07B" w14:textId="5BA20CB5" w:rsidR="004D161C" w:rsidRDefault="005A2378">
            <w:pPr>
              <w:spacing w:after="120" w:line="240" w:lineRule="auto"/>
              <w:jc w:val="both"/>
            </w:pPr>
            <w:r>
              <w:t>Неуточнено на този етап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0E681" w14:textId="77777777" w:rsidR="004D161C" w:rsidRDefault="00326BCC">
            <w:pPr>
              <w:spacing w:before="120" w:after="12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Източници на финансиране</w:t>
            </w:r>
          </w:p>
          <w:p w14:paraId="060961BA" w14:textId="77777777" w:rsidR="004D161C" w:rsidRDefault="004D161C" w:rsidP="005A2378">
            <w:pPr>
              <w:spacing w:before="120" w:after="12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</w:p>
        </w:tc>
      </w:tr>
      <w:tr w:rsidR="004D161C" w14:paraId="0DDA8F50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DFCEE6" w14:textId="77777777" w:rsidR="005A2378" w:rsidRDefault="005A2378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color w:val="404040"/>
                <w:sz w:val="36"/>
                <w:szCs w:val="36"/>
              </w:rPr>
            </w:pPr>
          </w:p>
          <w:p w14:paraId="091C3C93" w14:textId="3C6AD0FA" w:rsidR="004D161C" w:rsidRDefault="00326BC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40404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36"/>
                <w:szCs w:val="36"/>
              </w:rPr>
              <w:t>Област на въздействие</w:t>
            </w:r>
          </w:p>
          <w:p w14:paraId="1B4C998A" w14:textId="77777777" w:rsidR="004D161C" w:rsidRDefault="004D161C">
            <w:pPr>
              <w:spacing w:after="0" w:line="240" w:lineRule="auto"/>
              <w:jc w:val="both"/>
            </w:pPr>
          </w:p>
          <w:p w14:paraId="537F4B21" w14:textId="77777777" w:rsidR="004D161C" w:rsidRDefault="00326BCC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both"/>
            </w:pPr>
            <w:r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 xml:space="preserve">[9.4.б] 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Превенция и управление на риска от наводнения, свлачища и засушавания</w:t>
            </w:r>
            <w:r>
              <w:t xml:space="preserve"> </w:t>
            </w:r>
          </w:p>
          <w:p w14:paraId="64AAF735" w14:textId="3441985F" w:rsidR="00CC2543" w:rsidRDefault="00CC2543" w:rsidP="00CC2543">
            <w:pPr>
              <w:spacing w:after="0" w:line="240" w:lineRule="auto"/>
              <w:jc w:val="both"/>
            </w:pPr>
          </w:p>
        </w:tc>
      </w:tr>
      <w:tr w:rsidR="004D161C" w14:paraId="0B246E46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A76E93" w14:textId="77777777" w:rsidR="00F46857" w:rsidRDefault="00326BCC" w:rsidP="00F46857">
            <w:pPr>
              <w:spacing w:before="120" w:after="120" w:line="240" w:lineRule="auto"/>
              <w:contextualSpacing/>
              <w:jc w:val="both"/>
            </w:pPr>
            <w:r>
              <w:t xml:space="preserve">Увеличената през последните години честота на екстремните метеорологични и климатични явления в България, свързани с водите, налага предприемането на по-нататъшни мерки  за превенция и управление на риска от наводнения, от процеси, свързани с движение на земни маси – свлачища, срутища, ерозии, абразии (в т.ч. екологосъобразна инфраструктура (ако е приложимо) в комбинация със сива инфраструктура) и от засушавания. В допълнение към инвестициите в инфраструктура е планирано и изграждане на нови и оптимизиране и/или разширяване на съществуващи системи за предупреждение, наблюдение, докладване, прогнозиране и сигнализиране, както и разработване на цифрови модели. Усилията ще бъдат насочени и към ефективни действия за възстановяване на проектните параметри на водозадържащите съоръжения и контрол върху състоянието и проводимостта на речните легла. </w:t>
            </w:r>
          </w:p>
          <w:p w14:paraId="6D116950" w14:textId="10237761" w:rsidR="00F46857" w:rsidRPr="002E7674" w:rsidRDefault="00F46857" w:rsidP="00F46857">
            <w:pPr>
              <w:spacing w:before="120" w:after="120" w:line="240" w:lineRule="auto"/>
              <w:contextualSpacing/>
              <w:jc w:val="both"/>
            </w:pPr>
            <w:r w:rsidRPr="002E7674">
              <w:t>Територията на Република България се характеризира с висока степен на свлачищна активност и в страната са регистрирани разнообразни по тип, механизъм, активност и обхват свлачища. Действията по управление</w:t>
            </w:r>
            <w:r>
              <w:t xml:space="preserve"> на риска от този тип природни бедствия ще се отчитат чрез </w:t>
            </w:r>
            <w:r w:rsidRPr="002E7674">
              <w:t xml:space="preserve">мярка „Управление на рисковете от свлачища на територията на Република България, ерозионните процеси по Дунавското крайбрежие и абразионните процеси по Черноморското крайбрежие“. </w:t>
            </w:r>
          </w:p>
          <w:p w14:paraId="14B8A87D" w14:textId="77777777" w:rsidR="004D161C" w:rsidRDefault="004D161C">
            <w:pPr>
              <w:spacing w:before="120" w:after="120" w:line="240" w:lineRule="auto"/>
              <w:jc w:val="both"/>
            </w:pPr>
          </w:p>
        </w:tc>
      </w:tr>
      <w:tr w:rsidR="004D161C" w14:paraId="19F6EAAE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A72303" w14:textId="77777777" w:rsidR="004D161C" w:rsidRDefault="00326BCC">
            <w:pPr>
              <w:spacing w:before="120" w:after="120" w:line="240" w:lineRule="auto"/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Съотносими Цели за устойчиво развитие на ООН</w:t>
            </w:r>
          </w:p>
        </w:tc>
      </w:tr>
      <w:tr w:rsidR="004D161C" w14:paraId="19135856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95DEB8" w14:textId="77777777" w:rsidR="004D161C" w:rsidRDefault="00326BCC">
            <w:pPr>
              <w:spacing w:before="120" w:after="0" w:line="240" w:lineRule="auto"/>
              <w:jc w:val="both"/>
            </w:pPr>
            <w:r>
              <w:t xml:space="preserve">Цел 11 „Превръщане на градовете и селищата в приобщаващи, безопасни, адаптивни и устойчиви места за живеене“ </w:t>
            </w:r>
          </w:p>
          <w:p w14:paraId="008DF397" w14:textId="77777777" w:rsidR="004D161C" w:rsidRDefault="00326BC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</w:pPr>
            <w:r>
              <w:t xml:space="preserve">Подцел 11.5 „До 2030 г. значително да се намали броят на смъртните случаи и броят на засегнатите и значително да се намалят преките икономически загуби спрямо глобалния </w:t>
            </w:r>
            <w:r>
              <w:lastRenderedPageBreak/>
              <w:t>брутен вътрешен продукт, причинен от бедствия, включително бедствия, свързани с водите, с акцент върху защитата на бедните и хората в ситуации на уязвимост.“</w:t>
            </w:r>
          </w:p>
          <w:p w14:paraId="60C6AAEA" w14:textId="77777777" w:rsidR="004D161C" w:rsidRDefault="00326BCC">
            <w:pPr>
              <w:spacing w:after="0" w:line="240" w:lineRule="auto"/>
              <w:jc w:val="both"/>
            </w:pPr>
            <w:r>
              <w:t xml:space="preserve">Цел 13 „Да се предприемат спешни действия за борба с изменението на климата и въздействията от него“ </w:t>
            </w:r>
          </w:p>
          <w:p w14:paraId="4097C2A7" w14:textId="77777777" w:rsidR="004D161C" w:rsidRDefault="00326BCC">
            <w:pPr>
              <w:numPr>
                <w:ilvl w:val="0"/>
                <w:numId w:val="1"/>
              </w:numPr>
              <w:spacing w:after="120" w:line="240" w:lineRule="auto"/>
              <w:ind w:left="0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t>Подцел 13.1 „Укрепване на устойчивостта и адаптивния капацитет по отношение на заплахите, свързани с климата и природните бедствия във всички страни.“</w:t>
            </w:r>
          </w:p>
        </w:tc>
      </w:tr>
      <w:tr w:rsidR="004D161C" w14:paraId="1D84A312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30A2A7" w14:textId="77777777" w:rsidR="004D161C" w:rsidRDefault="00326BCC">
            <w:pPr>
              <w:spacing w:before="120" w:after="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lastRenderedPageBreak/>
              <w:t>Оценка на необходим финансов ресурс</w:t>
            </w:r>
          </w:p>
          <w:p w14:paraId="62DC981D" w14:textId="77777777" w:rsidR="004D161C" w:rsidRDefault="004D161C">
            <w:pPr>
              <w:spacing w:after="120" w:line="240" w:lineRule="auto"/>
              <w:jc w:val="both"/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C47A42" w14:textId="77777777" w:rsidR="004D161C" w:rsidRDefault="00326BCC">
            <w:pPr>
              <w:spacing w:before="120" w:after="12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Източници на финансиране</w:t>
            </w:r>
          </w:p>
          <w:p w14:paraId="63931B21" w14:textId="77777777" w:rsidR="004D161C" w:rsidRDefault="004D161C">
            <w:pPr>
              <w:spacing w:before="120" w:after="12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</w:p>
        </w:tc>
      </w:tr>
      <w:tr w:rsidR="004D161C" w14:paraId="117E8C85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70BA77" w14:textId="769B7543" w:rsidR="004D161C" w:rsidRDefault="00DA5D1C">
            <w:pPr>
              <w:spacing w:before="120" w:after="12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t>Неуточнено на този етап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40580B" w14:textId="77777777" w:rsidR="004D161C" w:rsidRDefault="004D161C" w:rsidP="00DA5D1C">
            <w:pPr>
              <w:spacing w:before="120" w:after="12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</w:p>
        </w:tc>
      </w:tr>
      <w:tr w:rsidR="004D161C" w14:paraId="4DC9E78A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E17ACC" w14:textId="77777777" w:rsidR="004D161C" w:rsidRDefault="004D161C">
            <w:pPr>
              <w:spacing w:after="0" w:line="240" w:lineRule="auto"/>
              <w:jc w:val="both"/>
            </w:pPr>
          </w:p>
          <w:p w14:paraId="6B30AB97" w14:textId="77777777" w:rsidR="004D161C" w:rsidRDefault="00326BC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404040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36"/>
                <w:szCs w:val="36"/>
              </w:rPr>
              <w:t>Област на въздействие</w:t>
            </w:r>
          </w:p>
          <w:p w14:paraId="4533A4A2" w14:textId="77777777" w:rsidR="004D161C" w:rsidRDefault="004D161C">
            <w:pPr>
              <w:spacing w:after="0" w:line="240" w:lineRule="auto"/>
              <w:jc w:val="both"/>
            </w:pPr>
          </w:p>
          <w:p w14:paraId="693FC087" w14:textId="47B5AEA8" w:rsidR="004D161C" w:rsidRDefault="00326BCC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both"/>
            </w:pPr>
            <w:r w:rsidRPr="00CC2543"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>[9.4.в]</w:t>
            </w:r>
            <w:r w:rsidRPr="00CC2543"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 xml:space="preserve"> </w:t>
            </w:r>
            <w:r w:rsidR="00810863" w:rsidRPr="00CC2543"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Управление на водните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 xml:space="preserve"> ресурси и екосистеми</w:t>
            </w:r>
          </w:p>
        </w:tc>
      </w:tr>
      <w:tr w:rsidR="004D161C" w14:paraId="6C928B18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C47392" w14:textId="7A171DAA" w:rsidR="004D161C" w:rsidRDefault="00810863">
            <w:pPr>
              <w:spacing w:before="120" w:after="120" w:line="240" w:lineRule="auto"/>
              <w:jc w:val="both"/>
            </w:pPr>
            <w:r>
              <w:t>Основна цел е интегрираното управление на повърхностните,  подземните, крайбрежните и морски води и свързаните с тях екосистеми, като се намалява ефекта от изменението на климата – намаляване на последиците от наводнения и засушаване. Акцент ще бъде поставен върху подобряване на достоверността на оценките за класификация на състоянието на водите и подобряване на управлението чрез разработване на модели, извършване на проучвания, разработване на стратегически документи (</w:t>
            </w:r>
            <w:r w:rsidRPr="002F637B">
              <w:t>планове за управление на водите, планове за управление на риска от наводнения, морска стратегия, планове за управление на засушаването</w:t>
            </w:r>
            <w:r>
              <w:t>)</w:t>
            </w:r>
            <w:r w:rsidRPr="008E1F34">
              <w:rPr>
                <w:b/>
              </w:rPr>
              <w:t>, ръководства,</w:t>
            </w:r>
            <w:r>
              <w:t xml:space="preserve"> ,, разширяване на мониторинга на водите и въвеждане на иновативни методи за мониторинг и оценки, надграждане и разширяване на съществуващите информационни системи</w:t>
            </w:r>
            <w:r w:rsidRPr="008E1F34">
              <w:t>,</w:t>
            </w:r>
            <w:r>
              <w:t xml:space="preserve"> п</w:t>
            </w:r>
            <w:r w:rsidRPr="006B4F65">
              <w:t>одобряване на условия</w:t>
            </w:r>
            <w:r>
              <w:t>та</w:t>
            </w:r>
            <w:r w:rsidRPr="006B4F65">
              <w:t xml:space="preserve"> за опазване качеството на водите, предназначени за питейно-битово водоснабдяване</w:t>
            </w:r>
            <w:r>
              <w:t xml:space="preserve"> и прекратяване заустването на определени </w:t>
            </w:r>
            <w:r w:rsidRPr="00437ED0">
              <w:t>опасни вещества</w:t>
            </w:r>
            <w:r>
              <w:t>, справяне с проблеми от стари замърсявания, проучване въздействието на фармацевтичните вещества върху качеството на водите и др.</w:t>
            </w:r>
          </w:p>
        </w:tc>
      </w:tr>
      <w:tr w:rsidR="004D161C" w14:paraId="0673842A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EEF681" w14:textId="77777777" w:rsidR="004D161C" w:rsidRDefault="00326BCC">
            <w:pPr>
              <w:spacing w:before="120" w:after="120" w:line="240" w:lineRule="auto"/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Съотносими Цели за устойчиво развитие на ООН</w:t>
            </w:r>
          </w:p>
        </w:tc>
      </w:tr>
      <w:tr w:rsidR="004D161C" w14:paraId="729939F6" w14:textId="77777777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1F5CF" w14:textId="77777777" w:rsidR="004D161C" w:rsidRDefault="00326BCC">
            <w:pPr>
              <w:spacing w:before="120" w:after="0" w:line="240" w:lineRule="auto"/>
              <w:jc w:val="both"/>
            </w:pPr>
            <w:r>
              <w:t>Цел 6 „Осигуряване на достъпност и устойчиво управление на водата и канализацията за всички“.</w:t>
            </w:r>
          </w:p>
          <w:p w14:paraId="185FC2AB" w14:textId="77777777" w:rsidR="004D161C" w:rsidRDefault="00326BCC">
            <w:pPr>
              <w:spacing w:after="0" w:line="240" w:lineRule="auto"/>
              <w:jc w:val="both"/>
            </w:pPr>
            <w:r>
              <w:t xml:space="preserve">Цел 11 „Превръщане на градовете и селищата в приобщаващи, безопасни, адаптивни и устойчиви места за живеене“. </w:t>
            </w:r>
          </w:p>
          <w:p w14:paraId="2CBBE400" w14:textId="77777777" w:rsidR="004D161C" w:rsidRDefault="00326BC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</w:pPr>
            <w:r>
              <w:t>Подцел 11.5 „До 2030 г. значително да се намали броят на смъртните случаи и броят на засегнатите и значително да се намалят преките икономически загуби спрямо глобалния брутен вътрешен продукт, причинен от бедствия, включително бедствия, свързани с водите, с акцент върху защитата на бедните и хората в ситуации на уязвимост.“</w:t>
            </w:r>
          </w:p>
          <w:p w14:paraId="3F26B196" w14:textId="77777777" w:rsidR="004D161C" w:rsidRDefault="00326BCC">
            <w:pPr>
              <w:spacing w:after="0" w:line="240" w:lineRule="auto"/>
              <w:jc w:val="both"/>
            </w:pPr>
            <w:r>
              <w:t xml:space="preserve">Цел 13 Да се предприемат спешни действия за борба с изменението на климата и въздействията от него. </w:t>
            </w:r>
          </w:p>
          <w:p w14:paraId="4A779C50" w14:textId="77777777" w:rsidR="004D161C" w:rsidRDefault="00326BC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t>Подцел 13.1 „Укрепване на устойчивостта и адаптивния капацитет по отношение на заплахите, свързани с климата и природните бедствия във всички страни.“</w:t>
            </w:r>
          </w:p>
          <w:p w14:paraId="69B47437" w14:textId="77777777" w:rsidR="004D161C" w:rsidRDefault="00326BCC">
            <w:pPr>
              <w:spacing w:after="0" w:line="240" w:lineRule="auto"/>
              <w:jc w:val="both"/>
            </w:pPr>
            <w:r>
              <w:t>Цел 14 Консервиране и устойчиво използване на океаните, моретата и морските ресурси за устойчиво развитие.</w:t>
            </w:r>
          </w:p>
          <w:p w14:paraId="4ADB42F0" w14:textId="77777777" w:rsidR="004D161C" w:rsidRDefault="00326BC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</w:pPr>
            <w:r>
              <w:t>Подцел 14.1 „До 2025 г. предотвратяване и значително намаляване на замърсяването на морските води, по-специално от наземни дейности, включително предотвратяване и значително намаляване на морските отпадъци и замърсяването с биогенни вещества.“</w:t>
            </w:r>
          </w:p>
          <w:p w14:paraId="58A3CCAC" w14:textId="77777777" w:rsidR="004D161C" w:rsidRDefault="00326BC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</w:pPr>
            <w:r>
              <w:t xml:space="preserve">Подцел 14.2 „До 2020 г. устойчиво управление и защита на морските и крайбрежните екосистеми, за избягване на значителни неблагоприятни въздействия, включително чрез </w:t>
            </w:r>
            <w:r>
              <w:lastRenderedPageBreak/>
              <w:t xml:space="preserve">засилване на тяхната устойчивост и предприемане на действия за тяхното възстановяване за постигане на здравословни и продуктивни океани.“ </w:t>
            </w:r>
          </w:p>
          <w:p w14:paraId="1EEFDA5F" w14:textId="77777777" w:rsidR="004D161C" w:rsidRDefault="004D161C">
            <w:pPr>
              <w:spacing w:after="12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</w:p>
        </w:tc>
      </w:tr>
      <w:tr w:rsidR="004D161C" w14:paraId="502ECD75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518F32" w14:textId="77777777" w:rsidR="004D161C" w:rsidRDefault="00326BC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lastRenderedPageBreak/>
              <w:t>Оценка на необходим финансов ресурс</w:t>
            </w:r>
          </w:p>
          <w:p w14:paraId="02EF62AF" w14:textId="77777777" w:rsidR="004D161C" w:rsidRDefault="004D161C">
            <w:pPr>
              <w:spacing w:after="0" w:line="240" w:lineRule="auto"/>
              <w:jc w:val="both"/>
            </w:pPr>
          </w:p>
          <w:p w14:paraId="34A98E3E" w14:textId="0B30CE1C" w:rsidR="004D161C" w:rsidRDefault="00097C9B">
            <w:pPr>
              <w:spacing w:after="0" w:line="240" w:lineRule="auto"/>
              <w:jc w:val="both"/>
            </w:pPr>
            <w:r>
              <w:t>Неуточнено на този етап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C2C2FB" w14:textId="77777777" w:rsidR="004D161C" w:rsidRDefault="00326BC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Източници на финансиране</w:t>
            </w:r>
          </w:p>
          <w:p w14:paraId="35BEFB97" w14:textId="77777777" w:rsidR="004D161C" w:rsidRDefault="004D161C">
            <w:pPr>
              <w:spacing w:after="0" w:line="240" w:lineRule="auto"/>
              <w:jc w:val="both"/>
            </w:pPr>
          </w:p>
          <w:p w14:paraId="7AC6929D" w14:textId="77777777" w:rsidR="004D161C" w:rsidRDefault="004D161C">
            <w:pPr>
              <w:spacing w:after="0" w:line="240" w:lineRule="auto"/>
              <w:jc w:val="both"/>
            </w:pPr>
          </w:p>
          <w:p w14:paraId="2EF38B2B" w14:textId="55DD129E" w:rsidR="004D161C" w:rsidRDefault="004D161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</w:p>
        </w:tc>
      </w:tr>
      <w:tr w:rsidR="004D161C" w14:paraId="6071E804" w14:textId="7777777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8CDD5E" w14:textId="77777777" w:rsidR="004D161C" w:rsidRDefault="004D161C">
            <w:pPr>
              <w:spacing w:before="120" w:after="12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152D25" w14:textId="77777777" w:rsidR="004D161C" w:rsidRDefault="004D161C">
            <w:pPr>
              <w:spacing w:before="120" w:after="120" w:line="240" w:lineRule="auto"/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</w:p>
        </w:tc>
      </w:tr>
    </w:tbl>
    <w:tbl>
      <w:tblPr>
        <w:tblStyle w:val="1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D161C" w14:paraId="18F55DEC" w14:textId="77777777">
        <w:tc>
          <w:tcPr>
            <w:tcW w:w="90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63BD5B" w14:textId="77777777" w:rsidR="004D161C" w:rsidRDefault="004D161C">
            <w:pPr>
              <w:jc w:val="both"/>
              <w:rPr>
                <w:rFonts w:ascii="Century Gothic" w:eastAsia="Century Gothic" w:hAnsi="Century Gothic" w:cs="Century Gothic"/>
                <w:color w:val="404040"/>
                <w:sz w:val="36"/>
                <w:szCs w:val="36"/>
              </w:rPr>
            </w:pPr>
          </w:p>
          <w:p w14:paraId="0B641139" w14:textId="77777777" w:rsidR="004D161C" w:rsidRDefault="00326BCC">
            <w:pPr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36"/>
                <w:szCs w:val="36"/>
              </w:rPr>
              <w:t>Област на въздействие</w:t>
            </w:r>
          </w:p>
        </w:tc>
      </w:tr>
      <w:tr w:rsidR="004D161C" w14:paraId="43093121" w14:textId="77777777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0F2A4" w14:textId="0E34E346" w:rsidR="004D161C" w:rsidRDefault="00326BCC" w:rsidP="00184D78">
            <w:pPr>
              <w:numPr>
                <w:ilvl w:val="1"/>
                <w:numId w:val="2"/>
              </w:numPr>
              <w:jc w:val="both"/>
            </w:pPr>
            <w:r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>[9.4.</w:t>
            </w:r>
            <w:r w:rsidR="0014172B"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>г</w:t>
            </w:r>
            <w:r>
              <w:rPr>
                <w:rFonts w:ascii="Century Gothic" w:eastAsia="Century Gothic" w:hAnsi="Century Gothic" w:cs="Century Gothic"/>
                <w:color w:val="404040"/>
                <w:sz w:val="28"/>
                <w:szCs w:val="28"/>
              </w:rPr>
              <w:t xml:space="preserve">.] </w:t>
            </w:r>
            <w:r w:rsidR="00184D78">
              <w:t xml:space="preserve"> </w:t>
            </w:r>
            <w:r w:rsidR="00184D78" w:rsidRPr="00184D78"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Подобряване на управлението на рисковете о</w:t>
            </w:r>
            <w:r w:rsidR="00CC2543"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>т бедствия, защита и сигурност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8"/>
                <w:szCs w:val="28"/>
              </w:rPr>
              <w:t xml:space="preserve"> </w:t>
            </w:r>
          </w:p>
        </w:tc>
      </w:tr>
      <w:tr w:rsidR="004D161C" w14:paraId="5ACEE9DF" w14:textId="77777777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3C50C" w14:textId="352CD333" w:rsidR="00184D78" w:rsidRDefault="00184D78">
            <w:pPr>
              <w:jc w:val="both"/>
              <w:rPr>
                <w:rFonts w:ascii="Century Gothic" w:eastAsia="Century Gothic" w:hAnsi="Century Gothic" w:cs="Century Gothic"/>
                <w:b/>
                <w:color w:val="404040"/>
              </w:rPr>
            </w:pPr>
            <w:r>
              <w:rPr>
                <w:color w:val="000000"/>
              </w:rPr>
              <w:t xml:space="preserve">Целта на подприоритета е да повишим капацитета на общините за справяне при бедствия, пожари и извънредни ситуации. Това ще се случи чрез техническото обезпечаване на доброволните формирования и насърчаване на гражданите за участие в състава на доброволните формирования, създадени по реда на Закона за защита при бедствия. За да бъдат технически обезпечени, е необходимо, доброволните формирования да разполагат със сграден фонд, пожарен/спасителен автомобил среден тип и необходимото оборудване към него. Насърчаването на гражданите ще се осъществи чрез информационно разяснителни кампании и медийни изяви, стремейки се да достигнем общо 5875 доброволци на територията на цялата страна. </w:t>
            </w:r>
          </w:p>
          <w:p w14:paraId="0EFBD0C3" w14:textId="4814BA81" w:rsidR="004D161C" w:rsidRDefault="00326BCC">
            <w:pPr>
              <w:jc w:val="both"/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Съотносими Цели за устойчиво развитие на ООН</w:t>
            </w:r>
            <w:r>
              <w:t xml:space="preserve"> </w:t>
            </w:r>
          </w:p>
          <w:p w14:paraId="6D847113" w14:textId="77777777" w:rsidR="004D161C" w:rsidRDefault="00326BCC">
            <w:pPr>
              <w:jc w:val="both"/>
            </w:pPr>
            <w:r>
              <w:t xml:space="preserve">Цел 11 „Превръщане на градовете и селищата в приобщаващи, безопасни, адаптивни и устойчиви места за живеене“  </w:t>
            </w:r>
          </w:p>
          <w:p w14:paraId="0CF2D480" w14:textId="77777777" w:rsidR="004D161C" w:rsidRDefault="004D161C">
            <w:pPr>
              <w:jc w:val="both"/>
            </w:pPr>
          </w:p>
        </w:tc>
      </w:tr>
      <w:tr w:rsidR="004D161C" w14:paraId="30715407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EEEF2C4" w14:textId="77777777" w:rsidR="004D161C" w:rsidRDefault="00326BCC">
            <w:pPr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Оценка на необходим финансов ресурс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FE4327A" w14:textId="77777777" w:rsidR="004D161C" w:rsidRDefault="00326BCC">
            <w:pPr>
              <w:jc w:val="both"/>
              <w:rPr>
                <w:rFonts w:ascii="Century Gothic" w:eastAsia="Century Gothic" w:hAnsi="Century Gothic" w:cs="Century Gothic"/>
                <w:color w:val="40404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Източници на финансиране</w:t>
            </w:r>
          </w:p>
        </w:tc>
      </w:tr>
      <w:tr w:rsidR="004D161C" w14:paraId="38ACE091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8FD0423" w14:textId="5C0A392C" w:rsidR="004D161C" w:rsidRDefault="00B06489">
            <w:pPr>
              <w:jc w:val="both"/>
            </w:pPr>
            <w:r>
              <w:t xml:space="preserve">Неуточнено на този етап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D94988B" w14:textId="3B98B211" w:rsidR="004D161C" w:rsidRDefault="004D161C">
            <w:pPr>
              <w:jc w:val="both"/>
            </w:pPr>
          </w:p>
        </w:tc>
      </w:tr>
    </w:tbl>
    <w:p w14:paraId="5B2FECDF" w14:textId="77777777" w:rsidR="004D161C" w:rsidRDefault="004D161C">
      <w:pPr>
        <w:jc w:val="both"/>
      </w:pPr>
    </w:p>
    <w:sectPr w:rsidR="004D161C">
      <w:footerReference w:type="default" r:id="rId8"/>
      <w:pgSz w:w="11906" w:h="16838"/>
      <w:pgMar w:top="993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CF041" w16cex:dateUtc="2020-05-18T08:30:00Z"/>
  <w16cex:commentExtensible w16cex:durableId="226CF37B" w16cex:dateUtc="2020-05-18T08:43:00Z"/>
  <w16cex:commentExtensible w16cex:durableId="226CE135" w16cex:dateUtc="2020-05-18T07:25:00Z"/>
  <w16cex:commentExtensible w16cex:durableId="226CE64F" w16cex:dateUtc="2020-05-18T07:47:00Z"/>
  <w16cex:commentExtensible w16cex:durableId="22515F9F" w16cex:dateUtc="2020-04-27T10:41:00Z"/>
  <w16cex:commentExtensible w16cex:durableId="22516576" w16cex:dateUtc="2020-04-27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7CFFE9" w16cid:durableId="226CE0E6"/>
  <w16cid:commentId w16cid:paraId="2C55ED7B" w16cid:durableId="225BE794"/>
  <w16cid:commentId w16cid:paraId="78DCC460" w16cid:durableId="226CE0E9"/>
  <w16cid:commentId w16cid:paraId="458E42E9" w16cid:durableId="226CE0EA"/>
  <w16cid:commentId w16cid:paraId="3846DB9C" w16cid:durableId="225120E8"/>
  <w16cid:commentId w16cid:paraId="0D37E3AC" w16cid:durableId="225BE799"/>
  <w16cid:commentId w16cid:paraId="1163B642" w16cid:durableId="225120E9"/>
  <w16cid:commentId w16cid:paraId="47D56DEB" w16cid:durableId="225BE79B"/>
  <w16cid:commentId w16cid:paraId="300E3F11" w16cid:durableId="226CF041"/>
  <w16cid:commentId w16cid:paraId="44DACDC4" w16cid:durableId="226CF37B"/>
  <w16cid:commentId w16cid:paraId="0E0B6123" w16cid:durableId="225120F6"/>
  <w16cid:commentId w16cid:paraId="21714A46" w16cid:durableId="226CE135"/>
  <w16cid:commentId w16cid:paraId="5D1AE24E" w16cid:durableId="226CE20F"/>
  <w16cid:commentId w16cid:paraId="7DD3CF6E" w16cid:durableId="226CE604"/>
  <w16cid:commentId w16cid:paraId="6EBFB7E5" w16cid:durableId="226CE64F"/>
  <w16cid:commentId w16cid:paraId="432CF9A1" w16cid:durableId="225BE7B1"/>
  <w16cid:commentId w16cid:paraId="2F71709A" w16cid:durableId="225BE7B2"/>
  <w16cid:commentId w16cid:paraId="63671E86" w16cid:durableId="225120FA"/>
  <w16cid:commentId w16cid:paraId="0EF540FE" w16cid:durableId="22515F9F"/>
  <w16cid:commentId w16cid:paraId="65DB1351" w16cid:durableId="226CE0FB"/>
  <w16cid:commentId w16cid:paraId="6A81AD3A" w16cid:durableId="225120FB"/>
  <w16cid:commentId w16cid:paraId="525B877D" w16cid:durableId="226CE0FD"/>
  <w16cid:commentId w16cid:paraId="32FB6A84" w16cid:durableId="226CE0FE"/>
  <w16cid:commentId w16cid:paraId="78089840" w16cid:durableId="226CE0FF"/>
  <w16cid:commentId w16cid:paraId="4DF5B2E1" w16cid:durableId="226CE100"/>
  <w16cid:commentId w16cid:paraId="41BB48DC" w16cid:durableId="226CE102"/>
  <w16cid:commentId w16cid:paraId="44616339" w16cid:durableId="225120FE"/>
  <w16cid:commentId w16cid:paraId="37DDA2F8" w16cid:durableId="22516576"/>
  <w16cid:commentId w16cid:paraId="69618CE3" w16cid:durableId="226CE105"/>
  <w16cid:commentId w16cid:paraId="0BF0AB0A" w16cid:durableId="226CE1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13541" w14:textId="77777777" w:rsidR="00E33408" w:rsidRDefault="00E33408">
      <w:pPr>
        <w:spacing w:after="0" w:line="240" w:lineRule="auto"/>
      </w:pPr>
      <w:r>
        <w:separator/>
      </w:r>
    </w:p>
  </w:endnote>
  <w:endnote w:type="continuationSeparator" w:id="0">
    <w:p w14:paraId="7DF96220" w14:textId="77777777" w:rsidR="00E33408" w:rsidRDefault="00E3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altName w:val="AvantGarde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CDD06" w14:textId="10DF1C3D" w:rsidR="00EE2A93" w:rsidRDefault="00EE2A9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F481A">
      <w:rPr>
        <w:noProof/>
        <w:color w:val="000000"/>
      </w:rPr>
      <w:t>1</w:t>
    </w:r>
    <w:r>
      <w:rPr>
        <w:color w:val="000000"/>
      </w:rPr>
      <w:fldChar w:fldCharType="end"/>
    </w:r>
  </w:p>
  <w:p w14:paraId="2DE7FFF4" w14:textId="77777777" w:rsidR="00EE2A93" w:rsidRDefault="00EE2A9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E0969" w14:textId="77777777" w:rsidR="00E33408" w:rsidRDefault="00E33408">
      <w:pPr>
        <w:spacing w:after="0" w:line="240" w:lineRule="auto"/>
      </w:pPr>
      <w:r>
        <w:separator/>
      </w:r>
    </w:p>
  </w:footnote>
  <w:footnote w:type="continuationSeparator" w:id="0">
    <w:p w14:paraId="1C019275" w14:textId="77777777" w:rsidR="00E33408" w:rsidRDefault="00E33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468DF"/>
    <w:multiLevelType w:val="hybridMultilevel"/>
    <w:tmpl w:val="55C26946"/>
    <w:lvl w:ilvl="0" w:tplc="CA30226E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A3A224C"/>
    <w:multiLevelType w:val="hybridMultilevel"/>
    <w:tmpl w:val="F940CF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F5473"/>
    <w:multiLevelType w:val="multilevel"/>
    <w:tmpl w:val="0FA0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295167"/>
    <w:multiLevelType w:val="multilevel"/>
    <w:tmpl w:val="C6DA3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EB594F"/>
    <w:multiLevelType w:val="hybridMultilevel"/>
    <w:tmpl w:val="0ACA308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510F6"/>
    <w:multiLevelType w:val="multilevel"/>
    <w:tmpl w:val="AB86E18E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7DA5177"/>
    <w:multiLevelType w:val="hybridMultilevel"/>
    <w:tmpl w:val="4D2AA5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1C"/>
    <w:rsid w:val="000133E0"/>
    <w:rsid w:val="0002141F"/>
    <w:rsid w:val="00021BEB"/>
    <w:rsid w:val="0002310E"/>
    <w:rsid w:val="00031140"/>
    <w:rsid w:val="00032DB1"/>
    <w:rsid w:val="0003636E"/>
    <w:rsid w:val="00041462"/>
    <w:rsid w:val="000579EA"/>
    <w:rsid w:val="00072185"/>
    <w:rsid w:val="00082D09"/>
    <w:rsid w:val="00083F7C"/>
    <w:rsid w:val="00084D63"/>
    <w:rsid w:val="00087BDB"/>
    <w:rsid w:val="00092702"/>
    <w:rsid w:val="00094769"/>
    <w:rsid w:val="0009539E"/>
    <w:rsid w:val="00097C9B"/>
    <w:rsid w:val="000B0380"/>
    <w:rsid w:val="000B1BF6"/>
    <w:rsid w:val="000B7A39"/>
    <w:rsid w:val="000D7F28"/>
    <w:rsid w:val="000E0357"/>
    <w:rsid w:val="000E1586"/>
    <w:rsid w:val="000E3B47"/>
    <w:rsid w:val="000E67D3"/>
    <w:rsid w:val="000F1FB6"/>
    <w:rsid w:val="000F3CCD"/>
    <w:rsid w:val="000F7CD2"/>
    <w:rsid w:val="001138E1"/>
    <w:rsid w:val="00113DFD"/>
    <w:rsid w:val="00121108"/>
    <w:rsid w:val="00127C3B"/>
    <w:rsid w:val="0014172B"/>
    <w:rsid w:val="00142812"/>
    <w:rsid w:val="00144DE6"/>
    <w:rsid w:val="0014798B"/>
    <w:rsid w:val="00153513"/>
    <w:rsid w:val="0015443A"/>
    <w:rsid w:val="001615A7"/>
    <w:rsid w:val="00166A25"/>
    <w:rsid w:val="00166EE6"/>
    <w:rsid w:val="00170E3F"/>
    <w:rsid w:val="00170EC4"/>
    <w:rsid w:val="0017276B"/>
    <w:rsid w:val="00172B8B"/>
    <w:rsid w:val="001764CE"/>
    <w:rsid w:val="0017747B"/>
    <w:rsid w:val="00177D3E"/>
    <w:rsid w:val="00181662"/>
    <w:rsid w:val="00184A71"/>
    <w:rsid w:val="00184D78"/>
    <w:rsid w:val="00186FA4"/>
    <w:rsid w:val="001913D3"/>
    <w:rsid w:val="00191880"/>
    <w:rsid w:val="00191E30"/>
    <w:rsid w:val="001931E6"/>
    <w:rsid w:val="0019362C"/>
    <w:rsid w:val="00196A11"/>
    <w:rsid w:val="00196CBF"/>
    <w:rsid w:val="001A09AF"/>
    <w:rsid w:val="001A21AA"/>
    <w:rsid w:val="001A6637"/>
    <w:rsid w:val="001B0CC9"/>
    <w:rsid w:val="001B5675"/>
    <w:rsid w:val="001D32D9"/>
    <w:rsid w:val="001E0240"/>
    <w:rsid w:val="001E178C"/>
    <w:rsid w:val="001E3A9C"/>
    <w:rsid w:val="001F2722"/>
    <w:rsid w:val="001F60F2"/>
    <w:rsid w:val="00201A42"/>
    <w:rsid w:val="00205038"/>
    <w:rsid w:val="00211716"/>
    <w:rsid w:val="002162BC"/>
    <w:rsid w:val="00221493"/>
    <w:rsid w:val="002215DE"/>
    <w:rsid w:val="002239E8"/>
    <w:rsid w:val="0022678D"/>
    <w:rsid w:val="0023359B"/>
    <w:rsid w:val="002356B9"/>
    <w:rsid w:val="00236E97"/>
    <w:rsid w:val="002500C9"/>
    <w:rsid w:val="0025194E"/>
    <w:rsid w:val="00251F65"/>
    <w:rsid w:val="002541A1"/>
    <w:rsid w:val="002544D2"/>
    <w:rsid w:val="00255B2A"/>
    <w:rsid w:val="00264A33"/>
    <w:rsid w:val="00280771"/>
    <w:rsid w:val="00287415"/>
    <w:rsid w:val="00296661"/>
    <w:rsid w:val="002A0033"/>
    <w:rsid w:val="002A4290"/>
    <w:rsid w:val="002A482E"/>
    <w:rsid w:val="002B6E5D"/>
    <w:rsid w:val="002C38A5"/>
    <w:rsid w:val="002C47E2"/>
    <w:rsid w:val="002C55BF"/>
    <w:rsid w:val="002D1BCD"/>
    <w:rsid w:val="002D5EB1"/>
    <w:rsid w:val="002E4DEA"/>
    <w:rsid w:val="002E5A7F"/>
    <w:rsid w:val="002E673B"/>
    <w:rsid w:val="002E77A2"/>
    <w:rsid w:val="002F2C50"/>
    <w:rsid w:val="002F6249"/>
    <w:rsid w:val="00303413"/>
    <w:rsid w:val="00303CE2"/>
    <w:rsid w:val="00310DBC"/>
    <w:rsid w:val="00317A3C"/>
    <w:rsid w:val="00326BCC"/>
    <w:rsid w:val="0033363A"/>
    <w:rsid w:val="00345F24"/>
    <w:rsid w:val="00366287"/>
    <w:rsid w:val="003667EA"/>
    <w:rsid w:val="0038279D"/>
    <w:rsid w:val="00385734"/>
    <w:rsid w:val="003929EC"/>
    <w:rsid w:val="00394C3E"/>
    <w:rsid w:val="00395E4D"/>
    <w:rsid w:val="00396162"/>
    <w:rsid w:val="003C016F"/>
    <w:rsid w:val="003C329C"/>
    <w:rsid w:val="003C4748"/>
    <w:rsid w:val="003D248B"/>
    <w:rsid w:val="003E4A4C"/>
    <w:rsid w:val="003F03A6"/>
    <w:rsid w:val="003F17BF"/>
    <w:rsid w:val="003F7D8A"/>
    <w:rsid w:val="00400B34"/>
    <w:rsid w:val="00413603"/>
    <w:rsid w:val="00414316"/>
    <w:rsid w:val="00417AB3"/>
    <w:rsid w:val="00420A68"/>
    <w:rsid w:val="00434A92"/>
    <w:rsid w:val="00437B5E"/>
    <w:rsid w:val="00441C84"/>
    <w:rsid w:val="0045497A"/>
    <w:rsid w:val="004552D8"/>
    <w:rsid w:val="0045599D"/>
    <w:rsid w:val="00471207"/>
    <w:rsid w:val="004769AD"/>
    <w:rsid w:val="004816F5"/>
    <w:rsid w:val="00487E59"/>
    <w:rsid w:val="00491A0B"/>
    <w:rsid w:val="00493E29"/>
    <w:rsid w:val="004C0909"/>
    <w:rsid w:val="004C4032"/>
    <w:rsid w:val="004D12DF"/>
    <w:rsid w:val="004D161C"/>
    <w:rsid w:val="004F0156"/>
    <w:rsid w:val="004F0A51"/>
    <w:rsid w:val="005135E6"/>
    <w:rsid w:val="00526006"/>
    <w:rsid w:val="0053143D"/>
    <w:rsid w:val="005339F3"/>
    <w:rsid w:val="00535734"/>
    <w:rsid w:val="00537C12"/>
    <w:rsid w:val="005448F0"/>
    <w:rsid w:val="005460CE"/>
    <w:rsid w:val="005572F9"/>
    <w:rsid w:val="00575A91"/>
    <w:rsid w:val="005A02CA"/>
    <w:rsid w:val="005A2378"/>
    <w:rsid w:val="005A27FA"/>
    <w:rsid w:val="005A6384"/>
    <w:rsid w:val="005B2DA6"/>
    <w:rsid w:val="005B4DB8"/>
    <w:rsid w:val="005D031A"/>
    <w:rsid w:val="005E1627"/>
    <w:rsid w:val="005F032A"/>
    <w:rsid w:val="006138BB"/>
    <w:rsid w:val="00624281"/>
    <w:rsid w:val="006357AE"/>
    <w:rsid w:val="00643687"/>
    <w:rsid w:val="00652C1F"/>
    <w:rsid w:val="0067355B"/>
    <w:rsid w:val="00677A57"/>
    <w:rsid w:val="00696858"/>
    <w:rsid w:val="00696F09"/>
    <w:rsid w:val="00697E24"/>
    <w:rsid w:val="006A5C4A"/>
    <w:rsid w:val="006C4108"/>
    <w:rsid w:val="006D1A5C"/>
    <w:rsid w:val="006D6BEC"/>
    <w:rsid w:val="006E7958"/>
    <w:rsid w:val="006F2CB8"/>
    <w:rsid w:val="00704A9D"/>
    <w:rsid w:val="00711018"/>
    <w:rsid w:val="007146DB"/>
    <w:rsid w:val="00715C4D"/>
    <w:rsid w:val="00731E34"/>
    <w:rsid w:val="00733C1D"/>
    <w:rsid w:val="007421C8"/>
    <w:rsid w:val="0074486E"/>
    <w:rsid w:val="00764F3B"/>
    <w:rsid w:val="00770526"/>
    <w:rsid w:val="00773BC4"/>
    <w:rsid w:val="00775B6C"/>
    <w:rsid w:val="00781C7C"/>
    <w:rsid w:val="00796D1B"/>
    <w:rsid w:val="007A0C8E"/>
    <w:rsid w:val="007B2BA4"/>
    <w:rsid w:val="007B3FEC"/>
    <w:rsid w:val="007C3EEB"/>
    <w:rsid w:val="007C505E"/>
    <w:rsid w:val="007C513D"/>
    <w:rsid w:val="007D57CB"/>
    <w:rsid w:val="007E64D8"/>
    <w:rsid w:val="007F2DBB"/>
    <w:rsid w:val="007F4126"/>
    <w:rsid w:val="007F43E5"/>
    <w:rsid w:val="007F7179"/>
    <w:rsid w:val="008014AB"/>
    <w:rsid w:val="00804963"/>
    <w:rsid w:val="00810863"/>
    <w:rsid w:val="0081470F"/>
    <w:rsid w:val="00822831"/>
    <w:rsid w:val="00823998"/>
    <w:rsid w:val="008420C6"/>
    <w:rsid w:val="00855A13"/>
    <w:rsid w:val="00862C57"/>
    <w:rsid w:val="00862D80"/>
    <w:rsid w:val="00866CE6"/>
    <w:rsid w:val="008816F8"/>
    <w:rsid w:val="0088784F"/>
    <w:rsid w:val="00894C0C"/>
    <w:rsid w:val="00897AFD"/>
    <w:rsid w:val="008A59FD"/>
    <w:rsid w:val="008B28B3"/>
    <w:rsid w:val="008C4B07"/>
    <w:rsid w:val="008D0205"/>
    <w:rsid w:val="009041B4"/>
    <w:rsid w:val="00917129"/>
    <w:rsid w:val="00920844"/>
    <w:rsid w:val="0093076B"/>
    <w:rsid w:val="009328F9"/>
    <w:rsid w:val="009376C1"/>
    <w:rsid w:val="0094092B"/>
    <w:rsid w:val="009412F4"/>
    <w:rsid w:val="00947F70"/>
    <w:rsid w:val="00951C1E"/>
    <w:rsid w:val="009611D5"/>
    <w:rsid w:val="00974082"/>
    <w:rsid w:val="00985D34"/>
    <w:rsid w:val="00986A42"/>
    <w:rsid w:val="0099618B"/>
    <w:rsid w:val="009975A8"/>
    <w:rsid w:val="009A1494"/>
    <w:rsid w:val="009A3566"/>
    <w:rsid w:val="009A714A"/>
    <w:rsid w:val="009B5319"/>
    <w:rsid w:val="009B6DB6"/>
    <w:rsid w:val="009C4EBC"/>
    <w:rsid w:val="009D0277"/>
    <w:rsid w:val="009E0AFA"/>
    <w:rsid w:val="009E53D1"/>
    <w:rsid w:val="009F0589"/>
    <w:rsid w:val="00A1043D"/>
    <w:rsid w:val="00A1176C"/>
    <w:rsid w:val="00A34DC2"/>
    <w:rsid w:val="00A42880"/>
    <w:rsid w:val="00A45D78"/>
    <w:rsid w:val="00A57BCC"/>
    <w:rsid w:val="00A612B8"/>
    <w:rsid w:val="00A71A3F"/>
    <w:rsid w:val="00A74C77"/>
    <w:rsid w:val="00A75DD4"/>
    <w:rsid w:val="00A80286"/>
    <w:rsid w:val="00A84F76"/>
    <w:rsid w:val="00A878B0"/>
    <w:rsid w:val="00A87BCA"/>
    <w:rsid w:val="00A935D5"/>
    <w:rsid w:val="00AA0AA4"/>
    <w:rsid w:val="00AA6429"/>
    <w:rsid w:val="00AA650B"/>
    <w:rsid w:val="00AA6B6F"/>
    <w:rsid w:val="00AB578C"/>
    <w:rsid w:val="00AC2319"/>
    <w:rsid w:val="00AD2453"/>
    <w:rsid w:val="00AD3DA0"/>
    <w:rsid w:val="00AD4409"/>
    <w:rsid w:val="00AE4D59"/>
    <w:rsid w:val="00AF6979"/>
    <w:rsid w:val="00B00B81"/>
    <w:rsid w:val="00B06489"/>
    <w:rsid w:val="00B06A72"/>
    <w:rsid w:val="00B12919"/>
    <w:rsid w:val="00B143F7"/>
    <w:rsid w:val="00B253EE"/>
    <w:rsid w:val="00B253F7"/>
    <w:rsid w:val="00B26C8C"/>
    <w:rsid w:val="00B3233D"/>
    <w:rsid w:val="00B345D0"/>
    <w:rsid w:val="00B356ED"/>
    <w:rsid w:val="00B43DC5"/>
    <w:rsid w:val="00B50D55"/>
    <w:rsid w:val="00B5453C"/>
    <w:rsid w:val="00B63599"/>
    <w:rsid w:val="00B65DD0"/>
    <w:rsid w:val="00B6673D"/>
    <w:rsid w:val="00B66B17"/>
    <w:rsid w:val="00B674A2"/>
    <w:rsid w:val="00B72797"/>
    <w:rsid w:val="00B76B39"/>
    <w:rsid w:val="00B819F2"/>
    <w:rsid w:val="00B9353B"/>
    <w:rsid w:val="00B9385D"/>
    <w:rsid w:val="00B97D27"/>
    <w:rsid w:val="00BA1849"/>
    <w:rsid w:val="00BB1834"/>
    <w:rsid w:val="00BB577F"/>
    <w:rsid w:val="00BC4425"/>
    <w:rsid w:val="00BD64D5"/>
    <w:rsid w:val="00BE4A2E"/>
    <w:rsid w:val="00BE4C17"/>
    <w:rsid w:val="00BE57C4"/>
    <w:rsid w:val="00BF5F24"/>
    <w:rsid w:val="00BF706B"/>
    <w:rsid w:val="00C018AC"/>
    <w:rsid w:val="00C0648C"/>
    <w:rsid w:val="00C1034D"/>
    <w:rsid w:val="00C16FDD"/>
    <w:rsid w:val="00C2384E"/>
    <w:rsid w:val="00C23A38"/>
    <w:rsid w:val="00C30B55"/>
    <w:rsid w:val="00C57357"/>
    <w:rsid w:val="00C678F2"/>
    <w:rsid w:val="00C8197F"/>
    <w:rsid w:val="00C87958"/>
    <w:rsid w:val="00C906B8"/>
    <w:rsid w:val="00C9329D"/>
    <w:rsid w:val="00C93AC1"/>
    <w:rsid w:val="00C96F55"/>
    <w:rsid w:val="00CC1DAB"/>
    <w:rsid w:val="00CC2543"/>
    <w:rsid w:val="00CC7D60"/>
    <w:rsid w:val="00CF17F3"/>
    <w:rsid w:val="00D02441"/>
    <w:rsid w:val="00D034DD"/>
    <w:rsid w:val="00D24977"/>
    <w:rsid w:val="00D25452"/>
    <w:rsid w:val="00D270C5"/>
    <w:rsid w:val="00D310A3"/>
    <w:rsid w:val="00D372D8"/>
    <w:rsid w:val="00D402A1"/>
    <w:rsid w:val="00D4055D"/>
    <w:rsid w:val="00D4188C"/>
    <w:rsid w:val="00D443F2"/>
    <w:rsid w:val="00D44F0D"/>
    <w:rsid w:val="00D53016"/>
    <w:rsid w:val="00D56074"/>
    <w:rsid w:val="00D6091F"/>
    <w:rsid w:val="00D60FD6"/>
    <w:rsid w:val="00D649F2"/>
    <w:rsid w:val="00D651BC"/>
    <w:rsid w:val="00D76611"/>
    <w:rsid w:val="00D768A1"/>
    <w:rsid w:val="00D87637"/>
    <w:rsid w:val="00D90255"/>
    <w:rsid w:val="00DA5D1C"/>
    <w:rsid w:val="00DA6307"/>
    <w:rsid w:val="00DA6A79"/>
    <w:rsid w:val="00DA7EEB"/>
    <w:rsid w:val="00DB4764"/>
    <w:rsid w:val="00DB649F"/>
    <w:rsid w:val="00DB7E51"/>
    <w:rsid w:val="00DD0AA6"/>
    <w:rsid w:val="00DD2D56"/>
    <w:rsid w:val="00DE0A63"/>
    <w:rsid w:val="00DF0D87"/>
    <w:rsid w:val="00DF481A"/>
    <w:rsid w:val="00E12D3D"/>
    <w:rsid w:val="00E15BFD"/>
    <w:rsid w:val="00E22EB7"/>
    <w:rsid w:val="00E25E61"/>
    <w:rsid w:val="00E26CDD"/>
    <w:rsid w:val="00E33408"/>
    <w:rsid w:val="00E5395C"/>
    <w:rsid w:val="00E54BB6"/>
    <w:rsid w:val="00E7475B"/>
    <w:rsid w:val="00EA2BDB"/>
    <w:rsid w:val="00EA5ED7"/>
    <w:rsid w:val="00EB18E8"/>
    <w:rsid w:val="00EB26F7"/>
    <w:rsid w:val="00EE0748"/>
    <w:rsid w:val="00EE2A93"/>
    <w:rsid w:val="00F01131"/>
    <w:rsid w:val="00F017FB"/>
    <w:rsid w:val="00F031C9"/>
    <w:rsid w:val="00F03C58"/>
    <w:rsid w:val="00F07E02"/>
    <w:rsid w:val="00F1131A"/>
    <w:rsid w:val="00F14C0B"/>
    <w:rsid w:val="00F15ACD"/>
    <w:rsid w:val="00F321B2"/>
    <w:rsid w:val="00F41A14"/>
    <w:rsid w:val="00F42CB1"/>
    <w:rsid w:val="00F45889"/>
    <w:rsid w:val="00F46857"/>
    <w:rsid w:val="00F46E86"/>
    <w:rsid w:val="00F61FFA"/>
    <w:rsid w:val="00F62BC3"/>
    <w:rsid w:val="00F65D8D"/>
    <w:rsid w:val="00F70E0C"/>
    <w:rsid w:val="00F75DE2"/>
    <w:rsid w:val="00F84E8C"/>
    <w:rsid w:val="00F91266"/>
    <w:rsid w:val="00F97A84"/>
    <w:rsid w:val="00FB1F84"/>
    <w:rsid w:val="00FB2962"/>
    <w:rsid w:val="00FB33F3"/>
    <w:rsid w:val="00FB475E"/>
    <w:rsid w:val="00FB7C4F"/>
    <w:rsid w:val="00FC2D35"/>
    <w:rsid w:val="00FC450A"/>
    <w:rsid w:val="00FC5F1A"/>
    <w:rsid w:val="00FD26F7"/>
    <w:rsid w:val="00FE1AF0"/>
    <w:rsid w:val="00FE2E20"/>
    <w:rsid w:val="00FE7694"/>
    <w:rsid w:val="00FF0368"/>
    <w:rsid w:val="00FF4382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EE321"/>
  <w15:docId w15:val="{3EE6E41C-F017-4F42-B576-ACA37ADD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E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DE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14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C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035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372D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0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1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61BD2-58DA-4EDE-B83B-32A78F86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3295</Words>
  <Characters>18784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Маринова</dc:creator>
  <cp:lastModifiedBy>Desi Todorova</cp:lastModifiedBy>
  <cp:revision>45</cp:revision>
  <dcterms:created xsi:type="dcterms:W3CDTF">2020-05-20T12:05:00Z</dcterms:created>
  <dcterms:modified xsi:type="dcterms:W3CDTF">2020-05-22T08:47:00Z</dcterms:modified>
</cp:coreProperties>
</file>