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97019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УСТРОЙСТВЕН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ПРАВИЛНИК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МИНИСТЕРСТВОТО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РЕГИОНАЛНОТО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РАЗВИТИЕ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БЛАГОУСТРОЙСТВОТО</w:t>
      </w:r>
    </w:p>
    <w:p w:rsidR="00000000" w:rsidRDefault="00997019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сила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22.08.2017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997019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Приет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ПМС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№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171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16.08.2017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997019">
      <w:pPr>
        <w:spacing w:before="283"/>
        <w:ind w:firstLine="850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Обн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Септември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.57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26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2020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997019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персонала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наричано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17 - 19.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нципите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прозрачност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субординация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безпристрастност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БЛАГОУСТРОЙСТВОТО</w:t>
      </w:r>
    </w:p>
    <w:p w:rsidR="00000000" w:rsidRDefault="00997019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наричан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делегира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законоуст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отпуск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министъра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децентрализация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отрасъл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усъвършенстването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функциониранет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хармонизиране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2007 - 2013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2014 - 2020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2014 - 2020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Тематичната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2021 - 2027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трансгранично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съфинансирани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предприсъединителна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2007 - 2013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2014 - 2020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2021 - 2027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Северна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Македония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Сърбия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2007 - 2013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2014 - 2020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трансгранично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Гърция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2007 - 2013,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трансгранично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Румъния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2007 - 2013,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басейн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2007 - 2013,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Югоизточна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2007 - 2013,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ИНТЕРРЕГ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IVC,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ЕСПОН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ІІ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ИНТЕРРЕГ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V-A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Гърция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2014 - 2020,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ИНТЕРРЕГ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V-A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Румъния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2014 - 2020,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басейн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2014 - 2020,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Дунав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2014 - 2020,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Балкани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Средиземно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2014 - 2020,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ИНТЕРРЕГ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2014 - 2020,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ІІІ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ЕСПОН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2021 - 2027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2014 - 2020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2021 - 2027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661/2014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(EC) 966/2012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Солидарност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Дунавския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МППРБ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киберсигурност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питейна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рядко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веднъж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взаимодейства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рудничи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Политически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кабинет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подчинение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кабинет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правителствената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сферата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кабинет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съвещателни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правителств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сферата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кабинет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съвещателните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кабинет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кабинет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кабине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кабинет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кабинет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съвещанията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кабинет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кабинет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кабинет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кабинет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кабинет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Парламентарният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кореспонденция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дебатите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кабинет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ъководени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парламентарния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кабинет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парламентарния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":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имидж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кабинет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кабинет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пресконференциите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нагласите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бизнес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браншови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4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официалната интернет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кабинет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правителствения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пресцентър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двустранното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многостранното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ангажиментите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рдинация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Дунавското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партньорите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спогодби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сравнителни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спогодби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меморандуми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сферата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донори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Югоизточна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Централноевропейската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междуправителствени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кабинет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парламентарният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подчинение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кабинет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кабинет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СТРУКТУРА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МИНИСТЕРСТВОТО</w:t>
      </w:r>
    </w:p>
    <w:p w:rsidR="00000000" w:rsidRDefault="00997019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персонала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щатни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персонала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секретар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делегираните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вътрешноведомствената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Инспекторат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подчинение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корупцията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извънпланови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корупционния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корупция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неефективна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корупцията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вътрешноведомствените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дисциплинарно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прокуратурата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вътрешноведомствените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календарна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контрольори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ЗФУКПС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методологията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 "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".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мрежова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подчинение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поддръжката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хардуер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софтуер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рядко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веднъж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инцидентите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форсмажорни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инцидентите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реагиране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инциденти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киберсигурност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инциденти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реагиране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инциденти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инциденти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инцидентите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еднотипн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инциденти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загубите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софтуер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фърмуер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появата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киберзаплахи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вируси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зловреден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адекватни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противодействиет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уязвимости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анкети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97019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Вътрешен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одит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"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подчинение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":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ангажимент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времетраене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ангажимента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идентифициране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надеждността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всеобхватността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ефикасността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ангажименти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одитирана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ангажимент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проследяване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адекватността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своевременността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обобщен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97019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администрация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":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оптимизиране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прогнози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дбора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персонала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щатни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кариерата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персонала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деловодната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посредством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автоматизирана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еспонденция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деловодния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резолюциите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кабинет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":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Сметкопла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Кохезионния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ориентира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Сметкоплана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ежемесечни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сборни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ансов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дисцип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своевременното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извънпланови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инвентаризации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пенсионирането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инвентаризации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отработеното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консолидирано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прогноза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проектобюджет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прогноза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проектобюджет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ежемесечно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лимит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разплащания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лимита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разплащания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консолидирани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ежемесечни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полугодието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капиталовите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капиталовите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окомплектува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ежемесечни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шифровки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поддръжката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поддръжката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водопроводната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почистването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оносъобразното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инвентар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обзавеждане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поддръжката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":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арбитражни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усъвършенстването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одържавени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ЗОСОИ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":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всекидневно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прозрачност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пресконференции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интервюта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кабинет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осведомяване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всекидневно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осъвременяв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5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страницата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английски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своевременното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непрекъсната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кореспонденция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кореспонденция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ореспонденция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семинари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дискусии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кабинет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делегации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легации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кореспонденция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партньори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кореспонденция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междуправителствени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логистич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подкрепа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спогодби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сравнителни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спогодби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партньорите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Брюксел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нагласите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аналитичните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изнесените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браншови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бизнес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аналитичните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тенденциите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кабинет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индикации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сфери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рефлектиращи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двустранното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многостранното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ангажиментите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Дунавското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42.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меморандуми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сферата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донори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":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поддръжката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уникационните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МРРБ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питейна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реагиране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инциденти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питейна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внедряване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МРРБ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ражданска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МРРБ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вътрешноведомств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ключ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МРРБ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софтуер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телекомуникационни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периферната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софтуерни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готовност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готовност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военновременен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готовност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тероризма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делегираните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непрекъснато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онощно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дежурство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оповестяване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стерства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въоръжените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пропускателен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противопожарна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еждународните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ифицираната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":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hyperlink r:id="rId6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Официален вестник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Специализирана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администрация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):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Локална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ЛБД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РБД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презареждане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ЛБД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РБД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НБД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");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НБД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референдуми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":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ежедневното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файлове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ежедневно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ЛБД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ЛБД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референдуми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СППРР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"):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2021 - 2027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2014 - 2020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.: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2014 - 2020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партньорство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балансирано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индикатор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2014 - 2020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 2014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междинните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Приоритетна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2014 - 2020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2014 - 2020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2014 - 2020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бенефициенти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2014 - 2020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2014 - 2020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секретариат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поддръжката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достоверни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индикаторите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hyperlink r:id="rId7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ИСУН 2020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2014 - 2020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методическ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бенефициентите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ангажирани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2014 - 2020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бенефициентите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2014 - 2020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оносъобразността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надеждно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2014 - 2020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популяризиране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2014 - 2020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2014 - 2020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надеждна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бенефициент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Приоритетна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2014 - 2020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Приоритетна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бенефициенти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СППРР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 201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4 - 2020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компютризиран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2014 - 2020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Сертифициращия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2014 - 2020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неправомерно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неправомерно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неправомерно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усвоени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неверифициране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ю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2014 - 2020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2014 - 2020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ARACHNE,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пропорционално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корупция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2007 - 2013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Кохезион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Солидарност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.: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Солидарно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2012/2002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Солидарност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661/2014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2020/461;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Солидарност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Солидарност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.: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усъвършенстване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хармонизация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ефикасното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секретариат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съфинансирани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бенефициент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партньор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неблагоприятни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географски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демографски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МППРБ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секретариат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МППРБ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МППРБ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МППРБ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екологична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МППРБ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МРРБ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СППРР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СППРР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СППРР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трансгранично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предприсъединителна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2007 - 2013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Северна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Македония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Сърбия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предприсъединителна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2014 - 2020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Северна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Македония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Сърбия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партниращ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трансгранично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2007 - 2013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Румъния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Гърция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трансгранично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2014 - 2020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Румъния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Гърция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партниращ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трансгранично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басейн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2007 - 2013;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трансгранично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басейн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2014 - 2020;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партниращ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Югоизточна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ИНТЕРРЕГ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IVC,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2007 - 2013 -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ЕСПОН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сближаване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Дунав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2014 - 2020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Балкани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Средиземно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2014 - 2020,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ИНТЕРРЕГ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2014 - 2020,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ЕСПОН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ЕГТС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ТГС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Меморандума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разбирателство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2021 - 2027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трансгранично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предприсъединителна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2021 - 2027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Северна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Македония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Сърбия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трансгранично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2021 - 2027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Румъния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Гърция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2021 - 2027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":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секретариати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съфинансирани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меморандуми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разбирателство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информираност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прозрачност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ЕГТС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ЕГТС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ЕГТС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1303/2013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общоприложими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Кохезионния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Кохезионния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1083/2006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VII,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3/2013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общоприложими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Кохезионния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Кохезионния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1083/2006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бенефициери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неправомерен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правоприемник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":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календарна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съдружниците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акционерите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дълготрайни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преструктуриране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ърговските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преструктуриране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бизнес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експозиции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концентрация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баланса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тристранно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раздържавяването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заложните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джира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прокуратурата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обобщен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аналитичен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МРРБ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МРРБ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номиниране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МРРБ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бизнес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МРРБ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бизнес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":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концепции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":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децентрализацията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децентрализацията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НЕСУТРП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МППРБ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НЕСУТРП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мониторинга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агломерациите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децентрализацията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Секретариат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децентрализация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сферата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междуобщинското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Конгреса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иновации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Секретариат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партньорите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демократично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":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разрушаването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хармонизиране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енергоефективни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305/2011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хармонизирани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89/106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L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4.04.2011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хармонизирани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спецификации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305/2011;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строителноинформационното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моделиране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жизнен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нотифициране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нотифициране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305/2011;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305/2011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2019/515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764/2008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L 91/1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29.03.2019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удовлетворяването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съпротивление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канализацията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научноизследователската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акредитация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305/2011: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нотиф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305/2011,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хармонизация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305/2011;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305/2011 -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делегирани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305/2011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AdCo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нотифициращите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популяризирането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":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отрасъл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приоритетите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асоциациите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агломерации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еквивалентни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асоциациите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отрасъл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краткосрочни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средносрочни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асоциациите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оснабдителните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ангажирани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асоциациите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14.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асоциациите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водностопанските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язовирите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приоритетно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питейно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питейната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стихийни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катастрофи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Кохезионния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1164/94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.: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напредъка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":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Помирителната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абразионните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ерозионните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Дунавското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абразионни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ерозионни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Дунавското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абразионни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ерозионни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Дунавското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бенефициент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2014 - 2020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Солидарност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Междуведомствения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пропускателни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пунктове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":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концепции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обобщаване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ad-hoc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маргинализираните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уязвими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маргинализираните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уязвими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взаимодейства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2007 - 2013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2014 - 2020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2021 - 2027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неправителствени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косвено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министерството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резолюция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Резолюцията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резолюция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резолюцията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усъвършенстване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злоупотреби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корупция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лошо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незаконосъобразни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нецелесъобразни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резолюция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отличия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променливи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минути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17,30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</w:t>
      </w:r>
    </w:p>
    <w:p w:rsidR="00000000" w:rsidRDefault="00997019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</w:t>
      </w:r>
    </w:p>
    <w:p w:rsidR="00000000" w:rsidRDefault="0099701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9701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9701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8"/>
        <w:gridCol w:w="11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13" w:after="57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Численост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персонала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организационните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структури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административните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звена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Министерството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регионалното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развитие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благоустройството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- 627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щатни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бройки</w:t>
            </w:r>
          </w:p>
          <w:p w:rsidR="00000000" w:rsidRDefault="00997019">
            <w:pPr>
              <w:spacing w:before="100" w:beforeAutospacing="1" w:after="100" w:afterAutospacing="1" w:line="269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Политически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кабинет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съветници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експерти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техни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чески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сътрудници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Инспекторат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финансови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контрольори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мрежова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информационна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сигурност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дирекция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"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Вътрешен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одит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"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Представители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към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Постоянното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представителство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Република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България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към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Европейския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съюз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Главен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секрета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администрация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142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дирекция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"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Административно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обслужване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човешки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ресурси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"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дирекция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"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Финансово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стопански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дейности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"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дирекция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"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Правна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"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дирекция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"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Връзки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обществеността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протокол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международно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сътрудничество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"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дирекц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"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Информационно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обслужване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системи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сигурност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"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дирекция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"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Обществени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поръчки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"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Специализирана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администрация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Главна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дирекция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"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Гражданска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регистрация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административно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обслужване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"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Главна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дирекция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"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Стратегическо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планиран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програми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регионално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развитие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"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дирекция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"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Управление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териториалното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сътрудничество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"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дирекция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"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Търговски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дружества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концесии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"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дирекция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"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Държавна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собственост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"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дирекция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"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Устройство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територията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административно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територ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иално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устройство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"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дирекция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"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Технически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правила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норми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"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дирекция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"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Водоснабдяване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канализация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"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дирекция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"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Геозащита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благоустройствени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дейности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"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дирекция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"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Жилищна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политика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"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97019">
            <w:pPr>
              <w:spacing w:before="100" w:beforeAutospacing="1" w:after="100" w:afterAutospacing="1" w:line="269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18</w:t>
            </w:r>
          </w:p>
        </w:tc>
      </w:tr>
    </w:tbl>
    <w:p w:rsidR="00997019" w:rsidRDefault="0099701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  <w:bookmarkStart w:id="0" w:name="_GoBack"/>
      <w:bookmarkEnd w:id="0"/>
    </w:p>
    <w:sectPr w:rsidR="00997019">
      <w:pgSz w:w="12240" w:h="15840"/>
      <w:pgMar w:top="1080" w:right="1080" w:bottom="1080" w:left="108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3D"/>
    <w:rsid w:val="004E2F3D"/>
    <w:rsid w:val="0099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BB916E-F807-48D6-9303-273AE029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umis2020.government.b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-lex.europa.eu/homepage.html?locale=bg" TargetMode="External"/><Relationship Id="rId5" Type="http://schemas.openxmlformats.org/officeDocument/2006/relationships/hyperlink" Target="http://www.mrrb.government.bg/" TargetMode="External"/><Relationship Id="rId4" Type="http://schemas.openxmlformats.org/officeDocument/2006/relationships/hyperlink" Target="http://www.mrrb.government.b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18829</Words>
  <Characters>107329</Characters>
  <Application>Microsoft Office Word</Application>
  <DocSecurity>0</DocSecurity>
  <Lines>894</Lines>
  <Paragraphs>251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GEORGIEVA GYURDZHEKLIEVA</dc:creator>
  <cp:keywords/>
  <dc:description/>
  <cp:lastModifiedBy>DANIELA GEORGIEVA GYURDZHEKLIEVA</cp:lastModifiedBy>
  <cp:revision>2</cp:revision>
  <dcterms:created xsi:type="dcterms:W3CDTF">2020-07-07T08:30:00Z</dcterms:created>
  <dcterms:modified xsi:type="dcterms:W3CDTF">2020-07-07T08:30:00Z</dcterms:modified>
</cp:coreProperties>
</file>