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EFEFE"/>
  <w:body>
    <w:p w:rsidR="00000000" w:rsidRDefault="00307298">
      <w:pPr>
        <w:jc w:val="center"/>
        <w:rPr>
          <w:rFonts w:eastAsia="Times New Roman"/>
          <w:sz w:val="28"/>
          <w:szCs w:val="28"/>
          <w:highlight w:val="white"/>
          <w:shd w:val="clear" w:color="auto" w:fill="FEFEFE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ЗАКОН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УПРАВЛЕНИЕ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ЕТАЖНАТА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СОБСТВЕНОСТ</w:t>
      </w:r>
    </w:p>
    <w:p w:rsidR="00000000" w:rsidRDefault="00307298">
      <w:pPr>
        <w:spacing w:before="283"/>
        <w:ind w:firstLine="850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сила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01.05.2009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307298">
      <w:pPr>
        <w:spacing w:before="283"/>
        <w:ind w:firstLine="850"/>
        <w:jc w:val="both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Обн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Януари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Януари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2021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.11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2023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702-01-57/12.11.2007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ПОЛОЖЕНИЯ</w:t>
      </w:r>
    </w:p>
    <w:p w:rsidR="00000000" w:rsidRDefault="0030729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Особен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части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затворен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противопоставим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приобретатели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Изключения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прилежаща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площ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преструктуриране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нициатива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обитателите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обитателите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наричани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уговорено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уговорено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съвещателен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обитателите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безпокойство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обичайното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влошаване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архитектурния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носимоспособността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безпокойство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накърняват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съразмерно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хигиенните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пожарогасителн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спасителна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домакинства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грижат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фасадата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архитектурен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носимоспособността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уговорено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Книга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бащиното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фамилното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БУЛСТАТ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бащиното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фамилното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домакинството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живеят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бащиното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фамилното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уговорените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25.01.2011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контрольорът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кучета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ветеринарномедицинския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</w:p>
    <w:p w:rsidR="00000000" w:rsidRDefault="0030729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правила</w:t>
      </w: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управлението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09.03.2018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Форми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собствениците</w:t>
      </w: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събрание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касиер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контрольор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контрольора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неотложни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реклами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водоснабдяванет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електроснабдяването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топлоснабдяването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газоснабдяването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хигиенните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хигиенните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топлопреносната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газоснабдителната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топлоснабдяването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газоснабдяването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кредити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неотложен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кредити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субсидии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опрощаване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отсрочв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разсрочване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неотложни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търпят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контрольор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17.02.2021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битовите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17.02.2021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обвързват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примерен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Инициатива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свикване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събрание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контрольора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неотложни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нововъзникнала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свикване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собствениците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общодостъпно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неотложни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неотложни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телефонен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телефонен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неотложни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празници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Представителство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събрание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пълнолетен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домакинството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адвокат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Кворум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събрание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кворум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изискуемият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кворум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празник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кворум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събрание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неотложни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Протоколчикът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обикновено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председателстващия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въздържал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председателстващия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протоколчика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общодостъпно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Вярно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оригинала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достоверността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събрание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приспадане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кредити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опрощаване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отсрочване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разсрочване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субсидии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рекламни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топлопреносната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електроснабдителната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газоснабдителната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топлоснабдяването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газоснабдяването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преобразува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сборът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сборът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пресмятането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касиера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контрольора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хигиенните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Провеждан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събрание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излъчват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Управителен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)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живее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касиера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нозинството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клауза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превръщането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безсрочен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недействителна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управлението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контрольор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болест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управителен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)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нововъзникнала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управителен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Заседания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кворум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веднъж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обикновено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)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):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екзекутивните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чертежи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входяща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изходяща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кореспонденция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кучета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обикновеното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предяв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предявени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новоизбрания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контрольора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касиера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Контролен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контрольор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)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контрольор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нечетен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контрольорът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изразходването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контрольорът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веднъж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контрольор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веднъж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обикновено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контрольора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контрольор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касиер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домакинството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съпружеско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съжителство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съребрена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сватовство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контрольора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контрольорът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контрольор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касиер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живеят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Сдружение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собствениците</w:t>
      </w: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сдружение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собствениците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субсидии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сборът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БУЛСТАТ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счетоводството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статистиката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свикване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учредително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събрание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общодостъпно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учредително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събрание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чредителното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председателстващия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протоколчик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контрольор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единодушно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сдружение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ците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контрольора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примерен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сдружението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Вярно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оригинала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Вярн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оригинала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членство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сдружението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изискуеми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уговорено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субсидии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сдружението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контрольор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сдружението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14. 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кворума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събрание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притежаваните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приспадане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кредити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опрощаване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отсрочване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разсрочване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субсидии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рекламни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топлопреносната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оснабдителната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електроснабдителната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газоснабдителната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топлоснабдяването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газоснабдяването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ІІ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Управителен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сдружението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):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44;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БУЛСТАТ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кворума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живее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касиера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контрольора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касиера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контрольора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касиера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контрольорът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касиерът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контрольора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касиера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Контролен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контрольор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)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контрольорът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нечетен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контрольорът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изразходването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контрольорът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веднъж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веднъж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обикновено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контрольор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касиер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домакинството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съпружеско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съжителство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сватовство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контрольора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контрольора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контрольор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сдружението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погиване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спадне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изискуемия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Ликвидация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контрольора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)</w:t>
      </w: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събрание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410,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предупреждението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изпълнение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събрание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незаконосъобразно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Представителство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съда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)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незаконосъобразен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РЕГИСТРАЦИОНЕН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УВЕДОМИТЕЛЕН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Регистър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неточностите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епълнотите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неточностите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Оспорване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вписване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уведомяване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телефон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Вярно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оригинала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ължение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ежемесечно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ОСНОВНО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ОБНОВЯВАНЕ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правила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съразмерно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прихващат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ежемесечни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Извършван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неотложен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ремонт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нуждаят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неотложен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50.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недостатъчни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неотложният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обновяване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"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ежемесечни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домакинства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живеят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ненавършили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портиер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трикратния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петкратния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аментно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асансьора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паспорт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указанията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техническия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паспорт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техническия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паспорт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достъп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неосигурен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АДМИНИСТРАТИВНОНАКАЗАТЕЛНИ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безпокойство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обичайното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контрольор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еднообразни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илежаща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игра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затворен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Домакинство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живеят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пригодност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неудобства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остоятелните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Неотложен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разрушаването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деформации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близкостоящи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ъзнаграждения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касиера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абонаментно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асансьор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неотложен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насочена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прекъсване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Неотложен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предпоставка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разрушаването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възпреп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кореспонденция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2".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58: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2: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"."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33, 130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19: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20,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76, 77, 88, 94, 95,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29, 30, 34, 37, 65, 76, 79, 82,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33, 43, 54, 69,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запетая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паркинги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игра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8: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новоизграждащи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портиер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велосипеди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мотопеди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мотоциклети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пералн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сушилни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партерния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." 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"§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мораториума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мораториум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.)."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обичайно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-------------------------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5.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ХРАНИТЕ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25.01.2011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44.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общодостъпно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кворум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касиер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149.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16, §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. . . . . . . . . . . . . . . 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ТАКСИ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17.02.2021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17.02.2021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15, 16,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30729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ЕЛЕКТРОННИТЕ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СЪОБЩИТЕЛНИ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ФИЗИЧЕСКА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ИНФРАСТРУКТУРА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09.03.2018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30729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КОРПОРАТИВНОТО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ПОДОХОДНО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ОБЛАГАНЕ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§ 50,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5 - 10, § 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§ 53,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65 - 69,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53,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22, § 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ДЕЙСТВИЯТ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ИЗВЪНРЕДНОТО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ПОЛОЖЕНИЕ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ОБЯВЕНО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ПРЕОДОЛЯВАНЕ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ПОСЛЕДИЦИТЕ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17.02.2021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МЕДИАЦИЯТА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307298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307298" w:rsidRDefault="00307298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sectPr w:rsidR="00307298">
      <w:pgSz w:w="12240" w:h="15840"/>
      <w:pgMar w:top="1080" w:right="108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A2"/>
    <w:rsid w:val="00307298"/>
    <w:rsid w:val="00A9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3EF091B-5CB6-4AB7-A214-D9CE695E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14938</Words>
  <Characters>85153</Characters>
  <Application>Microsoft Office Word</Application>
  <DocSecurity>0</DocSecurity>
  <Lines>709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GEORGIEVA GYURDZHEKLIEVA</dc:creator>
  <cp:keywords/>
  <dc:description/>
  <cp:lastModifiedBy>DANIELA GEORGIEVA GYURDZHEKLIEVA</cp:lastModifiedBy>
  <cp:revision>2</cp:revision>
  <dcterms:created xsi:type="dcterms:W3CDTF">2023-03-15T07:55:00Z</dcterms:created>
  <dcterms:modified xsi:type="dcterms:W3CDTF">2023-03-15T07:55:00Z</dcterms:modified>
</cp:coreProperties>
</file>