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2F" w:rsidRDefault="00A21491" w:rsidP="00917945">
      <w:pPr>
        <w:jc w:val="both"/>
      </w:pPr>
      <w:r w:rsidRPr="00A21491">
        <w:t>Обществена поръчка за предоставяне на услуги</w:t>
      </w:r>
      <w:r>
        <w:t xml:space="preserve"> за разработване, развитие и поддръжка на електронни портали за обмен на данни с бенефициентите и системи за управление на програмите за териториално сътрудничество, управлявани от Република България, </w:t>
      </w:r>
      <w:proofErr w:type="spellStart"/>
      <w:r w:rsidRPr="00A21491">
        <w:t>съфинансирани</w:t>
      </w:r>
      <w:proofErr w:type="spellEnd"/>
      <w:r w:rsidRPr="00A21491">
        <w:t xml:space="preserve"> от Инструмента за предприсъединителна помощ</w:t>
      </w:r>
    </w:p>
    <w:p w:rsidR="00A21491" w:rsidRDefault="00A21491" w:rsidP="00917945">
      <w:pPr>
        <w:jc w:val="both"/>
      </w:pPr>
      <w:bookmarkStart w:id="0" w:name="_GoBack"/>
      <w:bookmarkEnd w:id="0"/>
    </w:p>
    <w:p w:rsidR="00A21491" w:rsidRDefault="00A21491" w:rsidP="00917945">
      <w:pPr>
        <w:jc w:val="both"/>
      </w:pPr>
      <w:r>
        <w:t xml:space="preserve">Главна Дирекция „Управление на териториалното сътрудничество“, Министерство на регионалното развитие и благоустройството,обявява покана за набиране на оферти за предоставяне на услуга: </w:t>
      </w:r>
    </w:p>
    <w:p w:rsidR="00A21491" w:rsidRPr="00A21491" w:rsidRDefault="00A21491" w:rsidP="00917945">
      <w:pPr>
        <w:jc w:val="both"/>
        <w:rPr>
          <w:b/>
        </w:rPr>
      </w:pPr>
      <w:r w:rsidRPr="00A21491">
        <w:rPr>
          <w:b/>
        </w:rPr>
        <w:t>„Разработване, развитие и поддръжка на електронни портали за обмен на данни с бенефициентите и системи за управление на програмите за териториално сътрудничество, управлявани от Република България</w:t>
      </w:r>
      <w:r>
        <w:rPr>
          <w:b/>
        </w:rPr>
        <w:t>,</w:t>
      </w:r>
      <w:r w:rsidRPr="00A21491">
        <w:t xml:space="preserve"> </w:t>
      </w:r>
      <w:proofErr w:type="spellStart"/>
      <w:r w:rsidRPr="00A21491">
        <w:rPr>
          <w:b/>
        </w:rPr>
        <w:t>съфинансирани</w:t>
      </w:r>
      <w:proofErr w:type="spellEnd"/>
      <w:r w:rsidRPr="00A21491">
        <w:rPr>
          <w:b/>
        </w:rPr>
        <w:t xml:space="preserve"> от Инструмента за предприсъединителна помощ.“ </w:t>
      </w:r>
    </w:p>
    <w:p w:rsidR="00A21491" w:rsidRPr="00F10AE6" w:rsidRDefault="00A21491" w:rsidP="00917945">
      <w:pPr>
        <w:jc w:val="both"/>
        <w:rPr>
          <w:lang w:val="en-US"/>
        </w:rPr>
      </w:pPr>
      <w:r>
        <w:t xml:space="preserve">с финансовата помощ на програмите за териториално сътрудничество  с </w:t>
      </w:r>
      <w:r w:rsidR="00F10AE6">
        <w:t>Р.Сърбия</w:t>
      </w:r>
      <w:r>
        <w:t xml:space="preserve">, </w:t>
      </w:r>
      <w:r w:rsidR="00F10AE6">
        <w:t xml:space="preserve">Р.Македония </w:t>
      </w:r>
      <w:r>
        <w:t xml:space="preserve">и Р.Турция, управлявани от Република България, </w:t>
      </w:r>
      <w:proofErr w:type="spellStart"/>
      <w:r w:rsidRPr="00A21491">
        <w:t>съфинансирани</w:t>
      </w:r>
      <w:proofErr w:type="spellEnd"/>
      <w:r w:rsidRPr="00A21491">
        <w:t xml:space="preserve"> от Инструмента за предприсъединителна помощ</w:t>
      </w:r>
      <w:r w:rsidR="00F10AE6">
        <w:rPr>
          <w:lang w:val="en-US"/>
        </w:rPr>
        <w:t xml:space="preserve"> </w:t>
      </w:r>
      <w:r w:rsidR="00F10AE6" w:rsidRPr="00983901">
        <w:rPr>
          <w:lang w:val="en-GB"/>
        </w:rPr>
        <w:t>(CCI 2007CB16IPO006</w:t>
      </w:r>
      <w:r w:rsidR="00F10AE6">
        <w:rPr>
          <w:lang w:val="en-GB"/>
        </w:rPr>
        <w:t>,</w:t>
      </w:r>
      <w:r w:rsidR="00F10AE6" w:rsidRPr="00983901">
        <w:rPr>
          <w:lang w:val="en-GB"/>
        </w:rPr>
        <w:t xml:space="preserve"> CCI 2007CB16IPO007</w:t>
      </w:r>
      <w:r w:rsidR="00F10AE6">
        <w:rPr>
          <w:lang w:val="en-GB"/>
        </w:rPr>
        <w:t xml:space="preserve">, </w:t>
      </w:r>
      <w:r w:rsidR="00F10AE6" w:rsidRPr="00983901">
        <w:rPr>
          <w:lang w:val="en-GB"/>
        </w:rPr>
        <w:t>CCI 2007CB16IPO008)</w:t>
      </w:r>
    </w:p>
    <w:p w:rsidR="00A21491" w:rsidRDefault="00A21491" w:rsidP="00917945">
      <w:pPr>
        <w:pStyle w:val="NormalWeb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Тръжното досие включва:</w:t>
      </w:r>
    </w:p>
    <w:p w:rsidR="00A21491" w:rsidRDefault="00A21491" w:rsidP="00917945">
      <w:pPr>
        <w:pStyle w:val="NormalWeb"/>
        <w:spacing w:after="0" w:afterAutospacing="0"/>
        <w:ind w:left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А. Инструкции към кандидатите и обявление за обществена поръчка за услуги</w:t>
      </w:r>
    </w:p>
    <w:p w:rsidR="00A21491" w:rsidRDefault="00A21491" w:rsidP="00917945">
      <w:pPr>
        <w:pStyle w:val="NormalWeb"/>
        <w:spacing w:after="0" w:afterAutospacing="0"/>
        <w:ind w:left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Б. Проект на договор и специални условия, включително следните приложения:</w:t>
      </w:r>
    </w:p>
    <w:p w:rsidR="00A21491" w:rsidRDefault="00A21491" w:rsidP="00917945">
      <w:pPr>
        <w:pStyle w:val="NormalWeb"/>
        <w:spacing w:after="0" w:afterAutospacing="0"/>
        <w:ind w:left="141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I. Общи условия за договори за услуги</w:t>
      </w:r>
    </w:p>
    <w:p w:rsidR="00A21491" w:rsidRDefault="00A21491" w:rsidP="00917945">
      <w:pPr>
        <w:pStyle w:val="NormalWeb"/>
        <w:spacing w:after="0" w:afterAutospacing="0"/>
        <w:ind w:left="141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II. Техническо задание</w:t>
      </w:r>
    </w:p>
    <w:p w:rsidR="00A21491" w:rsidRDefault="00A21491" w:rsidP="00917945">
      <w:pPr>
        <w:pStyle w:val="NormalWeb"/>
        <w:spacing w:after="0" w:afterAutospacing="0"/>
        <w:ind w:left="141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III. Организация и методология (да бъдат представени от кандидата, използвайки образеца)</w:t>
      </w:r>
    </w:p>
    <w:p w:rsidR="00A21491" w:rsidRDefault="00A21491" w:rsidP="00917945">
      <w:pPr>
        <w:pStyle w:val="NormalWeb"/>
        <w:spacing w:after="0" w:afterAutospacing="0"/>
        <w:ind w:left="141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IV. Бюджет (да бъде представен от кандидата като финансова оферта, използвайки образеца)</w:t>
      </w:r>
    </w:p>
    <w:p w:rsidR="00A21491" w:rsidRDefault="00A21491" w:rsidP="00917945">
      <w:pPr>
        <w:pStyle w:val="NormalWeb"/>
        <w:spacing w:after="0" w:afterAutospacing="0"/>
        <w:ind w:left="141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V. Формуляри и други допълнителни документи</w:t>
      </w:r>
    </w:p>
    <w:p w:rsidR="00A21491" w:rsidRDefault="00A21491" w:rsidP="00917945">
      <w:pPr>
        <w:pStyle w:val="NormalWeb"/>
        <w:spacing w:after="0" w:afterAutospacing="0"/>
        <w:ind w:left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В. Друга информация</w:t>
      </w:r>
    </w:p>
    <w:p w:rsidR="00A21491" w:rsidRDefault="00A21491" w:rsidP="00917945">
      <w:pPr>
        <w:pStyle w:val="NormalWeb"/>
        <w:spacing w:after="0" w:afterAutospacing="0"/>
        <w:ind w:left="141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I. Таблица за административно съответствие</w:t>
      </w:r>
    </w:p>
    <w:p w:rsidR="00A21491" w:rsidRDefault="00A21491" w:rsidP="00917945">
      <w:pPr>
        <w:pStyle w:val="NormalWeb"/>
        <w:spacing w:after="0" w:afterAutospacing="0"/>
        <w:ind w:left="141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II. Таблица за оценка</w:t>
      </w:r>
    </w:p>
    <w:p w:rsidR="00A21491" w:rsidRDefault="00A21491" w:rsidP="00917945">
      <w:pPr>
        <w:pStyle w:val="NormalWeb"/>
        <w:spacing w:after="0" w:afterAutospacing="0"/>
        <w:ind w:left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Г. Тръжен формуляр за участие</w:t>
      </w:r>
    </w:p>
    <w:p w:rsidR="00A21491" w:rsidRDefault="00A21491" w:rsidP="00917945">
      <w:pPr>
        <w:pStyle w:val="NormalWeb"/>
        <w:jc w:val="both"/>
        <w:rPr>
          <w:rFonts w:ascii="Verdana" w:hAnsi="Verdana"/>
          <w:color w:val="000000"/>
          <w:sz w:val="18"/>
          <w:szCs w:val="18"/>
        </w:rPr>
      </w:pPr>
    </w:p>
    <w:p w:rsidR="00A21491" w:rsidRPr="00F10AE6" w:rsidRDefault="00A21491" w:rsidP="00917945">
      <w:pPr>
        <w:jc w:val="both"/>
        <w:rPr>
          <w:rStyle w:val="IntenseQuoteChar"/>
          <w:i w:val="0"/>
        </w:rPr>
      </w:pPr>
      <w:r>
        <w:rPr>
          <w:rFonts w:ascii="Verdana" w:hAnsi="Verdana"/>
          <w:color w:val="000000"/>
          <w:sz w:val="18"/>
          <w:szCs w:val="18"/>
        </w:rPr>
        <w:t xml:space="preserve">Цялата тръжна документация е публикувана на следните интернет страници: </w:t>
      </w:r>
      <w:hyperlink r:id="rId5" w:history="1">
        <w:r w:rsidRPr="00F10AE6">
          <w:rPr>
            <w:rStyle w:val="Hyperlink"/>
            <w:rFonts w:ascii="Verdana" w:hAnsi="Verdana"/>
            <w:bCs/>
            <w:iCs/>
            <w:sz w:val="18"/>
            <w:szCs w:val="18"/>
          </w:rPr>
          <w:t>http://www.ipacbc-bgrs.eu</w:t>
        </w:r>
      </w:hyperlink>
      <w:r w:rsidRPr="00F10AE6">
        <w:rPr>
          <w:rStyle w:val="Hyperlink"/>
          <w:rFonts w:ascii="Verdana" w:hAnsi="Verdana"/>
          <w:bCs/>
          <w:iCs/>
          <w:sz w:val="18"/>
          <w:szCs w:val="18"/>
        </w:rPr>
        <w:t xml:space="preserve">, </w:t>
      </w:r>
      <w:hyperlink r:id="rId6" w:history="1">
        <w:r w:rsidRPr="00F10AE6">
          <w:rPr>
            <w:rStyle w:val="Hyperlink"/>
            <w:rFonts w:ascii="Verdana" w:hAnsi="Verdana"/>
            <w:bCs/>
            <w:iCs/>
            <w:sz w:val="18"/>
            <w:szCs w:val="18"/>
          </w:rPr>
          <w:t>http://www.ipa-cbc-007.eu</w:t>
        </w:r>
      </w:hyperlink>
      <w:r w:rsidRPr="00F10AE6">
        <w:rPr>
          <w:rStyle w:val="Hyperlink"/>
          <w:rFonts w:ascii="Verdana" w:hAnsi="Verdana"/>
          <w:bCs/>
          <w:iCs/>
          <w:sz w:val="18"/>
          <w:szCs w:val="18"/>
        </w:rPr>
        <w:t xml:space="preserve">, </w:t>
      </w:r>
      <w:hyperlink r:id="rId7" w:history="1">
        <w:r w:rsidRPr="00F10AE6">
          <w:rPr>
            <w:rStyle w:val="Hyperlink"/>
            <w:rFonts w:ascii="Verdana" w:hAnsi="Verdana"/>
            <w:bCs/>
            <w:iCs/>
            <w:sz w:val="18"/>
            <w:szCs w:val="18"/>
          </w:rPr>
          <w:t>http://www.ipacbc-bgtr.eu</w:t>
        </w:r>
      </w:hyperlink>
      <w:r w:rsidRPr="00F10AE6">
        <w:rPr>
          <w:rStyle w:val="Hyperlink"/>
          <w:rFonts w:ascii="Verdana" w:hAnsi="Verdana"/>
          <w:bCs/>
          <w:iCs/>
          <w:sz w:val="18"/>
          <w:szCs w:val="18"/>
        </w:rPr>
        <w:t>.</w:t>
      </w:r>
    </w:p>
    <w:p w:rsidR="00A21491" w:rsidRDefault="00A21491" w:rsidP="00917945">
      <w:pPr>
        <w:jc w:val="both"/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Подробна информация относно тръжните процедури е налична в Практическото ръководство за договорни процедури за външни дейности на ЕС и приложенията към него, които можете да намерите на следната интернет страница: </w:t>
      </w:r>
      <w:hyperlink r:id="rId8" w:history="1">
        <w:r>
          <w:rPr>
            <w:rStyle w:val="Hyperlink"/>
            <w:rFonts w:ascii="Verdana" w:hAnsi="Verdana"/>
            <w:sz w:val="18"/>
            <w:szCs w:val="18"/>
          </w:rPr>
          <w:t>http://ec.europa.eu/europeaid/prag/document.do</w:t>
        </w:r>
      </w:hyperlink>
      <w:r>
        <w:rPr>
          <w:rFonts w:ascii="Verdana" w:hAnsi="Verdana"/>
          <w:color w:val="000000"/>
          <w:sz w:val="18"/>
          <w:szCs w:val="18"/>
        </w:rPr>
        <w:t>.</w:t>
      </w:r>
    </w:p>
    <w:p w:rsidR="00A21491" w:rsidRDefault="00A21491" w:rsidP="00917945">
      <w:pPr>
        <w:jc w:val="both"/>
      </w:pPr>
      <w:r>
        <w:t xml:space="preserve">Краен срок за подаване на офертите: </w:t>
      </w:r>
      <w:r w:rsidRPr="00A21491">
        <w:rPr>
          <w:b/>
        </w:rPr>
        <w:t>16:30 часа на 21 септември 2015 г.</w:t>
      </w:r>
    </w:p>
    <w:sectPr w:rsidR="00A2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91"/>
    <w:rsid w:val="004261C8"/>
    <w:rsid w:val="00917945"/>
    <w:rsid w:val="00A21491"/>
    <w:rsid w:val="00A44E1C"/>
    <w:rsid w:val="00F1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14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A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AE6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F10AE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14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A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AE6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F10AE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05485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260845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peaid/prag/document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acbc-bgtr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pa-cbc-007.eu/" TargetMode="External"/><Relationship Id="rId5" Type="http://schemas.openxmlformats.org/officeDocument/2006/relationships/hyperlink" Target="http://www.ipacbc-bgrs.e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1917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Diana Nickolova</cp:lastModifiedBy>
  <cp:revision>3</cp:revision>
  <dcterms:created xsi:type="dcterms:W3CDTF">2015-08-20T07:54:00Z</dcterms:created>
  <dcterms:modified xsi:type="dcterms:W3CDTF">2015-08-20T12:33:00Z</dcterms:modified>
</cp:coreProperties>
</file>